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8.xml" ContentType="application/vnd.openxmlformats-officedocument.wordprocessingml.foot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6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6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6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6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B62" w:rsidRDefault="00EC50F2" w:rsidP="00EC50F2">
      <w:pPr>
        <w:rPr>
          <w:rFonts w:cstheme="minorHAnsi"/>
          <w:b/>
          <w:color w:val="4C4C4C"/>
          <w:sz w:val="40"/>
          <w:szCs w:val="48"/>
        </w:rPr>
      </w:pPr>
      <w:bookmarkStart w:id="0" w:name="_GoBack"/>
      <w:bookmarkEnd w:id="0"/>
      <w:r w:rsidRPr="00EC50F2">
        <w:rPr>
          <w:noProof/>
        </w:rPr>
        <w:drawing>
          <wp:inline distT="0" distB="0" distL="0" distR="0" wp14:anchorId="3D549109" wp14:editId="568EC73E">
            <wp:extent cx="6069541" cy="8573985"/>
            <wp:effectExtent l="0" t="0" r="7620" b="0"/>
            <wp:docPr id="22" name="Picture 2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03" t="3603" r="3032" b="3331"/>
                    <a:stretch/>
                  </pic:blipFill>
                  <pic:spPr bwMode="auto">
                    <a:xfrm>
                      <a:off x="0" y="0"/>
                      <a:ext cx="6083248" cy="8593349"/>
                    </a:xfrm>
                    <a:prstGeom prst="rect">
                      <a:avLst/>
                    </a:prstGeom>
                    <a:ln>
                      <a:noFill/>
                    </a:ln>
                    <a:extLst>
                      <a:ext uri="{53640926-AAD7-44D8-BBD7-CCE9431645EC}">
                        <a14:shadowObscured xmlns:a14="http://schemas.microsoft.com/office/drawing/2010/main"/>
                      </a:ext>
                    </a:extLst>
                  </pic:spPr>
                </pic:pic>
              </a:graphicData>
            </a:graphic>
          </wp:inline>
        </w:drawing>
      </w:r>
    </w:p>
    <w:p w:rsidR="00676B62" w:rsidRDefault="00EC50F2" w:rsidP="00EC50F2">
      <w:r w:rsidRPr="00EC50F2">
        <w:rPr>
          <w:noProof/>
        </w:rPr>
        <w:lastRenderedPageBreak/>
        <w:drawing>
          <wp:inline distT="0" distB="0" distL="0" distR="0" wp14:anchorId="4FA18D35" wp14:editId="34DEEE1E">
            <wp:extent cx="6099175" cy="8818245"/>
            <wp:effectExtent l="0" t="0" r="0" b="1905"/>
            <wp:docPr id="544" name="Picture 544" descr="Inside cover text and copyright information&#10;The Secretary, Department of Treasury and Finance, 1 Treasury Place, Melbourne Victoria 3002, Australia&#10;Telephone: +61 3 9651 5111&#10;Facsimile: +61 3 9651 2062&#10;Website: dtf.vic.gov.au&#10;Authorised by the Victorian Government, 1 Treasury Place, Melbourne, 3002&#10;Printed by Doculink Australia, Port Melbourne&#10;Printed on recycled paper&#10;© State of Victoria 2018 &#10;This work, Department of Treasury and Finance 2017-18 Annual Report, is licensed under a Creative Commons Attribution 4.0 licence. You are free to re-use the work under that licence on the condition that you credit the State of Victoria as author. The licence does not apply to any images, photographs or branding, including the Victorian Coat of Arms, the Victorian Government logo and the epartment of Treasury and Finance logo.&#10;Copyright queries may be directed to&#10;IPpolicy@dtf.vic.gov.au&#10;ISSN 1325 1775&#10;ISSN 2204 5384 (online/pdf)&#10;Published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9175" cy="8818245"/>
                    </a:xfrm>
                    <a:prstGeom prst="rect">
                      <a:avLst/>
                    </a:prstGeom>
                  </pic:spPr>
                </pic:pic>
              </a:graphicData>
            </a:graphic>
          </wp:inline>
        </w:drawing>
      </w:r>
    </w:p>
    <w:p w:rsidR="00676B62" w:rsidRDefault="00676B62" w:rsidP="003A27FC">
      <w:pPr>
        <w:pStyle w:val="Heading1a"/>
        <w:rPr>
          <w:rFonts w:asciiTheme="minorHAnsi" w:hAnsiTheme="minorHAnsi" w:cstheme="minorHAnsi"/>
        </w:rPr>
        <w:sectPr w:rsidR="00676B62" w:rsidSect="00D16853">
          <w:pgSz w:w="11909" w:h="16834" w:code="9"/>
          <w:pgMar w:top="1728" w:right="1152" w:bottom="1152" w:left="1152" w:header="720" w:footer="288" w:gutter="0"/>
          <w:pgNumType w:fmt="lowerRoman"/>
          <w:cols w:space="720"/>
          <w:noEndnote/>
          <w:docGrid w:linePitch="272"/>
        </w:sectPr>
      </w:pPr>
    </w:p>
    <w:p w:rsidR="003A27FC" w:rsidRPr="00687A1C" w:rsidRDefault="003A27FC" w:rsidP="00C62404">
      <w:pPr>
        <w:pStyle w:val="Heading1a"/>
        <w:spacing w:after="900"/>
        <w:rPr>
          <w:rFonts w:asciiTheme="minorHAnsi" w:hAnsiTheme="minorHAnsi" w:cstheme="minorHAnsi"/>
        </w:rPr>
      </w:pPr>
      <w:r w:rsidRPr="00687A1C">
        <w:rPr>
          <w:rFonts w:asciiTheme="minorHAnsi" w:hAnsiTheme="minorHAnsi" w:cstheme="minorHAnsi"/>
        </w:rPr>
        <w:lastRenderedPageBreak/>
        <w:t>Contents</w:t>
      </w:r>
    </w:p>
    <w:p w:rsidR="00F97BB9" w:rsidRDefault="003A27FC">
      <w:pPr>
        <w:pStyle w:val="TOC1"/>
        <w:rPr>
          <w:rFonts w:eastAsiaTheme="minorEastAsia" w:cstheme="minorBidi"/>
          <w:b w:val="0"/>
          <w:color w:val="auto"/>
          <w:sz w:val="22"/>
          <w:szCs w:val="22"/>
        </w:rPr>
      </w:pPr>
      <w:r w:rsidRPr="00687A1C">
        <w:rPr>
          <w:noProof w:val="0"/>
          <w:sz w:val="22"/>
        </w:rPr>
        <w:fldChar w:fldCharType="begin"/>
      </w:r>
      <w:r w:rsidRPr="00687A1C">
        <w:rPr>
          <w:noProof w:val="0"/>
        </w:rPr>
        <w:instrText xml:space="preserve"> TOC \h \z \t</w:instrText>
      </w:r>
      <w:r w:rsidR="00B249EB" w:rsidRPr="00687A1C">
        <w:rPr>
          <w:noProof w:val="0"/>
        </w:rPr>
        <w:instrText xml:space="preserve"> </w:instrText>
      </w:r>
      <w:r w:rsidRPr="00687A1C">
        <w:rPr>
          <w:noProof w:val="0"/>
        </w:rPr>
        <w:instrText>"Heading 1,1,Heading 1 App,2</w:instrText>
      </w:r>
      <w:r w:rsidR="00B249EB" w:rsidRPr="00687A1C">
        <w:rPr>
          <w:noProof w:val="0"/>
        </w:rPr>
        <w:instrText xml:space="preserve">, </w:instrText>
      </w:r>
      <w:r w:rsidRPr="00687A1C">
        <w:rPr>
          <w:noProof w:val="0"/>
        </w:rPr>
        <w:instrText xml:space="preserve">Heading </w:instrText>
      </w:r>
      <w:r w:rsidR="00E66150" w:rsidRPr="00687A1C">
        <w:rPr>
          <w:noProof w:val="0"/>
        </w:rPr>
        <w:instrText>1b</w:instrText>
      </w:r>
      <w:r w:rsidRPr="00687A1C">
        <w:rPr>
          <w:noProof w:val="0"/>
        </w:rPr>
        <w:instrText>,4"</w:instrText>
      </w:r>
      <w:r w:rsidR="009E2023" w:rsidRPr="00687A1C">
        <w:rPr>
          <w:noProof w:val="0"/>
        </w:rPr>
        <w:instrText xml:space="preserve"> \n 4-4</w:instrText>
      </w:r>
      <w:r w:rsidRPr="00687A1C">
        <w:rPr>
          <w:noProof w:val="0"/>
        </w:rPr>
        <w:instrText xml:space="preserve"> </w:instrText>
      </w:r>
      <w:r w:rsidRPr="00687A1C">
        <w:rPr>
          <w:noProof w:val="0"/>
          <w:sz w:val="22"/>
        </w:rPr>
        <w:fldChar w:fldCharType="separate"/>
      </w:r>
      <w:hyperlink w:anchor="_Toc525026154" w:history="1">
        <w:r w:rsidR="00F97BB9" w:rsidRPr="00723B4A">
          <w:rPr>
            <w:rStyle w:val="Hyperlink"/>
            <w:rFonts w:cstheme="minorHAnsi"/>
          </w:rPr>
          <w:t>About DTF</w:t>
        </w:r>
        <w:r w:rsidR="00F97BB9">
          <w:rPr>
            <w:webHidden/>
          </w:rPr>
          <w:tab/>
        </w:r>
        <w:r w:rsidR="00F97BB9">
          <w:rPr>
            <w:webHidden/>
          </w:rPr>
          <w:fldChar w:fldCharType="begin"/>
        </w:r>
        <w:r w:rsidR="00F97BB9">
          <w:rPr>
            <w:webHidden/>
          </w:rPr>
          <w:instrText xml:space="preserve"> PAGEREF _Toc525026154 \h </w:instrText>
        </w:r>
        <w:r w:rsidR="00F97BB9">
          <w:rPr>
            <w:webHidden/>
          </w:rPr>
        </w:r>
        <w:r w:rsidR="00F97BB9">
          <w:rPr>
            <w:webHidden/>
          </w:rPr>
          <w:fldChar w:fldCharType="separate"/>
        </w:r>
        <w:r w:rsidR="00BE5F15">
          <w:rPr>
            <w:webHidden/>
          </w:rPr>
          <w:t>1</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55" w:history="1">
        <w:r w:rsidR="00F97BB9" w:rsidRPr="00723B4A">
          <w:rPr>
            <w:rStyle w:val="Hyperlink"/>
            <w:rFonts w:cstheme="minorHAnsi"/>
          </w:rPr>
          <w:t>Report of operations</w:t>
        </w:r>
        <w:r w:rsidR="00F97BB9">
          <w:rPr>
            <w:webHidden/>
          </w:rPr>
          <w:tab/>
        </w:r>
        <w:r w:rsidR="00F97BB9">
          <w:rPr>
            <w:webHidden/>
          </w:rPr>
          <w:fldChar w:fldCharType="begin"/>
        </w:r>
        <w:r w:rsidR="00F97BB9">
          <w:rPr>
            <w:webHidden/>
          </w:rPr>
          <w:instrText xml:space="preserve"> PAGEREF _Toc525026155 \h </w:instrText>
        </w:r>
        <w:r w:rsidR="00F97BB9">
          <w:rPr>
            <w:webHidden/>
          </w:rPr>
        </w:r>
        <w:r w:rsidR="00F97BB9">
          <w:rPr>
            <w:webHidden/>
          </w:rPr>
          <w:fldChar w:fldCharType="separate"/>
        </w:r>
        <w:r w:rsidR="00BE5F15">
          <w:rPr>
            <w:webHidden/>
          </w:rPr>
          <w:t>8</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56" w:history="1">
        <w:r w:rsidR="00F97BB9" w:rsidRPr="00723B4A">
          <w:rPr>
            <w:rStyle w:val="Hyperlink"/>
            <w:rFonts w:cstheme="minorHAnsi"/>
          </w:rPr>
          <w:t>Financial statements</w:t>
        </w:r>
        <w:r w:rsidR="00F97BB9">
          <w:rPr>
            <w:webHidden/>
          </w:rPr>
          <w:tab/>
        </w:r>
        <w:r w:rsidR="00F97BB9">
          <w:rPr>
            <w:webHidden/>
          </w:rPr>
          <w:fldChar w:fldCharType="begin"/>
        </w:r>
        <w:r w:rsidR="00F97BB9">
          <w:rPr>
            <w:webHidden/>
          </w:rPr>
          <w:instrText xml:space="preserve"> PAGEREF _Toc525026156 \h </w:instrText>
        </w:r>
        <w:r w:rsidR="00F97BB9">
          <w:rPr>
            <w:webHidden/>
          </w:rPr>
        </w:r>
        <w:r w:rsidR="00F97BB9">
          <w:rPr>
            <w:webHidden/>
          </w:rPr>
          <w:fldChar w:fldCharType="separate"/>
        </w:r>
        <w:r w:rsidR="00BE5F15">
          <w:rPr>
            <w:webHidden/>
          </w:rPr>
          <w:t>38</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57" w:history="1">
        <w:r w:rsidR="00F97BB9" w:rsidRPr="00723B4A">
          <w:rPr>
            <w:rStyle w:val="Hyperlink"/>
          </w:rPr>
          <w:t>Appendices</w:t>
        </w:r>
        <w:r w:rsidR="00F97BB9">
          <w:rPr>
            <w:webHidden/>
          </w:rPr>
          <w:tab/>
        </w:r>
        <w:r w:rsidR="00F97BB9">
          <w:rPr>
            <w:webHidden/>
          </w:rPr>
          <w:fldChar w:fldCharType="begin"/>
        </w:r>
        <w:r w:rsidR="00F97BB9">
          <w:rPr>
            <w:webHidden/>
          </w:rPr>
          <w:instrText xml:space="preserve"> PAGEREF _Toc525026157 \h </w:instrText>
        </w:r>
        <w:r w:rsidR="00F97BB9">
          <w:rPr>
            <w:webHidden/>
          </w:rPr>
        </w:r>
        <w:r w:rsidR="00F97BB9">
          <w:rPr>
            <w:webHidden/>
          </w:rPr>
          <w:fldChar w:fldCharType="separate"/>
        </w:r>
        <w:r w:rsidR="00BE5F15">
          <w:rPr>
            <w:webHidden/>
          </w:rPr>
          <w:t>100</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158" w:history="1">
        <w:r w:rsidR="00F97BB9" w:rsidRPr="00723B4A">
          <w:rPr>
            <w:rStyle w:val="Hyperlink"/>
          </w:rPr>
          <w:t>Appendix 1</w:t>
        </w:r>
        <w:r w:rsidR="00F97BB9">
          <w:rPr>
            <w:rFonts w:eastAsiaTheme="minorEastAsia" w:cstheme="minorBidi"/>
            <w:color w:val="auto"/>
            <w:sz w:val="22"/>
            <w:szCs w:val="22"/>
          </w:rPr>
          <w:tab/>
        </w:r>
        <w:r w:rsidR="00F97BB9" w:rsidRPr="00723B4A">
          <w:rPr>
            <w:rStyle w:val="Hyperlink"/>
          </w:rPr>
          <w:t>Workforce data</w:t>
        </w:r>
        <w:r w:rsidR="00F97BB9">
          <w:rPr>
            <w:webHidden/>
          </w:rPr>
          <w:tab/>
        </w:r>
        <w:r w:rsidR="00F97BB9">
          <w:rPr>
            <w:webHidden/>
          </w:rPr>
          <w:fldChar w:fldCharType="begin"/>
        </w:r>
        <w:r w:rsidR="00F97BB9">
          <w:rPr>
            <w:webHidden/>
          </w:rPr>
          <w:instrText xml:space="preserve"> PAGEREF _Toc525026158 \h </w:instrText>
        </w:r>
        <w:r w:rsidR="00F97BB9">
          <w:rPr>
            <w:webHidden/>
          </w:rPr>
        </w:r>
        <w:r w:rsidR="00F97BB9">
          <w:rPr>
            <w:webHidden/>
          </w:rPr>
          <w:fldChar w:fldCharType="separate"/>
        </w:r>
        <w:r w:rsidR="00BE5F15">
          <w:rPr>
            <w:webHidden/>
          </w:rPr>
          <w:t>101</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159" w:history="1">
        <w:r w:rsidR="00F97BB9" w:rsidRPr="00723B4A">
          <w:rPr>
            <w:rStyle w:val="Hyperlink"/>
          </w:rPr>
          <w:t>Appendix 2</w:t>
        </w:r>
        <w:r w:rsidR="00F97BB9">
          <w:rPr>
            <w:rFonts w:eastAsiaTheme="minorEastAsia" w:cstheme="minorBidi"/>
            <w:color w:val="auto"/>
            <w:sz w:val="22"/>
            <w:szCs w:val="22"/>
          </w:rPr>
          <w:tab/>
        </w:r>
        <w:r w:rsidR="00F97BB9" w:rsidRPr="00723B4A">
          <w:rPr>
            <w:rStyle w:val="Hyperlink"/>
          </w:rPr>
          <w:t>DTF occupational health and safety report 30 June 2018</w:t>
        </w:r>
        <w:r w:rsidR="00F97BB9">
          <w:rPr>
            <w:webHidden/>
          </w:rPr>
          <w:tab/>
        </w:r>
        <w:r w:rsidR="00F97BB9">
          <w:rPr>
            <w:webHidden/>
          </w:rPr>
          <w:fldChar w:fldCharType="begin"/>
        </w:r>
        <w:r w:rsidR="00F97BB9">
          <w:rPr>
            <w:webHidden/>
          </w:rPr>
          <w:instrText xml:space="preserve"> PAGEREF _Toc525026159 \h </w:instrText>
        </w:r>
        <w:r w:rsidR="00F97BB9">
          <w:rPr>
            <w:webHidden/>
          </w:rPr>
        </w:r>
        <w:r w:rsidR="00F97BB9">
          <w:rPr>
            <w:webHidden/>
          </w:rPr>
          <w:fldChar w:fldCharType="separate"/>
        </w:r>
        <w:r w:rsidR="00BE5F15">
          <w:rPr>
            <w:webHidden/>
          </w:rPr>
          <w:t>113</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160" w:history="1">
        <w:r w:rsidR="00F97BB9" w:rsidRPr="00723B4A">
          <w:rPr>
            <w:rStyle w:val="Hyperlink"/>
          </w:rPr>
          <w:t>Appendix 3</w:t>
        </w:r>
        <w:r w:rsidR="00F97BB9">
          <w:rPr>
            <w:rFonts w:eastAsiaTheme="minorEastAsia" w:cstheme="minorBidi"/>
            <w:color w:val="auto"/>
            <w:sz w:val="22"/>
            <w:szCs w:val="22"/>
          </w:rPr>
          <w:tab/>
        </w:r>
        <w:r w:rsidR="00F97BB9" w:rsidRPr="00723B4A">
          <w:rPr>
            <w:rStyle w:val="Hyperlink"/>
          </w:rPr>
          <w:t>Environmental reporting</w:t>
        </w:r>
        <w:r w:rsidR="00F97BB9">
          <w:rPr>
            <w:webHidden/>
          </w:rPr>
          <w:tab/>
        </w:r>
        <w:r w:rsidR="00F97BB9">
          <w:rPr>
            <w:webHidden/>
          </w:rPr>
          <w:fldChar w:fldCharType="begin"/>
        </w:r>
        <w:r w:rsidR="00F97BB9">
          <w:rPr>
            <w:webHidden/>
          </w:rPr>
          <w:instrText xml:space="preserve"> PAGEREF _Toc525026160 \h </w:instrText>
        </w:r>
        <w:r w:rsidR="00F97BB9">
          <w:rPr>
            <w:webHidden/>
          </w:rPr>
        </w:r>
        <w:r w:rsidR="00F97BB9">
          <w:rPr>
            <w:webHidden/>
          </w:rPr>
          <w:fldChar w:fldCharType="separate"/>
        </w:r>
        <w:r w:rsidR="00BE5F15">
          <w:rPr>
            <w:webHidden/>
          </w:rPr>
          <w:t>117</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161" w:history="1">
        <w:r w:rsidR="00F97BB9" w:rsidRPr="00723B4A">
          <w:rPr>
            <w:rStyle w:val="Hyperlink"/>
          </w:rPr>
          <w:t>Appendix 4</w:t>
        </w:r>
        <w:r w:rsidR="00F97BB9">
          <w:rPr>
            <w:rFonts w:eastAsiaTheme="minorEastAsia" w:cstheme="minorBidi"/>
            <w:color w:val="auto"/>
            <w:sz w:val="22"/>
            <w:szCs w:val="22"/>
          </w:rPr>
          <w:tab/>
        </w:r>
        <w:r w:rsidR="00F97BB9" w:rsidRPr="00723B4A">
          <w:rPr>
            <w:rStyle w:val="Hyperlink"/>
          </w:rPr>
          <w:t>Statutory compliance and other information</w:t>
        </w:r>
        <w:r w:rsidR="00F97BB9">
          <w:rPr>
            <w:webHidden/>
          </w:rPr>
          <w:tab/>
        </w:r>
        <w:r w:rsidR="00F97BB9">
          <w:rPr>
            <w:webHidden/>
          </w:rPr>
          <w:fldChar w:fldCharType="begin"/>
        </w:r>
        <w:r w:rsidR="00F97BB9">
          <w:rPr>
            <w:webHidden/>
          </w:rPr>
          <w:instrText xml:space="preserve"> PAGEREF _Toc525026161 \h </w:instrText>
        </w:r>
        <w:r w:rsidR="00F97BB9">
          <w:rPr>
            <w:webHidden/>
          </w:rPr>
        </w:r>
        <w:r w:rsidR="00F97BB9">
          <w:rPr>
            <w:webHidden/>
          </w:rPr>
          <w:fldChar w:fldCharType="separate"/>
        </w:r>
        <w:r w:rsidR="00BE5F15">
          <w:rPr>
            <w:webHidden/>
          </w:rPr>
          <w:t>124</w:t>
        </w:r>
        <w:r w:rsidR="00F97BB9">
          <w:rPr>
            <w:webHidden/>
          </w:rPr>
          <w:fldChar w:fldCharType="end"/>
        </w:r>
      </w:hyperlink>
    </w:p>
    <w:p w:rsidR="00F97BB9" w:rsidRDefault="00EC4CFD">
      <w:pPr>
        <w:pStyle w:val="TOC4"/>
        <w:rPr>
          <w:color w:val="auto"/>
          <w:sz w:val="22"/>
        </w:rPr>
      </w:pPr>
      <w:hyperlink w:anchor="_Toc525026162" w:history="1">
        <w:r w:rsidR="00F97BB9" w:rsidRPr="00723B4A">
          <w:rPr>
            <w:rStyle w:val="Hyperlink"/>
          </w:rPr>
          <w:t>Legislation administered by DTF portfolios</w:t>
        </w:r>
      </w:hyperlink>
    </w:p>
    <w:p w:rsidR="00F97BB9" w:rsidRDefault="00EC4CFD">
      <w:pPr>
        <w:pStyle w:val="TOC4"/>
        <w:rPr>
          <w:color w:val="auto"/>
          <w:sz w:val="22"/>
        </w:rPr>
      </w:pPr>
      <w:hyperlink w:anchor="_Toc525026163" w:history="1">
        <w:r w:rsidR="00F97BB9" w:rsidRPr="00723B4A">
          <w:rPr>
            <w:rStyle w:val="Hyperlink"/>
          </w:rPr>
          <w:t>Implementation of Local Jobs First – Victorian Industry Participation Policy</w:t>
        </w:r>
      </w:hyperlink>
    </w:p>
    <w:p w:rsidR="00F97BB9" w:rsidRDefault="00EC4CFD">
      <w:pPr>
        <w:pStyle w:val="TOC4"/>
        <w:rPr>
          <w:color w:val="auto"/>
          <w:sz w:val="22"/>
        </w:rPr>
      </w:pPr>
      <w:hyperlink w:anchor="_Toc525026164" w:history="1">
        <w:r w:rsidR="00F97BB9" w:rsidRPr="00723B4A">
          <w:rPr>
            <w:rStyle w:val="Hyperlink"/>
          </w:rPr>
          <w:t>Disclosure of government advertising expenditure</w:t>
        </w:r>
      </w:hyperlink>
    </w:p>
    <w:p w:rsidR="00F97BB9" w:rsidRDefault="00EC4CFD">
      <w:pPr>
        <w:pStyle w:val="TOC4"/>
        <w:rPr>
          <w:color w:val="auto"/>
          <w:sz w:val="22"/>
        </w:rPr>
      </w:pPr>
      <w:hyperlink w:anchor="_Toc525026165" w:history="1">
        <w:r w:rsidR="00F97BB9" w:rsidRPr="00723B4A">
          <w:rPr>
            <w:rStyle w:val="Hyperlink"/>
          </w:rPr>
          <w:t>Consultancy expenditure</w:t>
        </w:r>
      </w:hyperlink>
    </w:p>
    <w:p w:rsidR="00F97BB9" w:rsidRDefault="00EC4CFD">
      <w:pPr>
        <w:pStyle w:val="TOC4"/>
        <w:rPr>
          <w:color w:val="auto"/>
          <w:sz w:val="22"/>
        </w:rPr>
      </w:pPr>
      <w:hyperlink w:anchor="_Toc525026166" w:history="1">
        <w:r w:rsidR="00F97BB9" w:rsidRPr="00723B4A">
          <w:rPr>
            <w:rStyle w:val="Hyperlink"/>
          </w:rPr>
          <w:t>Information and communication technology expenditure</w:t>
        </w:r>
      </w:hyperlink>
    </w:p>
    <w:p w:rsidR="00F97BB9" w:rsidRDefault="00EC4CFD">
      <w:pPr>
        <w:pStyle w:val="TOC4"/>
        <w:rPr>
          <w:color w:val="auto"/>
          <w:sz w:val="22"/>
        </w:rPr>
      </w:pPr>
      <w:hyperlink w:anchor="_Toc525026167" w:history="1">
        <w:r w:rsidR="00F97BB9" w:rsidRPr="00723B4A">
          <w:rPr>
            <w:rStyle w:val="Hyperlink"/>
          </w:rPr>
          <w:t>Disclosure of major contracts</w:t>
        </w:r>
      </w:hyperlink>
    </w:p>
    <w:p w:rsidR="00F97BB9" w:rsidRDefault="00EC4CFD">
      <w:pPr>
        <w:pStyle w:val="TOC4"/>
        <w:rPr>
          <w:color w:val="auto"/>
          <w:sz w:val="22"/>
        </w:rPr>
      </w:pPr>
      <w:hyperlink w:anchor="_Toc525026168" w:history="1">
        <w:r w:rsidR="00F97BB9" w:rsidRPr="00723B4A">
          <w:rPr>
            <w:rStyle w:val="Hyperlink"/>
          </w:rPr>
          <w:t>Freedom of Information</w:t>
        </w:r>
      </w:hyperlink>
    </w:p>
    <w:p w:rsidR="00F97BB9" w:rsidRDefault="00EC4CFD">
      <w:pPr>
        <w:pStyle w:val="TOC4"/>
        <w:rPr>
          <w:color w:val="auto"/>
          <w:sz w:val="22"/>
        </w:rPr>
      </w:pPr>
      <w:hyperlink w:anchor="_Toc525026169" w:history="1">
        <w:r w:rsidR="00F97BB9" w:rsidRPr="00723B4A">
          <w:rPr>
            <w:rStyle w:val="Hyperlink"/>
          </w:rPr>
          <w:t>Community Support Fund</w:t>
        </w:r>
      </w:hyperlink>
    </w:p>
    <w:p w:rsidR="00F97BB9" w:rsidRDefault="00EC4CFD">
      <w:pPr>
        <w:pStyle w:val="TOC4"/>
        <w:rPr>
          <w:color w:val="auto"/>
          <w:sz w:val="22"/>
        </w:rPr>
      </w:pPr>
      <w:hyperlink w:anchor="_Toc525026170" w:history="1">
        <w:r w:rsidR="00F97BB9" w:rsidRPr="00723B4A">
          <w:rPr>
            <w:rStyle w:val="Hyperlink"/>
          </w:rPr>
          <w:t xml:space="preserve">Compliance with the </w:t>
        </w:r>
        <w:r w:rsidR="00F97BB9" w:rsidRPr="00723B4A">
          <w:rPr>
            <w:rStyle w:val="Hyperlink"/>
            <w:i/>
          </w:rPr>
          <w:t>Building Act 1993</w:t>
        </w:r>
      </w:hyperlink>
    </w:p>
    <w:p w:rsidR="00F97BB9" w:rsidRDefault="00EC4CFD">
      <w:pPr>
        <w:pStyle w:val="TOC4"/>
        <w:rPr>
          <w:color w:val="auto"/>
          <w:sz w:val="22"/>
        </w:rPr>
      </w:pPr>
      <w:hyperlink w:anchor="_Toc525026171" w:history="1">
        <w:r w:rsidR="00F97BB9" w:rsidRPr="00723B4A">
          <w:rPr>
            <w:rStyle w:val="Hyperlink"/>
          </w:rPr>
          <w:t>National Competition Policy – Reporting against competitive neutrality principles</w:t>
        </w:r>
      </w:hyperlink>
    </w:p>
    <w:p w:rsidR="00F97BB9" w:rsidRDefault="00EC4CFD">
      <w:pPr>
        <w:pStyle w:val="TOC4"/>
        <w:rPr>
          <w:color w:val="auto"/>
          <w:sz w:val="22"/>
        </w:rPr>
      </w:pPr>
      <w:hyperlink w:anchor="_Toc525026172" w:history="1">
        <w:r w:rsidR="00F97BB9" w:rsidRPr="00723B4A">
          <w:rPr>
            <w:rStyle w:val="Hyperlink"/>
          </w:rPr>
          <w:t>Application of Protected Disclosure Act</w:t>
        </w:r>
      </w:hyperlink>
    </w:p>
    <w:p w:rsidR="00F97BB9" w:rsidRDefault="00EC4CFD">
      <w:pPr>
        <w:pStyle w:val="TOC4"/>
        <w:rPr>
          <w:color w:val="auto"/>
          <w:sz w:val="22"/>
        </w:rPr>
      </w:pPr>
      <w:hyperlink w:anchor="_Toc525026173" w:history="1">
        <w:r w:rsidR="00F97BB9" w:rsidRPr="00723B4A">
          <w:rPr>
            <w:rStyle w:val="Hyperlink"/>
          </w:rPr>
          <w:t>Information available on request</w:t>
        </w:r>
      </w:hyperlink>
    </w:p>
    <w:p w:rsidR="00F97BB9" w:rsidRDefault="00EC4CFD" w:rsidP="00BE5F15">
      <w:pPr>
        <w:pStyle w:val="TOC4"/>
        <w:ind w:right="1235"/>
        <w:rPr>
          <w:color w:val="auto"/>
          <w:sz w:val="22"/>
        </w:rPr>
      </w:pPr>
      <w:hyperlink w:anchor="_Toc525026174" w:history="1">
        <w:r w:rsidR="00F97BB9" w:rsidRPr="00723B4A">
          <w:rPr>
            <w:rStyle w:val="Hyperlink"/>
          </w:rPr>
          <w:t>Attestation for financial management compliance with Ministerial Standing Direction 5.1.4</w:t>
        </w:r>
      </w:hyperlink>
    </w:p>
    <w:p w:rsidR="00F97BB9" w:rsidRDefault="00EC4CFD">
      <w:pPr>
        <w:pStyle w:val="TOC4"/>
        <w:rPr>
          <w:color w:val="auto"/>
          <w:sz w:val="22"/>
        </w:rPr>
      </w:pPr>
      <w:hyperlink w:anchor="_Toc525026175" w:history="1">
        <w:r w:rsidR="00F97BB9" w:rsidRPr="00723B4A">
          <w:rPr>
            <w:rStyle w:val="Hyperlink"/>
          </w:rPr>
          <w:t>Compliance with DataVic Access Policy</w:t>
        </w:r>
      </w:hyperlink>
    </w:p>
    <w:p w:rsidR="00F97BB9" w:rsidRDefault="00EC4CFD">
      <w:pPr>
        <w:pStyle w:val="TOC2"/>
        <w:rPr>
          <w:rFonts w:eastAsiaTheme="minorEastAsia" w:cstheme="minorBidi"/>
          <w:color w:val="auto"/>
          <w:sz w:val="22"/>
          <w:szCs w:val="22"/>
        </w:rPr>
      </w:pPr>
      <w:hyperlink w:anchor="_Toc525026176" w:history="1">
        <w:r w:rsidR="00F97BB9" w:rsidRPr="00723B4A">
          <w:rPr>
            <w:rStyle w:val="Hyperlink"/>
          </w:rPr>
          <w:t>Appendix 5</w:t>
        </w:r>
        <w:r w:rsidR="00F97BB9">
          <w:rPr>
            <w:rFonts w:eastAsiaTheme="minorEastAsia" w:cstheme="minorBidi"/>
            <w:color w:val="auto"/>
            <w:sz w:val="22"/>
            <w:szCs w:val="22"/>
          </w:rPr>
          <w:tab/>
        </w:r>
        <w:r w:rsidR="00F97BB9" w:rsidRPr="00723B4A">
          <w:rPr>
            <w:rStyle w:val="Hyperlink"/>
          </w:rPr>
          <w:t>Disclosure index</w:t>
        </w:r>
        <w:r w:rsidR="00F97BB9">
          <w:rPr>
            <w:webHidden/>
          </w:rPr>
          <w:tab/>
        </w:r>
        <w:r w:rsidR="00F97BB9">
          <w:rPr>
            <w:webHidden/>
          </w:rPr>
          <w:fldChar w:fldCharType="begin"/>
        </w:r>
        <w:r w:rsidR="00F97BB9">
          <w:rPr>
            <w:webHidden/>
          </w:rPr>
          <w:instrText xml:space="preserve"> PAGEREF _Toc525026176 \h </w:instrText>
        </w:r>
        <w:r w:rsidR="00F97BB9">
          <w:rPr>
            <w:webHidden/>
          </w:rPr>
        </w:r>
        <w:r w:rsidR="00F97BB9">
          <w:rPr>
            <w:webHidden/>
          </w:rPr>
          <w:fldChar w:fldCharType="separate"/>
        </w:r>
        <w:r w:rsidR="00BE5F15">
          <w:rPr>
            <w:webHidden/>
          </w:rPr>
          <w:t>135</w:t>
        </w:r>
        <w:r w:rsidR="00F97BB9">
          <w:rPr>
            <w:webHidden/>
          </w:rPr>
          <w:fldChar w:fldCharType="end"/>
        </w:r>
      </w:hyperlink>
    </w:p>
    <w:p w:rsidR="003A27FC" w:rsidRPr="00687A1C" w:rsidRDefault="003A27FC" w:rsidP="003A27FC">
      <w:pPr>
        <w:rPr>
          <w:rFonts w:cstheme="minorHAnsi"/>
        </w:rPr>
      </w:pPr>
      <w:r w:rsidRPr="00687A1C">
        <w:rPr>
          <w:rFonts w:cstheme="minorHAnsi"/>
        </w:rPr>
        <w:fldChar w:fldCharType="end"/>
      </w:r>
    </w:p>
    <w:p w:rsidR="003A27FC" w:rsidRPr="00687A1C" w:rsidRDefault="00890F4E" w:rsidP="00676B62">
      <w:pPr>
        <w:pStyle w:val="Heading2"/>
        <w:keepNext w:val="0"/>
        <w:spacing w:before="900" w:line="240" w:lineRule="auto"/>
      </w:pPr>
      <w:bookmarkStart w:id="1" w:name="_Ref492631792"/>
      <w:r w:rsidRPr="00687A1C">
        <w:t>Responsible Body</w:t>
      </w:r>
      <w:r w:rsidR="009469FE" w:rsidRPr="00687A1C">
        <w:t>’</w:t>
      </w:r>
      <w:r w:rsidRPr="00687A1C">
        <w:t xml:space="preserve">s </w:t>
      </w:r>
      <w:r w:rsidR="003A27FC" w:rsidRPr="00687A1C">
        <w:t>declaration</w:t>
      </w:r>
      <w:bookmarkEnd w:id="1"/>
      <w:r w:rsidR="003A27FC" w:rsidRPr="00687A1C">
        <w:t xml:space="preserve"> </w:t>
      </w:r>
    </w:p>
    <w:p w:rsidR="003A27FC" w:rsidRDefault="003A27FC" w:rsidP="00A861DA">
      <w:r w:rsidRPr="00687A1C">
        <w:t xml:space="preserve">In accordance with the </w:t>
      </w:r>
      <w:r w:rsidRPr="00687A1C">
        <w:rPr>
          <w:i/>
        </w:rPr>
        <w:t>Financial Management Act 1994</w:t>
      </w:r>
      <w:r w:rsidRPr="00687A1C">
        <w:t xml:space="preserve">, I am </w:t>
      </w:r>
      <w:r w:rsidRPr="00687A1C">
        <w:br/>
        <w:t xml:space="preserve">pleased to present the Department of Treasury and Finance </w:t>
      </w:r>
      <w:r w:rsidR="00890F4E" w:rsidRPr="00687A1C">
        <w:br/>
        <w:t xml:space="preserve">Annual Report </w:t>
      </w:r>
      <w:r w:rsidRPr="00687A1C">
        <w:t>fo</w:t>
      </w:r>
      <w:r w:rsidR="006F069A" w:rsidRPr="00687A1C">
        <w:t>r the year</w:t>
      </w:r>
      <w:r w:rsidR="006F069A" w:rsidRPr="00687A1C">
        <w:rPr>
          <w:rFonts w:ascii="Calibri" w:hAnsi="Calibri" w:cs="Calibri"/>
        </w:rPr>
        <w:t xml:space="preserve"> </w:t>
      </w:r>
      <w:r w:rsidR="00890F4E" w:rsidRPr="00687A1C">
        <w:t>ending</w:t>
      </w:r>
      <w:r w:rsidRPr="00687A1C">
        <w:t xml:space="preserve"> </w:t>
      </w:r>
      <w:r w:rsidR="00467DBE" w:rsidRPr="00687A1C">
        <w:t>30</w:t>
      </w:r>
      <w:r w:rsidR="00467DBE" w:rsidRPr="00687A1C">
        <w:rPr>
          <w:rFonts w:ascii="Calibri" w:hAnsi="Calibri" w:cs="Calibri"/>
        </w:rPr>
        <w:t> </w:t>
      </w:r>
      <w:r w:rsidR="00467DBE" w:rsidRPr="00687A1C">
        <w:t>June</w:t>
      </w:r>
      <w:r w:rsidR="006F069A" w:rsidRPr="00687A1C">
        <w:rPr>
          <w:rFonts w:ascii="Calibri" w:hAnsi="Calibri" w:cs="Calibri"/>
        </w:rPr>
        <w:t> </w:t>
      </w:r>
      <w:r w:rsidR="00D57125" w:rsidRPr="00687A1C">
        <w:t>2018</w:t>
      </w:r>
      <w:r w:rsidRPr="00687A1C">
        <w:t xml:space="preserve">. </w:t>
      </w:r>
    </w:p>
    <w:p w:rsidR="00EC4CFD" w:rsidRDefault="00EC4CFD" w:rsidP="00EC4CFD">
      <w:pPr>
        <w:spacing w:after="0"/>
        <w:ind w:left="-187"/>
        <w:rPr>
          <w:rFonts w:cstheme="minorHAnsi"/>
          <w:noProof/>
        </w:rPr>
      </w:pPr>
    </w:p>
    <w:p w:rsidR="00EC4CFD" w:rsidRPr="00687A1C" w:rsidRDefault="00EC4CFD" w:rsidP="00EC4CFD">
      <w:pPr>
        <w:spacing w:after="0"/>
        <w:ind w:left="-187"/>
        <w:rPr>
          <w:rFonts w:cstheme="minorHAnsi"/>
        </w:rPr>
      </w:pPr>
      <w:r>
        <w:rPr>
          <w:rFonts w:cstheme="minorHAnsi"/>
          <w:noProof/>
        </w:rPr>
        <w:drawing>
          <wp:inline distT="0" distB="0" distL="0" distR="0" wp14:anchorId="1E8F7319" wp14:editId="003F3CC9">
            <wp:extent cx="1666875" cy="601345"/>
            <wp:effectExtent l="0" t="0" r="9525" b="8255"/>
            <wp:docPr id="21" name="Picture 21" descr="T:\Corpcom_CSS\COMMUNICATIONS\PROJECTS\DTF Annual Report\2014-15\Misc\d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PROJECTS\DTF Annual Report\2014-15\Misc\dm signature.jpg"/>
                    <pic:cNvPicPr>
                      <a:picLocks noChangeAspect="1" noChangeArrowheads="1"/>
                    </pic:cNvPicPr>
                  </pic:nvPicPr>
                  <pic:blipFill>
                    <a:blip r:embed="rId10" cstate="print">
                      <a:grayscl/>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601345"/>
                    </a:xfrm>
                    <a:prstGeom prst="rect">
                      <a:avLst/>
                    </a:prstGeom>
                    <a:noFill/>
                    <a:ln>
                      <a:noFill/>
                    </a:ln>
                  </pic:spPr>
                </pic:pic>
              </a:graphicData>
            </a:graphic>
          </wp:inline>
        </w:drawing>
      </w:r>
    </w:p>
    <w:p w:rsidR="00EC4CFD" w:rsidRPr="00687A1C" w:rsidRDefault="00EC4CFD" w:rsidP="00EC4CFD">
      <w:pPr>
        <w:spacing w:before="0"/>
        <w:rPr>
          <w:rFonts w:cstheme="minorHAnsi"/>
          <w:b/>
        </w:rPr>
      </w:pPr>
      <w:r w:rsidRPr="00687A1C">
        <w:rPr>
          <w:rFonts w:cstheme="minorHAnsi"/>
          <w:b/>
        </w:rPr>
        <w:t>David Martine</w:t>
      </w:r>
      <w:r w:rsidRPr="00687A1C">
        <w:rPr>
          <w:rFonts w:cstheme="minorHAnsi"/>
          <w:b/>
        </w:rPr>
        <w:br/>
        <w:t xml:space="preserve">Secretary </w:t>
      </w:r>
    </w:p>
    <w:p w:rsidR="003A27FC" w:rsidRPr="00687A1C" w:rsidRDefault="00812D00" w:rsidP="003A27FC">
      <w:r>
        <w:t>17 September 2018</w:t>
      </w:r>
    </w:p>
    <w:p w:rsidR="003A27FC" w:rsidRPr="00687A1C" w:rsidRDefault="003A27FC" w:rsidP="003A27FC"/>
    <w:p w:rsidR="003A27FC" w:rsidRPr="00687A1C" w:rsidRDefault="003A27FC" w:rsidP="003A27FC">
      <w:pPr>
        <w:rPr>
          <w:rFonts w:cstheme="minorHAnsi"/>
        </w:rPr>
        <w:sectPr w:rsidR="003A27FC" w:rsidRPr="00687A1C" w:rsidSect="00676B62">
          <w:headerReference w:type="default" r:id="rId12"/>
          <w:footerReference w:type="default" r:id="rId13"/>
          <w:pgSz w:w="11909" w:h="16834" w:code="9"/>
          <w:pgMar w:top="1728" w:right="1152" w:bottom="1152" w:left="1152" w:header="720" w:footer="288" w:gutter="0"/>
          <w:pgNumType w:fmt="lowerRoman" w:start="1"/>
          <w:cols w:space="720"/>
          <w:noEndnote/>
          <w:docGrid w:linePitch="272"/>
        </w:sectPr>
      </w:pPr>
    </w:p>
    <w:p w:rsidR="003A27FC" w:rsidRPr="00687A1C" w:rsidRDefault="003A27FC" w:rsidP="003A27FC">
      <w:pPr>
        <w:pStyle w:val="Heading1"/>
        <w:rPr>
          <w:rFonts w:asciiTheme="minorHAnsi" w:hAnsiTheme="minorHAnsi" w:cstheme="minorHAnsi"/>
        </w:rPr>
      </w:pPr>
      <w:bookmarkStart w:id="2" w:name="_Toc337034707"/>
      <w:bookmarkStart w:id="3" w:name="_Toc337034816"/>
      <w:bookmarkStart w:id="4" w:name="_Toc525026154"/>
      <w:r w:rsidRPr="00687A1C">
        <w:rPr>
          <w:rFonts w:asciiTheme="minorHAnsi" w:hAnsiTheme="minorHAnsi" w:cstheme="minorHAnsi"/>
        </w:rPr>
        <w:lastRenderedPageBreak/>
        <w:t>About DTF</w:t>
      </w:r>
      <w:bookmarkEnd w:id="2"/>
      <w:bookmarkEnd w:id="3"/>
      <w:bookmarkEnd w:id="4"/>
    </w:p>
    <w:p w:rsidR="003A27FC" w:rsidRPr="00687A1C" w:rsidRDefault="003A27FC" w:rsidP="003A27FC">
      <w:pPr>
        <w:rPr>
          <w:rFonts w:cstheme="minorHAnsi"/>
        </w:rPr>
        <w:sectPr w:rsidR="003A27FC" w:rsidRPr="00687A1C" w:rsidSect="00D16853">
          <w:footerReference w:type="even" r:id="rId14"/>
          <w:footerReference w:type="default" r:id="rId15"/>
          <w:pgSz w:w="11909" w:h="16834" w:code="9"/>
          <w:pgMar w:top="1728" w:right="1152" w:bottom="1152" w:left="1152" w:header="720" w:footer="288" w:gutter="0"/>
          <w:pgNumType w:start="1"/>
          <w:cols w:space="720"/>
          <w:noEndnote/>
          <w:docGrid w:linePitch="272"/>
        </w:sectPr>
      </w:pPr>
    </w:p>
    <w:p w:rsidR="00095D3E" w:rsidRPr="00687A1C" w:rsidRDefault="00095D3E" w:rsidP="00095D3E">
      <w:pPr>
        <w:pStyle w:val="Heading2"/>
      </w:pPr>
      <w:bookmarkStart w:id="5" w:name="_Ref489435818"/>
      <w:r w:rsidRPr="00687A1C">
        <w:t>Our vision</w:t>
      </w:r>
    </w:p>
    <w:p w:rsidR="00095D3E" w:rsidRPr="00687A1C" w:rsidRDefault="00095D3E" w:rsidP="00095D3E">
      <w:r w:rsidRPr="00687A1C">
        <w:t>Excellence in fin</w:t>
      </w:r>
      <w:r w:rsidR="002D16FD" w:rsidRPr="00687A1C">
        <w:t>ancial and economic management –</w:t>
      </w:r>
      <w:r w:rsidRPr="00687A1C">
        <w:t xml:space="preserve"> for a better Victoria.</w:t>
      </w:r>
    </w:p>
    <w:p w:rsidR="003A27FC" w:rsidRPr="00687A1C" w:rsidRDefault="003A27FC" w:rsidP="00095D3E">
      <w:pPr>
        <w:pStyle w:val="Heading2"/>
      </w:pPr>
      <w:r w:rsidRPr="00687A1C">
        <w:t>Our purpose</w:t>
      </w:r>
      <w:bookmarkEnd w:id="5"/>
    </w:p>
    <w:p w:rsidR="007064E0" w:rsidRPr="00687A1C" w:rsidRDefault="007064E0" w:rsidP="00F93A60">
      <w:pPr>
        <w:pStyle w:val="Heading2"/>
        <w:rPr>
          <w:rFonts w:cs="Times New Roman"/>
          <w:b w:val="0"/>
          <w:color w:val="auto"/>
          <w:sz w:val="17"/>
          <w:szCs w:val="24"/>
        </w:rPr>
      </w:pPr>
      <w:r w:rsidRPr="00687A1C">
        <w:rPr>
          <w:rFonts w:cs="Times New Roman"/>
          <w:b w:val="0"/>
          <w:color w:val="auto"/>
          <w:sz w:val="17"/>
          <w:szCs w:val="24"/>
        </w:rPr>
        <w:t>We strive for excellence in financial and economic management to improve the lives of all Victorians. We value our people and motivate them to lead, influence, collaborate and innovate.</w:t>
      </w:r>
    </w:p>
    <w:p w:rsidR="003A27FC" w:rsidRPr="00687A1C" w:rsidRDefault="003A27FC" w:rsidP="00F93A60">
      <w:pPr>
        <w:pStyle w:val="Heading2"/>
      </w:pPr>
      <w:r w:rsidRPr="00687A1C">
        <w:t>DTF</w:t>
      </w:r>
      <w:r w:rsidR="009469FE" w:rsidRPr="00687A1C">
        <w:t>’</w:t>
      </w:r>
      <w:r w:rsidRPr="00687A1C">
        <w:t>s role and objectives</w:t>
      </w:r>
    </w:p>
    <w:p w:rsidR="007064E0" w:rsidRPr="00687A1C" w:rsidRDefault="007064E0" w:rsidP="007064E0">
      <w:pPr>
        <w:rPr>
          <w:rFonts w:cs="Garamond"/>
          <w:color w:val="000000"/>
        </w:rPr>
      </w:pPr>
      <w:r w:rsidRPr="00687A1C">
        <w:rPr>
          <w:rFonts w:cs="Garamond"/>
          <w:color w:val="000000"/>
        </w:rPr>
        <w:t xml:space="preserve">The Department </w:t>
      </w:r>
      <w:r w:rsidR="001F5A76" w:rsidRPr="00687A1C">
        <w:rPr>
          <w:rFonts w:cs="Garamond"/>
          <w:color w:val="000000"/>
        </w:rPr>
        <w:t xml:space="preserve">of Treasury and Finance (DTF) </w:t>
      </w:r>
      <w:r w:rsidRPr="00687A1C">
        <w:rPr>
          <w:rFonts w:cs="Garamond"/>
          <w:color w:val="000000"/>
        </w:rPr>
        <w:t>provides leadership in economic, financial and resource management to help the Victorian Government deliver its policies, and supports the ministerial portfolios of the Treasurer and the Minister for Finance.</w:t>
      </w:r>
    </w:p>
    <w:p w:rsidR="007064E0" w:rsidRPr="00687A1C" w:rsidRDefault="007064E0" w:rsidP="007064E0">
      <w:pPr>
        <w:rPr>
          <w:rFonts w:cs="Garamond"/>
          <w:color w:val="000000"/>
        </w:rPr>
      </w:pPr>
      <w:r w:rsidRPr="00687A1C">
        <w:rPr>
          <w:rFonts w:cs="Garamond"/>
          <w:color w:val="000000"/>
        </w:rPr>
        <w:t>This includes:</w:t>
      </w:r>
    </w:p>
    <w:p w:rsidR="007064E0" w:rsidRPr="00687A1C" w:rsidRDefault="007064E0" w:rsidP="007064E0">
      <w:pPr>
        <w:pStyle w:val="Bullet"/>
      </w:pPr>
      <w:r w:rsidRPr="00687A1C">
        <w:t>supporting the Government in responsible budget and financial management;</w:t>
      </w:r>
    </w:p>
    <w:p w:rsidR="007064E0" w:rsidRPr="00687A1C" w:rsidRDefault="007064E0" w:rsidP="007064E0">
      <w:pPr>
        <w:pStyle w:val="Bullet"/>
      </w:pPr>
      <w:r w:rsidRPr="00687A1C">
        <w:t>giving innovative and timely policy advice, and influencing government decisions on a range of economic, social and environmental issues;</w:t>
      </w:r>
    </w:p>
    <w:p w:rsidR="007064E0" w:rsidRPr="00687A1C" w:rsidRDefault="007064E0" w:rsidP="007064E0">
      <w:pPr>
        <w:pStyle w:val="Bullet"/>
      </w:pPr>
      <w:r w:rsidRPr="00687A1C">
        <w:t>providing strategic leadership across the public sector on economic and financial sector reform;</w:t>
      </w:r>
    </w:p>
    <w:p w:rsidR="007064E0" w:rsidRPr="00687A1C" w:rsidRDefault="007064E0" w:rsidP="007064E0">
      <w:pPr>
        <w:pStyle w:val="Bullet"/>
      </w:pPr>
      <w:r w:rsidRPr="00687A1C">
        <w:t>assisting the Government with implementing major infrastructure projects and frameworks; and</w:t>
      </w:r>
    </w:p>
    <w:p w:rsidR="007064E0" w:rsidRPr="00687A1C" w:rsidRDefault="007064E0" w:rsidP="007064E0">
      <w:pPr>
        <w:pStyle w:val="Bullet"/>
      </w:pPr>
      <w:r w:rsidRPr="00687A1C">
        <w:t>contributing to decisions made by the Government on major contractual arrangements across the State.</w:t>
      </w:r>
    </w:p>
    <w:p w:rsidR="000730D5" w:rsidRPr="00687A1C" w:rsidRDefault="000730D5" w:rsidP="000730D5">
      <w:r w:rsidRPr="00687A1C">
        <w:br w:type="column"/>
      </w:r>
      <w:r w:rsidRPr="00687A1C">
        <w:t>DTF</w:t>
      </w:r>
      <w:r w:rsidR="009469FE" w:rsidRPr="00687A1C">
        <w:t>’</w:t>
      </w:r>
      <w:r w:rsidRPr="00687A1C">
        <w:t>s objectives are to:</w:t>
      </w:r>
    </w:p>
    <w:p w:rsidR="007064E0" w:rsidRPr="00687A1C" w:rsidRDefault="007064E0" w:rsidP="007064E0">
      <w:pPr>
        <w:pStyle w:val="Bullet"/>
      </w:pPr>
      <w:r w:rsidRPr="00687A1C">
        <w:t>optimise Victoria</w:t>
      </w:r>
      <w:r w:rsidR="009469FE" w:rsidRPr="00687A1C">
        <w:t>’</w:t>
      </w:r>
      <w:r w:rsidRPr="00687A1C">
        <w:t>s fiscal resources;</w:t>
      </w:r>
    </w:p>
    <w:p w:rsidR="007064E0" w:rsidRPr="00687A1C" w:rsidRDefault="007064E0" w:rsidP="007064E0">
      <w:pPr>
        <w:pStyle w:val="Bullet"/>
      </w:pPr>
      <w:r w:rsidRPr="00687A1C">
        <w:t>strengthen Victoria</w:t>
      </w:r>
      <w:r w:rsidR="009469FE" w:rsidRPr="00687A1C">
        <w:t>’</w:t>
      </w:r>
      <w:r w:rsidRPr="00687A1C">
        <w:t>s economic performance;</w:t>
      </w:r>
    </w:p>
    <w:p w:rsidR="007064E0" w:rsidRPr="00687A1C" w:rsidRDefault="007064E0" w:rsidP="007064E0">
      <w:pPr>
        <w:pStyle w:val="Bullet"/>
      </w:pPr>
      <w:r w:rsidRPr="00687A1C">
        <w:t>improve how Government manages its balance sheet, commercial activities and public sector infrastructure;</w:t>
      </w:r>
    </w:p>
    <w:p w:rsidR="007064E0" w:rsidRPr="00687A1C" w:rsidRDefault="007064E0" w:rsidP="007064E0">
      <w:pPr>
        <w:pStyle w:val="Bullet"/>
      </w:pPr>
      <w:r w:rsidRPr="00687A1C">
        <w:t>deliver efficient whole of government common services to the Victorian public sector; and</w:t>
      </w:r>
    </w:p>
    <w:p w:rsidR="007064E0" w:rsidRPr="00687A1C" w:rsidRDefault="007064E0" w:rsidP="007064E0">
      <w:pPr>
        <w:pStyle w:val="Bullet"/>
      </w:pPr>
      <w:r w:rsidRPr="00687A1C">
        <w:t>ensure DTF and its people have the capability to serve Government.</w:t>
      </w:r>
    </w:p>
    <w:p w:rsidR="007064E0" w:rsidRPr="00687A1C" w:rsidRDefault="007064E0" w:rsidP="007064E0">
      <w:r w:rsidRPr="00687A1C">
        <w:t>We proactively look to improve our services, and the way in which they are delivered to ensure we are:</w:t>
      </w:r>
    </w:p>
    <w:p w:rsidR="007064E0" w:rsidRPr="00687A1C" w:rsidRDefault="007064E0" w:rsidP="007064E0">
      <w:pPr>
        <w:pStyle w:val="Bullet"/>
      </w:pPr>
      <w:r w:rsidRPr="00687A1C">
        <w:t>fiscally responsible;</w:t>
      </w:r>
    </w:p>
    <w:p w:rsidR="007064E0" w:rsidRPr="00687A1C" w:rsidRDefault="007064E0" w:rsidP="007064E0">
      <w:pPr>
        <w:pStyle w:val="Bullet"/>
      </w:pPr>
      <w:r w:rsidRPr="00687A1C">
        <w:t>market focused; and</w:t>
      </w:r>
    </w:p>
    <w:p w:rsidR="007064E0" w:rsidRPr="00687A1C" w:rsidRDefault="007064E0" w:rsidP="007064E0">
      <w:pPr>
        <w:pStyle w:val="Bullet"/>
      </w:pPr>
      <w:r w:rsidRPr="00687A1C">
        <w:t>reform oriented.</w:t>
      </w:r>
    </w:p>
    <w:p w:rsidR="008F632E" w:rsidRPr="00687A1C" w:rsidRDefault="008F632E" w:rsidP="003A27FC">
      <w:pPr>
        <w:spacing w:before="0" w:after="0"/>
      </w:pPr>
    </w:p>
    <w:p w:rsidR="00D57125" w:rsidRPr="00687A1C" w:rsidRDefault="00D57125">
      <w:pPr>
        <w:spacing w:before="0" w:after="0"/>
        <w:rPr>
          <w:rFonts w:cstheme="minorHAnsi"/>
          <w:b/>
          <w:color w:val="404040"/>
          <w:sz w:val="24"/>
          <w:szCs w:val="28"/>
        </w:rPr>
      </w:pPr>
      <w:bookmarkStart w:id="6" w:name="_Ref489435740"/>
      <w:r w:rsidRPr="00687A1C">
        <w:br w:type="page"/>
      </w:r>
    </w:p>
    <w:p w:rsidR="003A27FC" w:rsidRPr="00687A1C" w:rsidRDefault="003A27FC" w:rsidP="00F93A60">
      <w:pPr>
        <w:pStyle w:val="Heading2"/>
      </w:pPr>
      <w:r w:rsidRPr="00687A1C">
        <w:lastRenderedPageBreak/>
        <w:t>Our Ministers</w:t>
      </w:r>
      <w:bookmarkEnd w:id="6"/>
    </w:p>
    <w:p w:rsidR="003A27FC" w:rsidRPr="00687A1C" w:rsidRDefault="003A27FC" w:rsidP="00F93A60">
      <w:pPr>
        <w:pStyle w:val="Heading3"/>
      </w:pPr>
      <w:r w:rsidRPr="00687A1C">
        <w:t>Treasurer – Tim Pallas MP</w:t>
      </w:r>
    </w:p>
    <w:p w:rsidR="00E43EC6" w:rsidRPr="00687A1C" w:rsidRDefault="00E43EC6" w:rsidP="00E43EC6">
      <w:r w:rsidRPr="00687A1C">
        <w:t>Tim Pallas MP commenced as Treasurer of Victoria in December 2014.</w:t>
      </w:r>
    </w:p>
    <w:p w:rsidR="00E43EC6" w:rsidRPr="00687A1C" w:rsidRDefault="00E43EC6" w:rsidP="00E43EC6">
      <w:r w:rsidRPr="00687A1C">
        <w:t>The Treasurer is the minister with oversight of government revenue and expenditure, including:</w:t>
      </w:r>
    </w:p>
    <w:p w:rsidR="00E43EC6" w:rsidRPr="00687A1C" w:rsidRDefault="00E43EC6" w:rsidP="00E43EC6">
      <w:pPr>
        <w:pStyle w:val="Bullet"/>
      </w:pPr>
      <w:r w:rsidRPr="00687A1C">
        <w:t>preparing and delivering the annual state budget;</w:t>
      </w:r>
    </w:p>
    <w:p w:rsidR="00E43EC6" w:rsidRPr="00687A1C" w:rsidRDefault="00E43EC6" w:rsidP="00E43EC6">
      <w:pPr>
        <w:pStyle w:val="Bullet"/>
      </w:pPr>
      <w:r w:rsidRPr="00687A1C">
        <w:t>promoting economic growth across the State of Victoria;</w:t>
      </w:r>
    </w:p>
    <w:p w:rsidR="00E43EC6" w:rsidRPr="00687A1C" w:rsidRDefault="00E43EC6" w:rsidP="00E43EC6">
      <w:pPr>
        <w:pStyle w:val="Bullet"/>
      </w:pPr>
      <w:r w:rsidRPr="00687A1C">
        <w:t>promoting and encouraging investment opportunities in Victoria from interstate and abroad;</w:t>
      </w:r>
    </w:p>
    <w:p w:rsidR="00E43EC6" w:rsidRPr="00687A1C" w:rsidRDefault="00E43EC6" w:rsidP="00E43EC6">
      <w:pPr>
        <w:pStyle w:val="Bullet"/>
      </w:pPr>
      <w:r w:rsidRPr="00687A1C">
        <w:t>developing the fiscal objectives and strategy for the State of Victoria;</w:t>
      </w:r>
    </w:p>
    <w:p w:rsidR="00E43EC6" w:rsidRPr="00687A1C" w:rsidRDefault="00E43EC6" w:rsidP="00E43EC6">
      <w:pPr>
        <w:pStyle w:val="Bullet"/>
      </w:pPr>
      <w:r w:rsidRPr="00687A1C">
        <w:t>overseeing the economic policy and economic strategy of the Government;</w:t>
      </w:r>
    </w:p>
    <w:p w:rsidR="00E43EC6" w:rsidRPr="00687A1C" w:rsidRDefault="00E43EC6" w:rsidP="00E43EC6">
      <w:pPr>
        <w:pStyle w:val="Bullet"/>
      </w:pPr>
      <w:r w:rsidRPr="00687A1C">
        <w:t>driving wages policy, which operates in conjunction with the industrial relations policies as developed and administered by the Industrial Relations Minister;</w:t>
      </w:r>
    </w:p>
    <w:p w:rsidR="00E43EC6" w:rsidRPr="00687A1C" w:rsidRDefault="00E43EC6" w:rsidP="00E43EC6">
      <w:pPr>
        <w:pStyle w:val="Bullet"/>
      </w:pPr>
      <w:r w:rsidRPr="00687A1C">
        <w:t>overseeing the planning and delivery of major infrastructure projects undertaken across government;</w:t>
      </w:r>
    </w:p>
    <w:p w:rsidR="00E43EC6" w:rsidRPr="00687A1C" w:rsidRDefault="00E43EC6" w:rsidP="00E43EC6">
      <w:pPr>
        <w:pStyle w:val="Bullet"/>
      </w:pPr>
      <w:r w:rsidRPr="00687A1C">
        <w:t>administering the Market</w:t>
      </w:r>
      <w:r w:rsidR="007D2DFC" w:rsidRPr="00687A1C">
        <w:noBreakHyphen/>
      </w:r>
      <w:r w:rsidRPr="00687A1C">
        <w:t>led Proposals Guideline, which provides the State with the means to access new and innovative ideas from the private sector;</w:t>
      </w:r>
    </w:p>
    <w:p w:rsidR="00E43EC6" w:rsidRPr="00687A1C" w:rsidRDefault="00E43EC6" w:rsidP="00E43EC6">
      <w:pPr>
        <w:pStyle w:val="Bullet"/>
      </w:pPr>
      <w:r w:rsidRPr="00687A1C">
        <w:t>revenue policy and collection for the State of Victoria, including stamp duty, payroll tax and land tax;</w:t>
      </w:r>
    </w:p>
    <w:p w:rsidR="00E43EC6" w:rsidRPr="00687A1C" w:rsidRDefault="00E43EC6" w:rsidP="00E43EC6">
      <w:pPr>
        <w:pStyle w:val="Bullet"/>
      </w:pPr>
      <w:r w:rsidRPr="00687A1C">
        <w:t>borrowing, investment and financial arrangements to hedge, protect and manage the State</w:t>
      </w:r>
      <w:r w:rsidR="009469FE" w:rsidRPr="00687A1C">
        <w:t>’</w:t>
      </w:r>
      <w:r w:rsidRPr="00687A1C">
        <w:t>s financial interests; and</w:t>
      </w:r>
    </w:p>
    <w:p w:rsidR="00A72713" w:rsidRPr="00687A1C" w:rsidRDefault="00E43EC6" w:rsidP="00A72713">
      <w:pPr>
        <w:pStyle w:val="Bullet"/>
      </w:pPr>
      <w:r w:rsidRPr="00687A1C">
        <w:t xml:space="preserve">providing investment and fund management services to the State and its statutory authorities. </w:t>
      </w:r>
    </w:p>
    <w:p w:rsidR="00A055DA" w:rsidRPr="00687A1C" w:rsidRDefault="00A055DA" w:rsidP="001600D3">
      <w:r w:rsidRPr="00687A1C">
        <w:t>The Treasurer is also Minister for Resources.</w:t>
      </w:r>
    </w:p>
    <w:p w:rsidR="003A27FC" w:rsidRPr="00687A1C" w:rsidRDefault="003A27FC" w:rsidP="00A72713">
      <w:pPr>
        <w:pStyle w:val="Heading3"/>
      </w:pPr>
      <w:r w:rsidRPr="00687A1C">
        <w:br w:type="column"/>
      </w:r>
      <w:r w:rsidRPr="00687A1C">
        <w:t>Minister for Finance – Robin Scott MP</w:t>
      </w:r>
    </w:p>
    <w:p w:rsidR="00E43EC6" w:rsidRPr="00687A1C" w:rsidRDefault="00E43EC6" w:rsidP="00E43EC6">
      <w:r w:rsidRPr="00687A1C">
        <w:t>Robin Scott MP commenced as Minister for Finance in December 2014.</w:t>
      </w:r>
    </w:p>
    <w:p w:rsidR="00E43EC6" w:rsidRPr="00687A1C" w:rsidRDefault="00E43EC6" w:rsidP="00E43EC6">
      <w:r w:rsidRPr="00687A1C">
        <w:t>The Minister</w:t>
      </w:r>
      <w:r w:rsidR="009469FE" w:rsidRPr="00687A1C">
        <w:t>’</w:t>
      </w:r>
      <w:r w:rsidRPr="00687A1C">
        <w:t>s primary responsibilities are:</w:t>
      </w:r>
    </w:p>
    <w:p w:rsidR="00E43EC6" w:rsidRPr="00687A1C" w:rsidRDefault="00E43EC6" w:rsidP="00E43EC6">
      <w:pPr>
        <w:pStyle w:val="Bullet"/>
      </w:pPr>
      <w:r w:rsidRPr="00687A1C">
        <w:t>WorkSafe Victoria, the statutory body that manages the insurance scheme for workplace accident compensation and rehabilitation, and occupational health and safety;</w:t>
      </w:r>
    </w:p>
    <w:p w:rsidR="00E43EC6" w:rsidRPr="00687A1C" w:rsidRDefault="00E43EC6" w:rsidP="00E43EC6">
      <w:pPr>
        <w:pStyle w:val="Bullet"/>
      </w:pPr>
      <w:r w:rsidRPr="00687A1C">
        <w:t>the Accident Compensation Conciliation Service</w:t>
      </w:r>
      <w:r w:rsidR="00F702F2" w:rsidRPr="00687A1C">
        <w:t xml:space="preserve"> and Medical Panels</w:t>
      </w:r>
      <w:r w:rsidRPr="00687A1C">
        <w:t>;</w:t>
      </w:r>
    </w:p>
    <w:p w:rsidR="00EE0041" w:rsidRPr="00687A1C" w:rsidRDefault="00EE0041" w:rsidP="00EE0041">
      <w:pPr>
        <w:pStyle w:val="Bullet"/>
      </w:pPr>
      <w:r w:rsidRPr="00687A1C">
        <w:t>overseeing the Victorian Asbestos Eradication Agency;</w:t>
      </w:r>
    </w:p>
    <w:p w:rsidR="00E43EC6" w:rsidRPr="00687A1C" w:rsidRDefault="00E43EC6" w:rsidP="00E43EC6">
      <w:pPr>
        <w:pStyle w:val="Bullet"/>
      </w:pPr>
      <w:r w:rsidRPr="00687A1C">
        <w:t>the insurance operations of the Transport Accident Commission, the statutory body that manages the no fault insurance scheme for transport accident compensation and rehabilitation;</w:t>
      </w:r>
    </w:p>
    <w:p w:rsidR="00E43EC6" w:rsidRPr="00687A1C" w:rsidRDefault="00E43EC6" w:rsidP="00E43EC6">
      <w:pPr>
        <w:pStyle w:val="Bullet"/>
      </w:pPr>
      <w:r w:rsidRPr="00687A1C">
        <w:t>the State</w:t>
      </w:r>
      <w:r w:rsidR="009469FE" w:rsidRPr="00687A1C">
        <w:t>’</w:t>
      </w:r>
      <w:r w:rsidRPr="00687A1C">
        <w:t>s financial reporting and accountability framework;</w:t>
      </w:r>
    </w:p>
    <w:p w:rsidR="00E43EC6" w:rsidRPr="00687A1C" w:rsidRDefault="00E43EC6" w:rsidP="00E43EC6">
      <w:pPr>
        <w:pStyle w:val="Bullet"/>
      </w:pPr>
      <w:r w:rsidRPr="00687A1C">
        <w:t xml:space="preserve">whole of Victorian </w:t>
      </w:r>
      <w:r w:rsidR="007D2DFC" w:rsidRPr="00687A1C">
        <w:t xml:space="preserve">government </w:t>
      </w:r>
      <w:r w:rsidRPr="00687A1C">
        <w:t>financial management and risk management frameworks;</w:t>
      </w:r>
    </w:p>
    <w:p w:rsidR="00E43EC6" w:rsidRPr="00687A1C" w:rsidRDefault="00E43EC6" w:rsidP="00E43EC6">
      <w:pPr>
        <w:pStyle w:val="Bullet"/>
      </w:pPr>
      <w:r w:rsidRPr="00687A1C">
        <w:t xml:space="preserve">whole of Victorian </w:t>
      </w:r>
      <w:r w:rsidR="007D2DFC" w:rsidRPr="00687A1C">
        <w:t xml:space="preserve">government </w:t>
      </w:r>
      <w:r w:rsidRPr="00687A1C">
        <w:t>purchasing and procurement arrangements including oversight of the Victorian Government Purchasing Board;</w:t>
      </w:r>
    </w:p>
    <w:p w:rsidR="00E43EC6" w:rsidRPr="00687A1C" w:rsidRDefault="00E43EC6" w:rsidP="00E43EC6">
      <w:pPr>
        <w:pStyle w:val="Bullet"/>
      </w:pPr>
      <w:r w:rsidRPr="00687A1C">
        <w:t>overseeing the insurance policy for the State (the Victorian Managed Insurance Authority);</w:t>
      </w:r>
    </w:p>
    <w:p w:rsidR="00E43EC6" w:rsidRPr="00687A1C" w:rsidRDefault="00E43EC6" w:rsidP="00E43EC6">
      <w:pPr>
        <w:pStyle w:val="Bullet"/>
      </w:pPr>
      <w:r w:rsidRPr="00687A1C">
        <w:t>the Victorian Government</w:t>
      </w:r>
      <w:r w:rsidR="009469FE" w:rsidRPr="00687A1C">
        <w:t>’</w:t>
      </w:r>
      <w:r w:rsidRPr="00687A1C">
        <w:t>s data access and intellectual property policies;</w:t>
      </w:r>
    </w:p>
    <w:p w:rsidR="00E43EC6" w:rsidRPr="00687A1C" w:rsidRDefault="00E43EC6" w:rsidP="00E43EC6">
      <w:pPr>
        <w:pStyle w:val="Bullet"/>
      </w:pPr>
      <w:r w:rsidRPr="00687A1C">
        <w:t xml:space="preserve">overseeing superannuation policy for State </w:t>
      </w:r>
      <w:r w:rsidR="00EE0041" w:rsidRPr="00687A1C">
        <w:t xml:space="preserve">schemes, including </w:t>
      </w:r>
      <w:r w:rsidRPr="00687A1C">
        <w:t>oversight of the Emergency Services Superannuation Scheme;</w:t>
      </w:r>
    </w:p>
    <w:p w:rsidR="00E43EC6" w:rsidRPr="00687A1C" w:rsidRDefault="00E43EC6" w:rsidP="00E43EC6">
      <w:pPr>
        <w:pStyle w:val="Bullet"/>
      </w:pPr>
      <w:r w:rsidRPr="00687A1C">
        <w:t xml:space="preserve">the Victorian </w:t>
      </w:r>
      <w:r w:rsidR="007D2DFC" w:rsidRPr="00687A1C">
        <w:t xml:space="preserve">Government’s </w:t>
      </w:r>
      <w:r w:rsidRPr="00687A1C">
        <w:t>motor vehicle fleet;</w:t>
      </w:r>
    </w:p>
    <w:p w:rsidR="00E43EC6" w:rsidRPr="00687A1C" w:rsidRDefault="00E43EC6" w:rsidP="00E43EC6">
      <w:pPr>
        <w:pStyle w:val="Bullet"/>
      </w:pPr>
      <w:r w:rsidRPr="00687A1C">
        <w:t xml:space="preserve">whole of Victorian </w:t>
      </w:r>
      <w:r w:rsidR="007D2DFC" w:rsidRPr="00687A1C">
        <w:t xml:space="preserve">government </w:t>
      </w:r>
      <w:r w:rsidRPr="00687A1C">
        <w:t>landholding policy and coordination of government land sales;</w:t>
      </w:r>
    </w:p>
    <w:p w:rsidR="00E43EC6" w:rsidRPr="00687A1C" w:rsidRDefault="00E43EC6" w:rsidP="00E43EC6">
      <w:pPr>
        <w:pStyle w:val="Bullet"/>
      </w:pPr>
      <w:r w:rsidRPr="00687A1C">
        <w:t>whole of Victorian Government accommodation planning and policies through the Shared Service Provider;</w:t>
      </w:r>
    </w:p>
    <w:p w:rsidR="00E43EC6" w:rsidRPr="00687A1C" w:rsidRDefault="00E43EC6" w:rsidP="00E43EC6">
      <w:pPr>
        <w:pStyle w:val="Bullet"/>
      </w:pPr>
      <w:r w:rsidRPr="00687A1C">
        <w:t>the Essential Services Commission, the independent economic regulator of the State</w:t>
      </w:r>
      <w:r w:rsidR="009469FE" w:rsidRPr="00687A1C">
        <w:t>’</w:t>
      </w:r>
      <w:r w:rsidRPr="00687A1C">
        <w:t xml:space="preserve">s essential services; </w:t>
      </w:r>
      <w:r w:rsidR="00EE0041" w:rsidRPr="00687A1C">
        <w:t>and</w:t>
      </w:r>
    </w:p>
    <w:p w:rsidR="00E43EC6" w:rsidRPr="00687A1C" w:rsidRDefault="00E43EC6" w:rsidP="00E43EC6">
      <w:pPr>
        <w:pStyle w:val="Bullet"/>
      </w:pPr>
      <w:r w:rsidRPr="00687A1C">
        <w:t xml:space="preserve">the Registrar of </w:t>
      </w:r>
      <w:r w:rsidR="007F53E0" w:rsidRPr="00687A1C">
        <w:t>Housing Agencies</w:t>
      </w:r>
      <w:r w:rsidRPr="00687A1C">
        <w:t>, who regulates Victoria</w:t>
      </w:r>
      <w:r w:rsidR="009469FE" w:rsidRPr="00687A1C">
        <w:t>’</w:t>
      </w:r>
      <w:r w:rsidRPr="00687A1C">
        <w:t>s registered community hous</w:t>
      </w:r>
      <w:r w:rsidR="00EE0041" w:rsidRPr="00687A1C">
        <w:t>ing agencies.</w:t>
      </w:r>
    </w:p>
    <w:p w:rsidR="00134BD5" w:rsidRPr="00687A1C" w:rsidRDefault="00E43EC6" w:rsidP="001600D3">
      <w:r w:rsidRPr="00687A1C">
        <w:t>Minister Scott is also Minister for Multicultural Affairs.</w:t>
      </w:r>
    </w:p>
    <w:p w:rsidR="003A27FC" w:rsidRPr="00687A1C" w:rsidRDefault="003A27FC" w:rsidP="003A27FC"/>
    <w:p w:rsidR="003A27FC" w:rsidRPr="00687A1C" w:rsidRDefault="003A27FC" w:rsidP="003A27FC">
      <w:pPr>
        <w:sectPr w:rsidR="003A27FC" w:rsidRPr="00687A1C" w:rsidSect="00D16853">
          <w:footerReference w:type="even" r:id="rId16"/>
          <w:footerReference w:type="default" r:id="rId17"/>
          <w:type w:val="continuous"/>
          <w:pgSz w:w="11909" w:h="16834" w:code="9"/>
          <w:pgMar w:top="1728" w:right="1152" w:bottom="1152" w:left="1152" w:header="720" w:footer="288" w:gutter="0"/>
          <w:cols w:num="2" w:space="720"/>
          <w:noEndnote/>
        </w:sectPr>
      </w:pPr>
    </w:p>
    <w:p w:rsidR="003A27FC" w:rsidRPr="00687A1C" w:rsidRDefault="003A27FC" w:rsidP="003A27FC">
      <w:pPr>
        <w:pStyle w:val="Heading1a"/>
        <w:rPr>
          <w:rFonts w:asciiTheme="minorHAnsi" w:hAnsiTheme="minorHAnsi" w:cstheme="minorHAnsi"/>
        </w:rPr>
      </w:pPr>
      <w:r w:rsidRPr="00687A1C">
        <w:rPr>
          <w:rFonts w:asciiTheme="minorHAnsi" w:hAnsiTheme="minorHAnsi" w:cstheme="minorHAnsi"/>
        </w:rPr>
        <w:lastRenderedPageBreak/>
        <w:t>Senior Executive Group</w:t>
      </w:r>
    </w:p>
    <w:p w:rsidR="003A27FC" w:rsidRPr="00687A1C" w:rsidRDefault="00AD0AD8" w:rsidP="003A27FC">
      <w:r w:rsidRPr="00687A1C">
        <w:t>DTF is managed by the Senior Executive Group (SEG), which comprises the Secretary and Deputy Secretaries. Collectively, SEG has significant public and private sector management experience in the areas of economics, finance, people management and technology.</w:t>
      </w:r>
    </w:p>
    <w:p w:rsidR="003A27FC" w:rsidRPr="00687A1C" w:rsidRDefault="003A27FC" w:rsidP="003A27FC">
      <w:pPr>
        <w:sectPr w:rsidR="003A27FC" w:rsidRPr="00687A1C" w:rsidSect="00D16853">
          <w:pgSz w:w="11909" w:h="16834" w:code="9"/>
          <w:pgMar w:top="1728" w:right="1152" w:bottom="1152" w:left="1152" w:header="720" w:footer="288" w:gutter="0"/>
          <w:cols w:space="720"/>
          <w:noEndnote/>
        </w:sectPr>
      </w:pPr>
    </w:p>
    <w:p w:rsidR="003A27FC" w:rsidRPr="00687A1C" w:rsidRDefault="003A27FC" w:rsidP="00F93A60">
      <w:pPr>
        <w:pStyle w:val="Heading3"/>
      </w:pPr>
      <w:r w:rsidRPr="00687A1C">
        <w:t>David Martine</w:t>
      </w:r>
    </w:p>
    <w:p w:rsidR="003A27FC" w:rsidRPr="00687A1C" w:rsidRDefault="001F5A76" w:rsidP="00FE47F2">
      <w:pPr>
        <w:pStyle w:val="Heading5"/>
        <w:spacing w:after="80"/>
      </w:pPr>
      <w:r w:rsidRPr="00687A1C">
        <w:t>Secretary, DTF</w:t>
      </w:r>
    </w:p>
    <w:p w:rsidR="00B825B6" w:rsidRPr="00687A1C" w:rsidRDefault="00B825B6" w:rsidP="00B825B6">
      <w:r w:rsidRPr="00687A1C">
        <w:t>David leads the Department in its role of providing economic, financial and resource management policy advice to the Government.</w:t>
      </w:r>
    </w:p>
    <w:p w:rsidR="00B825B6" w:rsidRPr="00687A1C" w:rsidRDefault="00B825B6" w:rsidP="00B825B6">
      <w:r w:rsidRPr="00687A1C">
        <w:t xml:space="preserve">David joined DTF as Secretary in February 2014. Prior to this, David held a number of senior roles in the Commonwealth public sector, particularly in the Commonwealth Treasury and </w:t>
      </w:r>
      <w:r w:rsidR="00722DD6" w:rsidRPr="00687A1C">
        <w:t xml:space="preserve">the </w:t>
      </w:r>
      <w:r w:rsidRPr="00687A1C">
        <w:t>Department of Finance and Deregulation.</w:t>
      </w:r>
    </w:p>
    <w:p w:rsidR="00145EC8" w:rsidRPr="00687A1C" w:rsidRDefault="00B825B6" w:rsidP="00B825B6">
      <w:r w:rsidRPr="00687A1C">
        <w:t>David has extensive budget, finance, policy and organisational leadership experience, and has briefed governments on wide ranging and complex policy issues.</w:t>
      </w:r>
    </w:p>
    <w:p w:rsidR="00145EC8" w:rsidRPr="00687A1C" w:rsidRDefault="00145EC8" w:rsidP="00145EC8">
      <w:pPr>
        <w:pStyle w:val="Heading3"/>
      </w:pPr>
      <w:r w:rsidRPr="00687A1C">
        <w:t>Amy Auster</w:t>
      </w:r>
    </w:p>
    <w:p w:rsidR="00145EC8" w:rsidRPr="00687A1C" w:rsidRDefault="00145EC8" w:rsidP="00FE47F2">
      <w:pPr>
        <w:pStyle w:val="Heading5"/>
        <w:spacing w:after="80"/>
      </w:pPr>
      <w:r w:rsidRPr="00687A1C">
        <w:t>Deputy Secretary, Economic Division</w:t>
      </w:r>
    </w:p>
    <w:p w:rsidR="00B825B6" w:rsidRPr="00687A1C" w:rsidRDefault="00B825B6" w:rsidP="00B825B6">
      <w:r w:rsidRPr="00687A1C">
        <w:t xml:space="preserve">Amy commenced as Deputy Secretary, Economic in September 2016. Amy is responsible for the provision of high level economic and policy advice to Government on productivity, taxation and regulation, along with social, environmental and development issues. </w:t>
      </w:r>
    </w:p>
    <w:p w:rsidR="00176F47" w:rsidRPr="00687A1C" w:rsidRDefault="00B825B6" w:rsidP="00B825B6">
      <w:r w:rsidRPr="00687A1C">
        <w:t>Prior to joining DTF, Amy served as Executive Director of Monash University</w:t>
      </w:r>
      <w:r w:rsidR="009469FE" w:rsidRPr="00687A1C">
        <w:t>’</w:t>
      </w:r>
      <w:r w:rsidRPr="00687A1C">
        <w:t>s Australian Centre for Financial Studies and was a member of the Monash Business School faculty executive. Previously, she spent nearly 20 years working in the financial services industry including at ANZ Banking Group as Head of International Economics, Head of FX Strategy and Global Head of Client Engagement and at global investment banks including JPMorgan and Merrill Lynch in New York.</w:t>
      </w:r>
    </w:p>
    <w:p w:rsidR="004A12A0" w:rsidRPr="00687A1C" w:rsidRDefault="006941B3" w:rsidP="004A12A0">
      <w:pPr>
        <w:pStyle w:val="Heading3"/>
      </w:pPr>
      <w:r w:rsidRPr="00687A1C">
        <w:t>Simon Hollingsworth</w:t>
      </w:r>
    </w:p>
    <w:p w:rsidR="004A12A0" w:rsidRPr="00687A1C" w:rsidRDefault="004A12A0" w:rsidP="00FE47F2">
      <w:pPr>
        <w:pStyle w:val="Heading5"/>
        <w:spacing w:after="80"/>
      </w:pPr>
      <w:r w:rsidRPr="00687A1C">
        <w:t>Deputy Secretary, Budget and Finance</w:t>
      </w:r>
      <w:r w:rsidR="000860D1" w:rsidRPr="00687A1C">
        <w:t xml:space="preserve"> Division</w:t>
      </w:r>
    </w:p>
    <w:p w:rsidR="00434D5B" w:rsidRPr="00687A1C" w:rsidRDefault="00434D5B" w:rsidP="00434D5B">
      <w:r w:rsidRPr="00687A1C">
        <w:t>Simon was appointed Deputy Secretary, Budget and Finance in October 2016. He is responsible for providing advice on the State</w:t>
      </w:r>
      <w:r w:rsidR="009469FE" w:rsidRPr="00687A1C">
        <w:t>’</w:t>
      </w:r>
      <w:r w:rsidRPr="00687A1C">
        <w:t xml:space="preserve">s fiscal resources, financial management and consolidated reporting, and providing financial advice on public sector workplace agreements. Prior to joining DTF, he was CEO of the Australian Sports Commission. </w:t>
      </w:r>
    </w:p>
    <w:p w:rsidR="007F5BA8" w:rsidRPr="00687A1C" w:rsidRDefault="00434D5B" w:rsidP="00434D5B">
      <w:r w:rsidRPr="00687A1C">
        <w:t>Previously, Simon worked with the Victorian Department of Premier and Cabinet in various leadership roles within the Policy and Cabinet Group. This included a secondment to work for the United Kingdom Government</w:t>
      </w:r>
      <w:r w:rsidR="009469FE" w:rsidRPr="00687A1C">
        <w:t>’</w:t>
      </w:r>
      <w:r w:rsidRPr="00687A1C">
        <w:t>s Department for Education and Skills in London. Prior to joining government, Simon worked at The Boston Consulting Group and MinterEllison.</w:t>
      </w:r>
    </w:p>
    <w:p w:rsidR="003A27FC" w:rsidRPr="00687A1C" w:rsidRDefault="00BE5F15" w:rsidP="007C25A2">
      <w:pPr>
        <w:pStyle w:val="Heading3"/>
      </w:pPr>
      <w:r>
        <w:br w:type="column"/>
      </w:r>
      <w:r w:rsidR="003A27FC" w:rsidRPr="00687A1C">
        <w:t>Gayle Porthouse</w:t>
      </w:r>
    </w:p>
    <w:p w:rsidR="003A27FC" w:rsidRPr="00687A1C" w:rsidRDefault="003A27FC" w:rsidP="00FE47F2">
      <w:pPr>
        <w:pStyle w:val="Heading5"/>
        <w:spacing w:after="80"/>
      </w:pPr>
      <w:r w:rsidRPr="00687A1C">
        <w:t>Deputy Secretary, Corporate and Government Services Division</w:t>
      </w:r>
    </w:p>
    <w:p w:rsidR="00434D5B" w:rsidRPr="00687A1C" w:rsidRDefault="00434D5B" w:rsidP="00434D5B">
      <w:r w:rsidRPr="00687A1C">
        <w:t xml:space="preserve">Gayle is responsible for the efficient delivery of financial, people, information, legal, planning, procurement and technology services to DTF, which supports the Department to achieve its objectives and capacity to serve government. </w:t>
      </w:r>
    </w:p>
    <w:p w:rsidR="00434D5B" w:rsidRPr="00687A1C" w:rsidRDefault="00434D5B" w:rsidP="00434D5B">
      <w:r w:rsidRPr="00687A1C">
        <w:t xml:space="preserve">She is also responsible for the management of whole of Victorian </w:t>
      </w:r>
      <w:r w:rsidR="007D2DFC" w:rsidRPr="00687A1C">
        <w:t xml:space="preserve">government </w:t>
      </w:r>
      <w:r w:rsidRPr="00687A1C">
        <w:t>services provided to departments and agencies, including the development of policies and initiatives to achieve continuous improvement in facilities and real estate management, procurement and strategic sourcing. Gayle joined the Department in July 2014.</w:t>
      </w:r>
    </w:p>
    <w:p w:rsidR="003A27FC" w:rsidRPr="00687A1C" w:rsidRDefault="00434D5B" w:rsidP="00434D5B">
      <w:r w:rsidRPr="00687A1C">
        <w:t>Gayle has more than 30 years</w:t>
      </w:r>
      <w:r w:rsidR="009469FE" w:rsidRPr="00687A1C">
        <w:t>’</w:t>
      </w:r>
      <w:r w:rsidRPr="00687A1C">
        <w:t xml:space="preserve"> experience in the public service across several government departments, including the Department of Premier and Cabinet.</w:t>
      </w:r>
    </w:p>
    <w:p w:rsidR="00A4624A" w:rsidRPr="00687A1C" w:rsidRDefault="00A4624A" w:rsidP="0007374B">
      <w:pPr>
        <w:pStyle w:val="Heading3"/>
      </w:pPr>
      <w:r w:rsidRPr="00687A1C">
        <w:t>David Webster</w:t>
      </w:r>
    </w:p>
    <w:p w:rsidR="00A4624A" w:rsidRPr="00687A1C" w:rsidRDefault="00A4624A" w:rsidP="00FE47F2">
      <w:pPr>
        <w:pStyle w:val="Heading5"/>
        <w:spacing w:after="80"/>
      </w:pPr>
      <w:r w:rsidRPr="00687A1C">
        <w:t>Deputy Secretary, Commercial</w:t>
      </w:r>
      <w:r w:rsidR="000860D1" w:rsidRPr="00687A1C">
        <w:t xml:space="preserve"> Division</w:t>
      </w:r>
    </w:p>
    <w:p w:rsidR="00434D5B" w:rsidRPr="00687A1C" w:rsidRDefault="00434D5B" w:rsidP="00434D5B">
      <w:r w:rsidRPr="00687A1C">
        <w:t>David is responsible for providing high level commercial, financial and risk management advice to the Government, including a focus on major commercial transactions, infrastructure and the State</w:t>
      </w:r>
      <w:r w:rsidR="009469FE" w:rsidRPr="00687A1C">
        <w:t>’</w:t>
      </w:r>
      <w:r w:rsidRPr="00687A1C">
        <w:t>s balance sheet.</w:t>
      </w:r>
    </w:p>
    <w:p w:rsidR="00434D5B" w:rsidRPr="00687A1C" w:rsidRDefault="00434D5B" w:rsidP="00434D5B">
      <w:r w:rsidRPr="00687A1C">
        <w:t>David commenced as Deputy Secretary in November 2011 and has more than 20 years</w:t>
      </w:r>
      <w:r w:rsidR="009469FE" w:rsidRPr="00687A1C">
        <w:t>’</w:t>
      </w:r>
      <w:r w:rsidRPr="00687A1C">
        <w:t xml:space="preserve"> extensive international corporate and commercial senior management experience as a fund manager, equity investor, financial adviser and lender.</w:t>
      </w:r>
    </w:p>
    <w:p w:rsidR="00176F47" w:rsidRPr="00687A1C" w:rsidRDefault="00434D5B" w:rsidP="00434D5B">
      <w:r w:rsidRPr="00687A1C">
        <w:t>Prior to joining DTF, David worked for RBS Funds Management in Sydney as Executive Director and Chairman. Previously, David was Investment Director at EISER Global Infrastructure Fund in London and Head of Infrastructure Advisory at RBS London.</w:t>
      </w:r>
    </w:p>
    <w:p w:rsidR="00176F47" w:rsidRPr="00687A1C" w:rsidRDefault="00176F47" w:rsidP="00176F47">
      <w:pPr>
        <w:spacing w:before="0" w:after="200"/>
      </w:pPr>
    </w:p>
    <w:p w:rsidR="003A27FC" w:rsidRPr="00687A1C" w:rsidRDefault="003A27FC" w:rsidP="003A27FC">
      <w:pPr>
        <w:sectPr w:rsidR="003A27FC" w:rsidRPr="00687A1C" w:rsidSect="00FE47F2">
          <w:type w:val="continuous"/>
          <w:pgSz w:w="11909" w:h="16834" w:code="9"/>
          <w:pgMar w:top="1728" w:right="1152" w:bottom="1152" w:left="1152" w:header="720" w:footer="288" w:gutter="0"/>
          <w:cols w:num="2" w:space="389"/>
          <w:noEndnote/>
        </w:sectPr>
      </w:pPr>
    </w:p>
    <w:p w:rsidR="003A27FC" w:rsidRPr="00687A1C" w:rsidRDefault="003A27FC" w:rsidP="003B779C">
      <w:pPr>
        <w:pStyle w:val="Heading4"/>
      </w:pPr>
      <w:bookmarkStart w:id="7" w:name="_Ref489439292"/>
      <w:r w:rsidRPr="00687A1C">
        <w:lastRenderedPageBreak/>
        <w:t xml:space="preserve">Organisational chart, </w:t>
      </w:r>
      <w:r w:rsidR="000A0A30" w:rsidRPr="00687A1C">
        <w:t>30 June 201</w:t>
      </w:r>
      <w:bookmarkEnd w:id="7"/>
      <w:r w:rsidR="008F632E" w:rsidRPr="00687A1C">
        <w:t>8</w:t>
      </w:r>
    </w:p>
    <w:p w:rsidR="005422E0" w:rsidRPr="00687A1C" w:rsidRDefault="005422E0" w:rsidP="005422E0">
      <w:r w:rsidRPr="00687A1C">
        <w:object w:dxaOrig="11594" w:dyaOrig="14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97.6pt" o:ole="">
            <v:imagedata r:id="rId18" o:title=""/>
          </v:shape>
          <o:OLEObject Type="Embed" ProgID="Visio.Drawing.11" ShapeID="_x0000_i1025" DrawAspect="Content" ObjectID="_1598958201" r:id="rId19"/>
        </w:object>
      </w:r>
    </w:p>
    <w:p w:rsidR="005422E0" w:rsidRPr="00687A1C" w:rsidRDefault="005422E0" w:rsidP="005422E0"/>
    <w:p w:rsidR="003B779C" w:rsidRPr="00687A1C" w:rsidRDefault="003B779C" w:rsidP="003B779C"/>
    <w:p w:rsidR="000A0091" w:rsidRPr="00687A1C" w:rsidRDefault="000A0091" w:rsidP="00DF5A01">
      <w:pPr>
        <w:ind w:right="-25"/>
      </w:pPr>
    </w:p>
    <w:p w:rsidR="00F34FDF" w:rsidRPr="00687A1C" w:rsidRDefault="00F34FDF" w:rsidP="003A27FC">
      <w:pPr>
        <w:sectPr w:rsidR="00F34FDF" w:rsidRPr="00687A1C" w:rsidSect="00D16853">
          <w:pgSz w:w="11909" w:h="16834" w:code="9"/>
          <w:pgMar w:top="1728" w:right="1152" w:bottom="1152" w:left="1152" w:header="720" w:footer="288" w:gutter="0"/>
          <w:cols w:space="720"/>
          <w:noEndnote/>
        </w:sectPr>
      </w:pPr>
    </w:p>
    <w:p w:rsidR="003A27FC" w:rsidRPr="00687A1C" w:rsidRDefault="003A27FC" w:rsidP="003A27FC">
      <w:pPr>
        <w:pStyle w:val="Heading1a"/>
        <w:rPr>
          <w:rFonts w:asciiTheme="minorHAnsi" w:hAnsiTheme="minorHAnsi" w:cstheme="minorHAnsi"/>
        </w:rPr>
      </w:pPr>
      <w:bookmarkStart w:id="8" w:name="Functions_services"/>
      <w:r w:rsidRPr="00687A1C">
        <w:rPr>
          <w:rFonts w:asciiTheme="minorHAnsi" w:hAnsiTheme="minorHAnsi" w:cstheme="minorHAnsi"/>
        </w:rPr>
        <w:lastRenderedPageBreak/>
        <w:t>Functions and services</w:t>
      </w:r>
      <w:bookmarkEnd w:id="8"/>
    </w:p>
    <w:p w:rsidR="003A27FC" w:rsidRPr="00687A1C" w:rsidRDefault="003A27FC" w:rsidP="003A27FC">
      <w:pPr>
        <w:sectPr w:rsidR="003A27FC" w:rsidRPr="00687A1C" w:rsidSect="00D16853">
          <w:pgSz w:w="11909" w:h="16834" w:code="9"/>
          <w:pgMar w:top="1728" w:right="1152" w:bottom="1152" w:left="1152" w:header="720" w:footer="288" w:gutter="0"/>
          <w:cols w:space="720"/>
          <w:noEndnote/>
        </w:sectPr>
      </w:pPr>
    </w:p>
    <w:p w:rsidR="007072F4" w:rsidRPr="00687A1C" w:rsidRDefault="00D57125" w:rsidP="007072F4">
      <w:pPr>
        <w:rPr>
          <w:rFonts w:cstheme="minorHAnsi"/>
        </w:rPr>
      </w:pPr>
      <w:r w:rsidRPr="00687A1C">
        <w:rPr>
          <w:rFonts w:cstheme="minorHAnsi"/>
        </w:rPr>
        <w:t>The Office of the Secretary and four divisions, as outlined below, carried out the functions and services of DTF during 2017-18.</w:t>
      </w:r>
    </w:p>
    <w:p w:rsidR="003A27FC" w:rsidRPr="00687A1C" w:rsidRDefault="003A27FC" w:rsidP="00C84BF2">
      <w:pPr>
        <w:pStyle w:val="Heading2"/>
      </w:pPr>
      <w:r w:rsidRPr="00687A1C">
        <w:t>Office of the Secretary</w:t>
      </w:r>
    </w:p>
    <w:p w:rsidR="007072F4" w:rsidRPr="00687A1C" w:rsidRDefault="006B26CE" w:rsidP="007072F4">
      <w:r w:rsidRPr="00687A1C">
        <w:t>The Office of the Secretary supports the Secretary.</w:t>
      </w:r>
    </w:p>
    <w:p w:rsidR="00C84BF2" w:rsidRPr="00687A1C" w:rsidRDefault="00C84BF2" w:rsidP="00C84BF2">
      <w:pPr>
        <w:pStyle w:val="Heading2"/>
      </w:pPr>
      <w:r w:rsidRPr="00687A1C">
        <w:t>Economic Division</w:t>
      </w:r>
    </w:p>
    <w:p w:rsidR="00C84BF2" w:rsidRPr="00687A1C" w:rsidRDefault="006941B3" w:rsidP="00C84BF2">
      <w:pPr>
        <w:pStyle w:val="Heading4"/>
      </w:pPr>
      <w:r w:rsidRPr="00687A1C">
        <w:t>Economic</w:t>
      </w:r>
      <w:r w:rsidR="00EB2016" w:rsidRPr="00687A1C">
        <w:t xml:space="preserve"> Policy</w:t>
      </w:r>
    </w:p>
    <w:p w:rsidR="00C84BF2" w:rsidRPr="00687A1C" w:rsidRDefault="006B26CE" w:rsidP="007072F4">
      <w:r w:rsidRPr="00687A1C">
        <w:t>Advises on macroeconomic conditions and policy; energy, resources and environmental policy; and regulation, planning and local government reform.</w:t>
      </w:r>
    </w:p>
    <w:p w:rsidR="00C84BF2" w:rsidRPr="00687A1C" w:rsidRDefault="00C84BF2" w:rsidP="00C84BF2">
      <w:pPr>
        <w:pStyle w:val="Heading4"/>
      </w:pPr>
      <w:r w:rsidRPr="00687A1C">
        <w:t>Revenue</w:t>
      </w:r>
    </w:p>
    <w:p w:rsidR="00C84BF2" w:rsidRPr="00687A1C" w:rsidRDefault="006B26CE" w:rsidP="007072F4">
      <w:r w:rsidRPr="00687A1C">
        <w:t>Provides analysis and advice to government on tax and gambling policy, intergovernmental financial relations and revenue forecasting.</w:t>
      </w:r>
    </w:p>
    <w:p w:rsidR="00C84BF2" w:rsidRPr="00687A1C" w:rsidRDefault="00C84BF2" w:rsidP="006B26CE">
      <w:pPr>
        <w:pStyle w:val="Heading4"/>
      </w:pPr>
      <w:r w:rsidRPr="00687A1C">
        <w:t>Social Policy</w:t>
      </w:r>
    </w:p>
    <w:p w:rsidR="00C84BF2" w:rsidRPr="00687A1C" w:rsidRDefault="006B26CE" w:rsidP="007072F4">
      <w:r w:rsidRPr="00687A1C">
        <w:t>Provides analys</w:t>
      </w:r>
      <w:r w:rsidR="007D2DFC" w:rsidRPr="00687A1C">
        <w:t>is and policy advice on outcome</w:t>
      </w:r>
      <w:r w:rsidR="007D2DFC" w:rsidRPr="00687A1C">
        <w:noBreakHyphen/>
      </w:r>
      <w:r w:rsidRPr="00687A1C">
        <w:t>based funding, health and human services, housing, demand forecasting, insurance (including WorkSafe and TAC), and whole of government occupational health and safety.</w:t>
      </w:r>
    </w:p>
    <w:p w:rsidR="006B26CE" w:rsidRPr="00687A1C" w:rsidRDefault="006B26CE" w:rsidP="006B26CE">
      <w:pPr>
        <w:pStyle w:val="Heading4"/>
      </w:pPr>
      <w:r w:rsidRPr="00687A1C">
        <w:t>Strategy and Reform</w:t>
      </w:r>
    </w:p>
    <w:p w:rsidR="006B26CE" w:rsidRPr="00687A1C" w:rsidRDefault="006B26CE" w:rsidP="006B26CE">
      <w:r w:rsidRPr="00687A1C">
        <w:t>Provides rigorous analysis and policy advice on Victoria</w:t>
      </w:r>
      <w:r w:rsidR="009469FE" w:rsidRPr="00687A1C">
        <w:t>’</w:t>
      </w:r>
      <w:r w:rsidRPr="00687A1C">
        <w:t>s economic strategy relating to whole of Victorian government risk, education and justice, and transport and industry transition. The group also focuses on the regulation and delivery of the National Disability Insurance Scheme.</w:t>
      </w:r>
    </w:p>
    <w:p w:rsidR="00C84BF2" w:rsidRPr="00687A1C" w:rsidRDefault="00C84BF2" w:rsidP="00C84BF2">
      <w:pPr>
        <w:pStyle w:val="Heading2"/>
      </w:pPr>
      <w:r w:rsidRPr="00687A1C">
        <w:t>Corporate and Government Services Division</w:t>
      </w:r>
    </w:p>
    <w:p w:rsidR="00C84BF2" w:rsidRPr="00687A1C" w:rsidRDefault="00C84BF2" w:rsidP="00C84BF2">
      <w:pPr>
        <w:pStyle w:val="Heading4"/>
      </w:pPr>
      <w:r w:rsidRPr="00687A1C">
        <w:t>Corporate Finance</w:t>
      </w:r>
      <w:r w:rsidR="004E2026" w:rsidRPr="00687A1C">
        <w:t xml:space="preserve"> </w:t>
      </w:r>
    </w:p>
    <w:p w:rsidR="006941B3" w:rsidRPr="00687A1C" w:rsidRDefault="006B26CE" w:rsidP="007072F4">
      <w:r w:rsidRPr="00687A1C">
        <w:t>Provides corporate financial services to DTF and DPC and their agencies, including statutory and external reporting, management reporting, budgeting, asset management and management of various trusts.</w:t>
      </w:r>
    </w:p>
    <w:p w:rsidR="00C84BF2" w:rsidRPr="00687A1C" w:rsidRDefault="00C84BF2" w:rsidP="00C84BF2">
      <w:pPr>
        <w:pStyle w:val="Heading4"/>
      </w:pPr>
      <w:r w:rsidRPr="00687A1C">
        <w:t>Legal Services</w:t>
      </w:r>
    </w:p>
    <w:p w:rsidR="00C84BF2" w:rsidRPr="00687A1C" w:rsidRDefault="006B26CE" w:rsidP="007072F4">
      <w:r w:rsidRPr="00687A1C">
        <w:t xml:space="preserve">Provides advice on </w:t>
      </w:r>
      <w:r w:rsidR="00E06462" w:rsidRPr="00687A1C">
        <w:t>legal issues affecting the Department</w:t>
      </w:r>
      <w:r w:rsidRPr="00687A1C">
        <w:t>, and assists with preparing legislation across the Department.</w:t>
      </w:r>
    </w:p>
    <w:p w:rsidR="00C84BF2" w:rsidRPr="00687A1C" w:rsidRDefault="00C84BF2" w:rsidP="00C84BF2">
      <w:pPr>
        <w:pStyle w:val="Heading4"/>
      </w:pPr>
      <w:r w:rsidRPr="00687A1C">
        <w:t>Corporate Delivery Services</w:t>
      </w:r>
    </w:p>
    <w:p w:rsidR="00C84BF2" w:rsidRPr="00687A1C" w:rsidRDefault="00F91C19" w:rsidP="007072F4">
      <w:r w:rsidRPr="00687A1C">
        <w:t>Provides corporate services to the Department, including planning and executive services, human resources, and information and technology services.</w:t>
      </w:r>
    </w:p>
    <w:p w:rsidR="00C84BF2" w:rsidRPr="00687A1C" w:rsidRDefault="00F91C19" w:rsidP="00C84BF2">
      <w:pPr>
        <w:pStyle w:val="Heading4"/>
      </w:pPr>
      <w:r w:rsidRPr="00687A1C">
        <w:br w:type="column"/>
      </w:r>
      <w:r w:rsidR="00C84BF2" w:rsidRPr="00687A1C">
        <w:t>Shared Service Provider</w:t>
      </w:r>
    </w:p>
    <w:p w:rsidR="00C84BF2" w:rsidRPr="00687A1C" w:rsidRDefault="00705EE6" w:rsidP="007072F4">
      <w:r w:rsidRPr="00687A1C">
        <w:t>Delivers strategic, efficient, relevant and effective accommodation management, car pool and library services to Victorian Government departments and agencies.</w:t>
      </w:r>
    </w:p>
    <w:p w:rsidR="00C84BF2" w:rsidRPr="00687A1C" w:rsidRDefault="00C84BF2" w:rsidP="00C84BF2">
      <w:pPr>
        <w:pStyle w:val="Heading4"/>
      </w:pPr>
      <w:r w:rsidRPr="00687A1C">
        <w:t>Strategic Sourcing</w:t>
      </w:r>
    </w:p>
    <w:p w:rsidR="00100D88" w:rsidRPr="00687A1C" w:rsidRDefault="00705EE6" w:rsidP="007072F4">
      <w:r w:rsidRPr="00687A1C">
        <w:t>Provides whole of government procurement, policy and strategic sourcing solutions; procurement policy leadership through the Secretariat of the Victorian Government Purchasing Board; and management of the Standard Motor Vehicle policy, VicFleet operations and the finance lease facility for government departments and agencies.</w:t>
      </w:r>
    </w:p>
    <w:p w:rsidR="00C84BF2" w:rsidRPr="00687A1C" w:rsidRDefault="007072F4" w:rsidP="007072F4">
      <w:pPr>
        <w:pStyle w:val="Heading4"/>
      </w:pPr>
      <w:r w:rsidRPr="00687A1C">
        <w:t>Strategic Communications</w:t>
      </w:r>
    </w:p>
    <w:p w:rsidR="00C84BF2" w:rsidRPr="00687A1C" w:rsidRDefault="00FB5AAA" w:rsidP="007072F4">
      <w:r w:rsidRPr="00687A1C">
        <w:t>Provides issues management and strategic communications advice and services to effectively plan and implement projects and programs.</w:t>
      </w:r>
    </w:p>
    <w:p w:rsidR="00C84BF2" w:rsidRPr="00687A1C" w:rsidRDefault="00C84BF2" w:rsidP="00C84BF2">
      <w:pPr>
        <w:pStyle w:val="Heading2"/>
      </w:pPr>
      <w:r w:rsidRPr="00687A1C">
        <w:t>Budget and Finance Division</w:t>
      </w:r>
    </w:p>
    <w:p w:rsidR="00C84BF2" w:rsidRPr="00687A1C" w:rsidRDefault="00C84BF2" w:rsidP="00C84BF2">
      <w:pPr>
        <w:pStyle w:val="Heading4"/>
      </w:pPr>
      <w:r w:rsidRPr="00687A1C">
        <w:t>Financial Reporting</w:t>
      </w:r>
    </w:p>
    <w:p w:rsidR="00C84BF2" w:rsidRPr="00687A1C" w:rsidRDefault="001F2BA6" w:rsidP="007072F4">
      <w:r w:rsidRPr="00687A1C">
        <w:t>Responsible for delivering financial advice and transparent whole of government financial publications to positively influence the management of the State</w:t>
      </w:r>
      <w:r w:rsidR="009469FE" w:rsidRPr="00687A1C">
        <w:t>’</w:t>
      </w:r>
      <w:r w:rsidRPr="00687A1C">
        <w:t>s financial resources.</w:t>
      </w:r>
    </w:p>
    <w:p w:rsidR="00C84BF2" w:rsidRPr="00687A1C" w:rsidRDefault="00C84BF2" w:rsidP="00C84BF2">
      <w:pPr>
        <w:pStyle w:val="Heading4"/>
      </w:pPr>
      <w:r w:rsidRPr="00687A1C">
        <w:t>Budget Strategy</w:t>
      </w:r>
    </w:p>
    <w:p w:rsidR="006941B3" w:rsidRPr="00687A1C" w:rsidRDefault="00E06462" w:rsidP="007072F4">
      <w:r w:rsidRPr="00687A1C">
        <w:t xml:space="preserve">Provides </w:t>
      </w:r>
      <w:r w:rsidR="001F2BA6" w:rsidRPr="00687A1C">
        <w:t>advice on the State</w:t>
      </w:r>
      <w:r w:rsidR="009469FE" w:rsidRPr="00687A1C">
        <w:t>’</w:t>
      </w:r>
      <w:r w:rsidR="001F2BA6" w:rsidRPr="00687A1C">
        <w:t xml:space="preserve">s budget outlook and fiscal strategy, its financial and resource management frameworks and public sector </w:t>
      </w:r>
      <w:r w:rsidRPr="00687A1C">
        <w:t>wages policy</w:t>
      </w:r>
      <w:r w:rsidR="001F2BA6" w:rsidRPr="00687A1C">
        <w:t>.</w:t>
      </w:r>
    </w:p>
    <w:p w:rsidR="00C84BF2" w:rsidRPr="00687A1C" w:rsidRDefault="00C84BF2" w:rsidP="00C84BF2">
      <w:pPr>
        <w:pStyle w:val="Heading4"/>
      </w:pPr>
      <w:r w:rsidRPr="00687A1C">
        <w:t>Portfolio Analysis</w:t>
      </w:r>
    </w:p>
    <w:p w:rsidR="00C84BF2" w:rsidRPr="00687A1C" w:rsidRDefault="001F2BA6" w:rsidP="007072F4">
      <w:pPr>
        <w:rPr>
          <w:rFonts w:eastAsiaTheme="minorHAnsi"/>
          <w:lang w:eastAsia="en-US"/>
        </w:rPr>
      </w:pPr>
      <w:r w:rsidRPr="00687A1C">
        <w:rPr>
          <w:rFonts w:eastAsiaTheme="minorHAnsi"/>
          <w:lang w:eastAsia="en-US"/>
        </w:rPr>
        <w:t>Provides advice on resource allocation across portfolios, financial risk and government service performance; and promotes sound financial management of the State</w:t>
      </w:r>
      <w:r w:rsidR="009469FE" w:rsidRPr="00687A1C">
        <w:rPr>
          <w:rFonts w:eastAsiaTheme="minorHAnsi"/>
          <w:lang w:eastAsia="en-US"/>
        </w:rPr>
        <w:t>’</w:t>
      </w:r>
      <w:r w:rsidRPr="00687A1C">
        <w:rPr>
          <w:rFonts w:eastAsiaTheme="minorHAnsi"/>
          <w:lang w:eastAsia="en-US"/>
        </w:rPr>
        <w:t>s fiscal resources throughout the Victorian public sector.</w:t>
      </w:r>
    </w:p>
    <w:p w:rsidR="00C84BF2" w:rsidRPr="00687A1C" w:rsidRDefault="00C84BF2" w:rsidP="00C84BF2">
      <w:pPr>
        <w:pStyle w:val="Heading2"/>
      </w:pPr>
      <w:r w:rsidRPr="00687A1C">
        <w:t>Commercial Division</w:t>
      </w:r>
    </w:p>
    <w:p w:rsidR="00C84BF2" w:rsidRPr="00687A1C" w:rsidRDefault="00C84BF2" w:rsidP="00C84BF2">
      <w:pPr>
        <w:pStyle w:val="Heading4"/>
      </w:pPr>
      <w:r w:rsidRPr="00687A1C">
        <w:t>Financial Assets and Liabilities</w:t>
      </w:r>
    </w:p>
    <w:p w:rsidR="00C84BF2" w:rsidRPr="00687A1C" w:rsidRDefault="00385D43" w:rsidP="007072F4">
      <w:r w:rsidRPr="00687A1C">
        <w:t>Advises and reports on the State</w:t>
      </w:r>
      <w:r w:rsidR="009469FE" w:rsidRPr="00687A1C">
        <w:t>’</w:t>
      </w:r>
      <w:r w:rsidRPr="00687A1C">
        <w:t>s financial assets and liabilities and associated financial risks, including the State</w:t>
      </w:r>
      <w:r w:rsidR="009469FE" w:rsidRPr="00687A1C">
        <w:t>’</w:t>
      </w:r>
      <w:r w:rsidRPr="00687A1C">
        <w:t>s investments, debts, superannuation and insurance claims liabilities. The group also includes the Housing Registrar unit, which regulates the not for profit, non-government housing sector.</w:t>
      </w:r>
    </w:p>
    <w:p w:rsidR="00167925" w:rsidRPr="00687A1C" w:rsidRDefault="00167925">
      <w:pPr>
        <w:spacing w:before="0" w:after="0"/>
        <w:rPr>
          <w:rFonts w:cs="Arial"/>
          <w:b/>
          <w:color w:val="4D4D4D"/>
          <w:sz w:val="19"/>
          <w:szCs w:val="20"/>
        </w:rPr>
      </w:pPr>
      <w:r w:rsidRPr="00687A1C">
        <w:br w:type="page"/>
      </w:r>
    </w:p>
    <w:p w:rsidR="00167925" w:rsidRPr="00687A1C" w:rsidRDefault="00167925" w:rsidP="00167925">
      <w:pPr>
        <w:pStyle w:val="Heading4"/>
      </w:pPr>
      <w:r w:rsidRPr="00687A1C">
        <w:lastRenderedPageBreak/>
        <w:t>Infrastructure Policy and Assurance</w:t>
      </w:r>
    </w:p>
    <w:p w:rsidR="00167925" w:rsidRPr="00687A1C" w:rsidRDefault="00167925" w:rsidP="00167925">
      <w:r w:rsidRPr="00687A1C">
        <w:t>Infrastructure Policy and Assurance provides advice to Government on complex and high value infrastructure projects, including advising on business cases and policy alignment. The branch also develops infrastructure policy and assurance frameworks, including the Gateway Review Process, whole of government asset management and construction procurement policy.</w:t>
      </w:r>
    </w:p>
    <w:p w:rsidR="00167925" w:rsidRPr="00687A1C" w:rsidRDefault="00167925" w:rsidP="00167925">
      <w:pPr>
        <w:pStyle w:val="Heading4"/>
      </w:pPr>
      <w:r w:rsidRPr="00687A1C">
        <w:t>Infrastructure Delivery</w:t>
      </w:r>
    </w:p>
    <w:p w:rsidR="00167925" w:rsidRPr="00687A1C" w:rsidRDefault="00167925" w:rsidP="00167925">
      <w:r w:rsidRPr="00687A1C">
        <w:t>Provides commercial, financial and risk management advice to government and guidance to departments regarding Partnerships Victoria projects and other complex procurements. Implements the Market-led Proposals Guideline to facilitate new and innovative private sector initiatives.</w:t>
      </w:r>
    </w:p>
    <w:p w:rsidR="00167925" w:rsidRPr="00687A1C" w:rsidRDefault="00167925" w:rsidP="00167925">
      <w:pPr>
        <w:pStyle w:val="Heading4"/>
      </w:pPr>
      <w:r w:rsidRPr="00687A1C">
        <w:t>Shareholder Advisory Services</w:t>
      </w:r>
    </w:p>
    <w:p w:rsidR="00167925" w:rsidRPr="00687A1C" w:rsidRDefault="00167925" w:rsidP="00167925">
      <w:r w:rsidRPr="00687A1C">
        <w:t xml:space="preserve">Provides governance oversight of Government </w:t>
      </w:r>
      <w:r w:rsidR="007D2DFC" w:rsidRPr="00687A1C">
        <w:t xml:space="preserve">business enterprises </w:t>
      </w:r>
      <w:r w:rsidRPr="00687A1C">
        <w:t>(GBEs) and advice to government, departments and agencies relating to GBEs</w:t>
      </w:r>
      <w:r w:rsidR="009469FE" w:rsidRPr="00687A1C">
        <w:t>’</w:t>
      </w:r>
      <w:r w:rsidRPr="00687A1C">
        <w:t xml:space="preserve"> strategic direction and performance, significant capital expenditure proposals, dividends and capital repatriations. Also advises Government on whole of government land management reform, coordination of government land sales and office accommodation for the public service, and management of the Greener Government Buildings program.</w:t>
      </w:r>
    </w:p>
    <w:p w:rsidR="00167925" w:rsidRPr="00687A1C" w:rsidRDefault="00167925" w:rsidP="003A0A9E">
      <w:pPr>
        <w:pStyle w:val="Heading4"/>
      </w:pPr>
      <w:r w:rsidRPr="00687A1C">
        <w:t>Commercial Transactions</w:t>
      </w:r>
    </w:p>
    <w:p w:rsidR="00167925" w:rsidRPr="00687A1C" w:rsidRDefault="00167925" w:rsidP="00167925">
      <w:r w:rsidRPr="00687A1C">
        <w:t>Provides commercial and strategic advice on complex non-infrastructure transactions on behalf of the Government.</w:t>
      </w:r>
    </w:p>
    <w:p w:rsidR="003A0A9E" w:rsidRPr="00687A1C" w:rsidRDefault="003A0A9E" w:rsidP="003A0A9E">
      <w:pPr>
        <w:pStyle w:val="Heading4"/>
      </w:pPr>
      <w:r w:rsidRPr="00687A1C">
        <w:t xml:space="preserve">Office of Projects Victoria </w:t>
      </w:r>
    </w:p>
    <w:p w:rsidR="003A0A9E" w:rsidRPr="00687A1C" w:rsidRDefault="003A0A9E" w:rsidP="003A0A9E">
      <w:r w:rsidRPr="00687A1C">
        <w:t>The Office of Projects Victoria (OPV) is an administrative office of DTF that improves government project development and implementation. The OPV is responsible for monitoring the delivery of all major infrastructure projects; providing technical, scope and cost advice; and building capability and skills in project development and delivery across government.</w:t>
      </w:r>
    </w:p>
    <w:p w:rsidR="00C84BF2" w:rsidRPr="00687A1C" w:rsidRDefault="00A24FC8" w:rsidP="00C84BF2">
      <w:r w:rsidRPr="00687A1C">
        <w:br w:type="column"/>
      </w:r>
      <w:r w:rsidR="00C84BF2" w:rsidRPr="00687A1C">
        <w:t>DTF also supports the following portfolio agencies:</w:t>
      </w:r>
    </w:p>
    <w:p w:rsidR="00DE16BB" w:rsidRPr="00687A1C" w:rsidRDefault="00DE16BB" w:rsidP="00DE16BB">
      <w:pPr>
        <w:pStyle w:val="Bullet"/>
      </w:pPr>
      <w:r w:rsidRPr="00687A1C">
        <w:t>Accident Compensation Conciliation Service</w:t>
      </w:r>
    </w:p>
    <w:p w:rsidR="00DE16BB" w:rsidRPr="00687A1C" w:rsidRDefault="0027531A" w:rsidP="00DE16BB">
      <w:pPr>
        <w:pStyle w:val="Bullet"/>
      </w:pPr>
      <w:r w:rsidRPr="00687A1C">
        <w:t>Cenitex</w:t>
      </w:r>
    </w:p>
    <w:p w:rsidR="00DE16BB" w:rsidRPr="00687A1C" w:rsidRDefault="00DE16BB" w:rsidP="00DE16BB">
      <w:pPr>
        <w:pStyle w:val="Bullet"/>
      </w:pPr>
      <w:r w:rsidRPr="00687A1C">
        <w:t>Commissione</w:t>
      </w:r>
      <w:r w:rsidR="00684A24" w:rsidRPr="00687A1C">
        <w:t xml:space="preserve">r for Better Regulation and </w:t>
      </w:r>
      <w:r w:rsidR="00684A24" w:rsidRPr="00687A1C">
        <w:br/>
        <w:t xml:space="preserve">Red </w:t>
      </w:r>
      <w:r w:rsidRPr="00687A1C">
        <w:t>Tape</w:t>
      </w:r>
    </w:p>
    <w:p w:rsidR="00DE16BB" w:rsidRPr="00687A1C" w:rsidRDefault="00DE16BB" w:rsidP="00DE16BB">
      <w:pPr>
        <w:pStyle w:val="Bullet"/>
      </w:pPr>
      <w:r w:rsidRPr="00687A1C">
        <w:t>Emergency Services and State Super</w:t>
      </w:r>
    </w:p>
    <w:p w:rsidR="00DE16BB" w:rsidRPr="00687A1C" w:rsidRDefault="00DE16BB" w:rsidP="00DE16BB">
      <w:pPr>
        <w:pStyle w:val="Bullet"/>
      </w:pPr>
      <w:r w:rsidRPr="00687A1C">
        <w:t>Essential Services Commission</w:t>
      </w:r>
    </w:p>
    <w:p w:rsidR="00DE16BB" w:rsidRPr="00687A1C" w:rsidRDefault="00DE16BB" w:rsidP="00DE16BB">
      <w:pPr>
        <w:pStyle w:val="Bullet"/>
      </w:pPr>
      <w:r w:rsidRPr="00687A1C">
        <w:t>Medical Panels Victoria</w:t>
      </w:r>
    </w:p>
    <w:p w:rsidR="00DE16BB" w:rsidRPr="00687A1C" w:rsidRDefault="00DE16BB" w:rsidP="00650CB9">
      <w:pPr>
        <w:pStyle w:val="Bullet"/>
      </w:pPr>
      <w:r w:rsidRPr="00687A1C">
        <w:t>Old Treasury Building Committee of Management</w:t>
      </w:r>
    </w:p>
    <w:p w:rsidR="00650CB9" w:rsidRPr="00687A1C" w:rsidRDefault="00650CB9" w:rsidP="00650CB9">
      <w:pPr>
        <w:pStyle w:val="Bullet"/>
      </w:pPr>
      <w:r w:rsidRPr="00687A1C">
        <w:t>Registrar of Housing Agencies</w:t>
      </w:r>
    </w:p>
    <w:p w:rsidR="00DE16BB" w:rsidRPr="00687A1C" w:rsidRDefault="00DE16BB" w:rsidP="00DE16BB">
      <w:pPr>
        <w:pStyle w:val="Bullet"/>
      </w:pPr>
      <w:r w:rsidRPr="00687A1C">
        <w:t xml:space="preserve">State Electricity Commission of Victoria </w:t>
      </w:r>
    </w:p>
    <w:p w:rsidR="00DE16BB" w:rsidRPr="00687A1C" w:rsidRDefault="00DE16BB" w:rsidP="00DE16BB">
      <w:pPr>
        <w:pStyle w:val="Bullet"/>
      </w:pPr>
      <w:r w:rsidRPr="00687A1C">
        <w:t>State Revenue Office</w:t>
      </w:r>
    </w:p>
    <w:p w:rsidR="00DE16BB" w:rsidRPr="00687A1C" w:rsidRDefault="00DE16BB" w:rsidP="00DE16BB">
      <w:pPr>
        <w:pStyle w:val="Bullet"/>
      </w:pPr>
      <w:r w:rsidRPr="00687A1C">
        <w:t>State Trustees Limited</w:t>
      </w:r>
    </w:p>
    <w:p w:rsidR="00DE16BB" w:rsidRPr="00687A1C" w:rsidRDefault="00DE16BB" w:rsidP="00DE16BB">
      <w:pPr>
        <w:pStyle w:val="Bullet"/>
      </w:pPr>
      <w:r w:rsidRPr="00687A1C">
        <w:t>Transport Accident Commission</w:t>
      </w:r>
    </w:p>
    <w:p w:rsidR="00DE16BB" w:rsidRPr="00687A1C" w:rsidRDefault="00DE16BB" w:rsidP="00DE16BB">
      <w:pPr>
        <w:pStyle w:val="Bullet"/>
      </w:pPr>
      <w:r w:rsidRPr="00687A1C">
        <w:t>Treasury Corporation of Victoria</w:t>
      </w:r>
    </w:p>
    <w:p w:rsidR="00DE16BB" w:rsidRPr="00687A1C" w:rsidRDefault="00DE16BB" w:rsidP="00DE16BB">
      <w:pPr>
        <w:pStyle w:val="Bullet"/>
      </w:pPr>
      <w:r w:rsidRPr="00687A1C">
        <w:t>Victorian Funds Management Corporation</w:t>
      </w:r>
    </w:p>
    <w:p w:rsidR="00DE16BB" w:rsidRPr="00687A1C" w:rsidRDefault="00DE16BB" w:rsidP="00DE16BB">
      <w:pPr>
        <w:pStyle w:val="Bullet"/>
      </w:pPr>
      <w:r w:rsidRPr="00687A1C">
        <w:t>Victorian Government Purchasing Board</w:t>
      </w:r>
    </w:p>
    <w:p w:rsidR="00DE16BB" w:rsidRPr="00687A1C" w:rsidRDefault="00DE16BB" w:rsidP="00DE16BB">
      <w:pPr>
        <w:pStyle w:val="Bullet"/>
      </w:pPr>
      <w:r w:rsidRPr="00687A1C">
        <w:t>Victorian Managed Insurance Authority</w:t>
      </w:r>
    </w:p>
    <w:p w:rsidR="00C70EFB" w:rsidRPr="00687A1C" w:rsidRDefault="00DE16BB" w:rsidP="00DE16BB">
      <w:pPr>
        <w:pStyle w:val="Bullet"/>
      </w:pPr>
      <w:r w:rsidRPr="00687A1C">
        <w:t>Victorian WorkCover Authority (WorkSafe Victoria)</w:t>
      </w:r>
    </w:p>
    <w:p w:rsidR="00C84BF2" w:rsidRPr="00687A1C" w:rsidRDefault="00C84BF2" w:rsidP="00C84BF2"/>
    <w:p w:rsidR="003A27FC" w:rsidRPr="00687A1C" w:rsidRDefault="003A27FC" w:rsidP="003A27FC"/>
    <w:p w:rsidR="003A27FC" w:rsidRPr="00687A1C" w:rsidRDefault="003A27FC" w:rsidP="003A27FC">
      <w:pPr>
        <w:sectPr w:rsidR="003A27FC" w:rsidRPr="00687A1C" w:rsidSect="00D16853">
          <w:type w:val="continuous"/>
          <w:pgSz w:w="11909" w:h="16834" w:code="9"/>
          <w:pgMar w:top="1728" w:right="1152" w:bottom="1152" w:left="1152" w:header="720" w:footer="288" w:gutter="0"/>
          <w:cols w:num="2" w:space="720"/>
          <w:noEndnote/>
        </w:sectPr>
      </w:pPr>
    </w:p>
    <w:p w:rsidR="003A27FC" w:rsidRPr="00687A1C" w:rsidRDefault="003A27FC" w:rsidP="003A27FC">
      <w:pPr>
        <w:pStyle w:val="Heading1a"/>
        <w:rPr>
          <w:rFonts w:asciiTheme="minorHAnsi" w:hAnsiTheme="minorHAnsi" w:cstheme="minorHAnsi"/>
        </w:rPr>
      </w:pPr>
      <w:r w:rsidRPr="00687A1C">
        <w:rPr>
          <w:rFonts w:asciiTheme="minorHAnsi" w:hAnsiTheme="minorHAnsi" w:cstheme="minorHAnsi"/>
        </w:rPr>
        <w:lastRenderedPageBreak/>
        <w:t>Governance of DTF</w:t>
      </w:r>
    </w:p>
    <w:p w:rsidR="003A27FC" w:rsidRPr="00687A1C" w:rsidRDefault="003A27FC" w:rsidP="003A27FC">
      <w:pPr>
        <w:sectPr w:rsidR="003A27FC" w:rsidRPr="00687A1C" w:rsidSect="00D16853">
          <w:pgSz w:w="11909" w:h="16834" w:code="9"/>
          <w:pgMar w:top="1728" w:right="1152" w:bottom="1152" w:left="1152" w:header="720" w:footer="288" w:gutter="0"/>
          <w:cols w:space="720"/>
          <w:noEndnote/>
        </w:sectPr>
      </w:pPr>
    </w:p>
    <w:p w:rsidR="00053F20" w:rsidRPr="00687A1C" w:rsidRDefault="00053F20" w:rsidP="00053F20">
      <w:r w:rsidRPr="00687A1C">
        <w:t>The overarching governance body for the Department is the Treasury and Finance Board.</w:t>
      </w:r>
    </w:p>
    <w:p w:rsidR="00053F20" w:rsidRPr="00687A1C" w:rsidRDefault="00053F20" w:rsidP="00053F20">
      <w:r w:rsidRPr="00687A1C">
        <w:t>The Board</w:t>
      </w:r>
      <w:r w:rsidR="009469FE" w:rsidRPr="00687A1C">
        <w:t>’</w:t>
      </w:r>
      <w:r w:rsidRPr="00687A1C">
        <w:t>s membership includes the Departmental Secretary and Deputy Secretaries.</w:t>
      </w:r>
    </w:p>
    <w:p w:rsidR="00053F20" w:rsidRPr="00687A1C" w:rsidRDefault="00053F20" w:rsidP="00053F20">
      <w:r w:rsidRPr="00687A1C">
        <w:t>The Board</w:t>
      </w:r>
      <w:r w:rsidR="009469FE" w:rsidRPr="00687A1C">
        <w:t>’</w:t>
      </w:r>
      <w:r w:rsidRPr="00687A1C">
        <w:t>s primary function is to set and monitor the overall strategic direction, provide effective guidance and leadership, and to ensure the sound financial management and general compliance of the Department. The Board also provides high level monitoring and oversight of the Department</w:t>
      </w:r>
      <w:r w:rsidR="009469FE" w:rsidRPr="00687A1C">
        <w:t>’</w:t>
      </w:r>
      <w:r w:rsidRPr="00687A1C">
        <w:t>s people management and organisational strategies.</w:t>
      </w:r>
    </w:p>
    <w:p w:rsidR="00053F20" w:rsidRPr="00687A1C" w:rsidRDefault="00053F20" w:rsidP="00053F20">
      <w:r w:rsidRPr="00687A1C">
        <w:t>The Board met 10 times in 2017-18.</w:t>
      </w:r>
    </w:p>
    <w:p w:rsidR="00053F20" w:rsidRPr="00687A1C" w:rsidRDefault="00053F20" w:rsidP="00053F20">
      <w:r w:rsidRPr="00687A1C">
        <w:t>The functions of</w:t>
      </w:r>
      <w:r w:rsidR="0042156D" w:rsidRPr="00687A1C">
        <w:t xml:space="preserve"> the Board are supported by sub</w:t>
      </w:r>
      <w:r w:rsidR="0042156D" w:rsidRPr="00687A1C">
        <w:noBreakHyphen/>
      </w:r>
      <w:r w:rsidRPr="00687A1C">
        <w:t>committees. The current structure and role of each sub-committee is:</w:t>
      </w:r>
    </w:p>
    <w:p w:rsidR="00053F20" w:rsidRPr="00687A1C" w:rsidRDefault="00053F20" w:rsidP="00053F20">
      <w:pPr>
        <w:pStyle w:val="Bullet"/>
        <w:rPr>
          <w:rFonts w:cstheme="minorHAnsi"/>
        </w:rPr>
      </w:pPr>
      <w:r w:rsidRPr="00687A1C">
        <w:rPr>
          <w:rFonts w:cstheme="minorHAnsi"/>
          <w:b/>
        </w:rPr>
        <w:t>Knowledge Management:</w:t>
      </w:r>
      <w:r w:rsidRPr="00687A1C">
        <w:rPr>
          <w:rFonts w:cstheme="minorHAnsi"/>
        </w:rPr>
        <w:t xml:space="preserve"> supports organisational objectives by making optimal use of knowledge. It involves the design, implementation and review of capability, processes and systems to improve the creating, sharing and application of knowledge.</w:t>
      </w:r>
    </w:p>
    <w:p w:rsidR="00365C85" w:rsidRPr="00687A1C" w:rsidRDefault="00365C85" w:rsidP="00365C85">
      <w:pPr>
        <w:pStyle w:val="Bullet"/>
      </w:pPr>
      <w:r w:rsidRPr="00687A1C">
        <w:rPr>
          <w:b/>
        </w:rPr>
        <w:t>People Committee:</w:t>
      </w:r>
      <w:r w:rsidRPr="00687A1C">
        <w:t xml:space="preserve"> provides leadership to the Department and advises the Board on organisational culture, people, capability and communication issues and progresses initiatives defined within the People and Culture Strategy.</w:t>
      </w:r>
    </w:p>
    <w:p w:rsidR="003A787A" w:rsidRPr="00687A1C" w:rsidRDefault="00365C85" w:rsidP="00344380">
      <w:pPr>
        <w:pStyle w:val="Bullet"/>
      </w:pPr>
      <w:r w:rsidRPr="00687A1C">
        <w:rPr>
          <w:b/>
        </w:rPr>
        <w:t>Remuneration Committee:</w:t>
      </w:r>
      <w:r w:rsidRPr="00687A1C">
        <w:t xml:space="preserve"> reviews and approves all recruitment as well as related remuneration activities.</w:t>
      </w:r>
    </w:p>
    <w:p w:rsidR="003A27FC" w:rsidRPr="00687A1C" w:rsidRDefault="003A27FC" w:rsidP="00F93A60">
      <w:pPr>
        <w:pStyle w:val="Heading3"/>
      </w:pPr>
      <w:r w:rsidRPr="00687A1C">
        <w:br w:type="column"/>
      </w:r>
      <w:r w:rsidRPr="00687A1C">
        <w:t>DTF Audit and Risk Committee</w:t>
      </w:r>
      <w:r w:rsidR="004A0DF2" w:rsidRPr="00687A1C">
        <w:t xml:space="preserve"> membership and roles</w:t>
      </w:r>
    </w:p>
    <w:p w:rsidR="00EB6F60" w:rsidRPr="00687A1C" w:rsidRDefault="00EB6F60" w:rsidP="00EB6F60">
      <w:bookmarkStart w:id="9" w:name="Functions_services2"/>
      <w:r w:rsidRPr="00687A1C">
        <w:t>The Audit and Risk Committee comprised the following members as at 30 June 2018.</w:t>
      </w:r>
    </w:p>
    <w:p w:rsidR="00EB6F60" w:rsidRPr="00687A1C" w:rsidRDefault="00EB6F60" w:rsidP="00EB6F60">
      <w:pPr>
        <w:pStyle w:val="Bullet"/>
      </w:pPr>
      <w:r w:rsidRPr="00687A1C">
        <w:t>Kathy Grigg – Chair (external)</w:t>
      </w:r>
    </w:p>
    <w:p w:rsidR="00EB6F60" w:rsidRPr="00687A1C" w:rsidRDefault="00EB6F60" w:rsidP="00EB6F60">
      <w:pPr>
        <w:pStyle w:val="Bullet"/>
      </w:pPr>
      <w:r w:rsidRPr="00687A1C">
        <w:t>Jan West (external)</w:t>
      </w:r>
    </w:p>
    <w:p w:rsidR="00EB6F60" w:rsidRPr="00687A1C" w:rsidRDefault="00EB6F60" w:rsidP="00EB6F60">
      <w:pPr>
        <w:pStyle w:val="Bullet"/>
      </w:pPr>
      <w:r w:rsidRPr="00687A1C">
        <w:t>Stefano Giorgini (external)</w:t>
      </w:r>
    </w:p>
    <w:p w:rsidR="00EB6F60" w:rsidRPr="00687A1C" w:rsidRDefault="00EB6F60" w:rsidP="00EB6F60">
      <w:pPr>
        <w:pStyle w:val="Bullet"/>
      </w:pPr>
      <w:r w:rsidRPr="00687A1C">
        <w:t>Gayle Porthouse</w:t>
      </w:r>
    </w:p>
    <w:p w:rsidR="00EB6F60" w:rsidRPr="00687A1C" w:rsidRDefault="00EB6F60" w:rsidP="00EB6F60">
      <w:pPr>
        <w:pStyle w:val="Bullet"/>
      </w:pPr>
      <w:r w:rsidRPr="00687A1C">
        <w:t>Steve Mitsas</w:t>
      </w:r>
    </w:p>
    <w:p w:rsidR="00EB6F60" w:rsidRPr="00687A1C" w:rsidRDefault="00EB6F60" w:rsidP="00EB6F60">
      <w:r w:rsidRPr="00687A1C">
        <w:t xml:space="preserve">The main responsibilities of the audit committee </w:t>
      </w:r>
      <w:r w:rsidR="00102CA7" w:rsidRPr="00687A1C">
        <w:br/>
      </w:r>
      <w:r w:rsidRPr="00687A1C">
        <w:t>are to:</w:t>
      </w:r>
    </w:p>
    <w:p w:rsidR="00EB6F60" w:rsidRPr="00687A1C" w:rsidRDefault="00EB6F60" w:rsidP="00EB6F60">
      <w:pPr>
        <w:pStyle w:val="Bullet"/>
      </w:pPr>
      <w:r w:rsidRPr="00687A1C">
        <w:t>assist the Secretary in reviewing the effectiveness of the Department</w:t>
      </w:r>
      <w:r w:rsidR="009469FE" w:rsidRPr="00687A1C">
        <w:t>’</w:t>
      </w:r>
      <w:r w:rsidRPr="00687A1C">
        <w:t>s internal control environment covering:</w:t>
      </w:r>
    </w:p>
    <w:p w:rsidR="00EB6F60" w:rsidRPr="00687A1C" w:rsidRDefault="00EB6F60" w:rsidP="00EB6F60">
      <w:pPr>
        <w:pStyle w:val="Dash"/>
      </w:pPr>
      <w:r w:rsidRPr="00687A1C">
        <w:t>effectiveness and efficiency of operations;</w:t>
      </w:r>
    </w:p>
    <w:p w:rsidR="00EB6F60" w:rsidRPr="00687A1C" w:rsidRDefault="00EB6F60" w:rsidP="00EB6F60">
      <w:pPr>
        <w:pStyle w:val="Dash"/>
      </w:pPr>
      <w:r w:rsidRPr="00687A1C">
        <w:t>reliability of financial reporting; and</w:t>
      </w:r>
    </w:p>
    <w:p w:rsidR="00EB6F60" w:rsidRPr="00687A1C" w:rsidRDefault="00EB6F60" w:rsidP="00EB6F60">
      <w:pPr>
        <w:pStyle w:val="Dash"/>
      </w:pPr>
      <w:r w:rsidRPr="00687A1C">
        <w:t>compliance with applicable laws and regulations;</w:t>
      </w:r>
    </w:p>
    <w:p w:rsidR="00EB6F60" w:rsidRPr="00687A1C" w:rsidRDefault="00EB6F60" w:rsidP="00EB6F60">
      <w:pPr>
        <w:pStyle w:val="Bullet"/>
      </w:pPr>
      <w:r w:rsidRPr="00687A1C">
        <w:t>determine the scope of the internal audit function and ensure its resources are adequate and used effectively, including coordination with the external auditors;</w:t>
      </w:r>
    </w:p>
    <w:p w:rsidR="00EB6F60" w:rsidRPr="00687A1C" w:rsidRDefault="00EB6F60" w:rsidP="00EB6F60">
      <w:pPr>
        <w:pStyle w:val="Bullet"/>
      </w:pPr>
      <w:r w:rsidRPr="00687A1C">
        <w:t>maintain effective communication with external auditors;</w:t>
      </w:r>
    </w:p>
    <w:p w:rsidR="00EB6F60" w:rsidRPr="00687A1C" w:rsidRDefault="00EB6F60" w:rsidP="00EB6F60">
      <w:pPr>
        <w:pStyle w:val="Bullet"/>
      </w:pPr>
      <w:r w:rsidRPr="00687A1C">
        <w:t>consider recommendations made by internal and external auditors and review the implementation of actions to resolve issues raised; and</w:t>
      </w:r>
    </w:p>
    <w:p w:rsidR="00F509D6" w:rsidRPr="00687A1C" w:rsidRDefault="00EB6F60" w:rsidP="00EB6F60">
      <w:pPr>
        <w:pStyle w:val="Bullet"/>
      </w:pPr>
      <w:r w:rsidRPr="00687A1C">
        <w:t>oversee the effective operation of the risk management framework.</w:t>
      </w:r>
    </w:p>
    <w:bookmarkEnd w:id="9"/>
    <w:p w:rsidR="00AE14C5" w:rsidRPr="00687A1C" w:rsidRDefault="00AE14C5" w:rsidP="00AE14C5">
      <w:r w:rsidRPr="00687A1C">
        <w:t>The Department’s internal audit services were provided by KPMG.</w:t>
      </w:r>
    </w:p>
    <w:p w:rsidR="00EA5150" w:rsidRPr="00687A1C" w:rsidRDefault="00EA5150" w:rsidP="003A27FC"/>
    <w:p w:rsidR="003A27FC" w:rsidRPr="00687A1C" w:rsidRDefault="003A27FC" w:rsidP="003A27FC">
      <w:pPr>
        <w:sectPr w:rsidR="003A27FC" w:rsidRPr="00687A1C" w:rsidSect="00D16853">
          <w:type w:val="continuous"/>
          <w:pgSz w:w="11909" w:h="16834" w:code="9"/>
          <w:pgMar w:top="1728" w:right="1152" w:bottom="1152" w:left="1152" w:header="720" w:footer="288" w:gutter="0"/>
          <w:cols w:num="2" w:space="720"/>
          <w:noEndnote/>
        </w:sectPr>
      </w:pPr>
    </w:p>
    <w:p w:rsidR="003A27FC" w:rsidRPr="00687A1C" w:rsidRDefault="003A27FC" w:rsidP="003A27FC">
      <w:pPr>
        <w:pStyle w:val="Heading1"/>
        <w:rPr>
          <w:rFonts w:asciiTheme="minorHAnsi" w:hAnsiTheme="minorHAnsi" w:cstheme="minorHAnsi"/>
        </w:rPr>
      </w:pPr>
      <w:bookmarkStart w:id="10" w:name="_Toc434228914"/>
      <w:bookmarkStart w:id="11" w:name="_Toc525026155"/>
      <w:r w:rsidRPr="00687A1C">
        <w:rPr>
          <w:rFonts w:asciiTheme="minorHAnsi" w:hAnsiTheme="minorHAnsi" w:cstheme="minorHAnsi"/>
        </w:rPr>
        <w:lastRenderedPageBreak/>
        <w:t>Report of operations</w:t>
      </w:r>
      <w:bookmarkEnd w:id="10"/>
      <w:bookmarkEnd w:id="11"/>
    </w:p>
    <w:p w:rsidR="003A27FC" w:rsidRPr="00687A1C" w:rsidRDefault="003A27FC" w:rsidP="00F93A60">
      <w:pPr>
        <w:pStyle w:val="Heading2"/>
        <w:sectPr w:rsidR="003A27FC" w:rsidRPr="00687A1C" w:rsidSect="00D16853">
          <w:pgSz w:w="11909" w:h="16834" w:code="9"/>
          <w:pgMar w:top="1728" w:right="1152" w:bottom="1152" w:left="1152" w:header="720" w:footer="288" w:gutter="0"/>
          <w:cols w:space="720"/>
          <w:noEndnote/>
        </w:sectPr>
      </w:pPr>
    </w:p>
    <w:p w:rsidR="003A27FC" w:rsidRPr="00687A1C" w:rsidRDefault="003A27FC" w:rsidP="00F93A60">
      <w:pPr>
        <w:pStyle w:val="Heading2"/>
      </w:pPr>
      <w:r w:rsidRPr="00687A1C">
        <w:t>Secretary</w:t>
      </w:r>
      <w:r w:rsidR="009469FE" w:rsidRPr="00687A1C">
        <w:t>’</w:t>
      </w:r>
      <w:r w:rsidRPr="00687A1C">
        <w:t>s foreword</w:t>
      </w:r>
    </w:p>
    <w:p w:rsidR="00B81829" w:rsidRPr="00687A1C" w:rsidRDefault="00B81829" w:rsidP="00B81829">
      <w:r w:rsidRPr="00687A1C">
        <w:t>I am pleased to present the 2017-18 Annual Report for the Department of Treasury and Finance (DTF), which outlines the Department</w:t>
      </w:r>
      <w:r w:rsidR="009469FE" w:rsidRPr="00687A1C">
        <w:t>’</w:t>
      </w:r>
      <w:r w:rsidRPr="00687A1C">
        <w:t>s key achievements over the past year and its progress in supporting delivery of both the Government</w:t>
      </w:r>
      <w:r w:rsidR="009469FE" w:rsidRPr="00687A1C">
        <w:t>’</w:t>
      </w:r>
      <w:r w:rsidRPr="00687A1C">
        <w:t>s policy commitments and the Department</w:t>
      </w:r>
      <w:r w:rsidR="009469FE" w:rsidRPr="00687A1C">
        <w:t>’</w:t>
      </w:r>
      <w:r w:rsidRPr="00687A1C">
        <w:t>s core functions.</w:t>
      </w:r>
    </w:p>
    <w:p w:rsidR="00B81829" w:rsidRPr="00687A1C" w:rsidRDefault="00B81829" w:rsidP="00B81829">
      <w:r w:rsidRPr="00687A1C">
        <w:t>I am particularly proud of the Department</w:t>
      </w:r>
      <w:r w:rsidR="009469FE" w:rsidRPr="00687A1C">
        <w:t>’</w:t>
      </w:r>
      <w:r w:rsidRPr="00687A1C">
        <w:t xml:space="preserve">s leadership and collaboration across government to develop and implement innovative and effective policy reforms in the key areas of social </w:t>
      </w:r>
      <w:r w:rsidR="00E06462" w:rsidRPr="00687A1C">
        <w:t xml:space="preserve">policy, </w:t>
      </w:r>
      <w:r w:rsidR="00A92CF3" w:rsidRPr="00687A1C">
        <w:t xml:space="preserve">state </w:t>
      </w:r>
      <w:r w:rsidRPr="00687A1C">
        <w:t>tax</w:t>
      </w:r>
      <w:r w:rsidR="00A92CF3" w:rsidRPr="00687A1C">
        <w:t>ation</w:t>
      </w:r>
      <w:r w:rsidRPr="00687A1C">
        <w:t xml:space="preserve"> and financial management. The Department also continued its central role in providing high</w:t>
      </w:r>
      <w:r w:rsidR="00E06462" w:rsidRPr="00687A1C">
        <w:noBreakHyphen/>
      </w:r>
      <w:r w:rsidRPr="00687A1C">
        <w:t xml:space="preserve">quality advice </w:t>
      </w:r>
      <w:r w:rsidR="00E06462" w:rsidRPr="00687A1C">
        <w:t xml:space="preserve">on </w:t>
      </w:r>
      <w:r w:rsidRPr="00687A1C">
        <w:t>the Government</w:t>
      </w:r>
      <w:r w:rsidR="009469FE" w:rsidRPr="00687A1C">
        <w:t>’</w:t>
      </w:r>
      <w:r w:rsidRPr="00687A1C">
        <w:t xml:space="preserve">s major transport infrastructure program. </w:t>
      </w:r>
    </w:p>
    <w:p w:rsidR="00C3393C" w:rsidRPr="00687A1C" w:rsidRDefault="00B81829" w:rsidP="00B81829">
      <w:r w:rsidRPr="00687A1C">
        <w:t>The Department</w:t>
      </w:r>
      <w:r w:rsidR="009469FE" w:rsidRPr="00687A1C">
        <w:t>’</w:t>
      </w:r>
      <w:r w:rsidRPr="00687A1C">
        <w:t>s major achievements for 2017-18 included:</w:t>
      </w:r>
    </w:p>
    <w:p w:rsidR="00B81829" w:rsidRPr="00687A1C" w:rsidRDefault="00B81829" w:rsidP="00B81829">
      <w:pPr>
        <w:pStyle w:val="Bullet"/>
      </w:pPr>
      <w:r w:rsidRPr="00687A1C">
        <w:t xml:space="preserve">producing key financial and economic publications for the State, including the </w:t>
      </w:r>
      <w:r w:rsidRPr="00687A1C">
        <w:br/>
      </w:r>
      <w:r w:rsidRPr="00687A1C">
        <w:rPr>
          <w:i/>
        </w:rPr>
        <w:t>2018-19 Budget</w:t>
      </w:r>
      <w:r w:rsidRPr="00687A1C">
        <w:t xml:space="preserve">, the </w:t>
      </w:r>
      <w:r w:rsidR="00C213F9" w:rsidRPr="00687A1C">
        <w:rPr>
          <w:i/>
        </w:rPr>
        <w:t>2016</w:t>
      </w:r>
      <w:r w:rsidRPr="00687A1C">
        <w:rPr>
          <w:i/>
        </w:rPr>
        <w:t>-1</w:t>
      </w:r>
      <w:r w:rsidR="00C213F9" w:rsidRPr="00687A1C">
        <w:rPr>
          <w:i/>
        </w:rPr>
        <w:t>7</w:t>
      </w:r>
      <w:r w:rsidRPr="00687A1C">
        <w:rPr>
          <w:i/>
        </w:rPr>
        <w:t xml:space="preserve"> Financial Report</w:t>
      </w:r>
      <w:r w:rsidRPr="00687A1C">
        <w:t xml:space="preserve"> and </w:t>
      </w:r>
      <w:r w:rsidRPr="00687A1C">
        <w:rPr>
          <w:i/>
        </w:rPr>
        <w:t>201</w:t>
      </w:r>
      <w:r w:rsidR="00C213F9" w:rsidRPr="00687A1C">
        <w:rPr>
          <w:i/>
        </w:rPr>
        <w:t>7</w:t>
      </w:r>
      <w:r w:rsidRPr="00687A1C">
        <w:rPr>
          <w:i/>
        </w:rPr>
        <w:t>-1</w:t>
      </w:r>
      <w:r w:rsidR="00C213F9" w:rsidRPr="00687A1C">
        <w:rPr>
          <w:i/>
        </w:rPr>
        <w:t>8</w:t>
      </w:r>
      <w:r w:rsidRPr="00687A1C">
        <w:rPr>
          <w:i/>
        </w:rPr>
        <w:t xml:space="preserve"> Budget Update</w:t>
      </w:r>
      <w:r w:rsidRPr="00687A1C">
        <w:t>;</w:t>
      </w:r>
    </w:p>
    <w:p w:rsidR="00B81829" w:rsidRPr="00687A1C" w:rsidRDefault="00B81829" w:rsidP="00B81829">
      <w:pPr>
        <w:pStyle w:val="Bullet"/>
      </w:pPr>
      <w:r w:rsidRPr="00687A1C">
        <w:t>leading the sale of the State</w:t>
      </w:r>
      <w:r w:rsidR="009469FE" w:rsidRPr="00687A1C">
        <w:t>’</w:t>
      </w:r>
      <w:r w:rsidRPr="00687A1C">
        <w:t>s shareholding in Snowy Hydro Limited;</w:t>
      </w:r>
    </w:p>
    <w:p w:rsidR="00B81829" w:rsidRPr="00687A1C" w:rsidRDefault="00B81829" w:rsidP="00B81829">
      <w:pPr>
        <w:pStyle w:val="Bullet"/>
      </w:pPr>
      <w:r w:rsidRPr="00687A1C">
        <w:t>continuing to progress development of a point of consumption tax to apply to all wagering and betting in the State;</w:t>
      </w:r>
    </w:p>
    <w:p w:rsidR="00B81829" w:rsidRPr="00687A1C" w:rsidRDefault="00B81829" w:rsidP="00B81829">
      <w:pPr>
        <w:pStyle w:val="Bullet"/>
      </w:pPr>
      <w:r w:rsidRPr="00687A1C">
        <w:t>introducing Victoria</w:t>
      </w:r>
      <w:r w:rsidR="009469FE" w:rsidRPr="00687A1C">
        <w:t>’</w:t>
      </w:r>
      <w:r w:rsidRPr="00687A1C">
        <w:t>s first Social Impact Bonds Pilot program;</w:t>
      </w:r>
    </w:p>
    <w:p w:rsidR="00B81829" w:rsidRPr="00687A1C" w:rsidRDefault="00B81829" w:rsidP="00B81829">
      <w:pPr>
        <w:pStyle w:val="Bullet"/>
      </w:pPr>
      <w:r w:rsidRPr="00687A1C">
        <w:t xml:space="preserve">preparing the </w:t>
      </w:r>
      <w:r w:rsidR="005718E8" w:rsidRPr="00687A1C">
        <w:rPr>
          <w:i/>
        </w:rPr>
        <w:t>State</w:t>
      </w:r>
      <w:r w:rsidR="005718E8" w:rsidRPr="00687A1C">
        <w:t xml:space="preserve"> </w:t>
      </w:r>
      <w:r w:rsidRPr="00687A1C">
        <w:rPr>
          <w:i/>
        </w:rPr>
        <w:t>Taxation Acts Further Amendment Act 2017</w:t>
      </w:r>
      <w:r w:rsidR="005718E8" w:rsidRPr="00687A1C">
        <w:t xml:space="preserve"> and the </w:t>
      </w:r>
      <w:r w:rsidR="005718E8" w:rsidRPr="00687A1C">
        <w:rPr>
          <w:i/>
        </w:rPr>
        <w:t>State Taxation Acts Amendment Act 2018</w:t>
      </w:r>
      <w:r w:rsidRPr="00687A1C">
        <w:t>;</w:t>
      </w:r>
    </w:p>
    <w:p w:rsidR="00B81829" w:rsidRPr="00687A1C" w:rsidRDefault="00F621F3" w:rsidP="00F621F3">
      <w:pPr>
        <w:pStyle w:val="Bullet"/>
      </w:pPr>
      <w:r w:rsidRPr="00687A1C">
        <w:t>contributing to the development of initiatives to support the Government’s energy policy commitments</w:t>
      </w:r>
      <w:r w:rsidR="00B81829" w:rsidRPr="00687A1C">
        <w:t xml:space="preserve">, including </w:t>
      </w:r>
      <w:r w:rsidR="003A0CE3" w:rsidRPr="00687A1C">
        <w:t xml:space="preserve">supporting the </w:t>
      </w:r>
      <w:r w:rsidR="00204B9E" w:rsidRPr="00687A1C">
        <w:t>implementation</w:t>
      </w:r>
      <w:r w:rsidR="003A0CE3" w:rsidRPr="00687A1C">
        <w:t xml:space="preserve"> of</w:t>
      </w:r>
      <w:r w:rsidR="00B81829" w:rsidRPr="00687A1C">
        <w:t xml:space="preserve"> the first Victorian Renewable Energy Target auction;</w:t>
      </w:r>
    </w:p>
    <w:p w:rsidR="00B81829" w:rsidRPr="00687A1C" w:rsidRDefault="00B81829" w:rsidP="00B81829">
      <w:pPr>
        <w:pStyle w:val="Bullet"/>
      </w:pPr>
      <w:r w:rsidRPr="00687A1C">
        <w:t>providing advice to the Government on continuing negotiations</w:t>
      </w:r>
      <w:r w:rsidR="00A92CF3" w:rsidRPr="00687A1C">
        <w:t xml:space="preserve"> with the Commonwealth on </w:t>
      </w:r>
      <w:r w:rsidRPr="00687A1C">
        <w:t>new National Partnership Agreements, including Gonski 2.0, the National Housing and Homelessness Agreement, National Health Reform Agreement, and the Skilling Australian Fund;</w:t>
      </w:r>
    </w:p>
    <w:p w:rsidR="00B81829" w:rsidRPr="00687A1C" w:rsidRDefault="00B81829" w:rsidP="00B81829">
      <w:pPr>
        <w:pStyle w:val="Bullet"/>
      </w:pPr>
      <w:r w:rsidRPr="00687A1C">
        <w:t xml:space="preserve">producing the first edition of </w:t>
      </w:r>
      <w:r w:rsidRPr="00687A1C">
        <w:rPr>
          <w:i/>
        </w:rPr>
        <w:t>Victoria</w:t>
      </w:r>
      <w:r w:rsidR="00526B86" w:rsidRPr="00687A1C">
        <w:rPr>
          <w:i/>
        </w:rPr>
        <w:t>’s</w:t>
      </w:r>
      <w:r w:rsidRPr="00687A1C">
        <w:rPr>
          <w:i/>
        </w:rPr>
        <w:t xml:space="preserve"> Economic Bulletin</w:t>
      </w:r>
      <w:r w:rsidRPr="00687A1C">
        <w:t xml:space="preserve">, a bi-annual publication; </w:t>
      </w:r>
    </w:p>
    <w:p w:rsidR="00B81829" w:rsidRPr="00687A1C" w:rsidRDefault="00B81829" w:rsidP="00B81829">
      <w:pPr>
        <w:pStyle w:val="Bullet"/>
      </w:pPr>
      <w:r w:rsidRPr="00687A1C">
        <w:t>implementing reforms to streamline and improve the procurement of public construction in Victoria;</w:t>
      </w:r>
    </w:p>
    <w:p w:rsidR="00DD3763" w:rsidRPr="00687A1C" w:rsidRDefault="00B81829" w:rsidP="00B81829">
      <w:pPr>
        <w:pStyle w:val="Bullet"/>
      </w:pPr>
      <w:r w:rsidRPr="00687A1C">
        <w:t>developing initiatives to support the Government</w:t>
      </w:r>
      <w:r w:rsidR="009469FE" w:rsidRPr="00687A1C">
        <w:t>’</w:t>
      </w:r>
      <w:r w:rsidRPr="00687A1C">
        <w:t xml:space="preserve">s </w:t>
      </w:r>
      <w:r w:rsidRPr="00687A1C">
        <w:rPr>
          <w:i/>
        </w:rPr>
        <w:t>Homes for Victorians</w:t>
      </w:r>
      <w:r w:rsidRPr="00687A1C">
        <w:t xml:space="preserve"> housing strategy; </w:t>
      </w:r>
    </w:p>
    <w:p w:rsidR="00B81829" w:rsidRPr="00687A1C" w:rsidRDefault="00DD3763" w:rsidP="00B81829">
      <w:pPr>
        <w:pStyle w:val="Bullet"/>
      </w:pPr>
      <w:r w:rsidRPr="00687A1C">
        <w:br w:type="column"/>
      </w:r>
      <w:r w:rsidR="00B81829" w:rsidRPr="00687A1C">
        <w:t xml:space="preserve">implementing the </w:t>
      </w:r>
      <w:r w:rsidR="00B81829" w:rsidRPr="00687A1C">
        <w:rPr>
          <w:i/>
        </w:rPr>
        <w:t>HomesVic</w:t>
      </w:r>
      <w:r w:rsidR="00B81829" w:rsidRPr="00687A1C">
        <w:t xml:space="preserve"> pilot scheme;</w:t>
      </w:r>
    </w:p>
    <w:p w:rsidR="00B81829" w:rsidRPr="00687A1C" w:rsidRDefault="00B81829" w:rsidP="00B81829">
      <w:pPr>
        <w:pStyle w:val="Bullet"/>
      </w:pPr>
      <w:r w:rsidRPr="00687A1C">
        <w:t>leading industry consultation in the development of the Engineers Registration Bill 2018, which includes the introduction of a mandatory, statutory registration scheme for engineers;</w:t>
      </w:r>
    </w:p>
    <w:p w:rsidR="00B81829" w:rsidRPr="00687A1C" w:rsidRDefault="00B81829" w:rsidP="00B81829">
      <w:pPr>
        <w:pStyle w:val="Bullet"/>
      </w:pPr>
      <w:r w:rsidRPr="00687A1C">
        <w:t>preparing the Financial Management and Constitution Act Amendment Bill 2017 to strengthen public sector accountability and update Victoria</w:t>
      </w:r>
      <w:r w:rsidR="009469FE" w:rsidRPr="00687A1C">
        <w:t>’</w:t>
      </w:r>
      <w:r w:rsidRPr="00687A1C">
        <w:t>s key public sector finance legislation;</w:t>
      </w:r>
    </w:p>
    <w:p w:rsidR="00B81829" w:rsidRPr="00687A1C" w:rsidRDefault="00B81829" w:rsidP="00B81829">
      <w:pPr>
        <w:pStyle w:val="Bullet"/>
      </w:pPr>
      <w:r w:rsidRPr="00687A1C">
        <w:t>continuing to support the Government to maintain disciplined financial management and the State</w:t>
      </w:r>
      <w:r w:rsidR="009469FE" w:rsidRPr="00687A1C">
        <w:t>’</w:t>
      </w:r>
      <w:r w:rsidRPr="00687A1C">
        <w:t>s triple</w:t>
      </w:r>
      <w:r w:rsidR="0042156D" w:rsidRPr="00687A1C">
        <w:noBreakHyphen/>
      </w:r>
      <w:r w:rsidRPr="00687A1C">
        <w:t xml:space="preserve">A credit rating; </w:t>
      </w:r>
    </w:p>
    <w:p w:rsidR="00B81829" w:rsidRPr="00687A1C" w:rsidRDefault="00B81829" w:rsidP="00B81829">
      <w:pPr>
        <w:pStyle w:val="Bullet"/>
      </w:pPr>
      <w:r w:rsidRPr="00687A1C">
        <w:t>implementing a monitoring and reporting scheme to support the Government</w:t>
      </w:r>
      <w:r w:rsidR="009469FE" w:rsidRPr="00687A1C">
        <w:t>’</w:t>
      </w:r>
      <w:r w:rsidRPr="00687A1C">
        <w:t>s 25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red tape reduction target; </w:t>
      </w:r>
    </w:p>
    <w:p w:rsidR="00B81829" w:rsidRPr="00687A1C" w:rsidRDefault="00B81829" w:rsidP="00B81829">
      <w:pPr>
        <w:pStyle w:val="Bullet"/>
      </w:pPr>
      <w:r w:rsidRPr="00687A1C">
        <w:t>introducing a Social Procurement Framework for government buyers and suppliers, in partnership with the Department of Economic Development, J</w:t>
      </w:r>
      <w:r w:rsidR="00B1006A" w:rsidRPr="00687A1C">
        <w:t>obs, Transport and Resources;</w:t>
      </w:r>
    </w:p>
    <w:p w:rsidR="00B1006A" w:rsidRPr="00687A1C" w:rsidRDefault="00B1006A" w:rsidP="00B1006A">
      <w:pPr>
        <w:pStyle w:val="Bullet"/>
      </w:pPr>
      <w:r w:rsidRPr="00687A1C">
        <w:t>producing standard form project deeds to be used as the basis for all future public private partnership (PPP) infrastructure projects; and</w:t>
      </w:r>
    </w:p>
    <w:p w:rsidR="00B1006A" w:rsidRPr="00687A1C" w:rsidRDefault="00B1006A" w:rsidP="00B1006A">
      <w:pPr>
        <w:pStyle w:val="Bullet"/>
      </w:pPr>
      <w:r w:rsidRPr="00687A1C">
        <w:t>releasing an updated Market</w:t>
      </w:r>
      <w:r w:rsidRPr="00CB2B61">
        <w:rPr>
          <w:rFonts w:ascii="Cambria Math" w:eastAsia="MS Mincho" w:hAnsi="Cambria Math" w:cs="Cambria Math"/>
        </w:rPr>
        <w:t>‑</w:t>
      </w:r>
      <w:r w:rsidRPr="00687A1C">
        <w:t>led Proposals Guideline to improve the efficient progress of high</w:t>
      </w:r>
      <w:r w:rsidR="0027531A" w:rsidRPr="00687A1C">
        <w:t>-</w:t>
      </w:r>
      <w:r w:rsidRPr="00687A1C">
        <w:t>quality proposals.</w:t>
      </w:r>
    </w:p>
    <w:p w:rsidR="00B81829" w:rsidRPr="00687A1C" w:rsidRDefault="00B81829" w:rsidP="00B81829">
      <w:pPr>
        <w:pStyle w:val="Heading2"/>
      </w:pPr>
      <w:r w:rsidRPr="00687A1C">
        <w:t>Future challenges</w:t>
      </w:r>
    </w:p>
    <w:p w:rsidR="00B81829" w:rsidRPr="00687A1C" w:rsidRDefault="00B81829" w:rsidP="00B81829">
      <w:r w:rsidRPr="00687A1C">
        <w:t>In 2018-19, the priorities outlined in the Department</w:t>
      </w:r>
      <w:r w:rsidR="009469FE" w:rsidRPr="00687A1C">
        <w:t>’</w:t>
      </w:r>
      <w:r w:rsidRPr="00687A1C">
        <w:t xml:space="preserve">s </w:t>
      </w:r>
      <w:r w:rsidRPr="00687A1C">
        <w:rPr>
          <w:i/>
        </w:rPr>
        <w:t>2018-2022 Corporate Plan</w:t>
      </w:r>
      <w:r w:rsidRPr="00687A1C">
        <w:t xml:space="preserve"> will continue to drive our agenda, focusing on a comprehensive program of economic, financial and commercial reforms, and the delivery of quality, value-for-money services for the </w:t>
      </w:r>
      <w:r w:rsidR="002767F2" w:rsidRPr="00687A1C">
        <w:t>Government</w:t>
      </w:r>
      <w:r w:rsidRPr="00687A1C">
        <w:t xml:space="preserve">. The Department will continue to be effective in meeting its commitments, supported by the ongoing implementation of an ICT strategy that will support an agile and adaptable workforce. </w:t>
      </w:r>
    </w:p>
    <w:p w:rsidR="00CB2690" w:rsidRPr="00687A1C" w:rsidRDefault="00B81829" w:rsidP="00B81829">
      <w:r w:rsidRPr="00687A1C">
        <w:t>Significant projects for 2018-19 include:</w:t>
      </w:r>
    </w:p>
    <w:p w:rsidR="00B81829" w:rsidRPr="00687A1C" w:rsidRDefault="00B81829" w:rsidP="00B81829">
      <w:pPr>
        <w:pStyle w:val="Bullet"/>
      </w:pPr>
      <w:r w:rsidRPr="00687A1C">
        <w:t>delivering the 2019-20 Budget and the Pre</w:t>
      </w:r>
      <w:r w:rsidRPr="00687A1C">
        <w:noBreakHyphen/>
        <w:t>Election Budget Update;</w:t>
      </w:r>
    </w:p>
    <w:p w:rsidR="00B81829" w:rsidRPr="00687A1C" w:rsidRDefault="00B81829" w:rsidP="00B81829">
      <w:pPr>
        <w:pStyle w:val="Bullet"/>
      </w:pPr>
      <w:r w:rsidRPr="00687A1C">
        <w:t>finalising the commercialisation of land titles and registry functions of Land Use Victoria;</w:t>
      </w:r>
    </w:p>
    <w:p w:rsidR="00B81829" w:rsidRPr="00687A1C" w:rsidRDefault="008C01C9" w:rsidP="008C01C9">
      <w:pPr>
        <w:pStyle w:val="Bullet"/>
      </w:pPr>
      <w:r w:rsidRPr="00687A1C">
        <w:t>providing advice to the Government on the Commonwealth Grants Commission 2020 methodology review, and the Commonwealth’s response to the Productivity Commission’s Review of Horizontal Fiscal Equalisation</w:t>
      </w:r>
      <w:r w:rsidR="007F58AD" w:rsidRPr="00687A1C">
        <w:t>;</w:t>
      </w:r>
    </w:p>
    <w:p w:rsidR="00F621F3" w:rsidRPr="00687A1C" w:rsidRDefault="00F621F3" w:rsidP="00F621F3">
      <w:pPr>
        <w:pStyle w:val="Bullet"/>
      </w:pPr>
      <w:r w:rsidRPr="00687A1C">
        <w:t xml:space="preserve">continuing to provide economic, financial and resource management advice to help the Victorian Government deliver its </w:t>
      </w:r>
      <w:r w:rsidR="00DC57CB" w:rsidRPr="00687A1C">
        <w:t>commitments</w:t>
      </w:r>
      <w:r w:rsidRPr="00687A1C">
        <w:t>;</w:t>
      </w:r>
    </w:p>
    <w:p w:rsidR="00B81829" w:rsidRPr="00687A1C" w:rsidRDefault="00B81829" w:rsidP="00BE5F15">
      <w:pPr>
        <w:pStyle w:val="Bullet"/>
        <w:keepNext/>
        <w:keepLines/>
      </w:pPr>
      <w:r w:rsidRPr="00687A1C">
        <w:lastRenderedPageBreak/>
        <w:t>collaborating across government on expiring and new National Partnership agreements</w:t>
      </w:r>
      <w:r w:rsidR="00EB2016" w:rsidRPr="00687A1C">
        <w:t>, including the renegotiation of the National Health Reform Agreement;</w:t>
      </w:r>
    </w:p>
    <w:p w:rsidR="00B81829" w:rsidRPr="00687A1C" w:rsidRDefault="00B81829" w:rsidP="00BE5F15">
      <w:pPr>
        <w:pStyle w:val="Bullet"/>
        <w:keepNext/>
      </w:pPr>
      <w:r w:rsidRPr="00687A1C">
        <w:t xml:space="preserve">supporting the implementation of new accounting standards; </w:t>
      </w:r>
    </w:p>
    <w:p w:rsidR="00B81829" w:rsidRPr="00687A1C" w:rsidRDefault="007814E8" w:rsidP="007814E8">
      <w:pPr>
        <w:pStyle w:val="Bullet"/>
        <w:keepLines/>
      </w:pPr>
      <w:r w:rsidRPr="00687A1C">
        <w:t>going to market for partners to develop</w:t>
      </w:r>
      <w:r w:rsidR="00B81829" w:rsidRPr="00687A1C">
        <w:t xml:space="preserve"> two Partnerships Addressing Disadvantage; </w:t>
      </w:r>
    </w:p>
    <w:p w:rsidR="00B81829" w:rsidRPr="00687A1C" w:rsidRDefault="00B81829" w:rsidP="00B81829">
      <w:pPr>
        <w:pStyle w:val="Bullet"/>
      </w:pPr>
      <w:r w:rsidRPr="00687A1C">
        <w:t>supporting implementation of the National Disability Insurance Scheme;</w:t>
      </w:r>
    </w:p>
    <w:p w:rsidR="0059177C" w:rsidRPr="00687A1C" w:rsidRDefault="0059177C" w:rsidP="0059177C">
      <w:pPr>
        <w:pStyle w:val="Bullet"/>
      </w:pPr>
      <w:r w:rsidRPr="00687A1C">
        <w:t>continuing to expand and improve on the application of new and innovative PPP models, including through the next phase of the arterial roads maintenance PPP Suburban Roads Upgrade program;</w:t>
      </w:r>
    </w:p>
    <w:p w:rsidR="00B81829" w:rsidRPr="00687A1C" w:rsidRDefault="00B81829" w:rsidP="00B81829">
      <w:pPr>
        <w:pStyle w:val="Bullet"/>
      </w:pPr>
      <w:r w:rsidRPr="00687A1C">
        <w:t xml:space="preserve">overseeing the commercial structuring of </w:t>
      </w:r>
      <w:r w:rsidR="001F5A76" w:rsidRPr="00687A1C">
        <w:t xml:space="preserve">PPP </w:t>
      </w:r>
      <w:r w:rsidRPr="00687A1C">
        <w:t>projects, including North East Link, and implementing stages 1 and 2 of the Market-led Proposals Guideline;</w:t>
      </w:r>
    </w:p>
    <w:p w:rsidR="00B81829" w:rsidRPr="00687A1C" w:rsidRDefault="00B81829" w:rsidP="00B81829">
      <w:pPr>
        <w:pStyle w:val="Bullet"/>
      </w:pPr>
      <w:r w:rsidRPr="00687A1C">
        <w:t xml:space="preserve">continuing to work towards meeting government land sales targets; </w:t>
      </w:r>
    </w:p>
    <w:p w:rsidR="00B81829" w:rsidRPr="00687A1C" w:rsidRDefault="00B81829" w:rsidP="00B81829">
      <w:pPr>
        <w:pStyle w:val="Bullet"/>
      </w:pPr>
      <w:r w:rsidRPr="00687A1C">
        <w:t>overseeing the implementation of the Victorian Social Housing Growth Fund and the Building the Financial Capacity of Housing Associations initiatives;</w:t>
      </w:r>
    </w:p>
    <w:p w:rsidR="00B81829" w:rsidRPr="00687A1C" w:rsidRDefault="00B81829" w:rsidP="00B81829">
      <w:pPr>
        <w:pStyle w:val="Bullet"/>
      </w:pPr>
      <w:r w:rsidRPr="00687A1C">
        <w:t>leading a review of whole of government accommodation standards; and</w:t>
      </w:r>
    </w:p>
    <w:p w:rsidR="00B81829" w:rsidRPr="00687A1C" w:rsidRDefault="00B81829" w:rsidP="00B81829">
      <w:pPr>
        <w:pStyle w:val="Bullet"/>
      </w:pPr>
      <w:r w:rsidRPr="00687A1C">
        <w:t>continuing to progress whole of government procurement reform, including the development and implementation of the Government</w:t>
      </w:r>
      <w:r w:rsidR="009469FE" w:rsidRPr="00687A1C">
        <w:t>’</w:t>
      </w:r>
      <w:r w:rsidRPr="00687A1C">
        <w:t>s Buying for Victoria initiative.</w:t>
      </w:r>
    </w:p>
    <w:p w:rsidR="006050B1" w:rsidRPr="00687A1C" w:rsidRDefault="006050B1" w:rsidP="009418AF"/>
    <w:p w:rsidR="008614BF" w:rsidRPr="00687A1C" w:rsidRDefault="008614BF" w:rsidP="008614BF">
      <w:pPr>
        <w:pStyle w:val="Heading2"/>
      </w:pPr>
      <w:r w:rsidRPr="00687A1C">
        <w:t>Our people</w:t>
      </w:r>
    </w:p>
    <w:p w:rsidR="00B81829" w:rsidRPr="00687A1C" w:rsidRDefault="00B81829" w:rsidP="00B81829">
      <w:r w:rsidRPr="00687A1C">
        <w:t>In 2017-18, the Department commenced a significant technology upgrade to support a smarter, more flexible working environment. The Department</w:t>
      </w:r>
      <w:r w:rsidR="009469FE" w:rsidRPr="00687A1C">
        <w:t>’</w:t>
      </w:r>
      <w:r w:rsidRPr="00687A1C">
        <w:t xml:space="preserve">s ICT strategy provides for the roll out of a suite of tools that will also ensure the security of our data and information, and enhance our records management systems. </w:t>
      </w:r>
    </w:p>
    <w:p w:rsidR="00B81829" w:rsidRPr="00687A1C" w:rsidRDefault="00B81829" w:rsidP="00B81829">
      <w:r w:rsidRPr="00687A1C">
        <w:t xml:space="preserve">The Department continued to deliver on key aspects of its 2017 People Matter Survey Action Plan, which outlines key objectives focused on flexible working, diversity and inclusion, gender equality, </w:t>
      </w:r>
      <w:r w:rsidR="007814E8" w:rsidRPr="00687A1C">
        <w:t xml:space="preserve">wellbeing in the workplace </w:t>
      </w:r>
      <w:r w:rsidRPr="00687A1C">
        <w:t>and developing leadership capability at all levels of the organisation. The Department</w:t>
      </w:r>
      <w:r w:rsidR="009469FE" w:rsidRPr="00687A1C">
        <w:t>’</w:t>
      </w:r>
      <w:r w:rsidRPr="00687A1C">
        <w:t>s innovative Senior Executive Group champion model has been recognised across government as an effective way to inspire whole of department engagement and support delivery of the Department</w:t>
      </w:r>
      <w:r w:rsidR="009469FE" w:rsidRPr="00687A1C">
        <w:t>’</w:t>
      </w:r>
      <w:r w:rsidRPr="00687A1C">
        <w:t xml:space="preserve">s people and culture priorities. </w:t>
      </w:r>
    </w:p>
    <w:p w:rsidR="00B81829" w:rsidRPr="00687A1C" w:rsidRDefault="006050B1" w:rsidP="00B81829">
      <w:r w:rsidRPr="00687A1C">
        <w:br w:type="column"/>
      </w:r>
      <w:r w:rsidR="00B81829" w:rsidRPr="00687A1C">
        <w:t>The Department supports all its staff to realise their potential throughout their career cycle, with a broad range of career planning workshops, cadetships, internships, job transfer and graduate programs offered at all levels of the organisation. These programs further enhance the Department</w:t>
      </w:r>
      <w:r w:rsidR="009469FE" w:rsidRPr="00687A1C">
        <w:t>’</w:t>
      </w:r>
      <w:r w:rsidR="00B81829" w:rsidRPr="00687A1C">
        <w:t>s commitment to develop an agile and adaptive workforce.</w:t>
      </w:r>
    </w:p>
    <w:p w:rsidR="00B81829" w:rsidRPr="00687A1C" w:rsidRDefault="00B81829" w:rsidP="00B81829">
      <w:r w:rsidRPr="00687A1C">
        <w:t xml:space="preserve">The Department also continued to offer a comprehensive suite of training programs and workshops to all staff that support and celebrate a diverse and inclusive workforce. Regular workshops held throughout the year continue to be well subscribed and include Aboriginal cultural awareness training, disability awareness, LGBTI awareness, effective management of bullying and harassment, and respectful relationships. </w:t>
      </w:r>
    </w:p>
    <w:p w:rsidR="00B81829" w:rsidRPr="00687A1C" w:rsidRDefault="00B81829" w:rsidP="00B81829">
      <w:r w:rsidRPr="00687A1C">
        <w:t>The Department complemented its mental health and wellbeing charter with the implementation of an innovative Safe Space program, and a range of services including mental health first aid training, compulsory mental health and wellbeing training for people managers, and an extended suite of employee assistance services.</w:t>
      </w:r>
    </w:p>
    <w:p w:rsidR="00B81829" w:rsidRPr="00687A1C" w:rsidRDefault="00B81829" w:rsidP="00B81829">
      <w:r w:rsidRPr="00687A1C">
        <w:t>In 2018-19, the Department will implement its 2018-22 People Strategy, which will build on our development of leadership capability with the introduction of a tailored learning and development program for all people leaders across the Department. A new capability framework will also be developed, providing a strategic overview of the Department</w:t>
      </w:r>
      <w:r w:rsidR="009469FE" w:rsidRPr="00687A1C">
        <w:t>’</w:t>
      </w:r>
      <w:r w:rsidRPr="00687A1C">
        <w:t xml:space="preserve">s current and future resourcing needs. The strategy will position the Department to attract a highly capable and diverse workforce, and support staff in their career development. </w:t>
      </w:r>
    </w:p>
    <w:p w:rsidR="00365093" w:rsidRPr="00687A1C" w:rsidRDefault="00B81829" w:rsidP="00B81829">
      <w:r w:rsidRPr="00687A1C">
        <w:t>I extend my thanks to all staff for their contribution to the Department</w:t>
      </w:r>
      <w:r w:rsidR="009469FE" w:rsidRPr="00687A1C">
        <w:t>’</w:t>
      </w:r>
      <w:r w:rsidRPr="00687A1C">
        <w:t>s achievements over the past year. Their efforts reflect a commitment to upholding the Victorian public sector</w:t>
      </w:r>
      <w:r w:rsidR="009469FE" w:rsidRPr="00687A1C">
        <w:t>’</w:t>
      </w:r>
      <w:r w:rsidRPr="00687A1C">
        <w:t>s values and their dedication to fulfilling the Department</w:t>
      </w:r>
      <w:r w:rsidR="009469FE" w:rsidRPr="00687A1C">
        <w:t>’</w:t>
      </w:r>
      <w:r w:rsidRPr="00687A1C">
        <w:t>s purpose to improve the lives of all Victorians.</w:t>
      </w:r>
    </w:p>
    <w:p w:rsidR="00EC4CFD" w:rsidRPr="00687A1C" w:rsidRDefault="00EC4CFD" w:rsidP="00EC4CFD">
      <w:pPr>
        <w:ind w:left="-90"/>
      </w:pPr>
      <w:r>
        <w:rPr>
          <w:rFonts w:cstheme="minorHAnsi"/>
          <w:noProof/>
        </w:rPr>
        <w:drawing>
          <wp:anchor distT="0" distB="0" distL="114300" distR="114300" simplePos="0" relativeHeight="251659264" behindDoc="0" locked="0" layoutInCell="1" allowOverlap="1" wp14:anchorId="764D781C" wp14:editId="1505C37C">
            <wp:simplePos x="0" y="0"/>
            <wp:positionH relativeFrom="column">
              <wp:posOffset>-136567</wp:posOffset>
            </wp:positionH>
            <wp:positionV relativeFrom="paragraph">
              <wp:posOffset>144425</wp:posOffset>
            </wp:positionV>
            <wp:extent cx="1666875" cy="601345"/>
            <wp:effectExtent l="0" t="0" r="9525" b="8255"/>
            <wp:wrapNone/>
            <wp:docPr id="9" name="Picture 9" descr="T:\Corpcom_CSS\COMMUNICATIONS\PROJECTS\DTF Annual Report\2014-15\Misc\d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PROJECTS\DTF Annual Report\2014-15\Misc\dm signature.jpg"/>
                    <pic:cNvPicPr>
                      <a:picLocks noChangeAspect="1" noChangeArrowheads="1"/>
                    </pic:cNvPicPr>
                  </pic:nvPicPr>
                  <pic:blipFill>
                    <a:blip r:embed="rId10" cstate="print">
                      <a:grayscl/>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CFD" w:rsidRPr="00687A1C" w:rsidRDefault="00EC4CFD" w:rsidP="00EC4CFD">
      <w:pPr>
        <w:ind w:left="-90"/>
      </w:pPr>
    </w:p>
    <w:p w:rsidR="00EC4CFD" w:rsidRPr="00687A1C" w:rsidRDefault="00EC4CFD" w:rsidP="00EC4CFD">
      <w:pPr>
        <w:ind w:left="-90"/>
      </w:pPr>
      <w:r w:rsidRPr="00687A1C">
        <w:br/>
      </w:r>
    </w:p>
    <w:p w:rsidR="00EC4CFD" w:rsidRPr="00687A1C" w:rsidRDefault="00EC4CFD" w:rsidP="00EC4CFD">
      <w:pPr>
        <w:rPr>
          <w:rFonts w:cstheme="minorHAnsi"/>
          <w:b/>
        </w:rPr>
      </w:pPr>
      <w:r w:rsidRPr="00687A1C">
        <w:rPr>
          <w:rFonts w:cstheme="minorHAnsi"/>
          <w:b/>
        </w:rPr>
        <w:t>David Martine</w:t>
      </w:r>
      <w:r w:rsidRPr="00687A1C">
        <w:rPr>
          <w:rFonts w:cstheme="minorHAnsi"/>
          <w:b/>
        </w:rPr>
        <w:br/>
        <w:t>Secretary</w:t>
      </w:r>
    </w:p>
    <w:p w:rsidR="003A27FC" w:rsidRPr="00687A1C" w:rsidRDefault="003A27FC" w:rsidP="003A27FC">
      <w:pPr>
        <w:rPr>
          <w:rFonts w:cstheme="minorHAnsi"/>
        </w:rPr>
      </w:pPr>
    </w:p>
    <w:p w:rsidR="003A27FC" w:rsidRPr="00687A1C" w:rsidRDefault="003A27FC" w:rsidP="003A27FC">
      <w:pPr>
        <w:spacing w:before="0" w:after="0"/>
      </w:pPr>
      <w:r w:rsidRPr="00687A1C">
        <w:br w:type="page"/>
      </w:r>
    </w:p>
    <w:p w:rsidR="003A27FC" w:rsidRPr="00687A1C" w:rsidRDefault="003A27FC" w:rsidP="00F93A60">
      <w:pPr>
        <w:pStyle w:val="Heading2"/>
      </w:pPr>
      <w:r w:rsidRPr="00687A1C">
        <w:lastRenderedPageBreak/>
        <w:t>201</w:t>
      </w:r>
      <w:r w:rsidR="008F632E" w:rsidRPr="00687A1C">
        <w:t>7</w:t>
      </w:r>
      <w:r w:rsidR="00B336DF" w:rsidRPr="00687A1C">
        <w:noBreakHyphen/>
      </w:r>
      <w:r w:rsidRPr="00687A1C">
        <w:t>1</w:t>
      </w:r>
      <w:r w:rsidR="008F632E" w:rsidRPr="00687A1C">
        <w:t>8</w:t>
      </w:r>
      <w:r w:rsidRPr="00687A1C">
        <w:t xml:space="preserve"> performance</w:t>
      </w:r>
    </w:p>
    <w:p w:rsidR="00FD7161" w:rsidRPr="00687A1C" w:rsidRDefault="00FD7161" w:rsidP="00FD7161">
      <w:pPr>
        <w:rPr>
          <w:szCs w:val="17"/>
        </w:rPr>
      </w:pPr>
      <w:r w:rsidRPr="00687A1C">
        <w:rPr>
          <w:szCs w:val="17"/>
        </w:rPr>
        <w:t>DTF continues to perform strongly in the delivery of its core business objectives, as a provider of advice and services to Government. DTF also performed well in meeting its outputs as specified in the State</w:t>
      </w:r>
      <w:r w:rsidR="009469FE" w:rsidRPr="00687A1C">
        <w:rPr>
          <w:szCs w:val="17"/>
        </w:rPr>
        <w:t>’</w:t>
      </w:r>
      <w:r w:rsidR="0030205B" w:rsidRPr="00687A1C">
        <w:rPr>
          <w:szCs w:val="17"/>
        </w:rPr>
        <w:t>s 2017</w:t>
      </w:r>
      <w:r w:rsidR="0030205B" w:rsidRPr="00687A1C">
        <w:rPr>
          <w:szCs w:val="17"/>
        </w:rPr>
        <w:noBreakHyphen/>
      </w:r>
      <w:r w:rsidRPr="00687A1C">
        <w:rPr>
          <w:szCs w:val="17"/>
        </w:rPr>
        <w:t>18 Budget Paper No</w:t>
      </w:r>
      <w:r w:rsidR="0030205B" w:rsidRPr="00687A1C">
        <w:rPr>
          <w:szCs w:val="17"/>
        </w:rPr>
        <w:t>.</w:t>
      </w:r>
      <w:r w:rsidRPr="00687A1C">
        <w:rPr>
          <w:szCs w:val="17"/>
        </w:rPr>
        <w:t xml:space="preserve"> 3. </w:t>
      </w:r>
      <w:r w:rsidRPr="00687A1C">
        <w:rPr>
          <w:i/>
          <w:szCs w:val="17"/>
        </w:rPr>
        <w:t xml:space="preserve">Service Delivery. </w:t>
      </w:r>
      <w:r w:rsidRPr="00687A1C">
        <w:rPr>
          <w:szCs w:val="17"/>
        </w:rPr>
        <w:t>Of the Department</w:t>
      </w:r>
      <w:r w:rsidR="009469FE" w:rsidRPr="00687A1C">
        <w:rPr>
          <w:szCs w:val="17"/>
        </w:rPr>
        <w:t>’</w:t>
      </w:r>
      <w:r w:rsidRPr="00687A1C">
        <w:rPr>
          <w:szCs w:val="17"/>
        </w:rPr>
        <w:t>s 5</w:t>
      </w:r>
      <w:r w:rsidR="0096207D" w:rsidRPr="00687A1C">
        <w:rPr>
          <w:szCs w:val="17"/>
        </w:rPr>
        <w:t>3</w:t>
      </w:r>
      <w:r w:rsidRPr="00687A1C">
        <w:rPr>
          <w:szCs w:val="17"/>
        </w:rPr>
        <w:t xml:space="preserve"> quantity, quality and timeliness output performance targets,</w:t>
      </w:r>
      <w:r w:rsidR="0094285A" w:rsidRPr="00687A1C">
        <w:rPr>
          <w:szCs w:val="17"/>
        </w:rPr>
        <w:t xml:space="preserve"> that are available, 88</w:t>
      </w:r>
      <w:r w:rsidR="006F069A" w:rsidRPr="00687A1C">
        <w:rPr>
          <w:rFonts w:ascii="Calibri" w:hAnsi="Calibri" w:cs="Calibri"/>
          <w:szCs w:val="17"/>
        </w:rPr>
        <w:t> </w:t>
      </w:r>
      <w:r w:rsidR="006F069A" w:rsidRPr="00687A1C">
        <w:rPr>
          <w:szCs w:val="17"/>
        </w:rPr>
        <w:t>per</w:t>
      </w:r>
      <w:r w:rsidR="006F069A" w:rsidRPr="00687A1C">
        <w:rPr>
          <w:rFonts w:ascii="Calibri" w:hAnsi="Calibri" w:cs="Calibri"/>
          <w:szCs w:val="17"/>
        </w:rPr>
        <w:t> </w:t>
      </w:r>
      <w:r w:rsidR="006F069A" w:rsidRPr="00687A1C">
        <w:rPr>
          <w:szCs w:val="17"/>
        </w:rPr>
        <w:t>cent</w:t>
      </w:r>
      <w:r w:rsidRPr="00687A1C">
        <w:rPr>
          <w:szCs w:val="17"/>
        </w:rPr>
        <w:t xml:space="preserve"> were met or exceeded. </w:t>
      </w:r>
    </w:p>
    <w:p w:rsidR="00D740EE" w:rsidRPr="00687A1C" w:rsidRDefault="00FD7161" w:rsidP="00D740EE">
      <w:pPr>
        <w:pStyle w:val="Heading3"/>
      </w:pPr>
      <w:r w:rsidRPr="00687A1C">
        <w:br w:type="column"/>
      </w:r>
      <w:bookmarkStart w:id="12" w:name="_Ref489438932"/>
      <w:r w:rsidR="00D740EE" w:rsidRPr="00687A1C">
        <w:t>Departmental objectives, indicators and outputs</w:t>
      </w:r>
      <w:bookmarkEnd w:id="12"/>
    </w:p>
    <w:p w:rsidR="00FD7161" w:rsidRPr="00687A1C" w:rsidRDefault="00FD7161" w:rsidP="00FD7161">
      <w:pPr>
        <w:rPr>
          <w:rFonts w:cstheme="minorHAnsi"/>
        </w:rPr>
      </w:pPr>
      <w:r w:rsidRPr="00687A1C">
        <w:rPr>
          <w:rFonts w:cstheme="minorHAnsi"/>
        </w:rPr>
        <w:t>The Department</w:t>
      </w:r>
      <w:r w:rsidR="009469FE" w:rsidRPr="00687A1C">
        <w:rPr>
          <w:rFonts w:cstheme="minorHAnsi"/>
        </w:rPr>
        <w:t>’</w:t>
      </w:r>
      <w:r w:rsidRPr="00687A1C">
        <w:rPr>
          <w:rFonts w:cstheme="minorHAnsi"/>
        </w:rPr>
        <w:t>s objectives, associated indicators, and linked outputs as set out in the 2017</w:t>
      </w:r>
      <w:r w:rsidRPr="00687A1C">
        <w:rPr>
          <w:rFonts w:cstheme="minorHAnsi"/>
        </w:rPr>
        <w:noBreakHyphen/>
        <w:t>18 Budget Paper No.</w:t>
      </w:r>
      <w:r w:rsidRPr="00687A1C">
        <w:rPr>
          <w:rFonts w:ascii="Calibri" w:hAnsi="Calibri" w:cs="Calibri"/>
        </w:rPr>
        <w:t> </w:t>
      </w:r>
      <w:r w:rsidRPr="00687A1C">
        <w:rPr>
          <w:rFonts w:cstheme="minorHAnsi"/>
        </w:rPr>
        <w:t xml:space="preserve">3 </w:t>
      </w:r>
      <w:r w:rsidRPr="00687A1C">
        <w:rPr>
          <w:rFonts w:cstheme="minorHAnsi"/>
          <w:i/>
        </w:rPr>
        <w:t>Service Delivery</w:t>
      </w:r>
      <w:r w:rsidRPr="00687A1C">
        <w:rPr>
          <w:rFonts w:cstheme="minorHAnsi"/>
        </w:rPr>
        <w:t xml:space="preserve"> are shown below.</w:t>
      </w:r>
    </w:p>
    <w:p w:rsidR="00700E33" w:rsidRPr="00687A1C" w:rsidRDefault="00700E33" w:rsidP="00700E33">
      <w:pPr>
        <w:rPr>
          <w:rFonts w:cstheme="minorHAnsi"/>
        </w:rPr>
      </w:pPr>
    </w:p>
    <w:p w:rsidR="00700E33" w:rsidRPr="00687A1C" w:rsidRDefault="00700E33" w:rsidP="00700E33">
      <w:pPr>
        <w:sectPr w:rsidR="00700E33" w:rsidRPr="00687A1C" w:rsidSect="00700E33">
          <w:type w:val="continuous"/>
          <w:pgSz w:w="11909" w:h="16834" w:code="9"/>
          <w:pgMar w:top="1728" w:right="1152" w:bottom="1152" w:left="1152" w:header="720" w:footer="288" w:gutter="0"/>
          <w:cols w:num="2" w:space="720"/>
          <w:noEndnote/>
        </w:sectPr>
      </w:pPr>
    </w:p>
    <w:p w:rsidR="00700E33" w:rsidRPr="00687A1C" w:rsidRDefault="00700E33" w:rsidP="00700E33">
      <w:pPr>
        <w:pStyle w:val="Spacer"/>
      </w:pPr>
    </w:p>
    <w:tbl>
      <w:tblPr>
        <w:tblStyle w:val="AnnualReporttexttable"/>
        <w:tblW w:w="0" w:type="auto"/>
        <w:tblInd w:w="108" w:type="dxa"/>
        <w:tblLook w:val="0400" w:firstRow="0" w:lastRow="0" w:firstColumn="0" w:lastColumn="0" w:noHBand="0" w:noVBand="1"/>
      </w:tblPr>
      <w:tblGrid>
        <w:gridCol w:w="3060"/>
        <w:gridCol w:w="3330"/>
        <w:gridCol w:w="3251"/>
      </w:tblGrid>
      <w:tr w:rsidR="00FD7161" w:rsidRPr="00687A1C" w:rsidTr="00FD7161">
        <w:trPr>
          <w:tblHeader/>
        </w:trPr>
        <w:tc>
          <w:tcPr>
            <w:tcW w:w="3060" w:type="dxa"/>
            <w:shd w:val="clear" w:color="auto" w:fill="auto"/>
          </w:tcPr>
          <w:p w:rsidR="00FD7161" w:rsidRPr="00687A1C" w:rsidRDefault="00FD7161" w:rsidP="00FD7161">
            <w:pPr>
              <w:pStyle w:val="Tabletextheadingleft"/>
              <w:rPr>
                <w:szCs w:val="16"/>
              </w:rPr>
            </w:pPr>
            <w:r w:rsidRPr="00687A1C">
              <w:rPr>
                <w:rFonts w:cstheme="minorHAnsi"/>
                <w:szCs w:val="16"/>
              </w:rPr>
              <w:t>Departmental objective</w:t>
            </w:r>
          </w:p>
        </w:tc>
        <w:tc>
          <w:tcPr>
            <w:tcW w:w="3330" w:type="dxa"/>
          </w:tcPr>
          <w:p w:rsidR="00FD7161" w:rsidRPr="00687A1C" w:rsidRDefault="00FD7161" w:rsidP="00AD6EB2">
            <w:pPr>
              <w:pStyle w:val="Tabletextheadingleft"/>
            </w:pPr>
            <w:r w:rsidRPr="00687A1C">
              <w:t>Indicators</w:t>
            </w:r>
          </w:p>
        </w:tc>
        <w:tc>
          <w:tcPr>
            <w:tcW w:w="3251" w:type="dxa"/>
          </w:tcPr>
          <w:p w:rsidR="00FD7161" w:rsidRPr="00687A1C" w:rsidRDefault="00FD7161" w:rsidP="00FD7161">
            <w:pPr>
              <w:pStyle w:val="Tabletextheadingleft"/>
              <w:rPr>
                <w:szCs w:val="16"/>
              </w:rPr>
            </w:pPr>
            <w:r w:rsidRPr="00687A1C">
              <w:rPr>
                <w:rFonts w:cstheme="minorHAnsi"/>
                <w:szCs w:val="16"/>
              </w:rPr>
              <w:t>Outputs</w:t>
            </w:r>
          </w:p>
        </w:tc>
      </w:tr>
      <w:tr w:rsidR="00FD7161" w:rsidRPr="00687A1C" w:rsidTr="00FD7161">
        <w:tc>
          <w:tcPr>
            <w:tcW w:w="3060" w:type="dxa"/>
            <w:shd w:val="clear" w:color="auto" w:fill="E0E0E0"/>
          </w:tcPr>
          <w:p w:rsidR="00FD7161" w:rsidRPr="00687A1C" w:rsidRDefault="00FD7161" w:rsidP="00BE5F15">
            <w:pPr>
              <w:pStyle w:val="Tabletext"/>
              <w:rPr>
                <w:szCs w:val="16"/>
              </w:rPr>
            </w:pPr>
            <w:r w:rsidRPr="00687A1C">
              <w:rPr>
                <w:rFonts w:cstheme="minorHAnsi"/>
                <w:b/>
                <w:szCs w:val="16"/>
              </w:rPr>
              <w:t>Optimise Victoria</w:t>
            </w:r>
            <w:r w:rsidR="009469FE" w:rsidRPr="00687A1C">
              <w:rPr>
                <w:rFonts w:cstheme="minorHAnsi"/>
                <w:b/>
                <w:szCs w:val="16"/>
              </w:rPr>
              <w:t>’</w:t>
            </w:r>
            <w:r w:rsidRPr="00687A1C">
              <w:rPr>
                <w:rFonts w:cstheme="minorHAnsi"/>
                <w:b/>
                <w:szCs w:val="16"/>
              </w:rPr>
              <w:t>s fiscal resources</w:t>
            </w:r>
          </w:p>
          <w:p w:rsidR="00FD7161" w:rsidRPr="00687A1C" w:rsidRDefault="00FD7161" w:rsidP="00BE5F15">
            <w:pPr>
              <w:pStyle w:val="Tabletext"/>
            </w:pPr>
            <w:r w:rsidRPr="00687A1C">
              <w:t>This objective provides analysis and advice to Government on the management of Victoria</w:t>
            </w:r>
            <w:r w:rsidR="009469FE" w:rsidRPr="00687A1C">
              <w:t>’</w:t>
            </w:r>
            <w:r w:rsidRPr="00687A1C">
              <w:t>s fiscal resources to support decision-making and reporting for the benefit of all Victorians.</w:t>
            </w:r>
          </w:p>
          <w:p w:rsidR="00FD7161" w:rsidRPr="00687A1C" w:rsidRDefault="00FD7161" w:rsidP="00BE5F15">
            <w:pPr>
              <w:pStyle w:val="Tabletext"/>
            </w:pPr>
            <w:r w:rsidRPr="00687A1C">
              <w:t>The Department leads the development of financial policy advice to Government and the Victorian public sector through detailed analysis of key policy priorities including resource allocation, financial risk and government service performance, financial reporting frameworks, and the State</w:t>
            </w:r>
            <w:r w:rsidR="009469FE" w:rsidRPr="00687A1C">
              <w:t>’</w:t>
            </w:r>
            <w:r w:rsidRPr="00687A1C">
              <w:t>s budget position to inform and support the publication of key whole-of-state financial reports.</w:t>
            </w:r>
          </w:p>
        </w:tc>
        <w:tc>
          <w:tcPr>
            <w:tcW w:w="3330" w:type="dxa"/>
          </w:tcPr>
          <w:p w:rsidR="00FD7161" w:rsidRPr="00687A1C" w:rsidRDefault="00FD7161" w:rsidP="00BE5F15">
            <w:pPr>
              <w:pStyle w:val="Tabletext"/>
            </w:pPr>
            <w:r w:rsidRPr="00687A1C">
              <w:t>A net operating surplus consistent with maintaining general government net debt at a sustainable level</w:t>
            </w:r>
          </w:p>
          <w:p w:rsidR="00FD7161" w:rsidRPr="00687A1C" w:rsidRDefault="00FD7161" w:rsidP="00BE5F15">
            <w:pPr>
              <w:pStyle w:val="Tabletext"/>
            </w:pPr>
            <w:r w:rsidRPr="00687A1C">
              <w:t xml:space="preserve">General government net debt as a percentage of </w:t>
            </w:r>
            <w:r w:rsidR="00C6134A" w:rsidRPr="00687A1C">
              <w:t>gross state product (GSP)</w:t>
            </w:r>
            <w:r w:rsidRPr="00687A1C">
              <w:t xml:space="preserve"> to be maintained at a sustainable level</w:t>
            </w:r>
          </w:p>
          <w:p w:rsidR="00FD7161" w:rsidRPr="00687A1C" w:rsidRDefault="00FD7161" w:rsidP="00BE5F15">
            <w:pPr>
              <w:pStyle w:val="Tabletext"/>
            </w:pPr>
            <w:r w:rsidRPr="00687A1C">
              <w:t xml:space="preserve">Agency compliance with the Standing Directions under the </w:t>
            </w:r>
            <w:r w:rsidRPr="00687A1C">
              <w:rPr>
                <w:i/>
              </w:rPr>
              <w:t>Financial Management Act 1994</w:t>
            </w:r>
          </w:p>
          <w:p w:rsidR="00FD7161" w:rsidRPr="00687A1C" w:rsidRDefault="00FD7161" w:rsidP="00BE5F15">
            <w:pPr>
              <w:pStyle w:val="Tabletext"/>
            </w:pPr>
            <w:r w:rsidRPr="00687A1C">
              <w:t>Advice contributes to the achievement of Government policies and priorities relating to optimising Victoria</w:t>
            </w:r>
            <w:r w:rsidR="009469FE" w:rsidRPr="00687A1C">
              <w:t>’</w:t>
            </w:r>
            <w:r w:rsidRPr="00687A1C">
              <w:t>s fiscal resources</w:t>
            </w:r>
          </w:p>
        </w:tc>
        <w:tc>
          <w:tcPr>
            <w:tcW w:w="3251" w:type="dxa"/>
          </w:tcPr>
          <w:p w:rsidR="00FD7161" w:rsidRPr="00687A1C" w:rsidRDefault="00FD7161" w:rsidP="00BE5F15">
            <w:pPr>
              <w:pStyle w:val="Tabletext"/>
            </w:pPr>
            <w:r w:rsidRPr="00687A1C">
              <w:t>Budget and Financial Advice</w:t>
            </w:r>
          </w:p>
          <w:p w:rsidR="00FD7161" w:rsidRPr="00687A1C" w:rsidRDefault="00FD7161" w:rsidP="00BE5F15">
            <w:pPr>
              <w:pStyle w:val="Tabletext"/>
            </w:pPr>
            <w:r w:rsidRPr="00687A1C">
              <w:t>Revenue Management and Administrative Services to Government</w:t>
            </w:r>
          </w:p>
        </w:tc>
      </w:tr>
      <w:tr w:rsidR="00FD7161" w:rsidRPr="00687A1C" w:rsidTr="000D35FE">
        <w:trPr>
          <w:cantSplit w:val="0"/>
        </w:trPr>
        <w:tc>
          <w:tcPr>
            <w:tcW w:w="3060" w:type="dxa"/>
            <w:shd w:val="clear" w:color="auto" w:fill="E0E0E0"/>
          </w:tcPr>
          <w:p w:rsidR="00FD7161" w:rsidRPr="00687A1C" w:rsidRDefault="00FD7161" w:rsidP="00BE5F15">
            <w:pPr>
              <w:pStyle w:val="Tabletext"/>
              <w:keepLines/>
              <w:rPr>
                <w:szCs w:val="16"/>
              </w:rPr>
            </w:pPr>
            <w:r w:rsidRPr="00687A1C">
              <w:rPr>
                <w:b/>
                <w:szCs w:val="16"/>
              </w:rPr>
              <w:t>Strengthen Victoria</w:t>
            </w:r>
            <w:r w:rsidR="009469FE" w:rsidRPr="00687A1C">
              <w:rPr>
                <w:b/>
                <w:szCs w:val="16"/>
              </w:rPr>
              <w:t>’</w:t>
            </w:r>
            <w:r w:rsidRPr="00687A1C">
              <w:rPr>
                <w:b/>
                <w:szCs w:val="16"/>
              </w:rPr>
              <w:t>s economic performance</w:t>
            </w:r>
          </w:p>
          <w:p w:rsidR="00FD7161" w:rsidRPr="00687A1C" w:rsidRDefault="00FD7161" w:rsidP="00BE5F15">
            <w:pPr>
              <w:pStyle w:val="Tabletext"/>
              <w:keepLines/>
            </w:pPr>
            <w:r w:rsidRPr="00687A1C">
              <w:t>This objective delivers advice on economic policy, forecasts, legislation and frameworks. It also supports Government by administering economic regulation of utilities and other specified markets in Victoria to protect the long-term interests of Victorian consumers with regard to price, quality, efficiency and reliability of essential services.</w:t>
            </w:r>
          </w:p>
          <w:p w:rsidR="00FD7161" w:rsidRPr="00687A1C" w:rsidRDefault="00FD7161" w:rsidP="00BE5F15">
            <w:pPr>
              <w:pStyle w:val="Tabletext"/>
              <w:keepLines/>
            </w:pPr>
            <w:r w:rsidRPr="00687A1C">
              <w:t>The Department leads the development of advice to Government on key economic and financial strategies including regulatory reform, Government tax policy and intergovernmental financial relations to drive improvements in Victoria</w:t>
            </w:r>
            <w:r w:rsidR="009469FE" w:rsidRPr="00687A1C">
              <w:t>’</w:t>
            </w:r>
            <w:r w:rsidRPr="00687A1C">
              <w:t>s productive and efficient resource allocation, competitiveness and equity across the Victorian economy.</w:t>
            </w:r>
          </w:p>
        </w:tc>
        <w:tc>
          <w:tcPr>
            <w:tcW w:w="3330" w:type="dxa"/>
          </w:tcPr>
          <w:p w:rsidR="00FD7161" w:rsidRPr="00687A1C" w:rsidRDefault="00FD7161" w:rsidP="00BE5F15">
            <w:pPr>
              <w:pStyle w:val="Tabletext"/>
              <w:keepLines/>
            </w:pPr>
            <w:r w:rsidRPr="00687A1C">
              <w:t>Economic growth to exceed population growth as expressed by</w:t>
            </w:r>
            <w:r w:rsidR="009E40D0" w:rsidRPr="00687A1C">
              <w:t xml:space="preserve"> </w:t>
            </w:r>
            <w:r w:rsidRPr="00687A1C">
              <w:t>GSP per capita increasing in real terms (annual percentage change)</w:t>
            </w:r>
          </w:p>
          <w:p w:rsidR="00FD7161" w:rsidRPr="00687A1C" w:rsidRDefault="00FD7161" w:rsidP="00BE5F15">
            <w:pPr>
              <w:pStyle w:val="Tabletext"/>
              <w:keepLines/>
            </w:pPr>
            <w:r w:rsidRPr="00687A1C">
              <w:t>Total Victorian employment to grow each year (annual percentage change)</w:t>
            </w:r>
          </w:p>
          <w:p w:rsidR="00FD7161" w:rsidRPr="00687A1C" w:rsidRDefault="00FD7161" w:rsidP="00BE5F15">
            <w:pPr>
              <w:pStyle w:val="Tabletext"/>
              <w:keepLines/>
            </w:pPr>
            <w:r w:rsidRPr="00687A1C">
              <w:t>Advice contributes to the achievement of Government policies and priorities relating to economic and social outcomes</w:t>
            </w:r>
          </w:p>
        </w:tc>
        <w:tc>
          <w:tcPr>
            <w:tcW w:w="3251" w:type="dxa"/>
          </w:tcPr>
          <w:p w:rsidR="00FD7161" w:rsidRPr="00687A1C" w:rsidRDefault="00FD7161" w:rsidP="00BE5F15">
            <w:pPr>
              <w:pStyle w:val="Tabletext"/>
              <w:keepLines/>
            </w:pPr>
            <w:r w:rsidRPr="00687A1C">
              <w:t>Economic and Policy Advice</w:t>
            </w:r>
          </w:p>
          <w:p w:rsidR="00FD7161" w:rsidRPr="00687A1C" w:rsidRDefault="00FD7161" w:rsidP="00BE5F15">
            <w:pPr>
              <w:pStyle w:val="Tabletext"/>
              <w:keepLines/>
            </w:pPr>
            <w:r w:rsidRPr="00687A1C">
              <w:t>Economic Regulatory Services</w:t>
            </w:r>
          </w:p>
        </w:tc>
      </w:tr>
      <w:tr w:rsidR="00FD7161" w:rsidRPr="00687A1C" w:rsidTr="00FD7161">
        <w:tc>
          <w:tcPr>
            <w:tcW w:w="3060" w:type="dxa"/>
            <w:shd w:val="clear" w:color="auto" w:fill="E0E0E0"/>
          </w:tcPr>
          <w:p w:rsidR="00FD7161" w:rsidRPr="00687A1C" w:rsidRDefault="00FD7161" w:rsidP="00BE5F15">
            <w:pPr>
              <w:pStyle w:val="Tabletext"/>
              <w:keepNext/>
              <w:keepLines/>
              <w:rPr>
                <w:szCs w:val="16"/>
              </w:rPr>
            </w:pPr>
            <w:r w:rsidRPr="00687A1C">
              <w:rPr>
                <w:b/>
                <w:szCs w:val="16"/>
              </w:rPr>
              <w:lastRenderedPageBreak/>
              <w:t>Improve how Government manages its balance sheet, commercial activities and public sector infrastructure</w:t>
            </w:r>
          </w:p>
          <w:p w:rsidR="00FD7161" w:rsidRPr="00687A1C" w:rsidRDefault="00FD7161" w:rsidP="00BE5F15">
            <w:pPr>
              <w:pStyle w:val="Tabletext"/>
              <w:keepNext/>
              <w:keepLines/>
            </w:pPr>
            <w:r w:rsidRPr="00687A1C">
              <w:t>This objective delivers Government policies focused on oversighting the State</w:t>
            </w:r>
            <w:r w:rsidR="009469FE" w:rsidRPr="00687A1C">
              <w:t>’</w:t>
            </w:r>
            <w:r w:rsidRPr="00687A1C">
              <w:t xml:space="preserve">s balance sheet, major infrastructure and government business enterprises by the delivery and application of prudent financial and commercial principles and practices. </w:t>
            </w:r>
          </w:p>
          <w:p w:rsidR="00FD7161" w:rsidRPr="00687A1C" w:rsidRDefault="00FD7161" w:rsidP="00BE5F15">
            <w:pPr>
              <w:pStyle w:val="Tabletext"/>
              <w:keepNext/>
              <w:keepLines/>
              <w:rPr>
                <w:sz w:val="16"/>
              </w:rPr>
            </w:pPr>
            <w:r w:rsidRPr="00687A1C">
              <w:t>The Department leads the development of strategic commercial and financial advice to Government to support key decisions regarding the State</w:t>
            </w:r>
            <w:r w:rsidR="009469FE" w:rsidRPr="00687A1C">
              <w:t>’</w:t>
            </w:r>
            <w:r w:rsidRPr="00687A1C">
              <w:t>s financial assets and liabilities and infrastructure investment to drive improvement in public sector commercial and asset management and the delivery of infrastructure for the State of Victoria.</w:t>
            </w:r>
          </w:p>
        </w:tc>
        <w:tc>
          <w:tcPr>
            <w:tcW w:w="3330" w:type="dxa"/>
          </w:tcPr>
          <w:p w:rsidR="00FD7161" w:rsidRPr="00687A1C" w:rsidRDefault="00FD7161" w:rsidP="00BE5F15">
            <w:pPr>
              <w:pStyle w:val="Tabletext"/>
            </w:pPr>
            <w:r w:rsidRPr="00687A1C">
              <w:t>Percentage of Government projects completed within agreed budgets, timeframes and scope or evidenced by timely and appropriate remedial actions where necessary</w:t>
            </w:r>
          </w:p>
          <w:p w:rsidR="00FD7161" w:rsidRPr="00687A1C" w:rsidRDefault="00FD7161" w:rsidP="00BE5F15">
            <w:pPr>
              <w:pStyle w:val="Tabletext"/>
            </w:pPr>
            <w:r w:rsidRPr="00687A1C">
              <w:t xml:space="preserve">Government </w:t>
            </w:r>
            <w:r w:rsidR="00C6134A" w:rsidRPr="00687A1C">
              <w:t>business e</w:t>
            </w:r>
            <w:r w:rsidRPr="00687A1C">
              <w:t>nterprises performing against agreed financial and non-financial indicators</w:t>
            </w:r>
          </w:p>
          <w:p w:rsidR="00FD7161" w:rsidRPr="00687A1C" w:rsidRDefault="00FD7161" w:rsidP="00BE5F15">
            <w:pPr>
              <w:pStyle w:val="Tabletext"/>
            </w:pPr>
            <w:r w:rsidRPr="00687A1C">
              <w:t>Advice contributes to the achievement of Government policies and priorities relating to Victoria</w:t>
            </w:r>
            <w:r w:rsidR="009469FE" w:rsidRPr="00687A1C">
              <w:t>’</w:t>
            </w:r>
            <w:r w:rsidRPr="00687A1C">
              <w:t>s balance sheet, commercial activities and public sector infrastructure</w:t>
            </w:r>
          </w:p>
        </w:tc>
        <w:tc>
          <w:tcPr>
            <w:tcW w:w="3251" w:type="dxa"/>
          </w:tcPr>
          <w:p w:rsidR="00FD7161" w:rsidRPr="00687A1C" w:rsidRDefault="00FD7161" w:rsidP="00BE5F15">
            <w:pPr>
              <w:pStyle w:val="Tabletext"/>
            </w:pPr>
            <w:r w:rsidRPr="00687A1C">
              <w:t>Commercial and Infrastructure Advice</w:t>
            </w:r>
          </w:p>
        </w:tc>
      </w:tr>
      <w:tr w:rsidR="00FD7161" w:rsidRPr="00687A1C" w:rsidTr="00FD7161">
        <w:tc>
          <w:tcPr>
            <w:tcW w:w="3060" w:type="dxa"/>
            <w:shd w:val="clear" w:color="auto" w:fill="E0E0E0"/>
          </w:tcPr>
          <w:p w:rsidR="00FD7161" w:rsidRPr="00687A1C" w:rsidRDefault="00FD7161" w:rsidP="00BE5F15">
            <w:pPr>
              <w:pStyle w:val="Tabletext"/>
              <w:rPr>
                <w:szCs w:val="16"/>
              </w:rPr>
            </w:pPr>
            <w:r w:rsidRPr="00687A1C">
              <w:rPr>
                <w:b/>
                <w:szCs w:val="16"/>
              </w:rPr>
              <w:t>Deliver efficient whole of government common services</w:t>
            </w:r>
          </w:p>
          <w:p w:rsidR="00FD7161" w:rsidRPr="00687A1C" w:rsidRDefault="00FD7161" w:rsidP="00BE5F15">
            <w:pPr>
              <w:pStyle w:val="Tabletext"/>
            </w:pPr>
            <w:r w:rsidRPr="00687A1C">
              <w:t xml:space="preserve">This objective delivers whole of government common services through working with business partners. </w:t>
            </w:r>
          </w:p>
          <w:p w:rsidR="00FD7161" w:rsidRPr="00687A1C" w:rsidRDefault="00FD7161" w:rsidP="00BE5F15">
            <w:pPr>
              <w:pStyle w:val="Tabletext"/>
            </w:pPr>
            <w:r w:rsidRPr="00687A1C">
              <w:t>The Department leads the delivery of integrated and client-centred whole of government services, policies and initiatives to achieve value for the Victorian public sector. Areas include procurement, fleet and accommodation.</w:t>
            </w:r>
          </w:p>
        </w:tc>
        <w:tc>
          <w:tcPr>
            <w:tcW w:w="3330" w:type="dxa"/>
          </w:tcPr>
          <w:p w:rsidR="00FD7161" w:rsidRPr="00687A1C" w:rsidRDefault="00FD7161" w:rsidP="00BE5F15">
            <w:pPr>
              <w:pStyle w:val="Tabletext"/>
            </w:pPr>
            <w:r w:rsidRPr="00687A1C">
              <w:t>Benefits delivered as a percentage of expenditure by mandated agencies under DTF-managed state purchase contracts, including reduced and avoided costs</w:t>
            </w:r>
          </w:p>
          <w:p w:rsidR="00FD7161" w:rsidRPr="00687A1C" w:rsidRDefault="00FD7161" w:rsidP="00BE5F15">
            <w:pPr>
              <w:pStyle w:val="Tabletext"/>
            </w:pPr>
            <w:r w:rsidRPr="00687A1C">
              <w:t>Low vacancy rates for government office accommodation maintained</w:t>
            </w:r>
          </w:p>
          <w:p w:rsidR="00FD7161" w:rsidRPr="00687A1C" w:rsidRDefault="00FD7161" w:rsidP="00BE5F15">
            <w:pPr>
              <w:pStyle w:val="Tabletext"/>
            </w:pPr>
            <w:r w:rsidRPr="00687A1C">
              <w:t>High quality whole of government common services provided to Government agencies, as assessed by feedback from key clients</w:t>
            </w:r>
          </w:p>
        </w:tc>
        <w:tc>
          <w:tcPr>
            <w:tcW w:w="3251" w:type="dxa"/>
          </w:tcPr>
          <w:p w:rsidR="00FD7161" w:rsidRPr="00687A1C" w:rsidRDefault="00FD7161" w:rsidP="00BE5F15">
            <w:pPr>
              <w:pStyle w:val="Tabletext"/>
            </w:pPr>
            <w:r w:rsidRPr="00687A1C">
              <w:t>Services to Government</w:t>
            </w:r>
          </w:p>
        </w:tc>
      </w:tr>
    </w:tbl>
    <w:p w:rsidR="00FD7161" w:rsidRPr="00687A1C" w:rsidRDefault="00FD7161" w:rsidP="00700E33">
      <w:pPr>
        <w:pStyle w:val="Spacer"/>
      </w:pPr>
    </w:p>
    <w:p w:rsidR="00700E33" w:rsidRPr="00687A1C" w:rsidRDefault="00700E33" w:rsidP="00700E33"/>
    <w:p w:rsidR="00700E33" w:rsidRPr="00687A1C" w:rsidRDefault="00700E33" w:rsidP="00F93A60">
      <w:pPr>
        <w:pStyle w:val="Heading3"/>
        <w:sectPr w:rsidR="00700E33" w:rsidRPr="00687A1C" w:rsidSect="00700E33">
          <w:type w:val="continuous"/>
          <w:pgSz w:w="11909" w:h="16834" w:code="9"/>
          <w:pgMar w:top="1728" w:right="1152" w:bottom="1152" w:left="1152" w:header="720" w:footer="288" w:gutter="0"/>
          <w:cols w:space="720"/>
          <w:noEndnote/>
        </w:sectPr>
      </w:pPr>
    </w:p>
    <w:p w:rsidR="003A27FC" w:rsidRPr="00687A1C" w:rsidRDefault="003A27FC" w:rsidP="00FD7161">
      <w:pPr>
        <w:pStyle w:val="Heading3"/>
      </w:pPr>
      <w:bookmarkStart w:id="13" w:name="_Ref492626993"/>
      <w:r w:rsidRPr="00687A1C">
        <w:lastRenderedPageBreak/>
        <w:t>Changes to the Department during 201</w:t>
      </w:r>
      <w:r w:rsidR="008F632E" w:rsidRPr="00687A1C">
        <w:t>7</w:t>
      </w:r>
      <w:r w:rsidR="00B336DF" w:rsidRPr="00687A1C">
        <w:noBreakHyphen/>
      </w:r>
      <w:r w:rsidRPr="00687A1C">
        <w:t>1</w:t>
      </w:r>
      <w:r w:rsidR="008F632E" w:rsidRPr="00687A1C">
        <w:t>8</w:t>
      </w:r>
      <w:bookmarkEnd w:id="13"/>
    </w:p>
    <w:p w:rsidR="008B1C54" w:rsidRPr="00687A1C" w:rsidRDefault="00700E33" w:rsidP="003A27FC">
      <w:r w:rsidRPr="00687A1C">
        <w:br w:type="column"/>
      </w:r>
    </w:p>
    <w:p w:rsidR="003A27FC" w:rsidRPr="00687A1C" w:rsidRDefault="003A27FC" w:rsidP="003A27FC">
      <w:pPr>
        <w:sectPr w:rsidR="003A27FC" w:rsidRPr="00687A1C" w:rsidSect="00FD7161">
          <w:pgSz w:w="11909" w:h="16834" w:code="9"/>
          <w:pgMar w:top="1728" w:right="1152" w:bottom="1152" w:left="1152" w:header="720" w:footer="288" w:gutter="0"/>
          <w:cols w:num="2" w:space="720"/>
          <w:noEndnote/>
        </w:sectPr>
      </w:pPr>
    </w:p>
    <w:p w:rsidR="00C21B44" w:rsidRPr="00687A1C" w:rsidRDefault="00FD7161" w:rsidP="00C21B44">
      <w:pPr>
        <w:pStyle w:val="Heading4"/>
      </w:pPr>
      <w:r w:rsidRPr="00687A1C">
        <w:t>Objectives</w:t>
      </w:r>
    </w:p>
    <w:p w:rsidR="003A27FC" w:rsidRPr="00687A1C" w:rsidRDefault="003A27FC" w:rsidP="003A27FC">
      <w:pPr>
        <w:rPr>
          <w:rFonts w:cstheme="minorHAnsi"/>
        </w:rPr>
      </w:pPr>
      <w:r w:rsidRPr="00687A1C">
        <w:rPr>
          <w:rFonts w:cstheme="minorHAnsi"/>
        </w:rPr>
        <w:t>Changes to outputs are reflected in the table below.</w:t>
      </w:r>
    </w:p>
    <w:tbl>
      <w:tblPr>
        <w:tblStyle w:val="AnnualReporttexttable"/>
        <w:tblW w:w="9641" w:type="dxa"/>
        <w:tblInd w:w="108" w:type="dxa"/>
        <w:tblLook w:val="0480" w:firstRow="0" w:lastRow="0" w:firstColumn="1" w:lastColumn="0" w:noHBand="0" w:noVBand="1"/>
      </w:tblPr>
      <w:tblGrid>
        <w:gridCol w:w="2977"/>
        <w:gridCol w:w="3260"/>
        <w:gridCol w:w="3404"/>
      </w:tblGrid>
      <w:tr w:rsidR="00FD7161" w:rsidRPr="00687A1C" w:rsidTr="00FD7161">
        <w:tc>
          <w:tcPr>
            <w:cnfStyle w:val="001000000000" w:firstRow="0" w:lastRow="0" w:firstColumn="1" w:lastColumn="0" w:oddVBand="0" w:evenVBand="0" w:oddHBand="0" w:evenHBand="0" w:firstRowFirstColumn="0" w:firstRowLastColumn="0" w:lastRowFirstColumn="0" w:lastRowLastColumn="0"/>
            <w:tcW w:w="2977" w:type="dxa"/>
            <w:shd w:val="clear" w:color="auto" w:fill="E0E0E0"/>
          </w:tcPr>
          <w:p w:rsidR="00FD7161" w:rsidRPr="00687A1C" w:rsidRDefault="00FD7161" w:rsidP="00FD7161">
            <w:pPr>
              <w:pStyle w:val="Tabletextheadingleft"/>
            </w:pPr>
            <w:r w:rsidRPr="00687A1C">
              <w:t>2017</w:t>
            </w:r>
            <w:r w:rsidRPr="00687A1C">
              <w:noBreakHyphen/>
              <w:t>18 departmental objective</w:t>
            </w:r>
          </w:p>
        </w:tc>
        <w:tc>
          <w:tcPr>
            <w:tcW w:w="3260" w:type="dxa"/>
          </w:tcPr>
          <w:p w:rsidR="00FD7161" w:rsidRPr="00687A1C" w:rsidRDefault="00FD7161" w:rsidP="00FD7161">
            <w:pPr>
              <w:pStyle w:val="Tabletextheadingleft"/>
              <w:cnfStyle w:val="000000000000" w:firstRow="0" w:lastRow="0" w:firstColumn="0" w:lastColumn="0" w:oddVBand="0" w:evenVBand="0" w:oddHBand="0" w:evenHBand="0" w:firstRowFirstColumn="0" w:firstRowLastColumn="0" w:lastRowFirstColumn="0" w:lastRowLastColumn="0"/>
            </w:pPr>
            <w:r w:rsidRPr="00687A1C">
              <w:t>2016</w:t>
            </w:r>
            <w:r w:rsidRPr="00687A1C">
              <w:noBreakHyphen/>
              <w:t xml:space="preserve">17 departmental objective </w:t>
            </w:r>
          </w:p>
        </w:tc>
        <w:tc>
          <w:tcPr>
            <w:tcW w:w="3404" w:type="dxa"/>
          </w:tcPr>
          <w:p w:rsidR="00FD7161" w:rsidRPr="00687A1C" w:rsidRDefault="00FD7161" w:rsidP="00FD7161">
            <w:pPr>
              <w:pStyle w:val="Tabletextheadingleft"/>
              <w:cnfStyle w:val="000000000000" w:firstRow="0" w:lastRow="0" w:firstColumn="0" w:lastColumn="0" w:oddVBand="0" w:evenVBand="0" w:oddHBand="0" w:evenHBand="0" w:firstRowFirstColumn="0" w:firstRowLastColumn="0" w:lastRowFirstColumn="0" w:lastRowLastColumn="0"/>
            </w:pPr>
            <w:r w:rsidRPr="00687A1C">
              <w:t>Reason for change</w:t>
            </w:r>
          </w:p>
        </w:tc>
      </w:tr>
      <w:tr w:rsidR="00FD7161" w:rsidRPr="00687A1C" w:rsidTr="00FD7161">
        <w:tc>
          <w:tcPr>
            <w:cnfStyle w:val="001000000000" w:firstRow="0" w:lastRow="0" w:firstColumn="1" w:lastColumn="0" w:oddVBand="0" w:evenVBand="0" w:oddHBand="0" w:evenHBand="0" w:firstRowFirstColumn="0" w:firstRowLastColumn="0" w:lastRowFirstColumn="0" w:lastRowLastColumn="0"/>
            <w:tcW w:w="2977" w:type="dxa"/>
            <w:shd w:val="clear" w:color="auto" w:fill="E0E0E0"/>
          </w:tcPr>
          <w:p w:rsidR="00FD7161" w:rsidRPr="00687A1C" w:rsidRDefault="00FD7161" w:rsidP="003E549B">
            <w:pPr>
              <w:pStyle w:val="Tabletext"/>
            </w:pPr>
            <w:r w:rsidRPr="00687A1C">
              <w:t>Optimise Victoria</w:t>
            </w:r>
            <w:r w:rsidR="009469FE" w:rsidRPr="00687A1C">
              <w:t>’</w:t>
            </w:r>
            <w:r w:rsidRPr="00687A1C">
              <w:t>s fiscal resources</w:t>
            </w:r>
          </w:p>
        </w:tc>
        <w:tc>
          <w:tcPr>
            <w:tcW w:w="3260"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Sound financial management of Victoria</w:t>
            </w:r>
            <w:r w:rsidR="009469FE" w:rsidRPr="00687A1C">
              <w:t>’</w:t>
            </w:r>
            <w:r w:rsidRPr="00687A1C">
              <w:t>s fiscal resources</w:t>
            </w:r>
          </w:p>
        </w:tc>
        <w:tc>
          <w:tcPr>
            <w:tcW w:w="3404"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This objective has been updated to be more clearly outcomes focused and aligned with Government service delivery priorities for the Department.</w:t>
            </w:r>
          </w:p>
        </w:tc>
      </w:tr>
      <w:tr w:rsidR="00FD7161" w:rsidRPr="00687A1C" w:rsidTr="00FD7161">
        <w:tc>
          <w:tcPr>
            <w:cnfStyle w:val="001000000000" w:firstRow="0" w:lastRow="0" w:firstColumn="1" w:lastColumn="0" w:oddVBand="0" w:evenVBand="0" w:oddHBand="0" w:evenHBand="0" w:firstRowFirstColumn="0" w:firstRowLastColumn="0" w:lastRowFirstColumn="0" w:lastRowLastColumn="0"/>
            <w:tcW w:w="2977" w:type="dxa"/>
            <w:shd w:val="clear" w:color="auto" w:fill="E0E0E0"/>
          </w:tcPr>
          <w:p w:rsidR="00FD7161" w:rsidRPr="00687A1C" w:rsidRDefault="00FD7161" w:rsidP="003E549B">
            <w:pPr>
              <w:pStyle w:val="Tabletext"/>
            </w:pPr>
            <w:r w:rsidRPr="00687A1C">
              <w:t>Strengthen Victoria</w:t>
            </w:r>
            <w:r w:rsidR="009469FE" w:rsidRPr="00687A1C">
              <w:t>’</w:t>
            </w:r>
            <w:r w:rsidRPr="00687A1C">
              <w:t>s economic performance</w:t>
            </w:r>
          </w:p>
        </w:tc>
        <w:tc>
          <w:tcPr>
            <w:tcW w:w="3260"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Guide government actions to increase Victoria</w:t>
            </w:r>
            <w:r w:rsidR="009469FE" w:rsidRPr="00687A1C">
              <w:t>’</w:t>
            </w:r>
            <w:r w:rsidRPr="00687A1C">
              <w:t>s productivity and competitiveness</w:t>
            </w:r>
          </w:p>
        </w:tc>
        <w:tc>
          <w:tcPr>
            <w:tcW w:w="3404"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 xml:space="preserve">This objective has been updated to be more clearly outcomes focused and aligned with Government </w:t>
            </w:r>
            <w:r w:rsidR="009E40D0" w:rsidRPr="00687A1C">
              <w:t xml:space="preserve">service </w:t>
            </w:r>
            <w:r w:rsidRPr="00687A1C">
              <w:t xml:space="preserve">delivery priorities for the Department. </w:t>
            </w:r>
          </w:p>
        </w:tc>
      </w:tr>
      <w:tr w:rsidR="00FD7161" w:rsidRPr="00687A1C" w:rsidTr="00FD7161">
        <w:tc>
          <w:tcPr>
            <w:cnfStyle w:val="001000000000" w:firstRow="0" w:lastRow="0" w:firstColumn="1" w:lastColumn="0" w:oddVBand="0" w:evenVBand="0" w:oddHBand="0" w:evenHBand="0" w:firstRowFirstColumn="0" w:firstRowLastColumn="0" w:lastRowFirstColumn="0" w:lastRowLastColumn="0"/>
            <w:tcW w:w="2977" w:type="dxa"/>
            <w:shd w:val="clear" w:color="auto" w:fill="E0E0E0"/>
          </w:tcPr>
          <w:p w:rsidR="00FD7161" w:rsidRPr="00687A1C" w:rsidRDefault="00FD7161" w:rsidP="003E549B">
            <w:pPr>
              <w:pStyle w:val="Tabletext"/>
            </w:pPr>
            <w:r w:rsidRPr="00687A1C">
              <w:t>Improve how Government manages its balance sheet, commercial activities and public sector infrastructure</w:t>
            </w:r>
          </w:p>
        </w:tc>
        <w:tc>
          <w:tcPr>
            <w:tcW w:w="3260"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Drive improvement in public sector commercial and asset management and the delivery of infrastructure</w:t>
            </w:r>
          </w:p>
        </w:tc>
        <w:tc>
          <w:tcPr>
            <w:tcW w:w="3404" w:type="dxa"/>
          </w:tcPr>
          <w:p w:rsidR="00FD7161" w:rsidRPr="00687A1C" w:rsidRDefault="00FD7161" w:rsidP="00AD6EB2">
            <w:pPr>
              <w:pStyle w:val="Tabletext"/>
              <w:cnfStyle w:val="000000000000" w:firstRow="0" w:lastRow="0" w:firstColumn="0" w:lastColumn="0" w:oddVBand="0" w:evenVBand="0" w:oddHBand="0" w:evenHBand="0" w:firstRowFirstColumn="0" w:firstRowLastColumn="0" w:lastRowFirstColumn="0" w:lastRowLastColumn="0"/>
            </w:pPr>
            <w:r w:rsidRPr="00687A1C">
              <w:t xml:space="preserve">This objective has been updated to be more clearly outcomes focused and aligned with Government </w:t>
            </w:r>
            <w:r w:rsidR="001F5A76" w:rsidRPr="00687A1C">
              <w:t xml:space="preserve">service </w:t>
            </w:r>
            <w:r w:rsidRPr="00687A1C">
              <w:t>delivery priorities for the Department.</w:t>
            </w:r>
          </w:p>
        </w:tc>
      </w:tr>
      <w:tr w:rsidR="00FD7161" w:rsidRPr="00687A1C" w:rsidTr="00FD7161">
        <w:tc>
          <w:tcPr>
            <w:cnfStyle w:val="001000000000" w:firstRow="0" w:lastRow="0" w:firstColumn="1" w:lastColumn="0" w:oddVBand="0" w:evenVBand="0" w:oddHBand="0" w:evenHBand="0" w:firstRowFirstColumn="0" w:firstRowLastColumn="0" w:lastRowFirstColumn="0" w:lastRowLastColumn="0"/>
            <w:tcW w:w="2977" w:type="dxa"/>
            <w:shd w:val="clear" w:color="auto" w:fill="E0E0E0"/>
          </w:tcPr>
          <w:p w:rsidR="00FD7161" w:rsidRPr="00687A1C" w:rsidRDefault="00FD7161" w:rsidP="003E549B">
            <w:pPr>
              <w:pStyle w:val="Tabletext"/>
            </w:pPr>
            <w:r w:rsidRPr="00687A1C">
              <w:t>Deliver efficient whole of government common services</w:t>
            </w:r>
          </w:p>
        </w:tc>
        <w:tc>
          <w:tcPr>
            <w:tcW w:w="3260"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Deliver efficient whole of government common services to the Victorian public sector</w:t>
            </w:r>
          </w:p>
        </w:tc>
        <w:tc>
          <w:tcPr>
            <w:tcW w:w="3404"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This objective has been updated for increased clarity and conciseness.</w:t>
            </w:r>
          </w:p>
        </w:tc>
      </w:tr>
    </w:tbl>
    <w:p w:rsidR="00FD7161" w:rsidRPr="00687A1C" w:rsidRDefault="00FD7161" w:rsidP="003A27FC">
      <w:pPr>
        <w:rPr>
          <w:rFonts w:cstheme="minorHAnsi"/>
        </w:rPr>
      </w:pPr>
    </w:p>
    <w:p w:rsidR="00E720A2" w:rsidRPr="00687A1C" w:rsidRDefault="00E720A2" w:rsidP="00472CA1"/>
    <w:p w:rsidR="00FD7161" w:rsidRPr="00687A1C" w:rsidRDefault="00FD7161" w:rsidP="00472CA1">
      <w:pPr>
        <w:pStyle w:val="Heading4"/>
      </w:pPr>
      <w:r w:rsidRPr="00687A1C">
        <w:t>Output structure</w:t>
      </w:r>
    </w:p>
    <w:p w:rsidR="00FD7161" w:rsidRPr="00687A1C" w:rsidRDefault="00FD7161" w:rsidP="00472CA1">
      <w:r w:rsidRPr="00687A1C">
        <w:t>Changes to the Department</w:t>
      </w:r>
      <w:r w:rsidR="009469FE" w:rsidRPr="00687A1C">
        <w:t>’</w:t>
      </w:r>
      <w:r w:rsidRPr="00687A1C">
        <w:t>s output structure for 2017-18 are reflected in the table below:</w:t>
      </w:r>
    </w:p>
    <w:tbl>
      <w:tblPr>
        <w:tblStyle w:val="AnnualReporttexttable"/>
        <w:tblW w:w="0" w:type="auto"/>
        <w:tblInd w:w="108" w:type="dxa"/>
        <w:tblLook w:val="0480" w:firstRow="0" w:lastRow="0" w:firstColumn="1" w:lastColumn="0" w:noHBand="0" w:noVBand="1"/>
      </w:tblPr>
      <w:tblGrid>
        <w:gridCol w:w="2977"/>
        <w:gridCol w:w="3260"/>
        <w:gridCol w:w="3404"/>
      </w:tblGrid>
      <w:tr w:rsidR="00FD7161" w:rsidRPr="00687A1C" w:rsidTr="00FD7161">
        <w:tc>
          <w:tcPr>
            <w:cnfStyle w:val="001000000000" w:firstRow="0" w:lastRow="0" w:firstColumn="1" w:lastColumn="0" w:oddVBand="0" w:evenVBand="0" w:oddHBand="0" w:evenHBand="0" w:firstRowFirstColumn="0" w:firstRowLastColumn="0" w:lastRowFirstColumn="0" w:lastRowLastColumn="0"/>
            <w:tcW w:w="2977" w:type="dxa"/>
            <w:shd w:val="clear" w:color="auto" w:fill="E0E0E0"/>
          </w:tcPr>
          <w:p w:rsidR="00FD7161" w:rsidRPr="00687A1C" w:rsidRDefault="00FD7161" w:rsidP="00FD7161">
            <w:pPr>
              <w:pStyle w:val="Tabletextheadingleft"/>
            </w:pPr>
            <w:r w:rsidRPr="00687A1C">
              <w:t>2017-18 outputs</w:t>
            </w:r>
          </w:p>
        </w:tc>
        <w:tc>
          <w:tcPr>
            <w:tcW w:w="3260" w:type="dxa"/>
          </w:tcPr>
          <w:p w:rsidR="00FD7161" w:rsidRPr="00687A1C" w:rsidRDefault="00FD7161" w:rsidP="00FD7161">
            <w:pPr>
              <w:pStyle w:val="Tabletextheadingleft"/>
              <w:cnfStyle w:val="000000000000" w:firstRow="0" w:lastRow="0" w:firstColumn="0" w:lastColumn="0" w:oddVBand="0" w:evenVBand="0" w:oddHBand="0" w:evenHBand="0" w:firstRowFirstColumn="0" w:firstRowLastColumn="0" w:lastRowFirstColumn="0" w:lastRowLastColumn="0"/>
            </w:pPr>
            <w:r w:rsidRPr="00687A1C">
              <w:t>2016-17 outputs</w:t>
            </w:r>
          </w:p>
        </w:tc>
        <w:tc>
          <w:tcPr>
            <w:tcW w:w="3404" w:type="dxa"/>
          </w:tcPr>
          <w:p w:rsidR="00FD7161" w:rsidRPr="00687A1C" w:rsidRDefault="00FD7161" w:rsidP="00FD7161">
            <w:pPr>
              <w:pStyle w:val="Tabletextheadingleft"/>
              <w:cnfStyle w:val="000000000000" w:firstRow="0" w:lastRow="0" w:firstColumn="0" w:lastColumn="0" w:oddVBand="0" w:evenVBand="0" w:oddHBand="0" w:evenHBand="0" w:firstRowFirstColumn="0" w:firstRowLastColumn="0" w:lastRowFirstColumn="0" w:lastRowLastColumn="0"/>
            </w:pPr>
            <w:r w:rsidRPr="00687A1C">
              <w:t>Reason for change</w:t>
            </w:r>
          </w:p>
        </w:tc>
      </w:tr>
      <w:tr w:rsidR="00FD7161" w:rsidRPr="00687A1C" w:rsidTr="00FD7161">
        <w:tc>
          <w:tcPr>
            <w:cnfStyle w:val="001000000000" w:firstRow="0" w:lastRow="0" w:firstColumn="1" w:lastColumn="0" w:oddVBand="0" w:evenVBand="0" w:oddHBand="0" w:evenHBand="0" w:firstRowFirstColumn="0" w:firstRowLastColumn="0" w:lastRowFirstColumn="0" w:lastRowLastColumn="0"/>
            <w:tcW w:w="2977" w:type="dxa"/>
            <w:shd w:val="clear" w:color="auto" w:fill="E0E0E0"/>
          </w:tcPr>
          <w:p w:rsidR="00FD7161" w:rsidRPr="00687A1C" w:rsidRDefault="00FD7161" w:rsidP="003E549B">
            <w:pPr>
              <w:pStyle w:val="Tabletext"/>
            </w:pPr>
            <w:r w:rsidRPr="00687A1C">
              <w:t>Economic and Policy Advice</w:t>
            </w:r>
          </w:p>
        </w:tc>
        <w:tc>
          <w:tcPr>
            <w:tcW w:w="3260"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Business Environment Policy Advice</w:t>
            </w:r>
          </w:p>
        </w:tc>
        <w:tc>
          <w:tcPr>
            <w:tcW w:w="3404" w:type="dxa"/>
          </w:tcPr>
          <w:p w:rsidR="00FD7161" w:rsidRPr="00687A1C" w:rsidRDefault="00FD7161" w:rsidP="003E549B">
            <w:pPr>
              <w:pStyle w:val="Tabletext"/>
              <w:cnfStyle w:val="000000000000" w:firstRow="0" w:lastRow="0" w:firstColumn="0" w:lastColumn="0" w:oddVBand="0" w:evenVBand="0" w:oddHBand="0" w:evenHBand="0" w:firstRowFirstColumn="0" w:firstRowLastColumn="0" w:lastRowFirstColumn="0" w:lastRowLastColumn="0"/>
            </w:pPr>
            <w:r w:rsidRPr="00687A1C">
              <w:t>Business Environment Policy Advice output has merged with Economic Policy and Advice output. The merger of these two outputs recognises that the Office for Better Regulation is not a separate legal entity.</w:t>
            </w:r>
          </w:p>
        </w:tc>
      </w:tr>
    </w:tbl>
    <w:p w:rsidR="00FD7161" w:rsidRPr="00687A1C" w:rsidRDefault="00FD7161" w:rsidP="00867528"/>
    <w:p w:rsidR="003A27FC" w:rsidRPr="00687A1C" w:rsidRDefault="003A27FC" w:rsidP="003A27FC"/>
    <w:p w:rsidR="003A27FC" w:rsidRPr="00687A1C" w:rsidRDefault="003A27FC" w:rsidP="003A27FC">
      <w:pPr>
        <w:sectPr w:rsidR="003A27FC" w:rsidRPr="00687A1C" w:rsidSect="00D16853">
          <w:type w:val="continuous"/>
          <w:pgSz w:w="11909" w:h="16834" w:code="9"/>
          <w:pgMar w:top="1728" w:right="1152" w:bottom="1152" w:left="1152" w:header="720" w:footer="288" w:gutter="0"/>
          <w:cols w:space="720"/>
          <w:noEndnote/>
        </w:sectPr>
      </w:pPr>
    </w:p>
    <w:p w:rsidR="00FD7161" w:rsidRPr="00687A1C" w:rsidRDefault="00FD7161" w:rsidP="00FD7161">
      <w:pPr>
        <w:pStyle w:val="Heading3"/>
      </w:pPr>
      <w:bookmarkStart w:id="14" w:name="_Ref489439172"/>
      <w:r w:rsidRPr="00687A1C">
        <w:lastRenderedPageBreak/>
        <w:t>Reporting progress towards achieving Departmental objectives and indicators</w:t>
      </w:r>
      <w:bookmarkEnd w:id="14"/>
    </w:p>
    <w:p w:rsidR="00FD7161" w:rsidRPr="00687A1C" w:rsidRDefault="00FD7161" w:rsidP="00AD6EB2">
      <w:r w:rsidRPr="00687A1C">
        <w:t>DTF</w:t>
      </w:r>
      <w:r w:rsidR="009469FE" w:rsidRPr="00687A1C">
        <w:t>’</w:t>
      </w:r>
      <w:r w:rsidRPr="00687A1C">
        <w:t>s objectives, indicators, and progress on those indicators are outlined below.</w:t>
      </w:r>
    </w:p>
    <w:p w:rsidR="00FD7161" w:rsidRPr="00687A1C" w:rsidRDefault="00FD7161" w:rsidP="00FD7161">
      <w:pPr>
        <w:pStyle w:val="Heading4"/>
      </w:pPr>
      <w:r w:rsidRPr="00687A1C">
        <w:t>Objective 1: Optimise Victoria</w:t>
      </w:r>
      <w:r w:rsidR="009469FE" w:rsidRPr="00687A1C">
        <w:t>’</w:t>
      </w:r>
      <w:r w:rsidRPr="00687A1C">
        <w:t>s fiscal resources</w:t>
      </w:r>
    </w:p>
    <w:p w:rsidR="00FD7161" w:rsidRPr="00687A1C" w:rsidRDefault="00FD7161" w:rsidP="00FD7161">
      <w:pPr>
        <w:pStyle w:val="Heading5"/>
        <w:rPr>
          <w:rFonts w:cstheme="minorHAnsi"/>
        </w:rPr>
      </w:pPr>
      <w:r w:rsidRPr="00687A1C">
        <w:rPr>
          <w:rFonts w:cstheme="minorHAnsi"/>
        </w:rPr>
        <w:t>Objective indicators</w:t>
      </w:r>
    </w:p>
    <w:p w:rsidR="00FD7161" w:rsidRPr="00687A1C" w:rsidRDefault="00FD7161" w:rsidP="00FD7161">
      <w:pPr>
        <w:pStyle w:val="ListNumber"/>
      </w:pPr>
      <w:r w:rsidRPr="00687A1C">
        <w:t>A net operating surplus consistent with maintaining general government net debt at a sustainable level.</w:t>
      </w:r>
    </w:p>
    <w:p w:rsidR="00FD7161" w:rsidRPr="00687A1C" w:rsidRDefault="00FD7161" w:rsidP="00FD7161">
      <w:pPr>
        <w:pStyle w:val="ListNumber"/>
      </w:pPr>
      <w:r w:rsidRPr="00687A1C">
        <w:t>General government net debt as a percentage of GSP to be maintained at a sustainable level.</w:t>
      </w:r>
    </w:p>
    <w:p w:rsidR="00FD7161" w:rsidRPr="00687A1C" w:rsidRDefault="00FD7161" w:rsidP="00FD7161">
      <w:pPr>
        <w:pStyle w:val="ListNumber"/>
      </w:pPr>
      <w:r w:rsidRPr="00687A1C">
        <w:t xml:space="preserve">Agency compliance with the Standing Directions under the </w:t>
      </w:r>
      <w:r w:rsidRPr="00687A1C">
        <w:rPr>
          <w:i/>
        </w:rPr>
        <w:t>Financial Management Act 1994</w:t>
      </w:r>
      <w:r w:rsidRPr="00687A1C">
        <w:t>.</w:t>
      </w:r>
    </w:p>
    <w:p w:rsidR="00FD7161" w:rsidRPr="00687A1C" w:rsidRDefault="00FD7161" w:rsidP="00FD7161">
      <w:pPr>
        <w:pStyle w:val="ListNumber"/>
      </w:pPr>
      <w:r w:rsidRPr="00687A1C">
        <w:t>Advice contributes to the achievement of Government policies and priorities relating to optimising Victoria</w:t>
      </w:r>
      <w:r w:rsidR="009469FE" w:rsidRPr="00687A1C">
        <w:t>’</w:t>
      </w:r>
      <w:r w:rsidRPr="00687A1C">
        <w:t>s fiscal resources.</w:t>
      </w:r>
    </w:p>
    <w:p w:rsidR="00FD7161" w:rsidRPr="00687A1C" w:rsidRDefault="00FD7161" w:rsidP="00AD6EB2">
      <w:r w:rsidRPr="00687A1C">
        <w:t>Throughout 2017-18, DTF led the development of financial policy advice to Government and the Victorian public sector through detailed analysis of key policy priorities including resource allocation, financial risk and government service performance, financial reporting frameworks, and the State</w:t>
      </w:r>
      <w:r w:rsidR="009469FE" w:rsidRPr="00687A1C">
        <w:t>’</w:t>
      </w:r>
      <w:r w:rsidRPr="00687A1C">
        <w:t>s budget position, to inform and support the publication of key whole of State financial reports and the annual State Budget.</w:t>
      </w:r>
    </w:p>
    <w:p w:rsidR="00FD7161" w:rsidRPr="00687A1C" w:rsidRDefault="00FD7161" w:rsidP="00AD6EB2">
      <w:r w:rsidRPr="00687A1C">
        <w:t>DTF also continued to support the Government in maintaining the State</w:t>
      </w:r>
      <w:r w:rsidR="009469FE" w:rsidRPr="00687A1C">
        <w:t>’</w:t>
      </w:r>
      <w:r w:rsidRPr="00687A1C">
        <w:t xml:space="preserve">s triple-A credit rating. </w:t>
      </w:r>
    </w:p>
    <w:p w:rsidR="00FD7161" w:rsidRPr="00687A1C" w:rsidRDefault="00FD7161" w:rsidP="00472CA1">
      <w:pPr>
        <w:pStyle w:val="Normalbold"/>
      </w:pPr>
      <w:r w:rsidRPr="00687A1C">
        <w:t>Objective Indicator 1: A net operating surplus consistent with maintaining general government net debt at a sustainable level.</w:t>
      </w:r>
    </w:p>
    <w:p w:rsidR="00FD7161" w:rsidRPr="00687A1C" w:rsidRDefault="00FD7161" w:rsidP="00AD6EB2">
      <w:r w:rsidRPr="00687A1C">
        <w:t>The general government sector net operating result for 2017-18 is $</w:t>
      </w:r>
      <w:r w:rsidR="00083842" w:rsidRPr="00687A1C">
        <w:t>2.3</w:t>
      </w:r>
      <w:r w:rsidRPr="00687A1C">
        <w:t xml:space="preserve"> billion</w:t>
      </w:r>
      <w:r w:rsidR="00472CA1" w:rsidRPr="00687A1C">
        <w:t xml:space="preserve">. </w:t>
      </w:r>
    </w:p>
    <w:p w:rsidR="00FD7161" w:rsidRPr="00687A1C" w:rsidRDefault="00FD7161" w:rsidP="00AD6EB2">
      <w:r w:rsidRPr="00687A1C">
        <w:t>The general government operating surplus (net result from transa</w:t>
      </w:r>
      <w:r w:rsidR="00472CA1" w:rsidRPr="00687A1C">
        <w:t>ctions) is estimated to be $1.4</w:t>
      </w:r>
      <w:r w:rsidR="00472CA1" w:rsidRPr="00687A1C">
        <w:rPr>
          <w:rFonts w:ascii="Calibri" w:hAnsi="Calibri" w:cs="Courier New"/>
          <w:spacing w:val="-20"/>
        </w:rPr>
        <w:t> </w:t>
      </w:r>
      <w:r w:rsidRPr="00687A1C">
        <w:t xml:space="preserve">billion in 2018-19. Surpluses averaging $2.5 billion a year are expected across the forward estimates. This net operating result is consistent with maintaining net debt at a sustainable level over the medium term. </w:t>
      </w:r>
    </w:p>
    <w:p w:rsidR="00FD7161" w:rsidRPr="00687A1C" w:rsidRDefault="00FD7161" w:rsidP="00472CA1">
      <w:pPr>
        <w:pStyle w:val="Normalbold"/>
      </w:pPr>
      <w:r w:rsidRPr="00687A1C">
        <w:t>Objective Indicator 2: General government net debt as a percentage of GSP to be maintained at a sustainable level.</w:t>
      </w:r>
    </w:p>
    <w:p w:rsidR="00FD7161" w:rsidRPr="00687A1C" w:rsidRDefault="00FD7161" w:rsidP="00AD6EB2">
      <w:r w:rsidRPr="00687A1C">
        <w:t xml:space="preserve">The ratio of net debt to GSP as at 30 June 2018 is </w:t>
      </w:r>
      <w:r w:rsidR="00083842" w:rsidRPr="00687A1C">
        <w:t>4.7</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General government net debt as a percentage of GSP is expected to be maintained at a sustainable level over the medium term.</w:t>
      </w:r>
    </w:p>
    <w:p w:rsidR="00FD7161" w:rsidRPr="00687A1C" w:rsidRDefault="00FD7161" w:rsidP="00FD7161">
      <w:pPr>
        <w:pStyle w:val="ListNumber"/>
        <w:numPr>
          <w:ilvl w:val="0"/>
          <w:numId w:val="0"/>
        </w:numPr>
      </w:pPr>
    </w:p>
    <w:p w:rsidR="00FD7161" w:rsidRPr="00687A1C" w:rsidRDefault="00BE5F15" w:rsidP="00BE5F15">
      <w:pPr>
        <w:pStyle w:val="Normalbold"/>
        <w:spacing w:before="0"/>
      </w:pPr>
      <w:r>
        <w:br w:type="column"/>
      </w:r>
      <w:r w:rsidR="00FD7161" w:rsidRPr="00687A1C">
        <w:t xml:space="preserve">Objective Indicator 3: Agency compliance with the Standing Directions under the </w:t>
      </w:r>
      <w:r w:rsidR="00FD7161" w:rsidRPr="00687A1C">
        <w:rPr>
          <w:i/>
        </w:rPr>
        <w:t>Financial Management Act 1994</w:t>
      </w:r>
    </w:p>
    <w:p w:rsidR="00FD7161" w:rsidRPr="00687A1C" w:rsidRDefault="00FD7161" w:rsidP="00AD6EB2">
      <w:r w:rsidRPr="00687A1C">
        <w:t xml:space="preserve">DTF continues to work with portfolio departments and agencies to drive robust management of Victorian public resources consistent with the Standing Directions of the Minister for Finance. The first government report of compliance </w:t>
      </w:r>
      <w:r w:rsidR="00F42E91" w:rsidRPr="00687A1C">
        <w:t xml:space="preserve">with </w:t>
      </w:r>
      <w:r w:rsidRPr="00687A1C">
        <w:t>the 2016 Standing Directions (for the 2016</w:t>
      </w:r>
      <w:r w:rsidRPr="00687A1C">
        <w:noBreakHyphen/>
        <w:t>17 financial year) was released in December 2017,</w:t>
      </w:r>
      <w:r w:rsidR="009469FE" w:rsidRPr="00687A1C">
        <w:t xml:space="preserve"> </w:t>
      </w:r>
      <w:r w:rsidR="00F42E91" w:rsidRPr="00687A1C">
        <w:t xml:space="preserve">and </w:t>
      </w:r>
      <w:r w:rsidRPr="00687A1C">
        <w:t>reported high department and agency engagement in ensuring robust systems and processes operating effectively.</w:t>
      </w:r>
    </w:p>
    <w:p w:rsidR="00FD7161" w:rsidRPr="00687A1C" w:rsidRDefault="00FD7161" w:rsidP="00472CA1">
      <w:pPr>
        <w:pStyle w:val="Normalbold"/>
      </w:pPr>
      <w:r w:rsidRPr="00687A1C">
        <w:t>Objective Indicator 4: Advice contributes to the achievement of Government policies and priorities related to optimising Victoria</w:t>
      </w:r>
      <w:r w:rsidR="009469FE" w:rsidRPr="00687A1C">
        <w:t>’</w:t>
      </w:r>
      <w:r w:rsidRPr="00687A1C">
        <w:t>s fiscal resources</w:t>
      </w:r>
    </w:p>
    <w:p w:rsidR="00FD7161" w:rsidRPr="00687A1C" w:rsidRDefault="00FD7161" w:rsidP="00AD6EB2">
      <w:r w:rsidRPr="00687A1C">
        <w:t>The State</w:t>
      </w:r>
      <w:r w:rsidR="009469FE" w:rsidRPr="00687A1C">
        <w:t>’</w:t>
      </w:r>
      <w:r w:rsidRPr="00687A1C">
        <w:t xml:space="preserve">s </w:t>
      </w:r>
      <w:r w:rsidRPr="00687A1C">
        <w:rPr>
          <w:i/>
        </w:rPr>
        <w:t>2018-19 Budget</w:t>
      </w:r>
      <w:r w:rsidRPr="00687A1C">
        <w:t xml:space="preserve"> was released in May 201</w:t>
      </w:r>
      <w:r w:rsidR="003228AA" w:rsidRPr="00687A1C">
        <w:t>8</w:t>
      </w:r>
      <w:r w:rsidRPr="00687A1C">
        <w:t>. During the 2018-19 budget process, DTF supported Government decision making by providing detailed analysis of budget proposals across all departmental portfolios, and provided advice on fiscal strategy, expenditure and savings options to the Government.</w:t>
      </w:r>
    </w:p>
    <w:p w:rsidR="00FD7161" w:rsidRPr="00687A1C" w:rsidRDefault="00FD7161" w:rsidP="00AD6EB2">
      <w:r w:rsidRPr="00687A1C">
        <w:t>DTF worked with departments to improve the quality of their Departmental Performance Statements reported in Budget Paper No. 3, so that these statements better reflect expected deliverables and performance standards for newly funded initiatives as well as better reflect departments</w:t>
      </w:r>
      <w:r w:rsidR="009469FE" w:rsidRPr="00687A1C">
        <w:t>’</w:t>
      </w:r>
      <w:r w:rsidRPr="00687A1C">
        <w:t xml:space="preserve"> ongoing service delivery. </w:t>
      </w:r>
    </w:p>
    <w:p w:rsidR="00FD7161" w:rsidRPr="00687A1C" w:rsidRDefault="00FD7161" w:rsidP="00AD6EB2">
      <w:r w:rsidRPr="00687A1C">
        <w:t xml:space="preserve">The Government </w:t>
      </w:r>
      <w:r w:rsidR="00F42E91" w:rsidRPr="00687A1C">
        <w:t>introduced</w:t>
      </w:r>
      <w:r w:rsidRPr="00687A1C">
        <w:t xml:space="preserve"> the Financial Management and Constitution Act Amendment Bill 2017 in </w:t>
      </w:r>
      <w:r w:rsidR="00F42E91" w:rsidRPr="00687A1C">
        <w:t xml:space="preserve">November </w:t>
      </w:r>
      <w:r w:rsidRPr="00687A1C">
        <w:t>2017, to strengthen public sector accountability and update Victoria</w:t>
      </w:r>
      <w:r w:rsidR="009469FE" w:rsidRPr="00687A1C">
        <w:t>’</w:t>
      </w:r>
      <w:r w:rsidRPr="00687A1C">
        <w:t xml:space="preserve">s key public sector finance legislation. </w:t>
      </w:r>
    </w:p>
    <w:p w:rsidR="009B77F1" w:rsidRPr="00687A1C" w:rsidRDefault="00FD7161" w:rsidP="00AD6EB2">
      <w:r w:rsidRPr="00687A1C">
        <w:t>High quality and timely advice has been provided on accounting for various major transactions to</w:t>
      </w:r>
      <w:r w:rsidR="009B77F1" w:rsidRPr="00687A1C">
        <w:t xml:space="preserve"> ensure sound financial reporting standards</w:t>
      </w:r>
      <w:r w:rsidRPr="00687A1C">
        <w:t xml:space="preserve">. </w:t>
      </w:r>
    </w:p>
    <w:p w:rsidR="00FD7161" w:rsidRPr="00687A1C" w:rsidRDefault="009B77F1" w:rsidP="00AD6EB2">
      <w:r w:rsidRPr="00687A1C">
        <w:t>Advice has been provided on the potential impacts of the upcoming suite of accounting standard changes. Ongoing training and consultation with portfolio departments and agencies has been maintained to support planning for the transition. A detailed implementation plan has been developed that outlines the key activities, such as development of tools and policy papers and associated timelines.</w:t>
      </w:r>
    </w:p>
    <w:p w:rsidR="00FD7161" w:rsidRPr="00687A1C" w:rsidRDefault="00FD7161" w:rsidP="00AD6EB2">
      <w:r w:rsidRPr="00687A1C">
        <w:t xml:space="preserve">DTF has also contributed to funding reviews across multiple portfolios, contributing to work supporting the effective and efficient delivery of government services. </w:t>
      </w:r>
    </w:p>
    <w:p w:rsidR="006B3C84" w:rsidRPr="00687A1C" w:rsidRDefault="006B3C84" w:rsidP="003A27FC"/>
    <w:p w:rsidR="002D36B2" w:rsidRPr="00687A1C" w:rsidRDefault="002D36B2" w:rsidP="003A27FC">
      <w:pPr>
        <w:sectPr w:rsidR="002D36B2" w:rsidRPr="00687A1C" w:rsidSect="00E07735">
          <w:footerReference w:type="even" r:id="rId20"/>
          <w:footerReference w:type="default" r:id="rId21"/>
          <w:pgSz w:w="11909" w:h="16834" w:code="9"/>
          <w:pgMar w:top="1728" w:right="1152" w:bottom="1152" w:left="1152" w:header="720" w:footer="288" w:gutter="0"/>
          <w:cols w:num="2" w:space="720"/>
          <w:noEndnote/>
        </w:sectPr>
      </w:pPr>
    </w:p>
    <w:p w:rsidR="002D36B2" w:rsidRPr="00687A1C" w:rsidRDefault="002D36B2" w:rsidP="008E611E">
      <w:pPr>
        <w:pStyle w:val="Tableheading"/>
      </w:pPr>
      <w:r w:rsidRPr="00687A1C">
        <w:lastRenderedPageBreak/>
        <w:t xml:space="preserve">Table 1 – </w:t>
      </w:r>
      <w:r w:rsidR="00972655" w:rsidRPr="00687A1C">
        <w:t>Progress towards objective – Sound financial management of Victoria</w:t>
      </w:r>
      <w:r w:rsidR="009469FE" w:rsidRPr="00687A1C">
        <w:t>’</w:t>
      </w:r>
      <w:r w:rsidR="00972655" w:rsidRPr="00687A1C">
        <w:t>s fiscal resources</w:t>
      </w:r>
    </w:p>
    <w:tbl>
      <w:tblPr>
        <w:tblStyle w:val="AnnualReportfinancialtable"/>
        <w:tblW w:w="8665" w:type="dxa"/>
        <w:tblLayout w:type="fixed"/>
        <w:tblLook w:val="0080" w:firstRow="0" w:lastRow="0" w:firstColumn="1" w:lastColumn="0" w:noHBand="0" w:noVBand="0"/>
      </w:tblPr>
      <w:tblGrid>
        <w:gridCol w:w="3715"/>
        <w:gridCol w:w="990"/>
        <w:gridCol w:w="990"/>
        <w:gridCol w:w="990"/>
        <w:gridCol w:w="990"/>
        <w:gridCol w:w="990"/>
      </w:tblGrid>
      <w:tr w:rsidR="008F632E" w:rsidRPr="00687A1C" w:rsidTr="008F632E">
        <w:tc>
          <w:tcPr>
            <w:cnfStyle w:val="001000000000" w:firstRow="0" w:lastRow="0" w:firstColumn="1" w:lastColumn="0" w:oddVBand="0" w:evenVBand="0" w:oddHBand="0" w:evenHBand="0" w:firstRowFirstColumn="0" w:firstRowLastColumn="0" w:lastRowFirstColumn="0" w:lastRowLastColumn="0"/>
            <w:tcW w:w="3715" w:type="dxa"/>
          </w:tcPr>
          <w:p w:rsidR="008F632E" w:rsidRPr="00687A1C" w:rsidRDefault="008F632E" w:rsidP="00FB34B2">
            <w:pPr>
              <w:pStyle w:val="Tabletextheadingleft"/>
            </w:pPr>
            <w:r w:rsidRPr="00687A1C">
              <w:rPr>
                <w:rFonts w:cstheme="minorHAnsi"/>
              </w:rPr>
              <w:t>Indicator</w:t>
            </w:r>
          </w:p>
        </w:tc>
        <w:tc>
          <w:tcPr>
            <w:cnfStyle w:val="000010000000" w:firstRow="0" w:lastRow="0" w:firstColumn="0" w:lastColumn="0" w:oddVBand="1" w:evenVBand="0" w:oddHBand="0" w:evenHBand="0" w:firstRowFirstColumn="0" w:firstRowLastColumn="0" w:lastRowFirstColumn="0" w:lastRowLastColumn="0"/>
            <w:tcW w:w="990" w:type="dxa"/>
          </w:tcPr>
          <w:p w:rsidR="008F632E" w:rsidRPr="00687A1C" w:rsidRDefault="008F632E" w:rsidP="009C1895">
            <w:pPr>
              <w:pStyle w:val="Tabletextheadingcentred"/>
            </w:pPr>
            <w:r w:rsidRPr="00687A1C">
              <w:t xml:space="preserve">Unit of </w:t>
            </w:r>
            <w:r w:rsidRPr="00687A1C">
              <w:br/>
              <w:t>measure</w:t>
            </w:r>
          </w:p>
        </w:tc>
        <w:tc>
          <w:tcPr>
            <w:cnfStyle w:val="000001000000" w:firstRow="0" w:lastRow="0" w:firstColumn="0" w:lastColumn="0" w:oddVBand="0" w:evenVBand="1" w:oddHBand="0" w:evenHBand="0" w:firstRowFirstColumn="0" w:firstRowLastColumn="0" w:lastRowFirstColumn="0" w:lastRowLastColumn="0"/>
            <w:tcW w:w="990" w:type="dxa"/>
          </w:tcPr>
          <w:p w:rsidR="008F632E" w:rsidRPr="00687A1C" w:rsidRDefault="008F632E" w:rsidP="00AC5DD0">
            <w:pPr>
              <w:pStyle w:val="Tabletextheadingright"/>
              <w:rPr>
                <w:rFonts w:cstheme="minorHAnsi"/>
              </w:rPr>
            </w:pPr>
            <w:r w:rsidRPr="00687A1C">
              <w:rPr>
                <w:rFonts w:cstheme="minorHAnsi"/>
              </w:rPr>
              <w:t>2014</w:t>
            </w:r>
            <w:r w:rsidRPr="00687A1C">
              <w:rPr>
                <w:rFonts w:cstheme="minorHAnsi"/>
              </w:rPr>
              <w:noBreakHyphen/>
              <w:t>15 actual</w:t>
            </w:r>
          </w:p>
        </w:tc>
        <w:tc>
          <w:tcPr>
            <w:cnfStyle w:val="000010000000" w:firstRow="0" w:lastRow="0" w:firstColumn="0" w:lastColumn="0" w:oddVBand="1" w:evenVBand="0" w:oddHBand="0" w:evenHBand="0" w:firstRowFirstColumn="0" w:firstRowLastColumn="0" w:lastRowFirstColumn="0" w:lastRowLastColumn="0"/>
            <w:tcW w:w="990" w:type="dxa"/>
          </w:tcPr>
          <w:p w:rsidR="008F632E" w:rsidRPr="00687A1C" w:rsidRDefault="008F632E" w:rsidP="00F3746D">
            <w:pPr>
              <w:pStyle w:val="Tabletextheadingright"/>
              <w:rPr>
                <w:rFonts w:cstheme="minorHAnsi"/>
              </w:rPr>
            </w:pPr>
            <w:r w:rsidRPr="00687A1C">
              <w:rPr>
                <w:rFonts w:cstheme="minorHAnsi"/>
              </w:rPr>
              <w:t>2015</w:t>
            </w:r>
            <w:r w:rsidRPr="00687A1C">
              <w:rPr>
                <w:rFonts w:cstheme="minorHAnsi"/>
              </w:rPr>
              <w:noBreakHyphen/>
              <w:t>16 actual</w:t>
            </w:r>
          </w:p>
        </w:tc>
        <w:tc>
          <w:tcPr>
            <w:cnfStyle w:val="000001000000" w:firstRow="0" w:lastRow="0" w:firstColumn="0" w:lastColumn="0" w:oddVBand="0" w:evenVBand="1" w:oddHBand="0" w:evenHBand="0" w:firstRowFirstColumn="0" w:firstRowLastColumn="0" w:lastRowFirstColumn="0" w:lastRowLastColumn="0"/>
            <w:tcW w:w="990" w:type="dxa"/>
          </w:tcPr>
          <w:p w:rsidR="008F632E" w:rsidRPr="00687A1C" w:rsidRDefault="008F632E" w:rsidP="00F3746D">
            <w:pPr>
              <w:pStyle w:val="Tabletextheadingright"/>
            </w:pPr>
            <w:r w:rsidRPr="00687A1C">
              <w:rPr>
                <w:rFonts w:cstheme="minorHAnsi"/>
              </w:rPr>
              <w:t>2016</w:t>
            </w:r>
            <w:r w:rsidRPr="00687A1C">
              <w:rPr>
                <w:rFonts w:cstheme="minorHAnsi"/>
              </w:rPr>
              <w:noBreakHyphen/>
              <w:t>17</w:t>
            </w:r>
            <w:r w:rsidRPr="00687A1C">
              <w:rPr>
                <w:rFonts w:cstheme="minorHAnsi"/>
              </w:rPr>
              <w:br/>
              <w:t>actual</w:t>
            </w:r>
          </w:p>
        </w:tc>
        <w:tc>
          <w:tcPr>
            <w:cnfStyle w:val="000010000000" w:firstRow="0" w:lastRow="0" w:firstColumn="0" w:lastColumn="0" w:oddVBand="1" w:evenVBand="0" w:oddHBand="0" w:evenHBand="0" w:firstRowFirstColumn="0" w:firstRowLastColumn="0" w:lastRowFirstColumn="0" w:lastRowLastColumn="0"/>
            <w:tcW w:w="990" w:type="dxa"/>
          </w:tcPr>
          <w:p w:rsidR="008F632E" w:rsidRPr="00687A1C" w:rsidRDefault="008F632E" w:rsidP="008F632E">
            <w:pPr>
              <w:pStyle w:val="Tabletextheadingright"/>
              <w:rPr>
                <w:rFonts w:cstheme="minorHAnsi"/>
              </w:rPr>
            </w:pPr>
            <w:r w:rsidRPr="00687A1C">
              <w:rPr>
                <w:rFonts w:cstheme="minorHAnsi"/>
              </w:rPr>
              <w:t>2017</w:t>
            </w:r>
            <w:r w:rsidRPr="00687A1C">
              <w:rPr>
                <w:rFonts w:cstheme="minorHAnsi"/>
              </w:rPr>
              <w:noBreakHyphen/>
              <w:t>18</w:t>
            </w:r>
            <w:r w:rsidRPr="00687A1C">
              <w:rPr>
                <w:rFonts w:cstheme="minorHAnsi"/>
              </w:rPr>
              <w:br/>
              <w:t>actual</w:t>
            </w:r>
          </w:p>
        </w:tc>
      </w:tr>
      <w:tr w:rsidR="003E549B" w:rsidRPr="00687A1C" w:rsidTr="008F632E">
        <w:tc>
          <w:tcPr>
            <w:cnfStyle w:val="001000000000" w:firstRow="0" w:lastRow="0" w:firstColumn="1" w:lastColumn="0" w:oddVBand="0" w:evenVBand="0" w:oddHBand="0" w:evenHBand="0" w:firstRowFirstColumn="0" w:firstRowLastColumn="0" w:lastRowFirstColumn="0" w:lastRowLastColumn="0"/>
            <w:tcW w:w="3715" w:type="dxa"/>
          </w:tcPr>
          <w:p w:rsidR="003E549B" w:rsidRPr="00687A1C" w:rsidRDefault="003E549B" w:rsidP="003E549B">
            <w:pPr>
              <w:pStyle w:val="Tabletext"/>
            </w:pPr>
            <w:r w:rsidRPr="00687A1C">
              <w:t>A net operating surplus consistent with maintaining general government net debt at a sustainable level.</w:t>
            </w:r>
          </w:p>
        </w:tc>
        <w:tc>
          <w:tcPr>
            <w:cnfStyle w:val="000010000000" w:firstRow="0" w:lastRow="0" w:firstColumn="0" w:lastColumn="0" w:oddVBand="1" w:evenVBand="0" w:oddHBand="0" w:evenHBand="0" w:firstRowFirstColumn="0" w:firstRowLastColumn="0" w:lastRowFirstColumn="0" w:lastRowLastColumn="0"/>
            <w:tcW w:w="990" w:type="dxa"/>
          </w:tcPr>
          <w:p w:rsidR="003E549B" w:rsidRPr="00687A1C" w:rsidRDefault="003E549B" w:rsidP="0046076F">
            <w:pPr>
              <w:pStyle w:val="Tabletextcentred"/>
            </w:pPr>
            <w:r w:rsidRPr="00687A1C">
              <w:rPr>
                <w:rFonts w:cstheme="minorHAnsi"/>
              </w:rPr>
              <w:t>$</w:t>
            </w:r>
            <w:r w:rsidRPr="00687A1C">
              <w:rPr>
                <w:rFonts w:ascii="Calibri" w:hAnsi="Calibri" w:cs="Calibri"/>
              </w:rPr>
              <w:t> </w:t>
            </w:r>
            <w:r w:rsidRPr="00687A1C">
              <w:t>billion</w:t>
            </w:r>
          </w:p>
        </w:tc>
        <w:tc>
          <w:tcPr>
            <w:cnfStyle w:val="000001000000" w:firstRow="0" w:lastRow="0" w:firstColumn="0" w:lastColumn="0" w:oddVBand="0" w:evenVBand="1" w:oddHBand="0" w:evenHBand="0" w:firstRowFirstColumn="0" w:firstRowLastColumn="0" w:lastRowFirstColumn="0" w:lastRowLastColumn="0"/>
            <w:tcW w:w="990" w:type="dxa"/>
          </w:tcPr>
          <w:p w:rsidR="003E549B" w:rsidRPr="00687A1C" w:rsidRDefault="003E549B" w:rsidP="003E549B">
            <w:pPr>
              <w:pStyle w:val="Tabletextright"/>
              <w:rPr>
                <w:rFonts w:cstheme="minorHAnsi"/>
              </w:rPr>
            </w:pPr>
            <w:r w:rsidRPr="00687A1C">
              <w:rPr>
                <w:rFonts w:cstheme="minorHAnsi"/>
              </w:rPr>
              <w:t>1.21</w:t>
            </w:r>
          </w:p>
        </w:tc>
        <w:tc>
          <w:tcPr>
            <w:cnfStyle w:val="000010000000" w:firstRow="0" w:lastRow="0" w:firstColumn="0" w:lastColumn="0" w:oddVBand="1" w:evenVBand="0" w:oddHBand="0" w:evenHBand="0" w:firstRowFirstColumn="0" w:firstRowLastColumn="0" w:lastRowFirstColumn="0" w:lastRowLastColumn="0"/>
            <w:tcW w:w="990" w:type="dxa"/>
          </w:tcPr>
          <w:p w:rsidR="003E549B" w:rsidRPr="00687A1C" w:rsidRDefault="003E549B" w:rsidP="003E549B">
            <w:pPr>
              <w:pStyle w:val="Tabletextright"/>
              <w:rPr>
                <w:rFonts w:cstheme="minorHAnsi"/>
                <w:color w:val="auto"/>
              </w:rPr>
            </w:pPr>
            <w:r w:rsidRPr="00687A1C">
              <w:rPr>
                <w:rFonts w:cstheme="minorHAnsi"/>
                <w:color w:val="auto"/>
              </w:rPr>
              <w:t>2.66</w:t>
            </w:r>
          </w:p>
        </w:tc>
        <w:tc>
          <w:tcPr>
            <w:cnfStyle w:val="000001000000" w:firstRow="0" w:lastRow="0" w:firstColumn="0" w:lastColumn="0" w:oddVBand="0" w:evenVBand="1" w:oddHBand="0" w:evenHBand="0" w:firstRowFirstColumn="0" w:firstRowLastColumn="0" w:lastRowFirstColumn="0" w:lastRowLastColumn="0"/>
            <w:tcW w:w="990" w:type="dxa"/>
          </w:tcPr>
          <w:p w:rsidR="003E549B" w:rsidRPr="00687A1C" w:rsidRDefault="003E549B" w:rsidP="003E549B">
            <w:pPr>
              <w:pStyle w:val="Tabletextright"/>
              <w:rPr>
                <w:rFonts w:cstheme="minorHAnsi"/>
                <w:color w:val="auto"/>
              </w:rPr>
            </w:pPr>
            <w:r w:rsidRPr="00687A1C">
              <w:rPr>
                <w:rFonts w:cstheme="minorHAnsi"/>
                <w:color w:val="auto"/>
              </w:rPr>
              <w:t>2.71</w:t>
            </w:r>
          </w:p>
        </w:tc>
        <w:tc>
          <w:tcPr>
            <w:cnfStyle w:val="000010000000" w:firstRow="0" w:lastRow="0" w:firstColumn="0" w:lastColumn="0" w:oddVBand="1" w:evenVBand="0" w:oddHBand="0" w:evenHBand="0" w:firstRowFirstColumn="0" w:firstRowLastColumn="0" w:lastRowFirstColumn="0" w:lastRowLastColumn="0"/>
            <w:tcW w:w="990" w:type="dxa"/>
          </w:tcPr>
          <w:p w:rsidR="003E549B" w:rsidRPr="00687A1C" w:rsidRDefault="00083842" w:rsidP="00CE0EA3">
            <w:pPr>
              <w:pStyle w:val="Tabletextright"/>
              <w:rPr>
                <w:rFonts w:cstheme="minorHAnsi"/>
                <w:color w:val="auto"/>
              </w:rPr>
            </w:pPr>
            <w:r w:rsidRPr="00687A1C">
              <w:rPr>
                <w:rFonts w:cstheme="minorHAnsi"/>
                <w:color w:val="auto"/>
              </w:rPr>
              <w:t>2.31</w:t>
            </w:r>
          </w:p>
        </w:tc>
      </w:tr>
      <w:tr w:rsidR="003E549B" w:rsidRPr="00687A1C" w:rsidTr="008F632E">
        <w:tc>
          <w:tcPr>
            <w:cnfStyle w:val="001000000000" w:firstRow="0" w:lastRow="0" w:firstColumn="1" w:lastColumn="0" w:oddVBand="0" w:evenVBand="0" w:oddHBand="0" w:evenHBand="0" w:firstRowFirstColumn="0" w:firstRowLastColumn="0" w:lastRowFirstColumn="0" w:lastRowLastColumn="0"/>
            <w:tcW w:w="3715" w:type="dxa"/>
          </w:tcPr>
          <w:p w:rsidR="003E549B" w:rsidRPr="00687A1C" w:rsidRDefault="003E549B" w:rsidP="003E549B">
            <w:pPr>
              <w:pStyle w:val="Tabletext"/>
            </w:pPr>
            <w:r w:rsidRPr="00687A1C">
              <w:t>General government net debt as a percentage of GSP to be maintained at a sustainable level.</w:t>
            </w:r>
          </w:p>
        </w:tc>
        <w:tc>
          <w:tcPr>
            <w:cnfStyle w:val="000010000000" w:firstRow="0" w:lastRow="0" w:firstColumn="0" w:lastColumn="0" w:oddVBand="1" w:evenVBand="0" w:oddHBand="0" w:evenHBand="0" w:firstRowFirstColumn="0" w:firstRowLastColumn="0" w:lastRowFirstColumn="0" w:lastRowLastColumn="0"/>
            <w:tcW w:w="990" w:type="dxa"/>
          </w:tcPr>
          <w:p w:rsidR="003E549B" w:rsidRPr="00687A1C" w:rsidRDefault="003E549B" w:rsidP="0046076F">
            <w:pPr>
              <w:pStyle w:val="Tabletextcentred"/>
            </w:pPr>
            <w:r w:rsidRPr="00687A1C">
              <w:rPr>
                <w:rFonts w:cstheme="minorHAnsi"/>
              </w:rPr>
              <w:t>per cent</w:t>
            </w:r>
          </w:p>
        </w:tc>
        <w:tc>
          <w:tcPr>
            <w:cnfStyle w:val="000001000000" w:firstRow="0" w:lastRow="0" w:firstColumn="0" w:lastColumn="0" w:oddVBand="0" w:evenVBand="1" w:oddHBand="0" w:evenHBand="0" w:firstRowFirstColumn="0" w:firstRowLastColumn="0" w:lastRowFirstColumn="0" w:lastRowLastColumn="0"/>
            <w:tcW w:w="990" w:type="dxa"/>
          </w:tcPr>
          <w:p w:rsidR="003E549B" w:rsidRPr="00687A1C" w:rsidRDefault="003E549B" w:rsidP="003E549B">
            <w:pPr>
              <w:pStyle w:val="Tabletextright"/>
              <w:rPr>
                <w:rFonts w:cstheme="minorHAnsi"/>
              </w:rPr>
            </w:pPr>
            <w:r w:rsidRPr="00687A1C">
              <w:rPr>
                <w:rFonts w:cstheme="minorHAnsi"/>
              </w:rPr>
              <w:t>6.0</w:t>
            </w:r>
          </w:p>
        </w:tc>
        <w:tc>
          <w:tcPr>
            <w:cnfStyle w:val="000010000000" w:firstRow="0" w:lastRow="0" w:firstColumn="0" w:lastColumn="0" w:oddVBand="1" w:evenVBand="0" w:oddHBand="0" w:evenHBand="0" w:firstRowFirstColumn="0" w:firstRowLastColumn="0" w:lastRowFirstColumn="0" w:lastRowLastColumn="0"/>
            <w:tcW w:w="990" w:type="dxa"/>
          </w:tcPr>
          <w:p w:rsidR="003E549B" w:rsidRPr="00687A1C" w:rsidRDefault="003E549B" w:rsidP="003E549B">
            <w:pPr>
              <w:pStyle w:val="Tabletextright"/>
              <w:rPr>
                <w:rFonts w:cstheme="minorHAnsi"/>
                <w:color w:val="auto"/>
              </w:rPr>
            </w:pPr>
            <w:r w:rsidRPr="00687A1C">
              <w:rPr>
                <w:rFonts w:cstheme="minorHAnsi"/>
                <w:color w:val="auto"/>
              </w:rPr>
              <w:t>5.8</w:t>
            </w:r>
          </w:p>
        </w:tc>
        <w:tc>
          <w:tcPr>
            <w:cnfStyle w:val="000001000000" w:firstRow="0" w:lastRow="0" w:firstColumn="0" w:lastColumn="0" w:oddVBand="0" w:evenVBand="1" w:oddHBand="0" w:evenHBand="0" w:firstRowFirstColumn="0" w:firstRowLastColumn="0" w:lastRowFirstColumn="0" w:lastRowLastColumn="0"/>
            <w:tcW w:w="990" w:type="dxa"/>
          </w:tcPr>
          <w:p w:rsidR="003E549B" w:rsidRPr="00687A1C" w:rsidRDefault="003E549B" w:rsidP="003E549B">
            <w:pPr>
              <w:pStyle w:val="Tabletextright"/>
            </w:pPr>
            <w:r w:rsidRPr="00687A1C">
              <w:t>3.9</w:t>
            </w:r>
          </w:p>
        </w:tc>
        <w:tc>
          <w:tcPr>
            <w:cnfStyle w:val="000010000000" w:firstRow="0" w:lastRow="0" w:firstColumn="0" w:lastColumn="0" w:oddVBand="1" w:evenVBand="0" w:oddHBand="0" w:evenHBand="0" w:firstRowFirstColumn="0" w:firstRowLastColumn="0" w:lastRowFirstColumn="0" w:lastRowLastColumn="0"/>
            <w:tcW w:w="990" w:type="dxa"/>
          </w:tcPr>
          <w:p w:rsidR="003E549B" w:rsidRPr="00687A1C" w:rsidRDefault="00083842" w:rsidP="00114997">
            <w:pPr>
              <w:pStyle w:val="Tabletextright"/>
            </w:pPr>
            <w:r w:rsidRPr="00687A1C">
              <w:t>4.7</w:t>
            </w:r>
          </w:p>
        </w:tc>
      </w:tr>
    </w:tbl>
    <w:p w:rsidR="002D36B2" w:rsidRPr="00687A1C" w:rsidRDefault="002D36B2" w:rsidP="00FB7F80">
      <w:pPr>
        <w:spacing w:after="0"/>
      </w:pPr>
    </w:p>
    <w:p w:rsidR="00892080" w:rsidRPr="00687A1C" w:rsidRDefault="00892080" w:rsidP="00FB7F80">
      <w:pPr>
        <w:spacing w:after="0"/>
      </w:pPr>
    </w:p>
    <w:p w:rsidR="00420342" w:rsidRPr="00687A1C" w:rsidRDefault="00420342" w:rsidP="003A27FC">
      <w:pPr>
        <w:sectPr w:rsidR="00420342" w:rsidRPr="00687A1C" w:rsidSect="00CD5377">
          <w:pgSz w:w="11909" w:h="16834" w:code="9"/>
          <w:pgMar w:top="1728" w:right="1152" w:bottom="1152" w:left="1152" w:header="720" w:footer="288" w:gutter="0"/>
          <w:cols w:space="720"/>
          <w:noEndnote/>
        </w:sectPr>
      </w:pPr>
    </w:p>
    <w:p w:rsidR="00E4175A" w:rsidRPr="00687A1C" w:rsidRDefault="003E549B" w:rsidP="00FB7F80">
      <w:pPr>
        <w:spacing w:before="0" w:after="0"/>
        <w:rPr>
          <w:b/>
          <w:sz w:val="16"/>
          <w:szCs w:val="16"/>
        </w:rPr>
      </w:pPr>
      <w:r w:rsidRPr="00687A1C">
        <w:rPr>
          <w:b/>
          <w:sz w:val="16"/>
          <w:szCs w:val="16"/>
        </w:rPr>
        <w:t>A net operating surplus consistent with maintaining general government net debt at a sustainable level</w:t>
      </w:r>
    </w:p>
    <w:p w:rsidR="00C07648" w:rsidRPr="00687A1C" w:rsidRDefault="00A43B5F" w:rsidP="00732FE9">
      <w:pPr>
        <w:pStyle w:val="Spacer"/>
        <w:ind w:left="-43"/>
      </w:pPr>
      <w:r w:rsidRPr="00687A1C">
        <w:rPr>
          <w:noProof/>
        </w:rPr>
        <w:drawing>
          <wp:inline distT="0" distB="0" distL="0" distR="0" wp14:anchorId="69749196" wp14:editId="38021962">
            <wp:extent cx="2926080" cy="1854272"/>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32FE9" w:rsidRPr="00687A1C" w:rsidRDefault="00E07735" w:rsidP="0046076F">
      <w:pPr>
        <w:spacing w:before="0" w:after="0"/>
        <w:rPr>
          <w:b/>
          <w:sz w:val="16"/>
          <w:szCs w:val="16"/>
        </w:rPr>
      </w:pPr>
      <w:r w:rsidRPr="00687A1C">
        <w:br w:type="column"/>
      </w:r>
      <w:r w:rsidR="003E549B" w:rsidRPr="00687A1C">
        <w:rPr>
          <w:b/>
          <w:sz w:val="16"/>
          <w:szCs w:val="16"/>
        </w:rPr>
        <w:t>General government net debt as a percentage of GSP to be</w:t>
      </w:r>
      <w:r w:rsidR="003E549B" w:rsidRPr="00687A1C">
        <w:rPr>
          <w:rFonts w:ascii="Calibri" w:hAnsi="Calibri" w:cs="Courier New"/>
          <w:b/>
          <w:sz w:val="16"/>
          <w:szCs w:val="16"/>
        </w:rPr>
        <w:t> </w:t>
      </w:r>
      <w:r w:rsidR="003E549B" w:rsidRPr="00687A1C">
        <w:rPr>
          <w:b/>
          <w:sz w:val="16"/>
          <w:szCs w:val="16"/>
        </w:rPr>
        <w:t>maintained at a sustainable level</w:t>
      </w:r>
    </w:p>
    <w:p w:rsidR="00CE0EA3" w:rsidRPr="00687A1C" w:rsidRDefault="0079497E" w:rsidP="00732FE9">
      <w:pPr>
        <w:pStyle w:val="Spacer"/>
        <w:ind w:left="-43"/>
      </w:pPr>
      <w:r w:rsidRPr="00687A1C">
        <w:rPr>
          <w:noProof/>
        </w:rPr>
        <w:drawing>
          <wp:inline distT="0" distB="0" distL="0" distR="0" wp14:anchorId="4394A20A" wp14:editId="38192084">
            <wp:extent cx="2926080" cy="1910935"/>
            <wp:effectExtent l="0" t="0" r="762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4F16" w:rsidRPr="00687A1C" w:rsidRDefault="00774F16" w:rsidP="00732FE9">
      <w:pPr>
        <w:pStyle w:val="Spacer"/>
        <w:ind w:left="-43"/>
      </w:pPr>
    </w:p>
    <w:p w:rsidR="00732FE9" w:rsidRPr="00687A1C" w:rsidRDefault="00732FE9" w:rsidP="00732FE9">
      <w:pPr>
        <w:pStyle w:val="Spacer"/>
        <w:ind w:left="-43"/>
      </w:pPr>
    </w:p>
    <w:p w:rsidR="002D36B2" w:rsidRPr="00687A1C" w:rsidRDefault="002D36B2" w:rsidP="003A27FC">
      <w:pPr>
        <w:sectPr w:rsidR="002D36B2" w:rsidRPr="00687A1C" w:rsidSect="00892080">
          <w:type w:val="continuous"/>
          <w:pgSz w:w="11909" w:h="16834" w:code="9"/>
          <w:pgMar w:top="1728" w:right="1152" w:bottom="1152" w:left="1152" w:header="720" w:footer="288" w:gutter="0"/>
          <w:cols w:num="2" w:space="389"/>
          <w:noEndnote/>
        </w:sectPr>
      </w:pPr>
    </w:p>
    <w:p w:rsidR="003E549B" w:rsidRPr="00687A1C" w:rsidRDefault="003E549B" w:rsidP="003E549B">
      <w:pPr>
        <w:pStyle w:val="Heading4"/>
      </w:pPr>
      <w:r w:rsidRPr="00687A1C">
        <w:t>Objective 2: Strengthen Victoria</w:t>
      </w:r>
      <w:r w:rsidR="009469FE" w:rsidRPr="00687A1C">
        <w:t>’</w:t>
      </w:r>
      <w:r w:rsidRPr="00687A1C">
        <w:t>s economic performance</w:t>
      </w:r>
    </w:p>
    <w:p w:rsidR="003E549B" w:rsidRPr="00687A1C" w:rsidRDefault="003E549B" w:rsidP="00AD6EB2">
      <w:pPr>
        <w:pStyle w:val="Heading5"/>
      </w:pPr>
      <w:r w:rsidRPr="00687A1C">
        <w:t>Objective indicators</w:t>
      </w:r>
    </w:p>
    <w:p w:rsidR="003E549B" w:rsidRPr="00687A1C" w:rsidRDefault="003E549B" w:rsidP="003E549B">
      <w:pPr>
        <w:pStyle w:val="ListNumber"/>
        <w:numPr>
          <w:ilvl w:val="0"/>
          <w:numId w:val="5"/>
        </w:numPr>
      </w:pPr>
      <w:r w:rsidRPr="00687A1C">
        <w:t>Economic growth to exceed population growth as expressed by</w:t>
      </w:r>
      <w:r w:rsidR="00C6134A" w:rsidRPr="00687A1C">
        <w:t xml:space="preserve"> </w:t>
      </w:r>
      <w:r w:rsidRPr="00687A1C">
        <w:t>GSP per capita increasing in real terms (annual percentage change).</w:t>
      </w:r>
    </w:p>
    <w:p w:rsidR="003E549B" w:rsidRPr="00687A1C" w:rsidRDefault="003E549B" w:rsidP="003E549B">
      <w:pPr>
        <w:pStyle w:val="ListNumber"/>
      </w:pPr>
      <w:r w:rsidRPr="00687A1C">
        <w:t>Total Victorian employment to grow each year (annual percentage change).</w:t>
      </w:r>
    </w:p>
    <w:p w:rsidR="003E549B" w:rsidRPr="00687A1C" w:rsidRDefault="003E549B" w:rsidP="00AD6EB2">
      <w:pPr>
        <w:pStyle w:val="ListNumber"/>
      </w:pPr>
      <w:r w:rsidRPr="00687A1C">
        <w:t>Advice contributes to the achievement of Government policies and priorities relating to economic and social outcomes.</w:t>
      </w:r>
    </w:p>
    <w:p w:rsidR="00CC5A3B" w:rsidRPr="00687A1C" w:rsidRDefault="00CC5A3B" w:rsidP="00CC5A3B">
      <w:pPr>
        <w:pStyle w:val="Spacer"/>
      </w:pPr>
    </w:p>
    <w:p w:rsidR="003E549B" w:rsidRPr="00687A1C" w:rsidRDefault="003E549B" w:rsidP="00AD6EB2">
      <w:r w:rsidRPr="00687A1C">
        <w:t xml:space="preserve">DTF led the development of advice to Government on key economic and other priorities </w:t>
      </w:r>
      <w:r w:rsidR="007814E8" w:rsidRPr="00687A1C">
        <w:t xml:space="preserve">aimed at improving the </w:t>
      </w:r>
      <w:r w:rsidRPr="00687A1C">
        <w:t>productive and efficient resource allocation, competitiveness and equity across the Victorian economy.</w:t>
      </w:r>
    </w:p>
    <w:p w:rsidR="003E549B" w:rsidRPr="00687A1C" w:rsidRDefault="00AD6EB2" w:rsidP="00472CA1">
      <w:pPr>
        <w:pStyle w:val="Normalbold"/>
      </w:pPr>
      <w:r w:rsidRPr="00687A1C">
        <w:br w:type="column"/>
      </w:r>
      <w:r w:rsidR="003E549B" w:rsidRPr="00687A1C">
        <w:t>Objective Indicator 1: Economic growth to exceed population growth as expressed by GSP per capita increasing in real terms (annual percentage change).</w:t>
      </w:r>
    </w:p>
    <w:p w:rsidR="003E549B" w:rsidRPr="00687A1C" w:rsidRDefault="003E549B" w:rsidP="00AD6EB2">
      <w:r w:rsidRPr="00687A1C">
        <w:t>In 2017</w:t>
      </w:r>
      <w:r w:rsidRPr="00687A1C">
        <w:noBreakHyphen/>
        <w:t>18, DTF continued to produce timely and evidence</w:t>
      </w:r>
      <w:r w:rsidRPr="00687A1C">
        <w:noBreakHyphen/>
        <w:t xml:space="preserve">based forecasts of the Victorian economy for the </w:t>
      </w:r>
      <w:r w:rsidRPr="00687A1C">
        <w:rPr>
          <w:i/>
        </w:rPr>
        <w:t>2018</w:t>
      </w:r>
      <w:r w:rsidRPr="00687A1C">
        <w:rPr>
          <w:i/>
        </w:rPr>
        <w:noBreakHyphen/>
        <w:t>19 Budget</w:t>
      </w:r>
      <w:r w:rsidRPr="00687A1C">
        <w:t xml:space="preserve"> and provided key briefings to the Government on economic conditions. </w:t>
      </w:r>
    </w:p>
    <w:p w:rsidR="003E549B" w:rsidRPr="00687A1C" w:rsidRDefault="003E549B" w:rsidP="00AD6EB2">
      <w:r w:rsidRPr="00687A1C">
        <w:t>Victoria</w:t>
      </w:r>
      <w:r w:rsidR="009469FE" w:rsidRPr="00687A1C">
        <w:t>’</w:t>
      </w:r>
      <w:r w:rsidRPr="00687A1C">
        <w:t xml:space="preserve">s real GSP per capita </w:t>
      </w:r>
      <w:r w:rsidR="007814E8" w:rsidRPr="00687A1C">
        <w:t>rose</w:t>
      </w:r>
      <w:r w:rsidRPr="00687A1C">
        <w:t xml:space="preserve"> by 0.9</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in 2016-17, higher than the growth of national real gross domestic product (GDP) per capita of 0.</w:t>
      </w:r>
      <w:r w:rsidR="00F42E91" w:rsidRPr="00687A1C">
        <w:t>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Real GSP increased by 3.3</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in 2016-17, the strongest of all the states and above growth in national real GDP of 2.1</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The 2017-18 result for GSP will be</w:t>
      </w:r>
      <w:r w:rsidR="007814E8" w:rsidRPr="00687A1C">
        <w:t xml:space="preserve"> released by</w:t>
      </w:r>
      <w:r w:rsidRPr="00687A1C">
        <w:t xml:space="preserve"> the Australian Bureau of Statistics </w:t>
      </w:r>
      <w:r w:rsidR="007814E8" w:rsidRPr="00687A1C">
        <w:t>in November 2018</w:t>
      </w:r>
      <w:r w:rsidRPr="00687A1C">
        <w:t>.</w:t>
      </w:r>
    </w:p>
    <w:p w:rsidR="003E549B" w:rsidRPr="00687A1C" w:rsidRDefault="00472CA1" w:rsidP="00472CA1">
      <w:pPr>
        <w:pStyle w:val="Normalbold"/>
      </w:pPr>
      <w:r w:rsidRPr="00687A1C">
        <w:br w:type="column"/>
      </w:r>
      <w:r w:rsidR="003E549B" w:rsidRPr="00687A1C">
        <w:lastRenderedPageBreak/>
        <w:t>Objective Indicator 2: Total Victorian employment to grow each year (annual percentage change).</w:t>
      </w:r>
    </w:p>
    <w:p w:rsidR="003E549B" w:rsidRPr="00687A1C" w:rsidRDefault="00A86723" w:rsidP="00DD4E70">
      <w:r w:rsidRPr="00A86723">
        <w:t>Victoria's economy continued to perform strongly in 2017-18, leading t</w:t>
      </w:r>
      <w:r>
        <w:t>o jobs growth of 8</w:t>
      </w:r>
      <w:r w:rsidR="00666FA6">
        <w:t>6</w:t>
      </w:r>
      <w:r>
        <w:t> </w:t>
      </w:r>
      <w:r w:rsidRPr="00A86723">
        <w:t>500</w:t>
      </w:r>
      <w:r w:rsidR="003E549B" w:rsidRPr="00687A1C">
        <w:t xml:space="preserve">. Full-time </w:t>
      </w:r>
      <w:r w:rsidR="007814E8" w:rsidRPr="00687A1C">
        <w:t>employment increased by 3.0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3E549B" w:rsidRPr="00687A1C">
        <w:t xml:space="preserve"> in Victoria in 2017-18</w:t>
      </w:r>
      <w:r w:rsidR="00472CA1" w:rsidRPr="00687A1C">
        <w:t xml:space="preserve">. </w:t>
      </w:r>
    </w:p>
    <w:p w:rsidR="003E549B" w:rsidRPr="00687A1C" w:rsidRDefault="003E549B" w:rsidP="00CC5A3B">
      <w:pPr>
        <w:pStyle w:val="Normalbold"/>
      </w:pPr>
      <w:r w:rsidRPr="00687A1C">
        <w:t>Objective Indicator 3: Advice contributes to the achievement of Government policies and priorities relating to economic and social outcomes.</w:t>
      </w:r>
    </w:p>
    <w:p w:rsidR="003E549B" w:rsidRPr="00687A1C" w:rsidRDefault="003E549B" w:rsidP="00AD6EB2">
      <w:r w:rsidRPr="00687A1C">
        <w:t>DTF supported the Treasurer by prioritising reforms in 2017-18 that are consistent with the Government</w:t>
      </w:r>
      <w:r w:rsidR="009469FE" w:rsidRPr="00687A1C">
        <w:t>’</w:t>
      </w:r>
      <w:r w:rsidRPr="00687A1C">
        <w:t>s objectives and by considering medium and longer-term issues aimed at improving Victoria</w:t>
      </w:r>
      <w:r w:rsidR="009469FE" w:rsidRPr="00687A1C">
        <w:t>’</w:t>
      </w:r>
      <w:r w:rsidRPr="00687A1C">
        <w:t>s economic condit</w:t>
      </w:r>
      <w:r w:rsidR="00E06462" w:rsidRPr="00687A1C">
        <w:t>ions</w:t>
      </w:r>
      <w:r w:rsidRPr="00687A1C">
        <w:t>.</w:t>
      </w:r>
    </w:p>
    <w:p w:rsidR="003E549B" w:rsidRPr="00687A1C" w:rsidRDefault="003E549B" w:rsidP="00AD6EB2">
      <w:r w:rsidRPr="00687A1C">
        <w:t>DTF provided advice to Government on revenue reform and on implementing policy changes across tax and non-tax sources of revenue. In 2017-18, the State Taxation Acts Further Amendment Bill 2017 was passed, allowing annual centralised property valuations. DTF also worked on a point of consumption tax to apply to wagering and betting in the State, which will align Victoria</w:t>
      </w:r>
      <w:r w:rsidR="009469FE" w:rsidRPr="00687A1C">
        <w:t>’</w:t>
      </w:r>
      <w:r w:rsidRPr="00687A1C">
        <w:t>s wagering tax system with the digital betting environment</w:t>
      </w:r>
      <w:r w:rsidR="00D8576B" w:rsidRPr="00687A1C">
        <w:t>,</w:t>
      </w:r>
      <w:r w:rsidR="00A84B8B" w:rsidRPr="00687A1C">
        <w:t xml:space="preserve"> and provided support on tax cuts for regional Victorians</w:t>
      </w:r>
      <w:r w:rsidRPr="00687A1C">
        <w:t>.</w:t>
      </w:r>
    </w:p>
    <w:p w:rsidR="003E549B" w:rsidRPr="00687A1C" w:rsidRDefault="003E549B" w:rsidP="00AD6EB2">
      <w:r w:rsidRPr="00687A1C">
        <w:t>DTF also briefed the Treasurer on the Commonwealth Grants Commission</w:t>
      </w:r>
      <w:r w:rsidR="009469FE" w:rsidRPr="00687A1C">
        <w:t>’</w:t>
      </w:r>
      <w:r w:rsidRPr="00687A1C">
        <w:t>s 2020 Methodology Review, as well as the Productivity Commission</w:t>
      </w:r>
      <w:r w:rsidR="009469FE" w:rsidRPr="00687A1C">
        <w:t>’</w:t>
      </w:r>
      <w:r w:rsidRPr="00687A1C">
        <w:t>s review of the Economic Impact of Horizontal Fiscal Equalisation. DTF</w:t>
      </w:r>
      <w:r w:rsidR="00E06462" w:rsidRPr="00687A1C">
        <w:t xml:space="preserve"> was involved </w:t>
      </w:r>
      <w:r w:rsidRPr="00687A1C">
        <w:t xml:space="preserve">in the ongoing negotiation of new National Partnership Agreements, including Gonski 2.0, the National Housing and Homelessness Agreement, </w:t>
      </w:r>
      <w:r w:rsidR="00F42E91" w:rsidRPr="00687A1C">
        <w:t xml:space="preserve">National </w:t>
      </w:r>
      <w:r w:rsidRPr="00687A1C">
        <w:t xml:space="preserve">Health Reform </w:t>
      </w:r>
      <w:r w:rsidR="00F42E91" w:rsidRPr="00687A1C">
        <w:t xml:space="preserve">Agreement </w:t>
      </w:r>
      <w:r w:rsidRPr="00687A1C">
        <w:t>and the Skilling Australians Fund.</w:t>
      </w:r>
    </w:p>
    <w:p w:rsidR="003E549B" w:rsidRPr="00687A1C" w:rsidRDefault="003E549B" w:rsidP="00AD6EB2">
      <w:r w:rsidRPr="00687A1C">
        <w:t>In 2017-18, DTF led the Victorian Government</w:t>
      </w:r>
      <w:r w:rsidR="009469FE" w:rsidRPr="00687A1C">
        <w:t>’</w:t>
      </w:r>
      <w:r w:rsidRPr="00687A1C">
        <w:t xml:space="preserve">s Social Impact Bond (SIB) pilot program. Contracts have been signed for two evidence-based programs to be implemented by three social service providers. </w:t>
      </w:r>
      <w:r w:rsidRPr="00687A1C">
        <w:rPr>
          <w:i/>
        </w:rPr>
        <w:t>Journey to Social Inclusion</w:t>
      </w:r>
      <w:r w:rsidRPr="00687A1C">
        <w:t xml:space="preserve"> focuses on ending the cycle of chronic homelessness, and </w:t>
      </w:r>
      <w:r w:rsidRPr="00687A1C">
        <w:rPr>
          <w:i/>
        </w:rPr>
        <w:t xml:space="preserve">COMPASS </w:t>
      </w:r>
      <w:r w:rsidRPr="00687A1C">
        <w:t>focuses on assisting young people leaving out</w:t>
      </w:r>
      <w:r w:rsidR="00E06462" w:rsidRPr="00687A1C">
        <w:noBreakHyphen/>
      </w:r>
      <w:r w:rsidRPr="00687A1C">
        <w:t>of</w:t>
      </w:r>
      <w:r w:rsidR="00E06462" w:rsidRPr="00687A1C">
        <w:noBreakHyphen/>
      </w:r>
      <w:r w:rsidRPr="00687A1C">
        <w:t xml:space="preserve">home care to transition to adulthood. </w:t>
      </w:r>
    </w:p>
    <w:p w:rsidR="003E549B" w:rsidRPr="00687A1C" w:rsidRDefault="003E549B" w:rsidP="00AD6EB2">
      <w:r w:rsidRPr="00687A1C">
        <w:t>DTF supported the Treasurer in developing the Victorian Government</w:t>
      </w:r>
      <w:r w:rsidR="009469FE" w:rsidRPr="00687A1C">
        <w:t>’</w:t>
      </w:r>
      <w:r w:rsidRPr="00687A1C">
        <w:t xml:space="preserve">s </w:t>
      </w:r>
      <w:r w:rsidRPr="00687A1C">
        <w:rPr>
          <w:i/>
          <w:iCs/>
        </w:rPr>
        <w:t>Homes for Victorians</w:t>
      </w:r>
      <w:r w:rsidRPr="00687A1C">
        <w:t xml:space="preserve"> housing strategy, released in March 2017. The strategy is designed to improve affordability, access and choice of housing and help vulnerable people access safe and stable housing. </w:t>
      </w:r>
      <w:r w:rsidRPr="00687A1C">
        <w:rPr>
          <w:i/>
          <w:iCs/>
        </w:rPr>
        <w:t>Homes for Victorians</w:t>
      </w:r>
      <w:r w:rsidRPr="00687A1C">
        <w:t xml:space="preserve"> represents the largest single</w:t>
      </w:r>
      <w:r w:rsidR="009E40D0" w:rsidRPr="00687A1C">
        <w:t xml:space="preserve"> housing package</w:t>
      </w:r>
      <w:r w:rsidRPr="00687A1C">
        <w:t xml:space="preserve"> investment in Victoria</w:t>
      </w:r>
      <w:r w:rsidR="009469FE" w:rsidRPr="00687A1C">
        <w:t>’</w:t>
      </w:r>
      <w:r w:rsidRPr="00687A1C">
        <w:t>s history</w:t>
      </w:r>
      <w:r w:rsidR="00472CA1" w:rsidRPr="00687A1C">
        <w:t xml:space="preserve">. </w:t>
      </w:r>
    </w:p>
    <w:p w:rsidR="003E549B" w:rsidRPr="00687A1C" w:rsidRDefault="00472CA1" w:rsidP="00AD6EB2">
      <w:r w:rsidRPr="00687A1C">
        <w:br w:type="column"/>
      </w:r>
      <w:r w:rsidR="003E549B" w:rsidRPr="00687A1C">
        <w:t>In support of the Government</w:t>
      </w:r>
      <w:r w:rsidR="009469FE" w:rsidRPr="00687A1C">
        <w:t>’</w:t>
      </w:r>
      <w:r w:rsidR="003E549B" w:rsidRPr="00687A1C">
        <w:t>s 25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3E549B" w:rsidRPr="00687A1C">
        <w:t xml:space="preserve"> red tape reduction target, a monitoring and reporting scheme across government was put in place in 2017-18. In addition, DTF developed a new Statement of Expectations Framework, which became effective on 1 July 2017, and completed a regulatory review which identified</w:t>
      </w:r>
      <w:r w:rsidR="00335907" w:rsidRPr="00687A1C">
        <w:t xml:space="preserve"> </w:t>
      </w:r>
      <w:r w:rsidR="003E549B" w:rsidRPr="00687A1C">
        <w:t xml:space="preserve">savings opportunities. </w:t>
      </w:r>
    </w:p>
    <w:p w:rsidR="0096207D" w:rsidRPr="00687A1C" w:rsidRDefault="00335907" w:rsidP="00AD6EB2">
      <w:r w:rsidRPr="00687A1C">
        <w:t>DTF continued to support the Victorian Secretaries Board to understand and mitigate whole of government and emerging strategic risks in 2017-18. The membership of the State Significant Risk Interdepartmental Committee (IDC) was refreshed in 2017 with an increased strategic focus and DTF presented on the IDC's work to VSB meetings in November 2017 and April 2018 as well as contribu</w:t>
      </w:r>
      <w:r w:rsidR="006D3CFA" w:rsidRPr="00687A1C">
        <w:t xml:space="preserve">ting risk materials to the VSB </w:t>
      </w:r>
      <w:r w:rsidRPr="00687A1C">
        <w:t>Retreat in February 2018.</w:t>
      </w:r>
    </w:p>
    <w:p w:rsidR="003E549B" w:rsidRPr="00687A1C" w:rsidRDefault="003E549B" w:rsidP="00CC5A3B">
      <w:r w:rsidRPr="00687A1C">
        <w:t>In 2017-18, DTF continued to develop technical capability in economic modelling and forecasting. A series of econometric workshops were run in 2017 on time series and panel data techniques and a property market analysis team has been formed.</w:t>
      </w:r>
      <w:r w:rsidRPr="00687A1C">
        <w:rPr>
          <w:i/>
        </w:rPr>
        <w:t xml:space="preserve"> </w:t>
      </w:r>
      <w:r w:rsidRPr="00687A1C">
        <w:t xml:space="preserve">DTF also published the first edition of the bi-annual publication, the </w:t>
      </w:r>
      <w:r w:rsidRPr="00687A1C">
        <w:rPr>
          <w:i/>
        </w:rPr>
        <w:t>Victorian Economic Bulletin</w:t>
      </w:r>
      <w:r w:rsidRPr="00687A1C">
        <w:t>, in December 2017.</w:t>
      </w:r>
    </w:p>
    <w:p w:rsidR="003E549B" w:rsidRPr="00687A1C" w:rsidRDefault="003E549B" w:rsidP="003E549B">
      <w:pPr>
        <w:pStyle w:val="Heading4"/>
        <w:rPr>
          <w:rFonts w:cstheme="minorHAnsi"/>
        </w:rPr>
      </w:pPr>
      <w:r w:rsidRPr="00687A1C">
        <w:rPr>
          <w:rFonts w:cstheme="minorHAnsi"/>
        </w:rPr>
        <w:t xml:space="preserve">Objective 3: </w:t>
      </w:r>
      <w:r w:rsidRPr="00687A1C">
        <w:t>Improve how Government manages its balance sheet, commercial activities and public sector infrastructure</w:t>
      </w:r>
    </w:p>
    <w:p w:rsidR="003E549B" w:rsidRPr="00687A1C" w:rsidRDefault="003E549B" w:rsidP="003E549B">
      <w:pPr>
        <w:pStyle w:val="Heading5"/>
        <w:rPr>
          <w:rFonts w:cstheme="minorHAnsi"/>
        </w:rPr>
      </w:pPr>
      <w:r w:rsidRPr="00687A1C">
        <w:rPr>
          <w:rFonts w:cstheme="minorHAnsi"/>
        </w:rPr>
        <w:t>Objective indicators</w:t>
      </w:r>
    </w:p>
    <w:p w:rsidR="003E549B" w:rsidRPr="00687A1C" w:rsidRDefault="003E549B" w:rsidP="00472CA1">
      <w:pPr>
        <w:pStyle w:val="ListNumber"/>
        <w:numPr>
          <w:ilvl w:val="0"/>
          <w:numId w:val="17"/>
        </w:numPr>
      </w:pPr>
      <w:r w:rsidRPr="00687A1C">
        <w:t>Percentage of Government projects completed within agreed budgets, timeframes and scope or evidenced by timely and appropriate remedial actions where necessary.</w:t>
      </w:r>
    </w:p>
    <w:p w:rsidR="003E549B" w:rsidRPr="00687A1C" w:rsidRDefault="003E549B" w:rsidP="00472CA1">
      <w:pPr>
        <w:pStyle w:val="ListNumber"/>
      </w:pPr>
      <w:r w:rsidRPr="00687A1C">
        <w:t xml:space="preserve">Government </w:t>
      </w:r>
      <w:r w:rsidR="00032D64" w:rsidRPr="00687A1C">
        <w:t>business ent</w:t>
      </w:r>
      <w:r w:rsidRPr="00687A1C">
        <w:t>erprises performing against agreed financial and non</w:t>
      </w:r>
      <w:r w:rsidRPr="00687A1C">
        <w:noBreakHyphen/>
        <w:t>financial indicators.</w:t>
      </w:r>
    </w:p>
    <w:p w:rsidR="003E549B" w:rsidRPr="00687A1C" w:rsidRDefault="003E549B" w:rsidP="00472CA1">
      <w:pPr>
        <w:pStyle w:val="ListNumber"/>
      </w:pPr>
      <w:r w:rsidRPr="00687A1C">
        <w:t>Advice contributes to the achievement of Government policies and priorities relating to Victoria</w:t>
      </w:r>
      <w:r w:rsidR="009469FE" w:rsidRPr="00687A1C">
        <w:t>’</w:t>
      </w:r>
      <w:r w:rsidRPr="00687A1C">
        <w:t>s balance sheet, commercial activities and public sector infrastructure.</w:t>
      </w:r>
    </w:p>
    <w:p w:rsidR="003E549B" w:rsidRPr="00687A1C" w:rsidRDefault="003E549B" w:rsidP="00CC5A3B">
      <w:pPr>
        <w:pStyle w:val="Spacer"/>
      </w:pPr>
    </w:p>
    <w:p w:rsidR="003E549B" w:rsidRPr="00687A1C" w:rsidRDefault="003E549B" w:rsidP="00AD6EB2">
      <w:r w:rsidRPr="00687A1C">
        <w:t>DTF led the development of strategic commercial and financial advice to Government to support key decisions regarding the State</w:t>
      </w:r>
      <w:r w:rsidR="009469FE" w:rsidRPr="00687A1C">
        <w:t>’</w:t>
      </w:r>
      <w:r w:rsidRPr="00687A1C">
        <w:t>s financial assets and liabilities and infrastructure investment opportunities to drive improvement in public sector commercial and asset management, and the delivery of infrastructure for the State of Victoria.</w:t>
      </w:r>
    </w:p>
    <w:p w:rsidR="00931465" w:rsidRPr="00687A1C" w:rsidRDefault="00472CA1" w:rsidP="00931465">
      <w:r w:rsidRPr="00687A1C">
        <w:br w:type="column"/>
      </w:r>
      <w:r w:rsidR="00931465" w:rsidRPr="00687A1C">
        <w:rPr>
          <w:noProof/>
        </w:rPr>
        <w:lastRenderedPageBreak/>
        <w:drawing>
          <wp:inline distT="0" distB="0" distL="0" distR="0" wp14:anchorId="37013B59" wp14:editId="454EA58A">
            <wp:extent cx="2820670" cy="213840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E549B" w:rsidRPr="00687A1C" w:rsidRDefault="003E549B" w:rsidP="00CC5A3B">
      <w:pPr>
        <w:pStyle w:val="Spacer"/>
      </w:pPr>
    </w:p>
    <w:p w:rsidR="003E549B" w:rsidRPr="00687A1C" w:rsidRDefault="003E549B" w:rsidP="00472CA1">
      <w:pPr>
        <w:pStyle w:val="Normalbold"/>
      </w:pPr>
      <w:r w:rsidRPr="00687A1C">
        <w:t>Objective Indicator 1: Percentage of Government projects completed within agreed budgets, timeframes and scope or evidenced by timely and appropriate remedial actions where necessary.</w:t>
      </w:r>
    </w:p>
    <w:p w:rsidR="003E549B" w:rsidRPr="00687A1C" w:rsidRDefault="003E549B" w:rsidP="00CC5A3B">
      <w:r w:rsidRPr="00687A1C">
        <w:t>Throughout 2017-18, DTF continued to support Government decision making through high-quality and timely advice on commercial negotiations, assessment of high-value high-risk projects, and ensuring timely delivery of the State</w:t>
      </w:r>
      <w:r w:rsidR="009469FE" w:rsidRPr="00687A1C">
        <w:t>’</w:t>
      </w:r>
      <w:r w:rsidRPr="00687A1C">
        <w:t>s infrastructure program.</w:t>
      </w:r>
    </w:p>
    <w:p w:rsidR="003E549B" w:rsidRPr="00687A1C" w:rsidRDefault="003E549B" w:rsidP="003E549B">
      <w:pPr>
        <w:pStyle w:val="ListNumber"/>
        <w:numPr>
          <w:ilvl w:val="0"/>
          <w:numId w:val="0"/>
        </w:numPr>
      </w:pPr>
      <w:r w:rsidRPr="00687A1C">
        <w:t xml:space="preserve">DTF actively monitored and advised on projects through representation on project boards and steering committees and follow-up on Government decisions. On a quarterly basis, the Department reported to Government on progress, issues and risks to major projects, advising on appropriate risk mitigation actions for projects facing budget, scope or timing risks. </w:t>
      </w:r>
    </w:p>
    <w:p w:rsidR="00931465" w:rsidRPr="00687A1C" w:rsidRDefault="00931465" w:rsidP="003E549B">
      <w:pPr>
        <w:pStyle w:val="ListNumber"/>
        <w:numPr>
          <w:ilvl w:val="0"/>
          <w:numId w:val="0"/>
        </w:numPr>
      </w:pPr>
      <w:r w:rsidRPr="00687A1C">
        <w:t>Throughout 2017</w:t>
      </w:r>
      <w:r w:rsidRPr="00687A1C">
        <w:noBreakHyphen/>
        <w:t>18, five high-value high-risk projects were completed. Of these, all were completed within 10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their approved budget and no later than six months from their planned completion date.</w:t>
      </w:r>
    </w:p>
    <w:p w:rsidR="003E549B" w:rsidRPr="00687A1C" w:rsidRDefault="003E549B" w:rsidP="00CC5A3B">
      <w:r w:rsidRPr="00687A1C">
        <w:t>DTF has continued</w:t>
      </w:r>
      <w:r w:rsidR="009E40D0" w:rsidRPr="00687A1C">
        <w:t xml:space="preserve"> to improve the high-value high</w:t>
      </w:r>
      <w:r w:rsidR="009E40D0" w:rsidRPr="00687A1C">
        <w:noBreakHyphen/>
      </w:r>
      <w:r w:rsidRPr="00687A1C">
        <w:t>risk assurance processes through the establishment of tailored and project specific assurance plans that better focus assurance effort, and the establishment of project assurance reviews that are designed to augment the standard Gateway reviews with a more flexible review when needed.</w:t>
      </w:r>
      <w:r w:rsidRPr="00687A1C" w:rsidDel="00DC5AC2">
        <w:t xml:space="preserve"> </w:t>
      </w:r>
    </w:p>
    <w:p w:rsidR="003E549B" w:rsidRPr="00687A1C" w:rsidRDefault="003E549B" w:rsidP="00CC5A3B">
      <w:pPr>
        <w:rPr>
          <w:b/>
        </w:rPr>
      </w:pPr>
      <w:r w:rsidRPr="00687A1C">
        <w:t xml:space="preserve">DTF continues to provide government with high quality and timely deliverability advice for funding proposals and briefings/updates on major projects. </w:t>
      </w:r>
    </w:p>
    <w:p w:rsidR="003E549B" w:rsidRPr="00687A1C" w:rsidRDefault="00472CA1" w:rsidP="00472CA1">
      <w:pPr>
        <w:pStyle w:val="Normalbold"/>
      </w:pPr>
      <w:r w:rsidRPr="00687A1C">
        <w:br w:type="column"/>
      </w:r>
      <w:r w:rsidR="003E549B" w:rsidRPr="00687A1C">
        <w:t xml:space="preserve">Objective Indicator 2: Government </w:t>
      </w:r>
      <w:r w:rsidR="00032D64" w:rsidRPr="00687A1C">
        <w:t>business enterp</w:t>
      </w:r>
      <w:r w:rsidR="003E549B" w:rsidRPr="00687A1C">
        <w:t>rises performing against agreed financial and non-financial indicators</w:t>
      </w:r>
    </w:p>
    <w:p w:rsidR="003E549B" w:rsidRPr="00687A1C" w:rsidRDefault="003E549B" w:rsidP="00CC5A3B">
      <w:r w:rsidRPr="00687A1C">
        <w:t xml:space="preserve">DTF provided governance oversight of Government </w:t>
      </w:r>
      <w:r w:rsidR="00032D64" w:rsidRPr="00687A1C">
        <w:t>business en</w:t>
      </w:r>
      <w:r w:rsidRPr="00687A1C">
        <w:t>terprises (GBEs) and advice to Government, departments and agencies relating to GBEs</w:t>
      </w:r>
      <w:r w:rsidR="009469FE" w:rsidRPr="00687A1C">
        <w:t>’</w:t>
      </w:r>
      <w:r w:rsidRPr="00687A1C">
        <w:t xml:space="preserve"> strategic direction and performance, significant capital expenditure proposals, dividends and capital repatriations. </w:t>
      </w:r>
    </w:p>
    <w:p w:rsidR="003E549B" w:rsidRPr="00687A1C" w:rsidRDefault="00931465" w:rsidP="00931465">
      <w:r w:rsidRPr="00687A1C">
        <w:t>As part of the annual corporate planning cycle, financial and non-financial key performance indicators (KPIs) are agreed to and targets set in consultation with the GBE and the portfolio department. GBE performance against these targets is monitored on a quarterly basis and a GBE’s non</w:t>
      </w:r>
      <w:r w:rsidRPr="00687A1C">
        <w:noBreakHyphen/>
        <w:t>compliance is addressed on an exceptions basis.</w:t>
      </w:r>
      <w:r w:rsidR="003E549B" w:rsidRPr="00687A1C">
        <w:t xml:space="preserve"> </w:t>
      </w:r>
    </w:p>
    <w:p w:rsidR="003E549B" w:rsidRPr="00687A1C" w:rsidRDefault="003E549B" w:rsidP="00472CA1">
      <w:pPr>
        <w:pStyle w:val="Normalbold"/>
      </w:pPr>
      <w:r w:rsidRPr="00687A1C">
        <w:t>Objective Indicator 3: Advice contributes to the achievement of Government policies and priorities relating to Victoria</w:t>
      </w:r>
      <w:r w:rsidR="009469FE" w:rsidRPr="00687A1C">
        <w:t>’</w:t>
      </w:r>
      <w:r w:rsidRPr="00687A1C">
        <w:t>s balance sheet, commercial activities and public sector infrastructure</w:t>
      </w:r>
    </w:p>
    <w:p w:rsidR="003E549B" w:rsidRPr="00687A1C" w:rsidRDefault="003E549B" w:rsidP="00CC5A3B">
      <w:r w:rsidRPr="00687A1C">
        <w:t>DTF has published comprehensive</w:t>
      </w:r>
      <w:r w:rsidR="00931465" w:rsidRPr="00687A1C">
        <w:t xml:space="preserve"> </w:t>
      </w:r>
      <w:r w:rsidRPr="00687A1C">
        <w:t>guidance on its website to support implementation of the Asset Management Accountability Framework (AMAF), which will improve the way Victoria</w:t>
      </w:r>
      <w:r w:rsidR="009469FE" w:rsidRPr="00687A1C">
        <w:t>’</w:t>
      </w:r>
      <w:r w:rsidRPr="00687A1C">
        <w:t xml:space="preserve">s public assets are planned, used and maintained. The AMAF strengthens accountability for asset management by requiring departmental secretaries and agency boards to attest each year to compliance with a set of mandatory requirements. </w:t>
      </w:r>
    </w:p>
    <w:p w:rsidR="003E549B" w:rsidRPr="00687A1C" w:rsidRDefault="003E549B" w:rsidP="00CC5A3B">
      <w:r w:rsidRPr="00687A1C">
        <w:t xml:space="preserve">DTF supported departments to </w:t>
      </w:r>
      <w:r w:rsidR="00931465" w:rsidRPr="00687A1C">
        <w:t>prepare for</w:t>
      </w:r>
      <w:r w:rsidRPr="00687A1C">
        <w:t xml:space="preserve"> attestation and compliance reporting for the AMAF for 2016-17 through its whole of government implementation working group. </w:t>
      </w:r>
      <w:r w:rsidR="00931465" w:rsidRPr="00687A1C">
        <w:t xml:space="preserve">Feedback suggests </w:t>
      </w:r>
      <w:r w:rsidRPr="00687A1C">
        <w:t>that the AMAF has encouraged departments and agencies to improve their asset management practices.</w:t>
      </w:r>
    </w:p>
    <w:p w:rsidR="003E549B" w:rsidRPr="00687A1C" w:rsidRDefault="003E549B" w:rsidP="00CC5A3B">
      <w:r w:rsidRPr="00687A1C">
        <w:t xml:space="preserve">In 2017-18 DTF </w:t>
      </w:r>
      <w:r w:rsidR="00DC5E98" w:rsidRPr="00687A1C">
        <w:t>finalised</w:t>
      </w:r>
      <w:r w:rsidRPr="00687A1C">
        <w:t xml:space="preserve"> reforms to streamline and improve the procurement of public construction in Victoria. The reforms commenced on 1 July 2018, </w:t>
      </w:r>
      <w:r w:rsidR="00931465" w:rsidRPr="00687A1C">
        <w:t xml:space="preserve">and </w:t>
      </w:r>
      <w:r w:rsidRPr="00687A1C">
        <w:t>are implemented through an improved framework for public construction issued by the Minister for Finance: They:</w:t>
      </w:r>
    </w:p>
    <w:p w:rsidR="003E549B" w:rsidRPr="00687A1C" w:rsidRDefault="003E549B" w:rsidP="00CC5A3B">
      <w:pPr>
        <w:pStyle w:val="Bullet"/>
      </w:pPr>
      <w:r w:rsidRPr="00687A1C">
        <w:t>provide greater standardisation of procurement processes across government;</w:t>
      </w:r>
    </w:p>
    <w:p w:rsidR="003E549B" w:rsidRPr="00687A1C" w:rsidRDefault="003E549B" w:rsidP="00CC5A3B">
      <w:pPr>
        <w:pStyle w:val="Bullet"/>
      </w:pPr>
      <w:r w:rsidRPr="00687A1C">
        <w:t>reduce unnecessary time and costs to industry in tender processes; and</w:t>
      </w:r>
    </w:p>
    <w:p w:rsidR="003E549B" w:rsidRPr="00687A1C" w:rsidRDefault="003E549B" w:rsidP="00CC5A3B">
      <w:pPr>
        <w:pStyle w:val="Bullet"/>
      </w:pPr>
      <w:r w:rsidRPr="00687A1C">
        <w:t>improve government capability and planning in construction procurement.</w:t>
      </w:r>
    </w:p>
    <w:p w:rsidR="0042156D" w:rsidRPr="00687A1C" w:rsidRDefault="0042156D">
      <w:pPr>
        <w:spacing w:before="0" w:after="0"/>
      </w:pPr>
      <w:r w:rsidRPr="00687A1C">
        <w:br w:type="page"/>
      </w:r>
    </w:p>
    <w:p w:rsidR="003E549B" w:rsidRPr="00687A1C" w:rsidRDefault="003E549B" w:rsidP="00CC5A3B">
      <w:r w:rsidRPr="00687A1C">
        <w:lastRenderedPageBreak/>
        <w:t xml:space="preserve">The improved framework is more efficient, relevant and responsive, and means Victoria can capitalise on </w:t>
      </w:r>
      <w:r w:rsidR="00E06462" w:rsidRPr="00687A1C">
        <w:t xml:space="preserve">the </w:t>
      </w:r>
      <w:r w:rsidRPr="00687A1C">
        <w:t>infrastructure investment to remain nati</w:t>
      </w:r>
      <w:r w:rsidR="00E06462" w:rsidRPr="00687A1C">
        <w:t>onally and globally competitive.</w:t>
      </w:r>
    </w:p>
    <w:p w:rsidR="000C64BE" w:rsidRPr="00687A1C" w:rsidRDefault="000C64BE" w:rsidP="000C64BE">
      <w:r w:rsidRPr="00687A1C">
        <w:t xml:space="preserve">DTF, in conjunction with the Western Distributor Authority, completed the commercial negotiation and assessment of Transurban’s market-led proposal for the West Gate Tunnel Project. In December 2017, a PPP contract was executed to build, operate and maintain the West Gate Tunnel Project. </w:t>
      </w:r>
      <w:r w:rsidR="00E16454" w:rsidRPr="00687A1C">
        <w:t>T</w:t>
      </w:r>
      <w:r w:rsidRPr="00687A1C">
        <w:t xml:space="preserve">he project will provide an alternative to the West Gate Bridge. </w:t>
      </w:r>
    </w:p>
    <w:p w:rsidR="000C64BE" w:rsidRPr="00687A1C" w:rsidRDefault="000C64BE" w:rsidP="000C64BE">
      <w:r w:rsidRPr="00687A1C">
        <w:t xml:space="preserve">DTF developed and </w:t>
      </w:r>
      <w:r w:rsidR="00E16454" w:rsidRPr="00687A1C">
        <w:t>initiated</w:t>
      </w:r>
      <w:r w:rsidRPr="00687A1C">
        <w:t xml:space="preserve"> a new innovative PPP model for an area</w:t>
      </w:r>
      <w:r w:rsidRPr="00687A1C">
        <w:noBreakHyphen/>
        <w:t>based arterial roads maintenance pro</w:t>
      </w:r>
      <w:r w:rsidR="001F5A76" w:rsidRPr="00687A1C">
        <w:t>gram. The Western Roads Upgrade</w:t>
      </w:r>
      <w:r w:rsidRPr="00687A1C">
        <w:t xml:space="preserve"> is an Australian-first project using an availability-based PPP</w:t>
      </w:r>
      <w:r w:rsidR="006F069A" w:rsidRPr="00687A1C">
        <w:t xml:space="preserve">. </w:t>
      </w:r>
      <w:r w:rsidRPr="00687A1C">
        <w:t>Contracted in December 2017, it combines eight high-priority road upgrades for duplication and widening with maintenance on more than 700 kilometres of road in the surrounding area. This procurement approach encouraged the private sector to develop innovative design, construction and asset maintenance solutions, which are value for money over the long term. It is the first PPP that seeks to transfer latent asset condition risk on brownfield assets on such a large scale and the project also achieved an element of full</w:t>
      </w:r>
      <w:r w:rsidRPr="00687A1C">
        <w:noBreakHyphen/>
        <w:t>term bond financing.</w:t>
      </w:r>
    </w:p>
    <w:p w:rsidR="000C64BE" w:rsidRPr="00687A1C" w:rsidRDefault="000C64BE" w:rsidP="000C64BE">
      <w:r w:rsidRPr="00687A1C">
        <w:t xml:space="preserve">Updates to the Market-led Proposals Guideline were released in November 2017 to improve the efficiency and transparency of assessing proposals and better guide the private sector on the requirements for quality proposals. </w:t>
      </w:r>
    </w:p>
    <w:p w:rsidR="003E549B" w:rsidRPr="00687A1C" w:rsidRDefault="003E549B" w:rsidP="00CC5A3B">
      <w:r w:rsidRPr="00687A1C">
        <w:t>DTF also provides commercial and strategic advice on complex non-infrastructure transactions on behalf of Government</w:t>
      </w:r>
      <w:r w:rsidR="00472CA1" w:rsidRPr="00687A1C">
        <w:t xml:space="preserve">. </w:t>
      </w:r>
      <w:r w:rsidRPr="00687A1C">
        <w:t>This includes advice on asset reform and commercialisation opportunities.</w:t>
      </w:r>
    </w:p>
    <w:p w:rsidR="003E549B" w:rsidRPr="00687A1C" w:rsidRDefault="003E549B" w:rsidP="00CC5A3B">
      <w:r w:rsidRPr="00687A1C">
        <w:t xml:space="preserve">In 2017-18, DTF </w:t>
      </w:r>
      <w:r w:rsidR="009E40D0" w:rsidRPr="00687A1C">
        <w:t>led the sale of the State</w:t>
      </w:r>
      <w:r w:rsidR="009469FE" w:rsidRPr="00687A1C">
        <w:t>’</w:t>
      </w:r>
      <w:r w:rsidR="009E40D0" w:rsidRPr="00687A1C">
        <w:t>s 29</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shareholding in Snowy Hydro Limited</w:t>
      </w:r>
      <w:r w:rsidR="00E16454" w:rsidRPr="00687A1C">
        <w:t xml:space="preserve"> to the Commonwealth</w:t>
      </w:r>
      <w:r w:rsidR="00472CA1" w:rsidRPr="00687A1C">
        <w:t xml:space="preserve">. </w:t>
      </w:r>
      <w:r w:rsidRPr="00687A1C">
        <w:t>DTF also progressed the commercialisation of Land Use Victoria</w:t>
      </w:r>
      <w:r w:rsidR="00472CA1" w:rsidRPr="00687A1C">
        <w:t xml:space="preserve">. </w:t>
      </w:r>
      <w:r w:rsidRPr="00687A1C">
        <w:t>This included completion of a scoping study and the launch of a competitive commercialisation process</w:t>
      </w:r>
      <w:r w:rsidR="00472CA1" w:rsidRPr="00687A1C">
        <w:t xml:space="preserve">. </w:t>
      </w:r>
      <w:r w:rsidRPr="00687A1C">
        <w:t>This process is expected to conclude in late 2018.</w:t>
      </w:r>
    </w:p>
    <w:p w:rsidR="00C5298F" w:rsidRPr="00687A1C" w:rsidRDefault="00C5298F" w:rsidP="00C5298F">
      <w:r w:rsidRPr="00687A1C">
        <w:t>DTF manages the Greener Government Buildings Program, which has upgraded more than 40</w:t>
      </w:r>
      <w:r w:rsidR="001F5A76" w:rsidRPr="00687A1C">
        <w:t>0 government buildings since it</w:t>
      </w:r>
      <w:r w:rsidRPr="00687A1C">
        <w:t xml:space="preserve">s establishment in 2010, resulting in annual cost savings of </w:t>
      </w:r>
      <w:r w:rsidR="00053F5C" w:rsidRPr="00687A1C">
        <w:t>more than</w:t>
      </w:r>
      <w:r w:rsidR="000C64BE" w:rsidRPr="00687A1C">
        <w:br/>
      </w:r>
      <w:r w:rsidRPr="00687A1C">
        <w:t>$20</w:t>
      </w:r>
      <w:r w:rsidR="006F069A" w:rsidRPr="00687A1C">
        <w:rPr>
          <w:rFonts w:ascii="Calibri" w:hAnsi="Calibri" w:cs="Calibri"/>
        </w:rPr>
        <w:t> </w:t>
      </w:r>
      <w:r w:rsidR="006F069A" w:rsidRPr="00687A1C">
        <w:t>million</w:t>
      </w:r>
      <w:r w:rsidRPr="00687A1C">
        <w:t xml:space="preserve"> and the abatement of over 100 000 tonnes of greenhouse gas emissions a year.</w:t>
      </w:r>
    </w:p>
    <w:p w:rsidR="00C5298F" w:rsidRPr="00687A1C" w:rsidRDefault="00C5298F" w:rsidP="00C5298F">
      <w:r w:rsidRPr="00687A1C">
        <w:t xml:space="preserve">DTF oversees the Government's land sales program, including the sale of Crown and </w:t>
      </w:r>
      <w:r w:rsidR="0027531A" w:rsidRPr="00687A1C">
        <w:t xml:space="preserve">freehold </w:t>
      </w:r>
      <w:r w:rsidRPr="00687A1C">
        <w:t>land, land acquisitions, remediation, planning, native title negotiations and the coordination of land sales targets and reporting on behalf of all departments.</w:t>
      </w:r>
    </w:p>
    <w:p w:rsidR="00C5298F" w:rsidRPr="00687A1C" w:rsidRDefault="00F21189" w:rsidP="00C5298F">
      <w:r>
        <w:br w:type="column"/>
      </w:r>
      <w:r w:rsidR="00C5298F" w:rsidRPr="00687A1C">
        <w:t>DTF manages 176 properties owned by the Department of Treasury and Finance, including office buildings occupied by the public service, and land held in anticipation of future government requirements.</w:t>
      </w:r>
    </w:p>
    <w:p w:rsidR="004E5F10" w:rsidRPr="00687A1C" w:rsidRDefault="004E5F10" w:rsidP="00CC5A3B">
      <w:r w:rsidRPr="00687A1C">
        <w:t xml:space="preserve">In 2017-18, DTF operationalised the </w:t>
      </w:r>
      <w:r w:rsidRPr="00687A1C">
        <w:rPr>
          <w:i/>
        </w:rPr>
        <w:t>HomesVic</w:t>
      </w:r>
      <w:r w:rsidRPr="00687A1C">
        <w:t xml:space="preserve"> shared equity scheme</w:t>
      </w:r>
      <w:r w:rsidR="000C64BE" w:rsidRPr="00687A1C">
        <w:t>,</w:t>
      </w:r>
      <w:r w:rsidRPr="00687A1C">
        <w:t xml:space="preserve"> which targets up to 400 eligible first home buyers by reducing the amount of money they need to purchase their own home. The pilot scheme is backed by a $50</w:t>
      </w:r>
      <w:r w:rsidR="006F069A" w:rsidRPr="00687A1C">
        <w:rPr>
          <w:rFonts w:ascii="Calibri" w:hAnsi="Calibri" w:cs="Calibri"/>
        </w:rPr>
        <w:t> </w:t>
      </w:r>
      <w:r w:rsidR="006F069A" w:rsidRPr="00687A1C">
        <w:t>million</w:t>
      </w:r>
      <w:r w:rsidRPr="00687A1C">
        <w:t xml:space="preserve"> fund and is targeted at first home buyers on low to moderate incomes. As at 30 June 2018, more than 250 provisional approvals, 70 contracts of sale and 16 settlements had occurred.</w:t>
      </w:r>
    </w:p>
    <w:p w:rsidR="001566EE" w:rsidRPr="00687A1C" w:rsidRDefault="004E5F10" w:rsidP="00CC5A3B">
      <w:r w:rsidRPr="00687A1C">
        <w:t>DTF is working with the Department of Health and Human Services to prepare the two components of the Victorian Social Housing Growth Fund – the Build and Oper</w:t>
      </w:r>
      <w:r w:rsidR="00061294" w:rsidRPr="00687A1C">
        <w:t>ate and New Rentals Development</w:t>
      </w:r>
      <w:r w:rsidRPr="00687A1C">
        <w:t xml:space="preserve"> programs for launch in 2018-19. </w:t>
      </w:r>
    </w:p>
    <w:p w:rsidR="004E5F10" w:rsidRPr="00687A1C" w:rsidRDefault="004E5F10" w:rsidP="00CC5A3B">
      <w:r w:rsidRPr="00687A1C">
        <w:t>The New Rentals Development Program provides subsidies to community housing agencies to lease newly built dwellings, or dwellings already under construction to low income and disadvantaged Victorians for a term of 10 years. The Build and Operate Program provides assistance to community housing agencies to construct and operate social housing dwellings to low income and disadvantaged Victorians for up to 30 years. Over the next five years these two programs will create up to 2</w:t>
      </w:r>
      <w:r w:rsidR="001566EE" w:rsidRPr="00687A1C">
        <w:t xml:space="preserve"> </w:t>
      </w:r>
      <w:r w:rsidRPr="00687A1C">
        <w:t>200 new social housing places through the construction of new dwellings and leases.</w:t>
      </w:r>
    </w:p>
    <w:p w:rsidR="001566EE" w:rsidRPr="00687A1C" w:rsidRDefault="001566EE" w:rsidP="000C64BE">
      <w:pPr>
        <w:keepLines/>
      </w:pPr>
      <w:r w:rsidRPr="00687A1C">
        <w:t xml:space="preserve">In 2017-18, DTF has also worked with the Department of Health and Human Services and </w:t>
      </w:r>
      <w:r w:rsidR="000C64BE" w:rsidRPr="00687A1C">
        <w:t>the Treasury Corporation of Victoria</w:t>
      </w:r>
      <w:r w:rsidRPr="00687A1C">
        <w:t xml:space="preserve"> to prepare the Building the Financial Capacity of Housing Associations initiative for launch in early 2018-19. Community housing organisations will have access to up to $1.1 billion in low interest loans and Government guarantees encouraging the growth of this sector by giving housing associations and select housing providers the capacity to invest in new social and affordable housing.</w:t>
      </w:r>
    </w:p>
    <w:p w:rsidR="003E549B" w:rsidRPr="00687A1C" w:rsidRDefault="003E549B" w:rsidP="003E549B">
      <w:pPr>
        <w:pStyle w:val="Heading4"/>
      </w:pPr>
      <w:r w:rsidRPr="00687A1C">
        <w:t>Objective 4: Deliver efficient whole of government common services</w:t>
      </w:r>
    </w:p>
    <w:p w:rsidR="003E549B" w:rsidRPr="00687A1C" w:rsidRDefault="003E549B" w:rsidP="00CC5A3B">
      <w:pPr>
        <w:pStyle w:val="Heading5"/>
      </w:pPr>
      <w:r w:rsidRPr="00687A1C">
        <w:t>Objective indicators</w:t>
      </w:r>
    </w:p>
    <w:p w:rsidR="003E549B" w:rsidRPr="00687A1C" w:rsidRDefault="003E549B" w:rsidP="00CC5A3B">
      <w:pPr>
        <w:pStyle w:val="ListNumber"/>
        <w:numPr>
          <w:ilvl w:val="0"/>
          <w:numId w:val="16"/>
        </w:numPr>
      </w:pPr>
      <w:r w:rsidRPr="00687A1C">
        <w:t>Benefits delivered as a percentage of expenditure</w:t>
      </w:r>
      <w:r w:rsidR="009E40D0" w:rsidRPr="00687A1C">
        <w:t xml:space="preserve"> by mandated agencies under DTF</w:t>
      </w:r>
      <w:r w:rsidR="009E40D0" w:rsidRPr="00687A1C">
        <w:noBreakHyphen/>
      </w:r>
      <w:r w:rsidRPr="00687A1C">
        <w:t>managed state purchase contracts, including reduced and avoided costs.</w:t>
      </w:r>
    </w:p>
    <w:p w:rsidR="003E549B" w:rsidRPr="00687A1C" w:rsidRDefault="003E549B" w:rsidP="003E549B">
      <w:pPr>
        <w:pStyle w:val="ListNumber"/>
      </w:pPr>
      <w:r w:rsidRPr="00687A1C">
        <w:t>Low vacancy rates for government office accommodation maintained.</w:t>
      </w:r>
    </w:p>
    <w:p w:rsidR="003E549B" w:rsidRPr="00687A1C" w:rsidRDefault="003E549B" w:rsidP="003E549B">
      <w:pPr>
        <w:pStyle w:val="ListNumber"/>
      </w:pPr>
      <w:r w:rsidRPr="00687A1C">
        <w:t>High quality whole of government common services provided to Government agencies, as assessed by feedback from key clients.</w:t>
      </w:r>
    </w:p>
    <w:p w:rsidR="003E549B" w:rsidRPr="00687A1C" w:rsidRDefault="003E549B" w:rsidP="003E549B">
      <w:pPr>
        <w:pStyle w:val="ListNumber"/>
        <w:numPr>
          <w:ilvl w:val="0"/>
          <w:numId w:val="0"/>
        </w:numPr>
        <w:ind w:left="360" w:hanging="360"/>
      </w:pPr>
    </w:p>
    <w:p w:rsidR="003E549B" w:rsidRPr="00687A1C" w:rsidRDefault="00F21189" w:rsidP="00CC5A3B">
      <w:r>
        <w:br w:type="column"/>
      </w:r>
      <w:r w:rsidR="003E549B" w:rsidRPr="00687A1C">
        <w:lastRenderedPageBreak/>
        <w:t>DTF led the del</w:t>
      </w:r>
      <w:r w:rsidR="0027531A" w:rsidRPr="00687A1C">
        <w:t>ivery of integrated and service</w:t>
      </w:r>
      <w:r w:rsidR="0027531A" w:rsidRPr="00687A1C">
        <w:noBreakHyphen/>
      </w:r>
      <w:r w:rsidR="003E549B" w:rsidRPr="00687A1C">
        <w:t>orientated whole of government services, policies and initiatives to achieve value for the Victorian public sector.</w:t>
      </w:r>
    </w:p>
    <w:p w:rsidR="003E549B" w:rsidRPr="00687A1C" w:rsidRDefault="003E549B" w:rsidP="00472CA1">
      <w:pPr>
        <w:pStyle w:val="Normalbold"/>
      </w:pPr>
      <w:r w:rsidRPr="00687A1C">
        <w:t>Objective Indicator 1: Benefits delivered as a percentage of expenditure by mandated agencies under DTF-managed state purchase contracts, including reduced and avoided costs.</w:t>
      </w:r>
    </w:p>
    <w:p w:rsidR="003E549B" w:rsidRPr="00687A1C" w:rsidRDefault="003E549B" w:rsidP="003E549B">
      <w:pPr>
        <w:pStyle w:val="Notes"/>
        <w:rPr>
          <w:rFonts w:cs="Times New Roman"/>
          <w:color w:val="auto"/>
          <w:sz w:val="17"/>
          <w:szCs w:val="24"/>
        </w:rPr>
      </w:pPr>
      <w:r w:rsidRPr="00687A1C">
        <w:rPr>
          <w:rFonts w:cs="Times New Roman"/>
          <w:color w:val="auto"/>
          <w:sz w:val="17"/>
          <w:szCs w:val="24"/>
        </w:rPr>
        <w:t>DTF manage</w:t>
      </w:r>
      <w:r w:rsidR="0027531A" w:rsidRPr="00687A1C">
        <w:rPr>
          <w:rFonts w:cs="Times New Roman"/>
          <w:color w:val="auto"/>
          <w:sz w:val="17"/>
          <w:szCs w:val="24"/>
        </w:rPr>
        <w:t>s</w:t>
      </w:r>
      <w:r w:rsidR="00A9568C" w:rsidRPr="00687A1C">
        <w:rPr>
          <w:rFonts w:cs="Times New Roman"/>
          <w:color w:val="auto"/>
          <w:sz w:val="17"/>
          <w:szCs w:val="24"/>
        </w:rPr>
        <w:t xml:space="preserve"> 17 common</w:t>
      </w:r>
      <w:r w:rsidR="00A9568C" w:rsidRPr="00687A1C">
        <w:rPr>
          <w:rFonts w:cs="Times New Roman"/>
          <w:color w:val="auto"/>
          <w:sz w:val="17"/>
          <w:szCs w:val="24"/>
        </w:rPr>
        <w:noBreakHyphen/>
      </w:r>
      <w:r w:rsidRPr="00687A1C">
        <w:rPr>
          <w:rFonts w:cs="Times New Roman"/>
          <w:color w:val="auto"/>
          <w:sz w:val="17"/>
          <w:szCs w:val="24"/>
        </w:rPr>
        <w:t>use whole of Victorian government goo</w:t>
      </w:r>
      <w:r w:rsidR="00CC5A3B" w:rsidRPr="00687A1C">
        <w:rPr>
          <w:rFonts w:cs="Times New Roman"/>
          <w:color w:val="auto"/>
          <w:sz w:val="17"/>
          <w:szCs w:val="24"/>
        </w:rPr>
        <w:t>ds and services categories (non</w:t>
      </w:r>
      <w:r w:rsidR="00CC5A3B" w:rsidRPr="00687A1C">
        <w:rPr>
          <w:rFonts w:cs="Times New Roman"/>
          <w:color w:val="auto"/>
          <w:sz w:val="17"/>
          <w:szCs w:val="24"/>
        </w:rPr>
        <w:noBreakHyphen/>
      </w:r>
      <w:r w:rsidRPr="00687A1C">
        <w:rPr>
          <w:rFonts w:cs="Times New Roman"/>
          <w:color w:val="auto"/>
          <w:sz w:val="17"/>
          <w:szCs w:val="24"/>
        </w:rPr>
        <w:t xml:space="preserve">ICT) totalling </w:t>
      </w:r>
      <w:r w:rsidR="001F5A76" w:rsidRPr="00687A1C">
        <w:rPr>
          <w:rFonts w:cs="Times New Roman"/>
          <w:color w:val="auto"/>
          <w:sz w:val="17"/>
          <w:szCs w:val="24"/>
        </w:rPr>
        <w:t>about</w:t>
      </w:r>
      <w:r w:rsidRPr="00687A1C">
        <w:rPr>
          <w:rFonts w:cs="Times New Roman"/>
          <w:color w:val="auto"/>
          <w:sz w:val="17"/>
          <w:szCs w:val="24"/>
        </w:rPr>
        <w:t xml:space="preserve"> $1 billion </w:t>
      </w:r>
      <w:r w:rsidR="001F5A76" w:rsidRPr="00687A1C">
        <w:rPr>
          <w:rFonts w:cs="Times New Roman"/>
          <w:color w:val="auto"/>
          <w:sz w:val="17"/>
          <w:szCs w:val="24"/>
        </w:rPr>
        <w:t xml:space="preserve">of expenditure and generating </w:t>
      </w:r>
      <w:r w:rsidR="00F42E91" w:rsidRPr="00687A1C">
        <w:rPr>
          <w:rFonts w:cs="Times New Roman"/>
          <w:color w:val="auto"/>
          <w:sz w:val="17"/>
          <w:szCs w:val="24"/>
        </w:rPr>
        <w:t>5.5</w:t>
      </w:r>
      <w:r w:rsidR="006F069A" w:rsidRPr="00687A1C">
        <w:rPr>
          <w:rFonts w:ascii="Calibri" w:hAnsi="Calibri" w:cs="Calibri"/>
          <w:color w:val="auto"/>
          <w:sz w:val="17"/>
          <w:szCs w:val="24"/>
        </w:rPr>
        <w:t> </w:t>
      </w:r>
      <w:r w:rsidR="006F069A" w:rsidRPr="00687A1C">
        <w:rPr>
          <w:rFonts w:cs="Times New Roman"/>
          <w:color w:val="auto"/>
          <w:sz w:val="17"/>
          <w:szCs w:val="24"/>
        </w:rPr>
        <w:t>per</w:t>
      </w:r>
      <w:r w:rsidR="006F069A" w:rsidRPr="00687A1C">
        <w:rPr>
          <w:rFonts w:ascii="Calibri" w:hAnsi="Calibri" w:cs="Calibri"/>
          <w:color w:val="auto"/>
          <w:sz w:val="17"/>
          <w:szCs w:val="24"/>
        </w:rPr>
        <w:t> </w:t>
      </w:r>
      <w:r w:rsidR="006F069A" w:rsidRPr="00687A1C">
        <w:rPr>
          <w:rFonts w:cs="Times New Roman"/>
          <w:color w:val="auto"/>
          <w:sz w:val="17"/>
          <w:szCs w:val="24"/>
        </w:rPr>
        <w:t>cent</w:t>
      </w:r>
      <w:r w:rsidR="00F621F3" w:rsidRPr="00687A1C">
        <w:rPr>
          <w:rFonts w:cs="Times New Roman"/>
          <w:color w:val="auto"/>
          <w:sz w:val="17"/>
          <w:szCs w:val="24"/>
        </w:rPr>
        <w:t xml:space="preserve"> in savings </w:t>
      </w:r>
      <w:r w:rsidRPr="00687A1C">
        <w:rPr>
          <w:rFonts w:cs="Times New Roman"/>
          <w:color w:val="auto"/>
          <w:sz w:val="17"/>
          <w:szCs w:val="24"/>
        </w:rPr>
        <w:t xml:space="preserve">for 2017-18. </w:t>
      </w:r>
    </w:p>
    <w:p w:rsidR="003E549B" w:rsidRPr="00687A1C" w:rsidRDefault="003E549B" w:rsidP="00CC5A3B">
      <w:r w:rsidRPr="00687A1C">
        <w:t>Categories reviewed and new contracts implemented were</w:t>
      </w:r>
      <w:r w:rsidR="00032D64" w:rsidRPr="00687A1C">
        <w:t>:</w:t>
      </w:r>
      <w:r w:rsidRPr="00687A1C">
        <w:t xml:space="preserve"> Master Agency Media Services, Security Services, and Fleet Management. The Professional Advisory Services category was refreshed during 2017-18.</w:t>
      </w:r>
    </w:p>
    <w:p w:rsidR="003E549B" w:rsidRPr="00687A1C" w:rsidRDefault="003E549B" w:rsidP="00CC5A3B">
      <w:r w:rsidRPr="00687A1C">
        <w:t>The focus for category reviews for 2018-19 will be for the Energy portfolio of categories, Cash and Banking, Staffing Services, Language Services and Professional Advisory Services.</w:t>
      </w:r>
    </w:p>
    <w:p w:rsidR="003E549B" w:rsidRPr="00687A1C" w:rsidRDefault="003E549B" w:rsidP="00472CA1">
      <w:pPr>
        <w:pStyle w:val="Normalbold"/>
      </w:pPr>
      <w:r w:rsidRPr="00687A1C">
        <w:t>Objective Indicator 2: Low vacancy rates for government office accommodation maintained</w:t>
      </w:r>
    </w:p>
    <w:p w:rsidR="003E549B" w:rsidRPr="00687A1C" w:rsidRDefault="003E549B" w:rsidP="003E549B">
      <w:pPr>
        <w:pStyle w:val="ListNumber"/>
        <w:numPr>
          <w:ilvl w:val="0"/>
          <w:numId w:val="0"/>
        </w:numPr>
        <w:rPr>
          <w:rFonts w:cstheme="minorHAnsi"/>
        </w:rPr>
      </w:pPr>
      <w:r w:rsidRPr="00687A1C">
        <w:t>Vacancy rates within the State</w:t>
      </w:r>
      <w:r w:rsidR="00032D64" w:rsidRPr="00687A1C">
        <w:t>’</w:t>
      </w:r>
      <w:r w:rsidRPr="00687A1C">
        <w:t xml:space="preserve">s leased portfolio remained low due to effective management of space, ensuring </w:t>
      </w:r>
      <w:r w:rsidRPr="00687A1C">
        <w:rPr>
          <w:rFonts w:cstheme="minorHAnsi"/>
        </w:rPr>
        <w:t>requests for space in response to growing client staff numbers are met from within the portfolio before leasing externally.</w:t>
      </w:r>
    </w:p>
    <w:p w:rsidR="003E549B" w:rsidRPr="00687A1C" w:rsidRDefault="000C3FAA" w:rsidP="0018404D">
      <w:pPr>
        <w:pStyle w:val="ListNumber"/>
        <w:numPr>
          <w:ilvl w:val="0"/>
          <w:numId w:val="0"/>
        </w:numPr>
      </w:pPr>
      <w:r w:rsidRPr="00687A1C">
        <w:t>Over the past year, vacancy rates for government office accommodation have decreased from the previous year's quarter 4 result of 0.44</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to 0.</w:t>
      </w:r>
      <w:r w:rsidR="0086520D" w:rsidRPr="00687A1C">
        <w:t>24</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in June 2018. SSP has maintained a low office accommodation space rate despite an expanding client base and associated portfolio under management. The vacancy rate for government office accommodation compares favourably with the vacancy rate for the commercial real estate market in the Melbourne CBD. At July 2018, the overall vacancy rate for the Melbourne CBD was 6.4</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Over the coming year SSP, in partnership with its property outsourced provider, will be implementing space management tools to ensure optimal use of office space and support ongoing strategic accommodation planning.</w:t>
      </w:r>
    </w:p>
    <w:p w:rsidR="003E549B" w:rsidRPr="00687A1C" w:rsidRDefault="00C21B44" w:rsidP="00472CA1">
      <w:pPr>
        <w:pStyle w:val="Normalbold"/>
      </w:pPr>
      <w:r w:rsidRPr="00687A1C">
        <w:br w:type="column"/>
      </w:r>
      <w:r w:rsidR="006D3CFA" w:rsidRPr="00687A1C">
        <w:t>Objective Indicator 3: High-</w:t>
      </w:r>
      <w:r w:rsidR="003E549B" w:rsidRPr="00687A1C">
        <w:t>quality whole of government common services provided to Government agencies, as assessed by feedback from key clients.</w:t>
      </w:r>
    </w:p>
    <w:p w:rsidR="003E549B" w:rsidRPr="00687A1C" w:rsidRDefault="003E549B" w:rsidP="00CC5A3B">
      <w:r w:rsidRPr="00687A1C">
        <w:t>In addition to delivering business as usual services throughout 2017</w:t>
      </w:r>
      <w:r w:rsidRPr="00687A1C">
        <w:noBreakHyphen/>
        <w:t xml:space="preserve">18 in accommodation management, library and car pools for Victorian Government departments and agencies, SSP continued </w:t>
      </w:r>
      <w:r w:rsidR="0086520D" w:rsidRPr="00687A1C">
        <w:t>implementing</w:t>
      </w:r>
      <w:r w:rsidRPr="00687A1C">
        <w:t xml:space="preserve"> </w:t>
      </w:r>
      <w:r w:rsidR="00E06462" w:rsidRPr="00687A1C">
        <w:t xml:space="preserve">a </w:t>
      </w:r>
      <w:r w:rsidRPr="00687A1C">
        <w:t xml:space="preserve">significant change and business transformation program, which will </w:t>
      </w:r>
      <w:r w:rsidR="0086520D" w:rsidRPr="00687A1C">
        <w:t xml:space="preserve">progress </w:t>
      </w:r>
      <w:r w:rsidRPr="00687A1C">
        <w:t>over the coming year.</w:t>
      </w:r>
    </w:p>
    <w:p w:rsidR="003E549B" w:rsidRPr="00687A1C" w:rsidRDefault="003E549B" w:rsidP="00CC5A3B">
      <w:pPr>
        <w:rPr>
          <w:rFonts w:cstheme="minorHAnsi"/>
        </w:rPr>
      </w:pPr>
      <w:r w:rsidRPr="00687A1C">
        <w:t xml:space="preserve">This change was spearheaded by the need to return to market for a new outsourced service provider for Victorian Government real estate and facilities management services. An expression of interest followed by a select request for proposal was completed in September 2017, with </w:t>
      </w:r>
      <w:r w:rsidRPr="00687A1C">
        <w:rPr>
          <w:rFonts w:cstheme="minorHAnsi"/>
        </w:rPr>
        <w:t>Jones Lang Lasalle (JLL) successfully transitioning as the major provider of outsourced property services in December 2017, replacing Cushman and Wakefield (C&amp;W).</w:t>
      </w:r>
    </w:p>
    <w:p w:rsidR="000B7127" w:rsidRPr="00687A1C" w:rsidRDefault="000B7127" w:rsidP="000B7127">
      <w:r w:rsidRPr="00687A1C">
        <w:t xml:space="preserve">The SSP client satisfaction survey was completed in June 2018 and indicated an overall satisfaction score of 70.6 per cent. This is a positive result for SSP particularly considering the significant change and potential impacts of the transition to JLL. Furthermore, 87.5 per cent of respondents found that SSP service delivery standards had been maintained or improved in the six months prior to the survey. </w:t>
      </w:r>
    </w:p>
    <w:p w:rsidR="000B7127" w:rsidRPr="00687A1C" w:rsidRDefault="000B7127" w:rsidP="000B7127">
      <w:r w:rsidRPr="00687A1C">
        <w:t xml:space="preserve">Within individual SSP services areas, the Victorian Government Library Service (VGLS) received the highest level of overall satisfaction with a score of 84.9 per cent, followed by </w:t>
      </w:r>
      <w:r w:rsidR="00C27310" w:rsidRPr="00687A1C">
        <w:t xml:space="preserve">SSP Car Pool Services </w:t>
      </w:r>
      <w:r w:rsidRPr="00687A1C">
        <w:t xml:space="preserve">with a score of 80.7 per cent. It is the third consecutive year in which VGLS and </w:t>
      </w:r>
      <w:r w:rsidR="00C27310" w:rsidRPr="00687A1C">
        <w:t xml:space="preserve">SSP </w:t>
      </w:r>
      <w:r w:rsidRPr="00687A1C">
        <w:t>Car Pool Service</w:t>
      </w:r>
      <w:r w:rsidR="00C27310" w:rsidRPr="00687A1C">
        <w:t>s</w:t>
      </w:r>
      <w:r w:rsidRPr="00687A1C">
        <w:t xml:space="preserve"> have received overall satisfaction levels above 80 per cent.</w:t>
      </w:r>
    </w:p>
    <w:p w:rsidR="003E549B" w:rsidRPr="00687A1C" w:rsidRDefault="003E549B" w:rsidP="00CC5A3B">
      <w:r w:rsidRPr="00687A1C">
        <w:t>SSP has continued to influence</w:t>
      </w:r>
      <w:r w:rsidR="00E06462" w:rsidRPr="00687A1C">
        <w:t xml:space="preserve"> the</w:t>
      </w:r>
      <w:r w:rsidRPr="00687A1C">
        <w:t xml:space="preserve"> </w:t>
      </w:r>
      <w:r w:rsidR="009E40D0" w:rsidRPr="00687A1C">
        <w:t xml:space="preserve">whole </w:t>
      </w:r>
      <w:r w:rsidRPr="00687A1C">
        <w:t xml:space="preserve">of Victorian </w:t>
      </w:r>
      <w:r w:rsidR="00032D64" w:rsidRPr="00687A1C">
        <w:t xml:space="preserve">government </w:t>
      </w:r>
      <w:r w:rsidRPr="00687A1C">
        <w:t xml:space="preserve">(WoVG) accommodation strategy and </w:t>
      </w:r>
      <w:r w:rsidR="00032D64" w:rsidRPr="00687A1C">
        <w:t>is</w:t>
      </w:r>
      <w:r w:rsidRPr="00687A1C">
        <w:t xml:space="preserve"> progressing work on a review of WoVG Accommodation Standards and forums on Security and Innovation to drive standardised approaches and improvement services delivered across the WoVG.</w:t>
      </w:r>
    </w:p>
    <w:p w:rsidR="003E549B" w:rsidRPr="00687A1C" w:rsidRDefault="003E549B" w:rsidP="00CC5A3B">
      <w:r w:rsidRPr="00687A1C">
        <w:t>A key focus area for Strategic Sourcing has been to support the delivery of procurement reform across five key work streams:</w:t>
      </w:r>
    </w:p>
    <w:p w:rsidR="003E549B" w:rsidRPr="00687A1C" w:rsidRDefault="003E549B" w:rsidP="009E40D0">
      <w:pPr>
        <w:pStyle w:val="ListNumber"/>
        <w:numPr>
          <w:ilvl w:val="0"/>
          <w:numId w:val="19"/>
        </w:numPr>
      </w:pPr>
      <w:r w:rsidRPr="00687A1C">
        <w:t>Social procurement framework</w:t>
      </w:r>
    </w:p>
    <w:p w:rsidR="003E549B" w:rsidRPr="00687A1C" w:rsidRDefault="003E549B" w:rsidP="00CC5A3B">
      <w:pPr>
        <w:pStyle w:val="ListNumber"/>
      </w:pPr>
      <w:r w:rsidRPr="00687A1C">
        <w:t>Governance</w:t>
      </w:r>
    </w:p>
    <w:p w:rsidR="003E549B" w:rsidRPr="00687A1C" w:rsidRDefault="003E549B" w:rsidP="00CC5A3B">
      <w:pPr>
        <w:pStyle w:val="ListNumber"/>
      </w:pPr>
      <w:r w:rsidRPr="00687A1C">
        <w:t>Policies and practice</w:t>
      </w:r>
    </w:p>
    <w:p w:rsidR="003E549B" w:rsidRPr="00687A1C" w:rsidRDefault="003E549B" w:rsidP="00CC5A3B">
      <w:pPr>
        <w:pStyle w:val="ListNumber"/>
      </w:pPr>
      <w:r w:rsidRPr="00687A1C">
        <w:t>Procurement technology</w:t>
      </w:r>
    </w:p>
    <w:p w:rsidR="003E549B" w:rsidRPr="00687A1C" w:rsidRDefault="003E549B" w:rsidP="00CC5A3B">
      <w:pPr>
        <w:pStyle w:val="ListNumber"/>
      </w:pPr>
      <w:r w:rsidRPr="00687A1C">
        <w:t>Capability development</w:t>
      </w:r>
    </w:p>
    <w:p w:rsidR="003E549B" w:rsidRPr="00687A1C" w:rsidRDefault="00C21B44" w:rsidP="00CC5A3B">
      <w:r w:rsidRPr="00687A1C">
        <w:br w:type="column"/>
      </w:r>
      <w:r w:rsidR="003E549B" w:rsidRPr="00687A1C">
        <w:lastRenderedPageBreak/>
        <w:t xml:space="preserve">The Victorian Government Purchasing Board (VGPB) has been appointed the program steering committee which is supported through the VGPB Secretariat within Strategic Sourcing. </w:t>
      </w:r>
    </w:p>
    <w:p w:rsidR="003E549B" w:rsidRPr="00687A1C" w:rsidRDefault="003E549B" w:rsidP="00CC5A3B">
      <w:r w:rsidRPr="00687A1C">
        <w:t>The early stages of the procurement reform are focused on the social procurement framework; policies and practice; and technology streams</w:t>
      </w:r>
      <w:r w:rsidR="00472CA1" w:rsidRPr="00687A1C">
        <w:t xml:space="preserve">. </w:t>
      </w:r>
    </w:p>
    <w:p w:rsidR="003E549B" w:rsidRPr="00687A1C" w:rsidRDefault="00895DC7" w:rsidP="00CC5A3B">
      <w:r w:rsidRPr="00895DC7">
        <w:t>The Social Procureme</w:t>
      </w:r>
      <w:r>
        <w:t>nt Framework is to apply from 1 </w:t>
      </w:r>
      <w:r w:rsidRPr="00895DC7">
        <w:t>September 2018. It aims to ensure value for money considerations balance price with delivering social, economic and environmental outcomes.</w:t>
      </w:r>
    </w:p>
    <w:p w:rsidR="003E549B" w:rsidRPr="00687A1C" w:rsidRDefault="003E549B" w:rsidP="00CC5A3B">
      <w:r w:rsidRPr="00687A1C">
        <w:t>Ongoing work continues to develop further guidance material and support the delivery to purchase locally manufactured uniforms and personal protective equipment</w:t>
      </w:r>
      <w:r w:rsidR="00472CA1" w:rsidRPr="00687A1C">
        <w:t xml:space="preserve">. </w:t>
      </w:r>
    </w:p>
    <w:p w:rsidR="003E549B" w:rsidRPr="00687A1C" w:rsidRDefault="003E549B" w:rsidP="00CC5A3B">
      <w:r w:rsidRPr="00687A1C">
        <w:t xml:space="preserve">The procurement technology stream includes working with the Department of Premier and Cabinet to develop a Buying for Victoria website. The website will facilitate more efficient interaction between buyers and suppliers as it will encompass a centralised depositary for procurement policies, guides and information. </w:t>
      </w:r>
    </w:p>
    <w:p w:rsidR="003E549B" w:rsidRPr="00687A1C" w:rsidRDefault="00B47340" w:rsidP="00CC5A3B">
      <w:r w:rsidRPr="00687A1C">
        <w:br w:type="column"/>
      </w:r>
      <w:r w:rsidR="003E549B" w:rsidRPr="00687A1C">
        <w:t>In addition, a supplier portal is being developed whereby suppliers can register their interest in government tenders. Government buyers will have enhanced search functionality to ensure that all registered suppliers are discoverable.</w:t>
      </w:r>
    </w:p>
    <w:p w:rsidR="003E549B" w:rsidRPr="00687A1C" w:rsidRDefault="003E549B" w:rsidP="00CC5A3B">
      <w:r w:rsidRPr="00687A1C">
        <w:t>As part of the Government</w:t>
      </w:r>
      <w:r w:rsidR="009469FE" w:rsidRPr="00687A1C">
        <w:t>’</w:t>
      </w:r>
      <w:r w:rsidRPr="00687A1C">
        <w:t xml:space="preserve">s more efficient car fleet arrangements, the Standard Motor Vehicle Policy was amended to mandate the policy to all </w:t>
      </w:r>
      <w:r w:rsidR="001F5A76" w:rsidRPr="00687A1C">
        <w:t xml:space="preserve">general government </w:t>
      </w:r>
      <w:r w:rsidRPr="00687A1C">
        <w:t xml:space="preserve">sector departments and agencies. The policy will generate savings by: </w:t>
      </w:r>
    </w:p>
    <w:p w:rsidR="003E549B" w:rsidRPr="00687A1C" w:rsidRDefault="003E549B" w:rsidP="00CC5A3B">
      <w:pPr>
        <w:pStyle w:val="ListNumber"/>
        <w:numPr>
          <w:ilvl w:val="0"/>
          <w:numId w:val="15"/>
        </w:numPr>
      </w:pPr>
      <w:r w:rsidRPr="00687A1C">
        <w:t>centralising core functions to achieve economies of scale;</w:t>
      </w:r>
    </w:p>
    <w:p w:rsidR="003E549B" w:rsidRPr="00687A1C" w:rsidRDefault="003E549B" w:rsidP="00CC5A3B">
      <w:pPr>
        <w:pStyle w:val="ListNumber"/>
      </w:pPr>
      <w:r w:rsidRPr="00687A1C">
        <w:t xml:space="preserve">reducing the cost of funding of the </w:t>
      </w:r>
      <w:r w:rsidR="00BE24C6" w:rsidRPr="00687A1C">
        <w:t>general governme</w:t>
      </w:r>
      <w:r w:rsidRPr="00687A1C">
        <w:t>nt fleet; and</w:t>
      </w:r>
    </w:p>
    <w:p w:rsidR="00124BCC" w:rsidRPr="00687A1C" w:rsidRDefault="003E549B" w:rsidP="00CC5A3B">
      <w:pPr>
        <w:pStyle w:val="ListNumber"/>
      </w:pPr>
      <w:r w:rsidRPr="00687A1C">
        <w:t>better managing fleet growth, vehicle utilisation and lease terms.</w:t>
      </w:r>
    </w:p>
    <w:p w:rsidR="00956A92" w:rsidRPr="00687A1C" w:rsidRDefault="00956A92" w:rsidP="00956A92"/>
    <w:p w:rsidR="00C5298F" w:rsidRPr="00687A1C" w:rsidRDefault="00C5298F" w:rsidP="00C5298F"/>
    <w:p w:rsidR="00C5298F" w:rsidRPr="00687A1C" w:rsidRDefault="00C5298F" w:rsidP="00C5298F">
      <w:pPr>
        <w:sectPr w:rsidR="00C5298F" w:rsidRPr="00687A1C" w:rsidSect="001D6931">
          <w:type w:val="continuous"/>
          <w:pgSz w:w="11909" w:h="16834" w:code="9"/>
          <w:pgMar w:top="1728" w:right="1152" w:bottom="1152" w:left="1152" w:header="720" w:footer="288" w:gutter="0"/>
          <w:cols w:num="2" w:space="720"/>
          <w:noEndnote/>
        </w:sectPr>
      </w:pPr>
    </w:p>
    <w:p w:rsidR="00472CA1" w:rsidRPr="00687A1C" w:rsidRDefault="00472CA1" w:rsidP="00CC5A3B">
      <w:pPr>
        <w:pStyle w:val="Spacer"/>
      </w:pPr>
    </w:p>
    <w:p w:rsidR="003E549B" w:rsidRPr="00687A1C" w:rsidRDefault="003E549B" w:rsidP="003E549B">
      <w:pPr>
        <w:pStyle w:val="Tableheading"/>
      </w:pPr>
      <w:r w:rsidRPr="00687A1C">
        <w:t xml:space="preserve">Table 2 – Progress towards objective – Deliver efficient whole of government common services to the Victorian public sector </w:t>
      </w:r>
    </w:p>
    <w:tbl>
      <w:tblPr>
        <w:tblStyle w:val="AnnualReportfinancialtable"/>
        <w:tblW w:w="8366" w:type="dxa"/>
        <w:tblLayout w:type="fixed"/>
        <w:tblLook w:val="0080" w:firstRow="0" w:lastRow="0" w:firstColumn="1" w:lastColumn="0" w:noHBand="0" w:noVBand="0"/>
      </w:tblPr>
      <w:tblGrid>
        <w:gridCol w:w="3416"/>
        <w:gridCol w:w="990"/>
        <w:gridCol w:w="990"/>
        <w:gridCol w:w="990"/>
        <w:gridCol w:w="990"/>
        <w:gridCol w:w="990"/>
      </w:tblGrid>
      <w:tr w:rsidR="00655C14" w:rsidRPr="00687A1C" w:rsidTr="00655C14">
        <w:tc>
          <w:tcPr>
            <w:cnfStyle w:val="001000000000" w:firstRow="0" w:lastRow="0" w:firstColumn="1" w:lastColumn="0" w:oddVBand="0" w:evenVBand="0" w:oddHBand="0" w:evenHBand="0" w:firstRowFirstColumn="0" w:firstRowLastColumn="0" w:lastRowFirstColumn="0" w:lastRowLastColumn="0"/>
            <w:tcW w:w="3416" w:type="dxa"/>
          </w:tcPr>
          <w:p w:rsidR="00655C14" w:rsidRPr="00687A1C" w:rsidRDefault="00655C14" w:rsidP="003E549B">
            <w:pPr>
              <w:pStyle w:val="Tabletextheadingleft"/>
            </w:pPr>
            <w:r w:rsidRPr="00687A1C">
              <w:rPr>
                <w:rFonts w:cstheme="minorHAnsi"/>
              </w:rPr>
              <w:t>Indicator</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3E549B">
            <w:pPr>
              <w:pStyle w:val="Tabletextheadingcentred"/>
            </w:pPr>
            <w:r w:rsidRPr="00687A1C">
              <w:t xml:space="preserve">Unit of </w:t>
            </w:r>
            <w:r w:rsidRPr="00687A1C">
              <w:br/>
              <w:t>measure</w:t>
            </w:r>
          </w:p>
        </w:tc>
        <w:tc>
          <w:tcPr>
            <w:cnfStyle w:val="000001000000" w:firstRow="0" w:lastRow="0" w:firstColumn="0" w:lastColumn="0" w:oddVBand="0" w:evenVBand="1" w:oddHBand="0" w:evenHBand="0" w:firstRowFirstColumn="0" w:firstRowLastColumn="0" w:lastRowFirstColumn="0" w:lastRowLastColumn="0"/>
            <w:tcW w:w="990" w:type="dxa"/>
          </w:tcPr>
          <w:p w:rsidR="00655C14" w:rsidRPr="00687A1C" w:rsidRDefault="00655C14" w:rsidP="003E549B">
            <w:pPr>
              <w:pStyle w:val="Tabletextheadingright"/>
            </w:pPr>
            <w:r w:rsidRPr="00687A1C">
              <w:rPr>
                <w:rFonts w:cstheme="minorHAnsi"/>
              </w:rPr>
              <w:t>2014</w:t>
            </w:r>
            <w:r w:rsidRPr="00687A1C">
              <w:rPr>
                <w:rFonts w:cstheme="minorHAnsi"/>
              </w:rPr>
              <w:noBreakHyphen/>
              <w:t>15 actual</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3E549B">
            <w:pPr>
              <w:pStyle w:val="Tabletextheadingright"/>
            </w:pPr>
            <w:r w:rsidRPr="00687A1C">
              <w:rPr>
                <w:rFonts w:cstheme="minorHAnsi"/>
              </w:rPr>
              <w:t>2015</w:t>
            </w:r>
            <w:r w:rsidRPr="00687A1C">
              <w:rPr>
                <w:rFonts w:cstheme="minorHAnsi"/>
              </w:rPr>
              <w:noBreakHyphen/>
              <w:t>16</w:t>
            </w:r>
            <w:r w:rsidRPr="00687A1C">
              <w:rPr>
                <w:rFonts w:cstheme="minorHAnsi"/>
              </w:rPr>
              <w:br/>
              <w:t>actual</w:t>
            </w:r>
          </w:p>
        </w:tc>
        <w:tc>
          <w:tcPr>
            <w:cnfStyle w:val="000001000000" w:firstRow="0" w:lastRow="0" w:firstColumn="0" w:lastColumn="0" w:oddVBand="0" w:evenVBand="1" w:oddHBand="0" w:evenHBand="0" w:firstRowFirstColumn="0" w:firstRowLastColumn="0" w:lastRowFirstColumn="0" w:lastRowLastColumn="0"/>
            <w:tcW w:w="990" w:type="dxa"/>
          </w:tcPr>
          <w:p w:rsidR="00655C14" w:rsidRPr="00687A1C" w:rsidRDefault="00655C14" w:rsidP="003E549B">
            <w:pPr>
              <w:pStyle w:val="Tabletextheadingright"/>
            </w:pPr>
            <w:r w:rsidRPr="00687A1C">
              <w:rPr>
                <w:rFonts w:cstheme="minorHAnsi"/>
              </w:rPr>
              <w:t>2016</w:t>
            </w:r>
            <w:r w:rsidRPr="00687A1C">
              <w:rPr>
                <w:rFonts w:cstheme="minorHAnsi"/>
              </w:rPr>
              <w:noBreakHyphen/>
              <w:t>17</w:t>
            </w:r>
            <w:r w:rsidRPr="00687A1C">
              <w:rPr>
                <w:rFonts w:cstheme="minorHAnsi"/>
              </w:rPr>
              <w:br/>
              <w:t>actual</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3E549B">
            <w:pPr>
              <w:pStyle w:val="Tabletextheadingright"/>
            </w:pPr>
            <w:r w:rsidRPr="00687A1C">
              <w:rPr>
                <w:rFonts w:cstheme="minorHAnsi"/>
              </w:rPr>
              <w:t>2017</w:t>
            </w:r>
            <w:r w:rsidRPr="00687A1C">
              <w:rPr>
                <w:rFonts w:cstheme="minorHAnsi"/>
              </w:rPr>
              <w:noBreakHyphen/>
              <w:t>18</w:t>
            </w:r>
            <w:r w:rsidRPr="00687A1C">
              <w:rPr>
                <w:rFonts w:cstheme="minorHAnsi"/>
              </w:rPr>
              <w:br/>
              <w:t>actual</w:t>
            </w:r>
          </w:p>
        </w:tc>
      </w:tr>
      <w:tr w:rsidR="00655C14" w:rsidRPr="00687A1C" w:rsidTr="00655C14">
        <w:tc>
          <w:tcPr>
            <w:cnfStyle w:val="001000000000" w:firstRow="0" w:lastRow="0" w:firstColumn="1" w:lastColumn="0" w:oddVBand="0" w:evenVBand="0" w:oddHBand="0" w:evenHBand="0" w:firstRowFirstColumn="0" w:firstRowLastColumn="0" w:lastRowFirstColumn="0" w:lastRowLastColumn="0"/>
            <w:tcW w:w="3416" w:type="dxa"/>
          </w:tcPr>
          <w:p w:rsidR="00655C14" w:rsidRPr="00687A1C" w:rsidRDefault="00655C14" w:rsidP="003E549B">
            <w:pPr>
              <w:pStyle w:val="Tabletext"/>
            </w:pPr>
            <w:r w:rsidRPr="00687A1C">
              <w:t>Low vacancy rates for government office accommodation maintained</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3E549B">
            <w:pPr>
              <w:pStyle w:val="Tabletextcentred"/>
            </w:pPr>
            <w:r w:rsidRPr="00687A1C">
              <w:rPr>
                <w:rFonts w:cstheme="minorHAnsi"/>
              </w:rPr>
              <w:t>per cent</w:t>
            </w:r>
          </w:p>
        </w:tc>
        <w:tc>
          <w:tcPr>
            <w:cnfStyle w:val="000001000000" w:firstRow="0" w:lastRow="0" w:firstColumn="0" w:lastColumn="0" w:oddVBand="0" w:evenVBand="1" w:oddHBand="0" w:evenHBand="0" w:firstRowFirstColumn="0" w:firstRowLastColumn="0" w:lastRowFirstColumn="0" w:lastRowLastColumn="0"/>
            <w:tcW w:w="990" w:type="dxa"/>
          </w:tcPr>
          <w:p w:rsidR="00655C14" w:rsidRPr="00687A1C" w:rsidRDefault="00655C14" w:rsidP="003E549B">
            <w:pPr>
              <w:pStyle w:val="Tabletextright"/>
              <w:rPr>
                <w:rFonts w:cstheme="minorHAnsi"/>
              </w:rPr>
            </w:pPr>
            <w:r w:rsidRPr="00687A1C">
              <w:rPr>
                <w:rFonts w:cstheme="minorHAnsi"/>
              </w:rPr>
              <w:t>1.48</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027B92">
            <w:pPr>
              <w:pStyle w:val="Tabletextright"/>
              <w:rPr>
                <w:rFonts w:cstheme="minorHAnsi"/>
                <w:vertAlign w:val="superscript"/>
              </w:rPr>
            </w:pPr>
            <w:r w:rsidRPr="00687A1C">
              <w:rPr>
                <w:rFonts w:cstheme="minorHAnsi"/>
              </w:rPr>
              <w:t>0.35</w:t>
            </w:r>
          </w:p>
        </w:tc>
        <w:tc>
          <w:tcPr>
            <w:cnfStyle w:val="000001000000" w:firstRow="0" w:lastRow="0" w:firstColumn="0" w:lastColumn="0" w:oddVBand="0" w:evenVBand="1" w:oddHBand="0" w:evenHBand="0" w:firstRowFirstColumn="0" w:firstRowLastColumn="0" w:lastRowFirstColumn="0" w:lastRowLastColumn="0"/>
            <w:tcW w:w="990" w:type="dxa"/>
          </w:tcPr>
          <w:p w:rsidR="00655C14" w:rsidRPr="00687A1C" w:rsidRDefault="00655C14" w:rsidP="003E549B">
            <w:pPr>
              <w:pStyle w:val="Tabletextright"/>
              <w:rPr>
                <w:rFonts w:cstheme="minorHAnsi"/>
              </w:rPr>
            </w:pPr>
            <w:r w:rsidRPr="00687A1C">
              <w:rPr>
                <w:rFonts w:cstheme="minorHAnsi"/>
              </w:rPr>
              <w:t>0.44</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EB5D5C">
            <w:pPr>
              <w:pStyle w:val="Tabletextright"/>
            </w:pPr>
            <w:r w:rsidRPr="00687A1C">
              <w:t>0.24</w:t>
            </w:r>
          </w:p>
        </w:tc>
      </w:tr>
      <w:tr w:rsidR="00655C14" w:rsidRPr="00687A1C" w:rsidTr="00655C14">
        <w:trPr>
          <w:trHeight w:val="677"/>
        </w:trPr>
        <w:tc>
          <w:tcPr>
            <w:cnfStyle w:val="001000000000" w:firstRow="0" w:lastRow="0" w:firstColumn="1" w:lastColumn="0" w:oddVBand="0" w:evenVBand="0" w:oddHBand="0" w:evenHBand="0" w:firstRowFirstColumn="0" w:firstRowLastColumn="0" w:lastRowFirstColumn="0" w:lastRowLastColumn="0"/>
            <w:tcW w:w="3416" w:type="dxa"/>
          </w:tcPr>
          <w:p w:rsidR="00655C14" w:rsidRPr="00687A1C" w:rsidRDefault="00655C14" w:rsidP="00CC5A3B">
            <w:pPr>
              <w:pStyle w:val="Tabletext"/>
            </w:pPr>
            <w:r w:rsidRPr="00687A1C">
              <w:t>Benefits delivered as a percentage of expenditure by mandated agencies under DTF-managed state purchase contracts, including reduced and avoided costs</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3E549B">
            <w:pPr>
              <w:pStyle w:val="Tabletextcentred"/>
              <w:rPr>
                <w:rFonts w:cstheme="minorHAnsi"/>
              </w:rPr>
            </w:pPr>
            <w:r w:rsidRPr="00687A1C">
              <w:rPr>
                <w:rFonts w:cstheme="minorHAnsi"/>
              </w:rPr>
              <w:t>per cent</w:t>
            </w:r>
          </w:p>
        </w:tc>
        <w:tc>
          <w:tcPr>
            <w:cnfStyle w:val="000001000000" w:firstRow="0" w:lastRow="0" w:firstColumn="0" w:lastColumn="0" w:oddVBand="0" w:evenVBand="1" w:oddHBand="0" w:evenHBand="0" w:firstRowFirstColumn="0" w:firstRowLastColumn="0" w:lastRowFirstColumn="0" w:lastRowLastColumn="0"/>
            <w:tcW w:w="990" w:type="dxa"/>
          </w:tcPr>
          <w:p w:rsidR="00655C14" w:rsidRPr="00687A1C" w:rsidRDefault="00655C14" w:rsidP="003E549B">
            <w:pPr>
              <w:pStyle w:val="Tabletextright"/>
              <w:rPr>
                <w:rFonts w:cstheme="minorHAnsi"/>
              </w:rPr>
            </w:pPr>
            <w:r w:rsidRPr="00687A1C">
              <w:rPr>
                <w:rFonts w:cstheme="minorHAnsi"/>
              </w:rPr>
              <w:t>6.6</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655C14" w:rsidP="003E549B">
            <w:pPr>
              <w:pStyle w:val="Tabletextright"/>
              <w:rPr>
                <w:rFonts w:cstheme="minorHAnsi"/>
              </w:rPr>
            </w:pPr>
            <w:r w:rsidRPr="00687A1C">
              <w:rPr>
                <w:rFonts w:cstheme="minorHAnsi"/>
              </w:rPr>
              <w:t>8.1</w:t>
            </w:r>
          </w:p>
        </w:tc>
        <w:tc>
          <w:tcPr>
            <w:cnfStyle w:val="000001000000" w:firstRow="0" w:lastRow="0" w:firstColumn="0" w:lastColumn="0" w:oddVBand="0" w:evenVBand="1" w:oddHBand="0" w:evenHBand="0" w:firstRowFirstColumn="0" w:firstRowLastColumn="0" w:lastRowFirstColumn="0" w:lastRowLastColumn="0"/>
            <w:tcW w:w="990" w:type="dxa"/>
          </w:tcPr>
          <w:p w:rsidR="00655C14" w:rsidRPr="00687A1C" w:rsidRDefault="00655C14" w:rsidP="003E549B">
            <w:pPr>
              <w:pStyle w:val="Tabletextright"/>
            </w:pPr>
            <w:r w:rsidRPr="00687A1C">
              <w:t>6.0</w:t>
            </w:r>
          </w:p>
        </w:tc>
        <w:tc>
          <w:tcPr>
            <w:cnfStyle w:val="000010000000" w:firstRow="0" w:lastRow="0" w:firstColumn="0" w:lastColumn="0" w:oddVBand="1" w:evenVBand="0" w:oddHBand="0" w:evenHBand="0" w:firstRowFirstColumn="0" w:firstRowLastColumn="0" w:lastRowFirstColumn="0" w:lastRowLastColumn="0"/>
            <w:tcW w:w="990" w:type="dxa"/>
          </w:tcPr>
          <w:p w:rsidR="00655C14" w:rsidRPr="00687A1C" w:rsidRDefault="00887A4F" w:rsidP="003E549B">
            <w:pPr>
              <w:pStyle w:val="Tabletextright"/>
            </w:pPr>
            <w:r w:rsidRPr="00687A1C">
              <w:t>5.5</w:t>
            </w:r>
          </w:p>
        </w:tc>
      </w:tr>
    </w:tbl>
    <w:p w:rsidR="00027B92" w:rsidRPr="00687A1C" w:rsidRDefault="00027B92" w:rsidP="001E66E8"/>
    <w:p w:rsidR="009A19DD" w:rsidRPr="00687A1C" w:rsidRDefault="009A19DD" w:rsidP="00956A92">
      <w:pPr>
        <w:sectPr w:rsidR="009A19DD" w:rsidRPr="00687A1C" w:rsidSect="00C5298F">
          <w:type w:val="continuous"/>
          <w:pgSz w:w="11909" w:h="16834" w:code="9"/>
          <w:pgMar w:top="1728" w:right="1152" w:bottom="1152" w:left="1152" w:header="720" w:footer="288" w:gutter="0"/>
          <w:cols w:space="720"/>
          <w:noEndnote/>
        </w:sectPr>
      </w:pPr>
    </w:p>
    <w:p w:rsidR="00EE0041" w:rsidRPr="00687A1C" w:rsidRDefault="00EE0041" w:rsidP="00EE0041">
      <w:pPr>
        <w:pStyle w:val="Heading3"/>
      </w:pPr>
      <w:bookmarkStart w:id="15" w:name="PerfOutput_start"/>
      <w:r w:rsidRPr="00687A1C">
        <w:t>Performance against output performance measures</w:t>
      </w:r>
    </w:p>
    <w:bookmarkEnd w:id="15"/>
    <w:p w:rsidR="003E549B" w:rsidRPr="00687A1C" w:rsidRDefault="003E549B" w:rsidP="00CC5A3B">
      <w:r w:rsidRPr="00687A1C">
        <w:t>The following sections outline details of the outputs provided by the Department to the Government, including performance measures and costs for each output, and the actual performance results against budgeted targets by output for the Department over the full year ending 30</w:t>
      </w:r>
      <w:r w:rsidRPr="00687A1C">
        <w:rPr>
          <w:rFonts w:ascii="Calibri" w:hAnsi="Calibri" w:cs="Calibri"/>
        </w:rPr>
        <w:t> </w:t>
      </w:r>
      <w:r w:rsidRPr="00687A1C">
        <w:t>June</w:t>
      </w:r>
      <w:r w:rsidRPr="00687A1C">
        <w:rPr>
          <w:rFonts w:ascii="Calibri" w:hAnsi="Calibri" w:cs="Calibri"/>
        </w:rPr>
        <w:t> </w:t>
      </w:r>
      <w:r w:rsidRPr="00687A1C">
        <w:t>2018.</w:t>
      </w:r>
    </w:p>
    <w:p w:rsidR="00243FD9" w:rsidRPr="00687A1C" w:rsidRDefault="00243FD9" w:rsidP="00243FD9">
      <w:pPr>
        <w:rPr>
          <w:rFonts w:cstheme="minorHAnsi"/>
        </w:rPr>
      </w:pPr>
    </w:p>
    <w:p w:rsidR="00243FD9" w:rsidRPr="00687A1C" w:rsidRDefault="00243FD9" w:rsidP="00CC5A3B">
      <w:pPr>
        <w:pStyle w:val="Heading4"/>
      </w:pPr>
      <w:r w:rsidRPr="00687A1C">
        <w:br w:type="column"/>
      </w:r>
      <w:r w:rsidRPr="00687A1C">
        <w:t>Legend of symbols</w:t>
      </w:r>
    </w:p>
    <w:p w:rsidR="00243FD9" w:rsidRPr="00687A1C" w:rsidRDefault="00243FD9" w:rsidP="00CC5A3B">
      <w:r w:rsidRPr="00687A1C">
        <w:t>The following symbols are used to indicate the type of variance in performance against output performance measures:</w:t>
      </w:r>
    </w:p>
    <w:tbl>
      <w:tblPr>
        <w:tblStyle w:val="AnnualReporttexttable"/>
        <w:tblW w:w="4500" w:type="dxa"/>
        <w:tblLook w:val="0680" w:firstRow="0" w:lastRow="0" w:firstColumn="1" w:lastColumn="0" w:noHBand="1" w:noVBand="1"/>
      </w:tblPr>
      <w:tblGrid>
        <w:gridCol w:w="360"/>
        <w:gridCol w:w="4140"/>
      </w:tblGrid>
      <w:tr w:rsidR="003E549B" w:rsidRPr="00687A1C" w:rsidTr="003E549B">
        <w:tc>
          <w:tcPr>
            <w:cnfStyle w:val="001000000000" w:firstRow="0" w:lastRow="0" w:firstColumn="1" w:lastColumn="0" w:oddVBand="0" w:evenVBand="0" w:oddHBand="0" w:evenHBand="0" w:firstRowFirstColumn="0" w:firstRowLastColumn="0" w:lastRowFirstColumn="0" w:lastRowLastColumn="0"/>
            <w:tcW w:w="360" w:type="dxa"/>
          </w:tcPr>
          <w:p w:rsidR="003E549B" w:rsidRPr="00687A1C" w:rsidRDefault="003E549B" w:rsidP="00243FD9">
            <w:pPr>
              <w:pStyle w:val="TargetMet"/>
              <w:spacing w:line="264" w:lineRule="auto"/>
              <w:jc w:val="center"/>
              <w:rPr>
                <w:rFonts w:cstheme="minorHAnsi"/>
              </w:rPr>
            </w:pPr>
          </w:p>
        </w:tc>
        <w:tc>
          <w:tcPr>
            <w:tcW w:w="4140" w:type="dxa"/>
          </w:tcPr>
          <w:p w:rsidR="003E549B" w:rsidRPr="00687A1C" w:rsidRDefault="003E549B" w:rsidP="00CC5A3B">
            <w:pPr>
              <w:pStyle w:val="Tabletext"/>
              <w:cnfStyle w:val="000000000000" w:firstRow="0" w:lastRow="0" w:firstColumn="0" w:lastColumn="0" w:oddVBand="0" w:evenVBand="0" w:oddHBand="0" w:evenHBand="0" w:firstRowFirstColumn="0" w:firstRowLastColumn="0" w:lastRowFirstColumn="0" w:lastRowLastColumn="0"/>
            </w:pPr>
            <w:r w:rsidRPr="00687A1C">
              <w:t>performance target achieved – both within 5</w:t>
            </w:r>
            <w:r w:rsidR="006F069A" w:rsidRPr="00687A1C">
              <w:rPr>
                <w:rFonts w:ascii="Calibri" w:hAnsi="Calibri" w:cs="Calibri"/>
              </w:rPr>
              <w:t> </w:t>
            </w:r>
            <w:r w:rsidR="006F069A" w:rsidRPr="00687A1C">
              <w:rPr>
                <w:rFonts w:ascii="VIC" w:hAnsi="VIC"/>
              </w:rPr>
              <w:t>per</w:t>
            </w:r>
            <w:r w:rsidR="006F069A" w:rsidRPr="00687A1C">
              <w:rPr>
                <w:rFonts w:ascii="Calibri" w:hAnsi="Calibri" w:cs="Calibri"/>
              </w:rPr>
              <w:t> </w:t>
            </w:r>
            <w:r w:rsidR="006F069A" w:rsidRPr="00687A1C">
              <w:rPr>
                <w:rFonts w:ascii="VIC" w:hAnsi="VIC"/>
              </w:rPr>
              <w:t>cent</w:t>
            </w:r>
            <w:r w:rsidRPr="00687A1C">
              <w:t xml:space="preserve"> variance and exceeds 5</w:t>
            </w:r>
            <w:r w:rsidR="006F069A" w:rsidRPr="00687A1C">
              <w:rPr>
                <w:rFonts w:ascii="Calibri" w:hAnsi="Calibri" w:cs="Calibri"/>
              </w:rPr>
              <w:t> </w:t>
            </w:r>
            <w:r w:rsidR="006F069A" w:rsidRPr="00687A1C">
              <w:rPr>
                <w:rFonts w:ascii="VIC" w:hAnsi="VIC"/>
              </w:rPr>
              <w:t>per</w:t>
            </w:r>
            <w:r w:rsidR="006F069A" w:rsidRPr="00687A1C">
              <w:rPr>
                <w:rFonts w:ascii="Calibri" w:hAnsi="Calibri" w:cs="Calibri"/>
              </w:rPr>
              <w:t> </w:t>
            </w:r>
            <w:r w:rsidR="006F069A" w:rsidRPr="00687A1C">
              <w:rPr>
                <w:rFonts w:ascii="VIC" w:hAnsi="VIC"/>
              </w:rPr>
              <w:t>cent</w:t>
            </w:r>
            <w:r w:rsidRPr="00687A1C">
              <w:t xml:space="preserve"> variance</w:t>
            </w:r>
          </w:p>
        </w:tc>
      </w:tr>
      <w:tr w:rsidR="003E549B" w:rsidRPr="00687A1C" w:rsidTr="003E549B">
        <w:tc>
          <w:tcPr>
            <w:cnfStyle w:val="001000000000" w:firstRow="0" w:lastRow="0" w:firstColumn="1" w:lastColumn="0" w:oddVBand="0" w:evenVBand="0" w:oddHBand="0" w:evenHBand="0" w:firstRowFirstColumn="0" w:firstRowLastColumn="0" w:lastRowFirstColumn="0" w:lastRowLastColumn="0"/>
            <w:tcW w:w="360" w:type="dxa"/>
          </w:tcPr>
          <w:p w:rsidR="003E549B" w:rsidRPr="00687A1C" w:rsidRDefault="003E549B" w:rsidP="00243FD9">
            <w:pPr>
              <w:pStyle w:val="TargetNotMet5"/>
              <w:spacing w:line="264" w:lineRule="auto"/>
              <w:jc w:val="center"/>
              <w:rPr>
                <w:rFonts w:cstheme="minorHAnsi"/>
              </w:rPr>
            </w:pPr>
          </w:p>
        </w:tc>
        <w:tc>
          <w:tcPr>
            <w:tcW w:w="4140" w:type="dxa"/>
          </w:tcPr>
          <w:p w:rsidR="003E549B" w:rsidRPr="00687A1C" w:rsidRDefault="003E549B" w:rsidP="000A72C2">
            <w:pPr>
              <w:pStyle w:val="Tabletext"/>
              <w:cnfStyle w:val="000000000000" w:firstRow="0" w:lastRow="0" w:firstColumn="0" w:lastColumn="0" w:oddVBand="0" w:evenVBand="0" w:oddHBand="0" w:evenHBand="0" w:firstRowFirstColumn="0" w:firstRowLastColumn="0" w:lastRowFirstColumn="0" w:lastRowLastColumn="0"/>
            </w:pPr>
            <w:r w:rsidRPr="00687A1C">
              <w:t>performance target not achieved – within 5</w:t>
            </w:r>
            <w:r w:rsidR="006F069A" w:rsidRPr="00687A1C">
              <w:rPr>
                <w:rFonts w:ascii="Calibri" w:hAnsi="Calibri" w:cs="Calibri"/>
              </w:rPr>
              <w:t> </w:t>
            </w:r>
            <w:r w:rsidR="006F069A" w:rsidRPr="00687A1C">
              <w:rPr>
                <w:rFonts w:ascii="VIC" w:hAnsi="VIC"/>
              </w:rPr>
              <w:t>per</w:t>
            </w:r>
            <w:r w:rsidR="006F069A" w:rsidRPr="00687A1C">
              <w:rPr>
                <w:rFonts w:ascii="Calibri" w:hAnsi="Calibri" w:cs="Calibri"/>
              </w:rPr>
              <w:t> </w:t>
            </w:r>
            <w:r w:rsidR="006F069A" w:rsidRPr="00687A1C">
              <w:rPr>
                <w:rFonts w:ascii="VIC" w:hAnsi="VIC"/>
              </w:rPr>
              <w:t>cent</w:t>
            </w:r>
            <w:r w:rsidRPr="00687A1C">
              <w:t xml:space="preserve"> variance</w:t>
            </w:r>
          </w:p>
        </w:tc>
      </w:tr>
      <w:tr w:rsidR="003E549B" w:rsidRPr="00687A1C" w:rsidTr="003E549B">
        <w:tc>
          <w:tcPr>
            <w:cnfStyle w:val="001000000000" w:firstRow="0" w:lastRow="0" w:firstColumn="1" w:lastColumn="0" w:oddVBand="0" w:evenVBand="0" w:oddHBand="0" w:evenHBand="0" w:firstRowFirstColumn="0" w:firstRowLastColumn="0" w:lastRowFirstColumn="0" w:lastRowLastColumn="0"/>
            <w:tcW w:w="360" w:type="dxa"/>
          </w:tcPr>
          <w:p w:rsidR="003E549B" w:rsidRPr="00687A1C" w:rsidRDefault="003E549B" w:rsidP="00243FD9">
            <w:pPr>
              <w:pStyle w:val="TargetNotMet50"/>
              <w:spacing w:line="264" w:lineRule="auto"/>
              <w:jc w:val="center"/>
              <w:rPr>
                <w:rFonts w:cstheme="minorHAnsi"/>
              </w:rPr>
            </w:pPr>
          </w:p>
        </w:tc>
        <w:tc>
          <w:tcPr>
            <w:tcW w:w="4140" w:type="dxa"/>
          </w:tcPr>
          <w:p w:rsidR="003E549B" w:rsidRPr="00687A1C" w:rsidRDefault="003E549B" w:rsidP="000A72C2">
            <w:pPr>
              <w:pStyle w:val="Tabletext"/>
              <w:cnfStyle w:val="000000000000" w:firstRow="0" w:lastRow="0" w:firstColumn="0" w:lastColumn="0" w:oddVBand="0" w:evenVBand="0" w:oddHBand="0" w:evenHBand="0" w:firstRowFirstColumn="0" w:firstRowLastColumn="0" w:lastRowFirstColumn="0" w:lastRowLastColumn="0"/>
            </w:pPr>
            <w:r w:rsidRPr="00687A1C">
              <w:t>performance target not achieved – exceeds 5</w:t>
            </w:r>
            <w:r w:rsidR="006F069A" w:rsidRPr="00687A1C">
              <w:rPr>
                <w:rFonts w:ascii="Calibri" w:hAnsi="Calibri" w:cs="Calibri"/>
              </w:rPr>
              <w:t> </w:t>
            </w:r>
            <w:r w:rsidR="006F069A" w:rsidRPr="00687A1C">
              <w:rPr>
                <w:rFonts w:ascii="VIC" w:hAnsi="VIC"/>
              </w:rPr>
              <w:t>per</w:t>
            </w:r>
            <w:r w:rsidR="006F069A" w:rsidRPr="00687A1C">
              <w:rPr>
                <w:rFonts w:ascii="Calibri" w:hAnsi="Calibri" w:cs="Calibri"/>
              </w:rPr>
              <w:t> </w:t>
            </w:r>
            <w:r w:rsidR="006F069A" w:rsidRPr="00687A1C">
              <w:rPr>
                <w:rFonts w:ascii="VIC" w:hAnsi="VIC"/>
              </w:rPr>
              <w:t>cent</w:t>
            </w:r>
            <w:r w:rsidRPr="00687A1C">
              <w:t xml:space="preserve"> variance</w:t>
            </w:r>
          </w:p>
        </w:tc>
      </w:tr>
    </w:tbl>
    <w:p w:rsidR="00243FD9" w:rsidRPr="00687A1C" w:rsidRDefault="00243FD9" w:rsidP="00243FD9">
      <w:pPr>
        <w:rPr>
          <w:rFonts w:cstheme="minorHAnsi"/>
        </w:rPr>
      </w:pPr>
      <w:bookmarkStart w:id="16" w:name="Initiatives_end"/>
    </w:p>
    <w:bookmarkEnd w:id="16"/>
    <w:p w:rsidR="00243FD9" w:rsidRPr="00687A1C" w:rsidRDefault="00243FD9" w:rsidP="00243FD9">
      <w:pPr>
        <w:rPr>
          <w:rFonts w:cstheme="minorHAnsi"/>
        </w:rPr>
        <w:sectPr w:rsidR="00243FD9" w:rsidRPr="00687A1C" w:rsidSect="00424C0B">
          <w:type w:val="continuous"/>
          <w:pgSz w:w="11909" w:h="16834" w:code="9"/>
          <w:pgMar w:top="1728" w:right="1152" w:bottom="1152" w:left="1152" w:header="720" w:footer="288" w:gutter="0"/>
          <w:cols w:num="2" w:space="720"/>
          <w:noEndnote/>
        </w:sectPr>
      </w:pPr>
    </w:p>
    <w:p w:rsidR="003E549B" w:rsidRPr="00687A1C" w:rsidRDefault="003E549B" w:rsidP="003E549B">
      <w:pPr>
        <w:pStyle w:val="Heading2"/>
      </w:pPr>
      <w:r w:rsidRPr="00687A1C">
        <w:lastRenderedPageBreak/>
        <w:t>Optimise Victoria</w:t>
      </w:r>
      <w:r w:rsidR="009469FE" w:rsidRPr="00687A1C">
        <w:t>’</w:t>
      </w:r>
      <w:r w:rsidRPr="00687A1C">
        <w:t>s fiscal resources</w:t>
      </w:r>
    </w:p>
    <w:p w:rsidR="003E549B" w:rsidRPr="00687A1C" w:rsidRDefault="003E549B" w:rsidP="003E549B">
      <w:r w:rsidRPr="00687A1C">
        <w:t>This objective provides analysis and advice to Government on the management of Victoria</w:t>
      </w:r>
      <w:r w:rsidR="009469FE" w:rsidRPr="00687A1C">
        <w:t>’</w:t>
      </w:r>
      <w:r w:rsidRPr="00687A1C">
        <w:t>s fiscal resources to support decision-making and reporting for the benefit of all Victorians.</w:t>
      </w:r>
    </w:p>
    <w:p w:rsidR="003E549B" w:rsidRPr="00687A1C" w:rsidRDefault="003E549B" w:rsidP="00523948">
      <w:r w:rsidRPr="00687A1C">
        <w:t>The Department leads the development of financial policy advice to Government and the Victorian public sector through detailed analysis of key policy priorities including resource allocation, financial risk and government service performance, financial reporting frameworks, and the State</w:t>
      </w:r>
      <w:r w:rsidR="009469FE" w:rsidRPr="00687A1C">
        <w:t>’</w:t>
      </w:r>
      <w:r w:rsidRPr="00687A1C">
        <w:t xml:space="preserve">s budget position to inform and support the publication of key whole-of-state financial reports. </w:t>
      </w:r>
    </w:p>
    <w:p w:rsidR="003E549B" w:rsidRPr="00687A1C" w:rsidRDefault="003E549B" w:rsidP="00523948">
      <w:r w:rsidRPr="00687A1C">
        <w:t>The departmental objective indicators are:</w:t>
      </w:r>
    </w:p>
    <w:p w:rsidR="003E549B" w:rsidRPr="00687A1C" w:rsidRDefault="003E549B" w:rsidP="00523948">
      <w:pPr>
        <w:pStyle w:val="Bullet"/>
      </w:pPr>
      <w:r w:rsidRPr="00687A1C">
        <w:t>a net operating surplus consistent with maintaining general government net debt at a sustainable level;</w:t>
      </w:r>
    </w:p>
    <w:p w:rsidR="003E549B" w:rsidRPr="00687A1C" w:rsidRDefault="003E549B" w:rsidP="003E549B">
      <w:pPr>
        <w:pStyle w:val="Bullet"/>
      </w:pPr>
      <w:r w:rsidRPr="00687A1C">
        <w:t>general government net debt as a percentage of GSP to be maintained at a sustainable level;</w:t>
      </w:r>
    </w:p>
    <w:p w:rsidR="003E549B" w:rsidRPr="00687A1C" w:rsidRDefault="003E549B" w:rsidP="003E549B">
      <w:pPr>
        <w:pStyle w:val="Bullet"/>
      </w:pPr>
      <w:r w:rsidRPr="00687A1C">
        <w:t xml:space="preserve">agency compliance with the Standing Directions under the </w:t>
      </w:r>
      <w:r w:rsidRPr="00687A1C">
        <w:rPr>
          <w:i/>
        </w:rPr>
        <w:t>Financial Management Act 1994</w:t>
      </w:r>
      <w:r w:rsidRPr="00687A1C">
        <w:t>; and</w:t>
      </w:r>
    </w:p>
    <w:p w:rsidR="003E549B" w:rsidRPr="00687A1C" w:rsidRDefault="003E549B" w:rsidP="003E549B">
      <w:pPr>
        <w:pStyle w:val="Bullet"/>
      </w:pPr>
      <w:r w:rsidRPr="00687A1C">
        <w:t>advice contributes to the achievement of Government policies and priorities relating to optimising Victoria</w:t>
      </w:r>
      <w:r w:rsidR="009469FE" w:rsidRPr="00687A1C">
        <w:t>’</w:t>
      </w:r>
      <w:r w:rsidRPr="00687A1C">
        <w:t>s fiscal resources.</w:t>
      </w:r>
    </w:p>
    <w:p w:rsidR="003E549B" w:rsidRPr="00687A1C" w:rsidRDefault="003E549B" w:rsidP="00523948">
      <w:pPr>
        <w:pStyle w:val="Heading3"/>
      </w:pPr>
      <w:r w:rsidRPr="00687A1C">
        <w:t>Budget and Financial Advice</w:t>
      </w:r>
    </w:p>
    <w:p w:rsidR="003E549B" w:rsidRPr="00687A1C" w:rsidRDefault="003E549B" w:rsidP="00523948">
      <w:r w:rsidRPr="00687A1C">
        <w:t xml:space="preserve">This output contributes to the provision of strategic, timely and comprehensive analysis and advice to Ministers, Cabinet and Cabinet Sub-Committees on: </w:t>
      </w:r>
    </w:p>
    <w:p w:rsidR="003E549B" w:rsidRPr="00687A1C" w:rsidRDefault="003E549B" w:rsidP="003E549B">
      <w:pPr>
        <w:pStyle w:val="Bullet"/>
      </w:pPr>
      <w:r w:rsidRPr="00687A1C">
        <w:t>Victorian public sector resource allocation;</w:t>
      </w:r>
    </w:p>
    <w:p w:rsidR="003E549B" w:rsidRPr="00687A1C" w:rsidRDefault="003E549B" w:rsidP="003E549B">
      <w:pPr>
        <w:pStyle w:val="Bullet"/>
      </w:pPr>
      <w:r w:rsidRPr="00687A1C">
        <w:t>departmental financial, output and asset delivery performance to support government in making decisions on the allocation of the State</w:t>
      </w:r>
      <w:r w:rsidR="009469FE" w:rsidRPr="00687A1C">
        <w:t>’</w:t>
      </w:r>
      <w:r w:rsidRPr="00687A1C">
        <w:t xml:space="preserve">s fiscal resources; and </w:t>
      </w:r>
    </w:p>
    <w:p w:rsidR="003E549B" w:rsidRPr="00687A1C" w:rsidRDefault="003E549B" w:rsidP="003E549B">
      <w:pPr>
        <w:pStyle w:val="Bullet"/>
      </w:pPr>
      <w:r w:rsidRPr="00687A1C">
        <w:t>cost mapping and other funding reviews.</w:t>
      </w:r>
    </w:p>
    <w:p w:rsidR="003E549B" w:rsidRPr="00687A1C" w:rsidRDefault="003E549B" w:rsidP="00523948">
      <w:r w:rsidRPr="00687A1C">
        <w:t>This output maintains the integrity of systems and information for financial planning, management, monitoring and reporting of the State of Victoria via:</w:t>
      </w:r>
    </w:p>
    <w:p w:rsidR="003E549B" w:rsidRPr="00687A1C" w:rsidRDefault="003E549B" w:rsidP="003E549B">
      <w:pPr>
        <w:pStyle w:val="Bullet"/>
      </w:pPr>
      <w:r w:rsidRPr="00687A1C">
        <w:t>a best practice financial reporting framework, and whole of state management information systems, supporting financial reporting across the Victorian public sector</w:t>
      </w:r>
      <w:r w:rsidR="001F5A76" w:rsidRPr="00687A1C">
        <w:t xml:space="preserve"> (VPS)</w:t>
      </w:r>
      <w:r w:rsidRPr="00687A1C">
        <w:t>;</w:t>
      </w:r>
    </w:p>
    <w:p w:rsidR="003E549B" w:rsidRPr="00687A1C" w:rsidRDefault="003E549B" w:rsidP="003E549B">
      <w:pPr>
        <w:pStyle w:val="Bullet"/>
      </w:pPr>
      <w:r w:rsidRPr="00687A1C">
        <w:t>publication of the State budget and financial reports, including quarterly, mid-year, annual and estimated financial reports;</w:t>
      </w:r>
    </w:p>
    <w:p w:rsidR="003E549B" w:rsidRPr="00687A1C" w:rsidRDefault="003E549B" w:rsidP="003E549B">
      <w:pPr>
        <w:pStyle w:val="Bullet"/>
      </w:pPr>
      <w:r w:rsidRPr="00687A1C">
        <w:t xml:space="preserve">publication of non-financial performance in the </w:t>
      </w:r>
      <w:r w:rsidR="001F5A76" w:rsidRPr="00687A1C">
        <w:t>VPS</w:t>
      </w:r>
      <w:r w:rsidRPr="00687A1C">
        <w:t>; and</w:t>
      </w:r>
    </w:p>
    <w:p w:rsidR="003E549B" w:rsidRPr="00687A1C" w:rsidRDefault="003E549B" w:rsidP="003E549B">
      <w:pPr>
        <w:pStyle w:val="Bullet"/>
      </w:pPr>
      <w:r w:rsidRPr="00687A1C">
        <w:t>management of the Public Account operations.</w:t>
      </w:r>
    </w:p>
    <w:p w:rsidR="003E549B" w:rsidRPr="00687A1C" w:rsidRDefault="003E549B" w:rsidP="00523948">
      <w:r w:rsidRPr="00687A1C">
        <w:t xml:space="preserve">This output develops and maintains cohesive financial and resource management frameworks that drive sound financial and resource management practices in the Victorian public sector by: </w:t>
      </w:r>
    </w:p>
    <w:p w:rsidR="003E549B" w:rsidRPr="00687A1C" w:rsidRDefault="003E549B" w:rsidP="003E549B">
      <w:pPr>
        <w:pStyle w:val="Bullet"/>
      </w:pPr>
      <w:r w:rsidRPr="00687A1C">
        <w:t xml:space="preserve">enhancing key frameworks to drive performance; </w:t>
      </w:r>
    </w:p>
    <w:p w:rsidR="003E549B" w:rsidRPr="00687A1C" w:rsidRDefault="003E549B" w:rsidP="003E549B">
      <w:pPr>
        <w:pStyle w:val="Bullet"/>
      </w:pPr>
      <w:r w:rsidRPr="00687A1C">
        <w:t>monitoring VPS agencies</w:t>
      </w:r>
      <w:r w:rsidR="009469FE" w:rsidRPr="00687A1C">
        <w:t>’</w:t>
      </w:r>
      <w:r w:rsidRPr="00687A1C">
        <w:t xml:space="preserve"> compliance; </w:t>
      </w:r>
    </w:p>
    <w:p w:rsidR="003E549B" w:rsidRPr="00687A1C" w:rsidRDefault="003E549B" w:rsidP="003E549B">
      <w:pPr>
        <w:pStyle w:val="Bullet"/>
      </w:pPr>
      <w:r w:rsidRPr="00687A1C">
        <w:t xml:space="preserve">advising government and key stakeholders on financial and resource management and compliance issues; </w:t>
      </w:r>
    </w:p>
    <w:p w:rsidR="003E549B" w:rsidRPr="00687A1C" w:rsidRDefault="003E549B" w:rsidP="003E549B">
      <w:pPr>
        <w:pStyle w:val="Bullet"/>
      </w:pPr>
      <w:r w:rsidRPr="00687A1C">
        <w:t xml:space="preserve">ensuring that financial and resource management frameworks are established and complied with; </w:t>
      </w:r>
    </w:p>
    <w:p w:rsidR="003E549B" w:rsidRPr="00687A1C" w:rsidRDefault="003E549B" w:rsidP="003E549B">
      <w:pPr>
        <w:pStyle w:val="Bullet"/>
      </w:pPr>
      <w:r w:rsidRPr="00687A1C">
        <w:t xml:space="preserve">promoting continuous improvement in </w:t>
      </w:r>
      <w:r w:rsidR="001F5A76" w:rsidRPr="00687A1C">
        <w:t xml:space="preserve">VPS </w:t>
      </w:r>
      <w:r w:rsidRPr="00687A1C">
        <w:t xml:space="preserve">resource allocation and management through regular reviews and updates to ensure the frameworks represent good practice; and </w:t>
      </w:r>
    </w:p>
    <w:p w:rsidR="003E549B" w:rsidRPr="00687A1C" w:rsidRDefault="003E549B" w:rsidP="003E549B">
      <w:pPr>
        <w:pStyle w:val="Bullet"/>
      </w:pPr>
      <w:r w:rsidRPr="00687A1C">
        <w:t>promoting awareness of financial management accountabilities and roles.</w:t>
      </w:r>
    </w:p>
    <w:p w:rsidR="003E549B" w:rsidRPr="00687A1C" w:rsidRDefault="003E549B" w:rsidP="00523948">
      <w:r w:rsidRPr="00687A1C">
        <w:t>This output contributes to the Department</w:t>
      </w:r>
      <w:r w:rsidR="009469FE" w:rsidRPr="00687A1C">
        <w:t>’</w:t>
      </w:r>
      <w:r w:rsidRPr="00687A1C">
        <w:t>s objective to optimise Victoria</w:t>
      </w:r>
      <w:r w:rsidR="009469FE" w:rsidRPr="00687A1C">
        <w:t>’</w:t>
      </w:r>
      <w:r w:rsidRPr="00687A1C">
        <w:t>s fiscal resources.</w:t>
      </w:r>
    </w:p>
    <w:p w:rsidR="003E549B" w:rsidRPr="00687A1C" w:rsidRDefault="003E549B" w:rsidP="00523948">
      <w:r w:rsidRPr="00687A1C">
        <w:t xml:space="preserve">The performance measures </w:t>
      </w:r>
      <w:r w:rsidR="009B12CB" w:rsidRPr="00687A1C">
        <w:t>on the following pages</w:t>
      </w:r>
      <w:r w:rsidRPr="00687A1C">
        <w:t xml:space="preserve"> compare targets and expected or actual results from the delivery of programs and services as part of this output.</w:t>
      </w:r>
    </w:p>
    <w:p w:rsidR="001A32DF" w:rsidRPr="00687A1C" w:rsidRDefault="001A32DF" w:rsidP="00523948"/>
    <w:tbl>
      <w:tblPr>
        <w:tblStyle w:val="AnnualReportfinancialtable"/>
        <w:tblW w:w="9013" w:type="dxa"/>
        <w:tblLayout w:type="fixed"/>
        <w:tblLook w:val="02A0" w:firstRow="1" w:lastRow="0" w:firstColumn="1" w:lastColumn="0" w:noHBand="1" w:noVBand="0"/>
      </w:tblPr>
      <w:tblGrid>
        <w:gridCol w:w="3659"/>
        <w:gridCol w:w="1021"/>
        <w:gridCol w:w="1024"/>
        <w:gridCol w:w="1024"/>
        <w:gridCol w:w="1345"/>
        <w:gridCol w:w="940"/>
      </w:tblGrid>
      <w:tr w:rsidR="003E549B" w:rsidRPr="00687A1C" w:rsidTr="00D73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ageBreakBefore/>
              <w:rPr>
                <w:rFonts w:cstheme="minorHAnsi"/>
                <w:szCs w:val="17"/>
              </w:rPr>
            </w:pPr>
            <w:r w:rsidRPr="00687A1C">
              <w:rPr>
                <w:rFonts w:cstheme="minorHAnsi"/>
                <w:szCs w:val="17"/>
              </w:rPr>
              <w:lastRenderedPageBreak/>
              <w:t>Performance measures</w:t>
            </w:r>
          </w:p>
        </w:tc>
        <w:tc>
          <w:tcPr>
            <w:cnfStyle w:val="000010000000" w:firstRow="0" w:lastRow="0" w:firstColumn="0" w:lastColumn="0" w:oddVBand="1" w:evenVBand="0" w:oddHBand="0" w:evenHBand="0" w:firstRowFirstColumn="0" w:firstRowLastColumn="0" w:lastRowFirstColumn="0" w:lastRowLastColumn="0"/>
            <w:tcW w:w="1021" w:type="dxa"/>
            <w:shd w:val="clear" w:color="auto" w:fill="E0E0E0"/>
          </w:tcPr>
          <w:p w:rsidR="003E549B" w:rsidRPr="00687A1C" w:rsidRDefault="003E549B" w:rsidP="003E549B">
            <w:pPr>
              <w:jc w:val="center"/>
              <w:rPr>
                <w:rFonts w:cstheme="minorHAnsi"/>
                <w:szCs w:val="17"/>
              </w:rPr>
            </w:pPr>
            <w:r w:rsidRPr="00687A1C">
              <w:rPr>
                <w:rFonts w:cstheme="minorHAnsi"/>
                <w:szCs w:val="17"/>
              </w:rPr>
              <w:t xml:space="preserve">Unit of </w:t>
            </w:r>
            <w:r w:rsidRPr="00687A1C">
              <w:rPr>
                <w:rFonts w:cstheme="minorHAnsi"/>
                <w:szCs w:val="17"/>
              </w:rPr>
              <w:br/>
              <w:t>measure</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rPr>
                <w:rFonts w:cstheme="minorHAnsi"/>
                <w:color w:val="4D4D4D"/>
                <w:szCs w:val="17"/>
              </w:rPr>
            </w:pPr>
            <w:r w:rsidRPr="00687A1C">
              <w:rPr>
                <w:rFonts w:cstheme="minorHAnsi"/>
                <w:color w:val="4D4D4D"/>
                <w:szCs w:val="17"/>
              </w:rPr>
              <w:t>2017</w:t>
            </w:r>
            <w:r w:rsidRPr="00687A1C">
              <w:rPr>
                <w:rFonts w:cstheme="minorHAnsi"/>
                <w:color w:val="4D4D4D"/>
                <w:szCs w:val="17"/>
              </w:rPr>
              <w:noBreakHyphen/>
              <w:t>18 actual</w:t>
            </w:r>
          </w:p>
        </w:tc>
        <w:tc>
          <w:tcPr>
            <w:cnfStyle w:val="000010000000" w:firstRow="0" w:lastRow="0" w:firstColumn="0" w:lastColumn="0" w:oddVBand="1" w:evenVBand="0" w:oddHBand="0" w:evenHBand="0" w:firstRowFirstColumn="0" w:firstRowLastColumn="0" w:lastRowFirstColumn="0" w:lastRowLastColumn="0"/>
            <w:tcW w:w="1024" w:type="dxa"/>
            <w:shd w:val="clear" w:color="auto" w:fill="E0E0E0"/>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target</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E549B" w:rsidP="003E549B">
            <w:pPr>
              <w:rPr>
                <w:rFonts w:cstheme="minorHAnsi"/>
                <w:color w:val="4D4D4D"/>
                <w:szCs w:val="17"/>
              </w:rPr>
            </w:pPr>
            <w:r w:rsidRPr="00687A1C">
              <w:rPr>
                <w:rFonts w:cstheme="minorHAnsi"/>
                <w:color w:val="4D4D4D"/>
                <w:szCs w:val="17"/>
              </w:rPr>
              <w:t>Performance variation (%)</w:t>
            </w:r>
          </w:p>
        </w:tc>
        <w:tc>
          <w:tcPr>
            <w:cnfStyle w:val="000010000000" w:firstRow="0" w:lastRow="0" w:firstColumn="0" w:lastColumn="0" w:oddVBand="1" w:evenVBand="0" w:oddHBand="0" w:evenHBand="0" w:firstRowFirstColumn="0" w:firstRowLastColumn="0" w:lastRowFirstColumn="0" w:lastRowLastColumn="0"/>
            <w:tcW w:w="940" w:type="dxa"/>
            <w:shd w:val="clear" w:color="auto" w:fill="E0E0E0"/>
          </w:tcPr>
          <w:p w:rsidR="003E549B" w:rsidRPr="00687A1C" w:rsidRDefault="003E549B" w:rsidP="003E549B">
            <w:pPr>
              <w:rPr>
                <w:rFonts w:cstheme="minorHAnsi"/>
                <w:szCs w:val="17"/>
              </w:rPr>
            </w:pPr>
            <w:r w:rsidRPr="00687A1C">
              <w:rPr>
                <w:rFonts w:cstheme="minorHAnsi"/>
                <w:szCs w:val="17"/>
              </w:rPr>
              <w:t xml:space="preserve">Result </w:t>
            </w: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measure"/>
            </w:pPr>
            <w:r w:rsidRPr="00687A1C">
              <w:t>Quantity</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3E549B">
            <w:pPr>
              <w:pStyle w:val="Tabletextrigh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Number of cost mapping and other funding reviews contributed to by DTF</w:t>
            </w:r>
          </w:p>
          <w:p w:rsidR="003E549B" w:rsidRPr="00687A1C" w:rsidRDefault="003E549B" w:rsidP="000C64BE">
            <w:pPr>
              <w:pStyle w:val="Tabletextnotes"/>
            </w:pPr>
            <w:r w:rsidRPr="00687A1C">
              <w:t>The 2017-18 outcome is higher than the 2017-18 target due to the increased number of funding reviews commenced.</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rPr>
                <w:szCs w:val="17"/>
              </w:rPr>
            </w:pPr>
            <w:r w:rsidRPr="00687A1C">
              <w:rPr>
                <w:szCs w:val="17"/>
              </w:rPr>
              <w:t>4</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rPr>
                <w:szCs w:val="17"/>
              </w:rPr>
            </w:pPr>
            <w:r w:rsidRPr="00687A1C">
              <w:rPr>
                <w:szCs w:val="17"/>
              </w:rPr>
              <w:t>3</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E549B" w:rsidP="003E549B">
            <w:pPr>
              <w:pStyle w:val="Tabletextright"/>
              <w:rPr>
                <w:szCs w:val="17"/>
              </w:rPr>
            </w:pPr>
            <w:r w:rsidRPr="00687A1C">
              <w:rPr>
                <w:szCs w:val="17"/>
              </w:rPr>
              <w:t>33</w:t>
            </w:r>
            <w:r w:rsidR="003228AA" w:rsidRPr="00687A1C">
              <w:rPr>
                <w:szCs w:val="17"/>
              </w:rPr>
              <w:t>.3</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measure"/>
            </w:pPr>
            <w:r w:rsidRPr="00687A1C">
              <w:t>Quality</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3E549B">
            <w:pPr>
              <w:pStyle w:val="TargetNotMet5"/>
              <w:numPr>
                <w:ilvl w:val="0"/>
                <w:numId w:val="0"/>
              </w:numPr>
              <w:spacing w:line="264" w:lineRule="auto"/>
              <w:ind w:left="360"/>
              <w:jc w:val="center"/>
              <w:rPr>
                <w:rFonts w:cstheme="minorHAnsi"/>
              </w:rPr>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Accuracy of the revised estimate of State budget expenditure</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≤5.0</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≤5.0</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 xml:space="preserve">Unqualified audit reports/reviews for the State of Victoria Financial Report and Estimated Financial Statements </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2</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2</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Recommendations on financial management framework matters made by PAEC and VAGO and supported by Government are actioned</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061294">
            <w:pPr>
              <w:pStyle w:val="Tabletext"/>
            </w:pPr>
            <w:r w:rsidRPr="00687A1C">
              <w:t>VPS stakeholder feedback indicates delivery of advice and information sessions supported the financial reporting framework across the VPS and supported the VPS to understand the financial management framework</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B48E5" w:rsidP="003E549B">
            <w:pPr>
              <w:pStyle w:val="Tabletextright"/>
            </w:pPr>
            <w:r w:rsidRPr="00687A1C">
              <w:t>81.5</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80</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061294" w:rsidP="003E549B">
            <w:pPr>
              <w:pStyle w:val="Tabletextright"/>
            </w:pPr>
            <w:r w:rsidRPr="00687A1C">
              <w:t>1.9</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Maintain ISO 9001 (Quality Management Systems) Certification</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measure"/>
            </w:pPr>
            <w:r w:rsidRPr="00687A1C">
              <w:t>Timeliness</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3E549B">
            <w:pPr>
              <w:pStyle w:val="Tabletextright"/>
              <w:jc w:val="center"/>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Delivery of advice to Government on portfolio performance within agreed timeframes</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Annual Budget published by date agreed by Treasurer</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date</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May 2018</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May 2018</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Budget Update, Financial Report for the State of Victoria, Mid</w:t>
            </w:r>
            <w:r w:rsidRPr="00687A1C">
              <w:noBreakHyphen/>
              <w:t>Year Financial Report, and Quarterly Financial Reports are transmitted by legislated timelines</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
            </w:pPr>
            <w:r w:rsidRPr="00687A1C">
              <w:t>Annual financial management compliance report for the previous financial year is submitted to the Minister for Finance</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r w:rsidRPr="00687A1C">
              <w:t>date</w:t>
            </w: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r w:rsidRPr="00687A1C">
              <w:t>Report delivered 15 Dec 2017</w:t>
            </w: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r w:rsidRPr="00687A1C">
              <w:t>By end Feb 2018</w:t>
            </w: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7F3DFC">
            <w:pPr>
              <w:pStyle w:val="TargetMet"/>
            </w:pPr>
          </w:p>
        </w:tc>
      </w:tr>
      <w:tr w:rsidR="003E549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3E549B" w:rsidRPr="00687A1C" w:rsidRDefault="003E549B" w:rsidP="003E549B">
            <w:pPr>
              <w:pStyle w:val="Tabletextmeasure"/>
            </w:pPr>
            <w:r w:rsidRPr="00687A1C">
              <w:t>Cost</w:t>
            </w:r>
          </w:p>
        </w:tc>
        <w:tc>
          <w:tcPr>
            <w:cnfStyle w:val="000010000000" w:firstRow="0" w:lastRow="0" w:firstColumn="0" w:lastColumn="0" w:oddVBand="1" w:evenVBand="0" w:oddHBand="0" w:evenHBand="0" w:firstRowFirstColumn="0" w:firstRowLastColumn="0" w:lastRowFirstColumn="0" w:lastRowLastColumn="0"/>
            <w:tcW w:w="1021"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24"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45"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40" w:type="dxa"/>
          </w:tcPr>
          <w:p w:rsidR="003E549B" w:rsidRPr="00687A1C" w:rsidRDefault="003E549B" w:rsidP="003E549B">
            <w:pPr>
              <w:pStyle w:val="Tabletextright"/>
            </w:pPr>
          </w:p>
        </w:tc>
      </w:tr>
      <w:tr w:rsidR="00E22EDB" w:rsidRPr="00687A1C" w:rsidTr="007F3DFC">
        <w:tc>
          <w:tcPr>
            <w:cnfStyle w:val="001000000000" w:firstRow="0" w:lastRow="0" w:firstColumn="1" w:lastColumn="0" w:oddVBand="0" w:evenVBand="0" w:oddHBand="0" w:evenHBand="0" w:firstRowFirstColumn="0" w:firstRowLastColumn="0" w:lastRowFirstColumn="0" w:lastRowLastColumn="0"/>
            <w:tcW w:w="3659" w:type="dxa"/>
          </w:tcPr>
          <w:p w:rsidR="00E22EDB" w:rsidRPr="00687A1C" w:rsidRDefault="00E22EDB" w:rsidP="003E549B">
            <w:pPr>
              <w:pStyle w:val="Tabletext"/>
            </w:pPr>
            <w:r w:rsidRPr="00687A1C">
              <w:t>Total output cost</w:t>
            </w:r>
          </w:p>
          <w:p w:rsidR="00E22EDB" w:rsidRPr="00687A1C" w:rsidRDefault="00E22EDB" w:rsidP="0075639E">
            <w:pPr>
              <w:pStyle w:val="Tabletextnotes"/>
            </w:pPr>
            <w:r w:rsidRPr="00687A1C">
              <w:t xml:space="preserve">The 2017-18 </w:t>
            </w:r>
            <w:r w:rsidR="0075639E" w:rsidRPr="00687A1C">
              <w:t>outcome is higher than the 2017</w:t>
            </w:r>
            <w:r w:rsidR="0075639E" w:rsidRPr="00687A1C">
              <w:noBreakHyphen/>
              <w:t xml:space="preserve">18 target </w:t>
            </w:r>
            <w:r w:rsidRPr="00687A1C">
              <w:t>due to internal reprioritisation for additional policy functions and funding additional approved for DTF ICT uplift.</w:t>
            </w:r>
          </w:p>
        </w:tc>
        <w:tc>
          <w:tcPr>
            <w:cnfStyle w:val="000010000000" w:firstRow="0" w:lastRow="0" w:firstColumn="0" w:lastColumn="0" w:oddVBand="1" w:evenVBand="0" w:oddHBand="0" w:evenHBand="0" w:firstRowFirstColumn="0" w:firstRowLastColumn="0" w:lastRowFirstColumn="0" w:lastRowLastColumn="0"/>
            <w:tcW w:w="1021" w:type="dxa"/>
          </w:tcPr>
          <w:p w:rsidR="00E22EDB" w:rsidRPr="00687A1C" w:rsidRDefault="00E22EDB" w:rsidP="003E549B">
            <w:pPr>
              <w:pStyle w:val="Tabletextcentred"/>
            </w:pPr>
            <w:r w:rsidRPr="00687A1C">
              <w:t>$</w:t>
            </w:r>
            <w:r w:rsidRPr="00687A1C">
              <w:rPr>
                <w:rFonts w:ascii="Calibri" w:hAnsi="Calibri" w:cs="Calibri"/>
              </w:rPr>
              <w:t> </w:t>
            </w:r>
            <w:r w:rsidRPr="00687A1C">
              <w:t>million</w:t>
            </w:r>
          </w:p>
        </w:tc>
        <w:tc>
          <w:tcPr>
            <w:cnfStyle w:val="000001000000" w:firstRow="0" w:lastRow="0" w:firstColumn="0" w:lastColumn="0" w:oddVBand="0" w:evenVBand="1" w:oddHBand="0" w:evenHBand="0" w:firstRowFirstColumn="0" w:firstRowLastColumn="0" w:lastRowFirstColumn="0" w:lastRowLastColumn="0"/>
            <w:tcW w:w="1024" w:type="dxa"/>
          </w:tcPr>
          <w:p w:rsidR="00E22EDB" w:rsidRPr="00687A1C" w:rsidRDefault="00F10BB5" w:rsidP="00E22EDB">
            <w:pPr>
              <w:pStyle w:val="Tabletextright"/>
            </w:pPr>
            <w:r w:rsidRPr="00687A1C">
              <w:t>29.7</w:t>
            </w:r>
          </w:p>
        </w:tc>
        <w:tc>
          <w:tcPr>
            <w:cnfStyle w:val="000010000000" w:firstRow="0" w:lastRow="0" w:firstColumn="0" w:lastColumn="0" w:oddVBand="1" w:evenVBand="0" w:oddHBand="0" w:evenHBand="0" w:firstRowFirstColumn="0" w:firstRowLastColumn="0" w:lastRowFirstColumn="0" w:lastRowLastColumn="0"/>
            <w:tcW w:w="1024" w:type="dxa"/>
          </w:tcPr>
          <w:p w:rsidR="00E22EDB" w:rsidRPr="00687A1C" w:rsidRDefault="00F10BB5" w:rsidP="00E22EDB">
            <w:pPr>
              <w:pStyle w:val="Tabletextright"/>
            </w:pPr>
            <w:r w:rsidRPr="00687A1C">
              <w:t>27.6</w:t>
            </w:r>
          </w:p>
        </w:tc>
        <w:tc>
          <w:tcPr>
            <w:cnfStyle w:val="000001000000" w:firstRow="0" w:lastRow="0" w:firstColumn="0" w:lastColumn="0" w:oddVBand="0" w:evenVBand="1" w:oddHBand="0" w:evenHBand="0" w:firstRowFirstColumn="0" w:firstRowLastColumn="0" w:lastRowFirstColumn="0" w:lastRowLastColumn="0"/>
            <w:tcW w:w="1345" w:type="dxa"/>
          </w:tcPr>
          <w:p w:rsidR="00E22EDB" w:rsidRPr="00687A1C" w:rsidRDefault="00AB6E4D" w:rsidP="00683C4F">
            <w:pPr>
              <w:pStyle w:val="Tabletextright"/>
            </w:pPr>
            <w:r w:rsidRPr="00687A1C">
              <w:t>(</w:t>
            </w:r>
            <w:r w:rsidR="00683C4F" w:rsidRPr="00687A1C">
              <w:t>7.6</w:t>
            </w:r>
            <w:r w:rsidRPr="00687A1C">
              <w:t>)</w:t>
            </w:r>
          </w:p>
        </w:tc>
        <w:tc>
          <w:tcPr>
            <w:cnfStyle w:val="000010000000" w:firstRow="0" w:lastRow="0" w:firstColumn="0" w:lastColumn="0" w:oddVBand="1" w:evenVBand="0" w:oddHBand="0" w:evenHBand="0" w:firstRowFirstColumn="0" w:firstRowLastColumn="0" w:lastRowFirstColumn="0" w:lastRowLastColumn="0"/>
            <w:tcW w:w="940" w:type="dxa"/>
          </w:tcPr>
          <w:p w:rsidR="00E22EDB" w:rsidRPr="00687A1C" w:rsidRDefault="00E22EDB" w:rsidP="007F3DFC">
            <w:pPr>
              <w:pStyle w:val="TargetNotMet50"/>
            </w:pPr>
          </w:p>
        </w:tc>
      </w:tr>
    </w:tbl>
    <w:p w:rsidR="003E549B" w:rsidRPr="00687A1C" w:rsidRDefault="003E549B" w:rsidP="00292D5E">
      <w:pPr>
        <w:ind w:right="245"/>
      </w:pPr>
    </w:p>
    <w:p w:rsidR="001A32DF" w:rsidRPr="00687A1C" w:rsidRDefault="009F6EC4" w:rsidP="00B40256">
      <w:pPr>
        <w:pStyle w:val="Spacer"/>
      </w:pPr>
      <w:r w:rsidRPr="00687A1C">
        <w:t xml:space="preserve"> </w:t>
      </w:r>
    </w:p>
    <w:p w:rsidR="001F5A76" w:rsidRPr="00687A1C" w:rsidRDefault="001F5A76">
      <w:pPr>
        <w:spacing w:before="0" w:after="0"/>
        <w:rPr>
          <w:rFonts w:cs="Arial"/>
          <w:b/>
          <w:bCs/>
          <w:color w:val="4F4F4F"/>
          <w:sz w:val="22"/>
          <w:szCs w:val="26"/>
        </w:rPr>
      </w:pPr>
      <w:r w:rsidRPr="00687A1C">
        <w:br w:type="page"/>
      </w:r>
    </w:p>
    <w:p w:rsidR="003E549B" w:rsidRPr="00687A1C" w:rsidRDefault="003E549B" w:rsidP="003E549B">
      <w:pPr>
        <w:pStyle w:val="Heading3"/>
      </w:pPr>
      <w:r w:rsidRPr="00687A1C">
        <w:lastRenderedPageBreak/>
        <w:t>Revenue Management and Administrative Services to Government</w:t>
      </w:r>
    </w:p>
    <w:p w:rsidR="003E549B" w:rsidRPr="00687A1C" w:rsidRDefault="003E549B" w:rsidP="003E549B">
      <w:r w:rsidRPr="00687A1C">
        <w:t>This output provides revenue management and administrative services across the various state</w:t>
      </w:r>
      <w:r w:rsidRPr="00687A1C">
        <w:noBreakHyphen/>
        <w:t>based taxes in a fair and efficient manner for the benefit of all Victorians. By administering Victoria</w:t>
      </w:r>
      <w:r w:rsidR="009469FE" w:rsidRPr="00687A1C">
        <w:t>’</w:t>
      </w:r>
      <w:r w:rsidRPr="00687A1C">
        <w:t>s taxation legislation and collecting a range of taxes, duties and levies, this output contributes to the Department</w:t>
      </w:r>
      <w:r w:rsidR="009469FE" w:rsidRPr="00687A1C">
        <w:t>’</w:t>
      </w:r>
      <w:r w:rsidRPr="00687A1C">
        <w:t>s objective to optimise Victoria</w:t>
      </w:r>
      <w:r w:rsidR="009469FE" w:rsidRPr="00687A1C">
        <w:t>’</w:t>
      </w:r>
      <w:r w:rsidRPr="00687A1C">
        <w:t>s fiscal resources.</w:t>
      </w:r>
    </w:p>
    <w:p w:rsidR="003E549B" w:rsidRPr="00687A1C" w:rsidRDefault="003E549B" w:rsidP="003E549B">
      <w:r w:rsidRPr="00687A1C">
        <w:t>The performance measures below compare targets and expected or actual results from the delivery of programs and services as part of this output.</w:t>
      </w:r>
    </w:p>
    <w:p w:rsidR="003E549B" w:rsidRPr="00687A1C" w:rsidRDefault="003E549B" w:rsidP="003E549B">
      <w:pPr>
        <w:pStyle w:val="Spacer"/>
      </w:pPr>
    </w:p>
    <w:tbl>
      <w:tblPr>
        <w:tblStyle w:val="AnnualReporttexttable"/>
        <w:tblW w:w="8946" w:type="dxa"/>
        <w:tblInd w:w="108" w:type="dxa"/>
        <w:tblLayout w:type="fixed"/>
        <w:tblLook w:val="02A0" w:firstRow="1" w:lastRow="0" w:firstColumn="1" w:lastColumn="0" w:noHBand="1" w:noVBand="0"/>
      </w:tblPr>
      <w:tblGrid>
        <w:gridCol w:w="3600"/>
        <w:gridCol w:w="1080"/>
        <w:gridCol w:w="1008"/>
        <w:gridCol w:w="1008"/>
        <w:gridCol w:w="1324"/>
        <w:gridCol w:w="926"/>
      </w:tblGrid>
      <w:tr w:rsidR="003E549B" w:rsidRPr="00687A1C" w:rsidTr="00472C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jc w:val="both"/>
              <w:rPr>
                <w:rFonts w:cstheme="minorHAnsi"/>
                <w:szCs w:val="17"/>
              </w:rPr>
            </w:pPr>
            <w:r w:rsidRPr="00687A1C">
              <w:rPr>
                <w:rFonts w:cstheme="minorHAnsi"/>
                <w:szCs w:val="17"/>
              </w:rPr>
              <w:t>Performance measures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jc w:val="center"/>
              <w:rPr>
                <w:rFonts w:cstheme="minorHAnsi"/>
                <w:szCs w:val="17"/>
              </w:rPr>
            </w:pPr>
            <w:r w:rsidRPr="00687A1C">
              <w:rPr>
                <w:rFonts w:cstheme="minorHAnsi"/>
                <w:szCs w:val="17"/>
              </w:rPr>
              <w:t xml:space="preserve">Unit of </w:t>
            </w:r>
            <w:r w:rsidRPr="00687A1C">
              <w:rPr>
                <w:rFonts w:cstheme="minorHAnsi"/>
                <w:szCs w:val="17"/>
              </w:rPr>
              <w:br/>
              <w:t>measure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actual</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target</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rPr>
                <w:rFonts w:cstheme="minorHAnsi"/>
                <w:szCs w:val="17"/>
              </w:rPr>
            </w:pPr>
            <w:r w:rsidRPr="00687A1C">
              <w:rPr>
                <w:rFonts w:cstheme="minorHAnsi"/>
                <w:szCs w:val="17"/>
              </w:rPr>
              <w:t>Performance variation (%)</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rPr>
                <w:rFonts w:cstheme="minorHAnsi"/>
                <w:szCs w:val="17"/>
              </w:rPr>
            </w:pPr>
            <w:r w:rsidRPr="00687A1C">
              <w:rPr>
                <w:rFonts w:cstheme="minorHAnsi"/>
                <w:szCs w:val="17"/>
              </w:rPr>
              <w:t xml:space="preserve">Result </w:t>
            </w: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Quantity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Revenue assessed from compliance projects meets estimates</w:t>
            </w:r>
          </w:p>
          <w:p w:rsidR="003E549B" w:rsidRPr="00687A1C" w:rsidRDefault="003E549B" w:rsidP="000C64BE">
            <w:pPr>
              <w:pStyle w:val="Tabletextnotes"/>
            </w:pPr>
            <w:r w:rsidRPr="00687A1C">
              <w:t>The 2017-18 outcome is higher than the 2017-18 target due to several large investigations, buoyant</w:t>
            </w:r>
            <w:r w:rsidR="009B12CB" w:rsidRPr="00687A1C">
              <w:t xml:space="preserve"> landholder activity and land tax and d</w:t>
            </w:r>
            <w:r w:rsidRPr="00687A1C">
              <w:t>uties investigations.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121</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≥95</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Revenue collected as a percentage of budget target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101</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≥99</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Quality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Customer satisfaction level</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96</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≥85</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Maintain ISO 9001 (Quality Management Systems) and ISO/IEC</w:t>
            </w:r>
            <w:r w:rsidRPr="00687A1C">
              <w:rPr>
                <w:rFonts w:ascii="Calibri" w:hAnsi="Calibri" w:cs="Courier New"/>
              </w:rPr>
              <w:t> </w:t>
            </w:r>
            <w:r w:rsidRPr="00687A1C">
              <w:t>20000</w:t>
            </w:r>
            <w:r w:rsidRPr="00687A1C">
              <w:noBreakHyphen/>
              <w:t xml:space="preserve">1:2005 (IT </w:t>
            </w:r>
            <w:r w:rsidR="00FD5A22" w:rsidRPr="00687A1C">
              <w:t xml:space="preserve">service </w:t>
            </w:r>
            <w:r w:rsidRPr="00687A1C">
              <w:t>management) Certification</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3</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3</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Ratio of outstanding debt to total revenue</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1.01</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&lt;2</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 xml:space="preserve">Objections received to assessments issued as a result of compliance projects </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1.45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&lt;4</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Timeliness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Revenue banked on day of receipt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≥99</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Timely handling of objections (within 90</w:t>
            </w:r>
            <w:r w:rsidR="001F5A76" w:rsidRPr="00687A1C">
              <w:t xml:space="preserve"> </w:t>
            </w:r>
            <w:r w:rsidRPr="00687A1C">
              <w:t>days)</w:t>
            </w:r>
          </w:p>
          <w:p w:rsidR="003E549B" w:rsidRPr="00687A1C" w:rsidRDefault="003E549B" w:rsidP="000C64BE">
            <w:pPr>
              <w:pStyle w:val="Tabletextnotes"/>
            </w:pPr>
            <w:r w:rsidRPr="00687A1C">
              <w:t>The 2017-18 outcome is higher than the 2017-18 target due to the addition of fixed-term staff to assist with the objections and the continued focus on internal process improvements in the way that objections are completed.</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85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≥80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 xml:space="preserve">Timely handling of private rulings (within </w:t>
            </w:r>
            <w:r w:rsidR="00523948" w:rsidRPr="00687A1C">
              <w:br/>
            </w:r>
            <w:r w:rsidRPr="00687A1C">
              <w:t>90 days)</w:t>
            </w:r>
          </w:p>
          <w:p w:rsidR="003E549B" w:rsidRPr="00687A1C" w:rsidRDefault="003E549B" w:rsidP="00E22EDB">
            <w:pPr>
              <w:pStyle w:val="Tabletextnotes"/>
            </w:pPr>
            <w:r w:rsidRPr="00687A1C">
              <w:t>The 2017-18 outcome is higher than the 2017-18 target due to the addition of fixed-term staff to assist with the objections and the continued focus on internal process improvements to reduce the number of files on hand, and resolve aged matters.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95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≥80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7F3DFC"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Cost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E22ED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E22EDB" w:rsidRPr="00687A1C" w:rsidRDefault="00E22EDB" w:rsidP="0075639E">
            <w:pPr>
              <w:pStyle w:val="Tabletext"/>
            </w:pPr>
            <w:r w:rsidRPr="00687A1C">
              <w:t>Total output cost</w:t>
            </w:r>
          </w:p>
        </w:tc>
        <w:tc>
          <w:tcPr>
            <w:cnfStyle w:val="000010000000" w:firstRow="0" w:lastRow="0" w:firstColumn="0" w:lastColumn="0" w:oddVBand="1" w:evenVBand="0" w:oddHBand="0" w:evenHBand="0" w:firstRowFirstColumn="0" w:firstRowLastColumn="0" w:lastRowFirstColumn="0" w:lastRowLastColumn="0"/>
            <w:tcW w:w="1080" w:type="dxa"/>
          </w:tcPr>
          <w:p w:rsidR="00E22EDB" w:rsidRPr="00687A1C" w:rsidRDefault="00E22EDB" w:rsidP="003E549B">
            <w:pPr>
              <w:pStyle w:val="Tabletextcentred"/>
            </w:pPr>
            <w:r w:rsidRPr="00687A1C">
              <w:t>$</w:t>
            </w:r>
            <w:r w:rsidRPr="00687A1C">
              <w:rPr>
                <w:rFonts w:ascii="Calibri" w:hAnsi="Calibri" w:cs="Calibri"/>
              </w:rPr>
              <w:t> </w:t>
            </w:r>
            <w:r w:rsidRPr="00687A1C">
              <w:t>million</w:t>
            </w:r>
          </w:p>
        </w:tc>
        <w:tc>
          <w:tcPr>
            <w:cnfStyle w:val="000001000000" w:firstRow="0" w:lastRow="0" w:firstColumn="0" w:lastColumn="0" w:oddVBand="0" w:evenVBand="1" w:oddHBand="0" w:evenHBand="0" w:firstRowFirstColumn="0" w:firstRowLastColumn="0" w:lastRowFirstColumn="0" w:lastRowLastColumn="0"/>
            <w:tcW w:w="1008" w:type="dxa"/>
          </w:tcPr>
          <w:p w:rsidR="00E22EDB" w:rsidRPr="00687A1C" w:rsidRDefault="00F10BB5" w:rsidP="00E22EDB">
            <w:pPr>
              <w:pStyle w:val="Tabletextright"/>
            </w:pPr>
            <w:r w:rsidRPr="00687A1C">
              <w:t>106.1</w:t>
            </w:r>
          </w:p>
        </w:tc>
        <w:tc>
          <w:tcPr>
            <w:cnfStyle w:val="000010000000" w:firstRow="0" w:lastRow="0" w:firstColumn="0" w:lastColumn="0" w:oddVBand="1" w:evenVBand="0" w:oddHBand="0" w:evenHBand="0" w:firstRowFirstColumn="0" w:firstRowLastColumn="0" w:lastRowFirstColumn="0" w:lastRowLastColumn="0"/>
            <w:tcW w:w="1008" w:type="dxa"/>
          </w:tcPr>
          <w:p w:rsidR="00E22EDB" w:rsidRPr="00687A1C" w:rsidRDefault="00F10BB5" w:rsidP="00E22EDB">
            <w:pPr>
              <w:pStyle w:val="Tabletextright"/>
            </w:pPr>
            <w:r w:rsidRPr="00687A1C">
              <w:t>105.5</w:t>
            </w:r>
          </w:p>
        </w:tc>
        <w:tc>
          <w:tcPr>
            <w:cnfStyle w:val="000001000000" w:firstRow="0" w:lastRow="0" w:firstColumn="0" w:lastColumn="0" w:oddVBand="0" w:evenVBand="1" w:oddHBand="0" w:evenHBand="0" w:firstRowFirstColumn="0" w:firstRowLastColumn="0" w:lastRowFirstColumn="0" w:lastRowLastColumn="0"/>
            <w:tcW w:w="1324" w:type="dxa"/>
          </w:tcPr>
          <w:p w:rsidR="00E22EDB" w:rsidRPr="00687A1C" w:rsidRDefault="00AB6E4D" w:rsidP="00683C4F">
            <w:pPr>
              <w:pStyle w:val="Tabletextright"/>
            </w:pPr>
            <w:r w:rsidRPr="00687A1C">
              <w:t>(</w:t>
            </w:r>
            <w:r w:rsidR="00683C4F" w:rsidRPr="00687A1C">
              <w:t>0.6</w:t>
            </w: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E22EDB" w:rsidRPr="00687A1C" w:rsidRDefault="00E22EDB" w:rsidP="007F3DFC">
            <w:pPr>
              <w:pStyle w:val="TargetNotMet5"/>
            </w:pPr>
          </w:p>
        </w:tc>
      </w:tr>
    </w:tbl>
    <w:p w:rsidR="003E549B" w:rsidRPr="00687A1C" w:rsidRDefault="003E549B" w:rsidP="003E549B"/>
    <w:p w:rsidR="00472CA1" w:rsidRPr="00687A1C" w:rsidRDefault="00472CA1">
      <w:pPr>
        <w:spacing w:before="0" w:after="0"/>
        <w:rPr>
          <w:rFonts w:cstheme="minorHAnsi"/>
          <w:b/>
          <w:color w:val="404040"/>
          <w:sz w:val="24"/>
          <w:szCs w:val="28"/>
        </w:rPr>
      </w:pPr>
      <w:r w:rsidRPr="00687A1C">
        <w:br w:type="page"/>
      </w:r>
    </w:p>
    <w:p w:rsidR="003E549B" w:rsidRPr="00687A1C" w:rsidRDefault="003E549B" w:rsidP="003E549B">
      <w:pPr>
        <w:pStyle w:val="Heading2"/>
      </w:pPr>
      <w:r w:rsidRPr="00687A1C">
        <w:lastRenderedPageBreak/>
        <w:t>Strengthen Victoria</w:t>
      </w:r>
      <w:r w:rsidR="009469FE" w:rsidRPr="00687A1C">
        <w:t>’</w:t>
      </w:r>
      <w:r w:rsidRPr="00687A1C">
        <w:t>s economic performance</w:t>
      </w:r>
    </w:p>
    <w:p w:rsidR="003E549B" w:rsidRPr="00687A1C" w:rsidRDefault="003E549B" w:rsidP="00523948">
      <w:r w:rsidRPr="00687A1C">
        <w:t>This objective delivers advice on economic policy, forecasts, legislation and frameworks. It also supports Government by administering economic regulation of utilities and other specified markets in Victoria to protect the long-term interests of Victorian consumers with regard to price, quality, efficiency and reliability of essential services.</w:t>
      </w:r>
    </w:p>
    <w:p w:rsidR="003E549B" w:rsidRPr="00687A1C" w:rsidRDefault="003E549B" w:rsidP="00523948">
      <w:r w:rsidRPr="00687A1C">
        <w:t>The Department leads the development of advice to Government on key economic and financial strategies including regulatory reform, Government tax policy and intergovernmental financial relations to drive improvements in Victoria</w:t>
      </w:r>
      <w:r w:rsidR="009469FE" w:rsidRPr="00687A1C">
        <w:t>’</w:t>
      </w:r>
      <w:r w:rsidRPr="00687A1C">
        <w:t>s productive and efficient resource allocation, competitiveness and equity across the Victorian economy.</w:t>
      </w:r>
    </w:p>
    <w:p w:rsidR="003E549B" w:rsidRPr="00687A1C" w:rsidRDefault="003E549B" w:rsidP="00523948">
      <w:r w:rsidRPr="00687A1C">
        <w:t>The departmental objective indicators are:</w:t>
      </w:r>
    </w:p>
    <w:p w:rsidR="003E549B" w:rsidRPr="00687A1C" w:rsidRDefault="003E549B" w:rsidP="003E549B">
      <w:pPr>
        <w:pStyle w:val="Bullet"/>
      </w:pPr>
      <w:r w:rsidRPr="00687A1C">
        <w:t>economic growth to exceed population growth as expressed by GSP per capita increasing in real terms (annual percentage change);</w:t>
      </w:r>
    </w:p>
    <w:p w:rsidR="003E549B" w:rsidRPr="00687A1C" w:rsidRDefault="003E549B" w:rsidP="003E549B">
      <w:pPr>
        <w:pStyle w:val="Bullet"/>
      </w:pPr>
      <w:r w:rsidRPr="00687A1C">
        <w:t>total Victorian employment to grow each year (annual percentage change); and</w:t>
      </w:r>
    </w:p>
    <w:p w:rsidR="003E549B" w:rsidRPr="00687A1C" w:rsidRDefault="003E549B" w:rsidP="00523948">
      <w:pPr>
        <w:pStyle w:val="Bullet"/>
      </w:pPr>
      <w:r w:rsidRPr="00687A1C">
        <w:t>advice contributes to the achievement of Government policies and priorities relating to economic and social outcomes.</w:t>
      </w:r>
    </w:p>
    <w:p w:rsidR="003E549B" w:rsidRPr="00687A1C" w:rsidRDefault="003E549B" w:rsidP="00523948">
      <w:pPr>
        <w:pStyle w:val="Heading3"/>
      </w:pPr>
      <w:r w:rsidRPr="00687A1C">
        <w:t>Economic and Policy Advice</w:t>
      </w:r>
    </w:p>
    <w:p w:rsidR="003E549B" w:rsidRPr="00687A1C" w:rsidRDefault="003E549B" w:rsidP="00523948">
      <w:r w:rsidRPr="00687A1C">
        <w:t>This output contributes to the Department</w:t>
      </w:r>
      <w:r w:rsidR="009469FE" w:rsidRPr="00687A1C">
        <w:t>’</w:t>
      </w:r>
      <w:r w:rsidRPr="00687A1C">
        <w:t>s objective to strengthen Victoria</w:t>
      </w:r>
      <w:r w:rsidR="009469FE" w:rsidRPr="00687A1C">
        <w:t>’</w:t>
      </w:r>
      <w:r w:rsidRPr="00687A1C">
        <w:t>s economic performance through increased productive and efficient resource allocation, competitiveness and equity by providing evidence, advice and engagement on:</w:t>
      </w:r>
    </w:p>
    <w:p w:rsidR="003E549B" w:rsidRPr="00687A1C" w:rsidRDefault="003E549B" w:rsidP="003E549B">
      <w:pPr>
        <w:pStyle w:val="Bullet"/>
      </w:pPr>
      <w:r w:rsidRPr="00687A1C">
        <w:t>medium and longer-term strategies to strengthen productivity, participation and the State</w:t>
      </w:r>
      <w:r w:rsidR="009469FE" w:rsidRPr="00687A1C">
        <w:t>’</w:t>
      </w:r>
      <w:r w:rsidRPr="00687A1C">
        <w:t>s overall competitiveness;</w:t>
      </w:r>
    </w:p>
    <w:p w:rsidR="003E549B" w:rsidRPr="00687A1C" w:rsidRDefault="003E549B" w:rsidP="00523948">
      <w:pPr>
        <w:pStyle w:val="Bullet"/>
      </w:pPr>
      <w:r w:rsidRPr="00687A1C">
        <w:t>State tax revenue policy and insurance policy;</w:t>
      </w:r>
    </w:p>
    <w:p w:rsidR="003E549B" w:rsidRPr="00687A1C" w:rsidRDefault="003E549B" w:rsidP="003E549B">
      <w:pPr>
        <w:pStyle w:val="Bullet"/>
      </w:pPr>
      <w:r w:rsidRPr="00687A1C">
        <w:t>intergovernmental financial relations, including the distribution of Commonwealth funding to Australian states and territories (including representation on various inter jurisdictional committees);</w:t>
      </w:r>
    </w:p>
    <w:p w:rsidR="003E549B" w:rsidRPr="00687A1C" w:rsidRDefault="003E549B" w:rsidP="003E549B">
      <w:pPr>
        <w:pStyle w:val="Bullet"/>
      </w:pPr>
      <w:r w:rsidRPr="00687A1C">
        <w:t>production of the economic and revenue estimates that underpin the State budget;</w:t>
      </w:r>
    </w:p>
    <w:p w:rsidR="003E549B" w:rsidRPr="00687A1C" w:rsidRDefault="003E549B" w:rsidP="003E549B">
      <w:pPr>
        <w:pStyle w:val="Bullet"/>
      </w:pPr>
      <w:r w:rsidRPr="00687A1C">
        <w:t xml:space="preserve">best practice regulatory frameworks; and </w:t>
      </w:r>
    </w:p>
    <w:p w:rsidR="003E549B" w:rsidRPr="00687A1C" w:rsidRDefault="003E549B" w:rsidP="003E549B">
      <w:pPr>
        <w:pStyle w:val="Bullet"/>
      </w:pPr>
      <w:r w:rsidRPr="00687A1C">
        <w:t>approaches for innovative, effective and efficient delivery of government services, including social services.</w:t>
      </w:r>
    </w:p>
    <w:p w:rsidR="003E549B" w:rsidRPr="00687A1C" w:rsidRDefault="003E549B" w:rsidP="00523948">
      <w:r w:rsidRPr="00687A1C">
        <w:t xml:space="preserve">This output also provides advice on ways the Government can improve the business environment by the Commissioner for Better Regulation: </w:t>
      </w:r>
    </w:p>
    <w:p w:rsidR="003E549B" w:rsidRPr="00687A1C" w:rsidRDefault="003E549B" w:rsidP="003E549B">
      <w:pPr>
        <w:pStyle w:val="Bullet"/>
      </w:pPr>
      <w:r w:rsidRPr="00687A1C">
        <w:t xml:space="preserve">reviewing Regulatory Impact Statements, Legislative Impact Assessments, and providing advice for Regulatory Change Measurements; </w:t>
      </w:r>
    </w:p>
    <w:p w:rsidR="003E549B" w:rsidRPr="00687A1C" w:rsidRDefault="003E549B" w:rsidP="003E549B">
      <w:pPr>
        <w:pStyle w:val="Bullet"/>
      </w:pPr>
      <w:r w:rsidRPr="00687A1C">
        <w:t xml:space="preserve">assisting agencies to improve the quality of regulation in Victoria and undertaking research into matters referred to it by the Government; and </w:t>
      </w:r>
    </w:p>
    <w:p w:rsidR="003E549B" w:rsidRPr="00687A1C" w:rsidRDefault="003E549B" w:rsidP="003E549B">
      <w:pPr>
        <w:pStyle w:val="Bullet"/>
      </w:pPr>
      <w:r w:rsidRPr="00687A1C">
        <w:t>operating Victoria</w:t>
      </w:r>
      <w:r w:rsidR="009469FE" w:rsidRPr="00687A1C">
        <w:t>’</w:t>
      </w:r>
      <w:r w:rsidRPr="00687A1C">
        <w:t>s competitive neutrality unit.</w:t>
      </w:r>
    </w:p>
    <w:p w:rsidR="003E549B" w:rsidRPr="00687A1C" w:rsidRDefault="003E549B" w:rsidP="00523948">
      <w:r w:rsidRPr="00687A1C">
        <w:t>The performance measures below compare targets and expected or actual results from the delivery of programs and services as part of this output:</w:t>
      </w:r>
    </w:p>
    <w:p w:rsidR="00523948" w:rsidRPr="00687A1C" w:rsidRDefault="00523948">
      <w:pPr>
        <w:spacing w:before="0" w:after="0"/>
      </w:pPr>
      <w:r w:rsidRPr="00687A1C">
        <w:br w:type="page"/>
      </w:r>
    </w:p>
    <w:tbl>
      <w:tblPr>
        <w:tblStyle w:val="AnnualReporttexttable"/>
        <w:tblW w:w="8946" w:type="dxa"/>
        <w:tblInd w:w="108" w:type="dxa"/>
        <w:tblLayout w:type="fixed"/>
        <w:tblLook w:val="02A0" w:firstRow="1" w:lastRow="0" w:firstColumn="1" w:lastColumn="0" w:noHBand="1" w:noVBand="0"/>
      </w:tblPr>
      <w:tblGrid>
        <w:gridCol w:w="3600"/>
        <w:gridCol w:w="1080"/>
        <w:gridCol w:w="1008"/>
        <w:gridCol w:w="1008"/>
        <w:gridCol w:w="1324"/>
        <w:gridCol w:w="926"/>
      </w:tblGrid>
      <w:tr w:rsidR="003E549B" w:rsidRPr="00687A1C" w:rsidTr="00472C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jc w:val="left"/>
              <w:rPr>
                <w:rFonts w:cstheme="minorHAnsi"/>
                <w:szCs w:val="17"/>
              </w:rPr>
            </w:pPr>
            <w:r w:rsidRPr="00687A1C">
              <w:rPr>
                <w:rFonts w:cstheme="minorHAnsi"/>
                <w:szCs w:val="17"/>
              </w:rPr>
              <w:lastRenderedPageBreak/>
              <w:t>Performance measures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jc w:val="center"/>
              <w:rPr>
                <w:rFonts w:cstheme="minorHAnsi"/>
                <w:szCs w:val="17"/>
              </w:rPr>
            </w:pPr>
            <w:r w:rsidRPr="00687A1C">
              <w:rPr>
                <w:rFonts w:cstheme="minorHAnsi"/>
                <w:szCs w:val="17"/>
              </w:rPr>
              <w:t xml:space="preserve">Unit of </w:t>
            </w:r>
            <w:r w:rsidRPr="00687A1C">
              <w:rPr>
                <w:rFonts w:cstheme="minorHAnsi"/>
                <w:szCs w:val="17"/>
              </w:rPr>
              <w:br/>
              <w:t>measure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actual</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target</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rPr>
                <w:rFonts w:cstheme="minorHAnsi"/>
                <w:szCs w:val="17"/>
              </w:rPr>
            </w:pPr>
            <w:r w:rsidRPr="00687A1C">
              <w:rPr>
                <w:rFonts w:cstheme="minorHAnsi"/>
                <w:szCs w:val="17"/>
              </w:rPr>
              <w:t>Performance variation (%)</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rPr>
                <w:rFonts w:cstheme="minorHAnsi"/>
                <w:szCs w:val="17"/>
              </w:rPr>
            </w:pPr>
            <w:r w:rsidRPr="00687A1C">
              <w:rPr>
                <w:rFonts w:cstheme="minorHAnsi"/>
                <w:szCs w:val="17"/>
              </w:rPr>
              <w:t xml:space="preserve">Result </w:t>
            </w: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Quantity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523948">
            <w:pPr>
              <w:pStyle w:val="Tabletext"/>
            </w:pPr>
            <w:r w:rsidRPr="00687A1C">
              <w:t>Economic research projects and papers completed that contribute to deeper understanding of economic issues and development of government policy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5</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Advice on adequacy of final Regulatory Impact Statements and Legislative Impact Assessments prepared by departments</w:t>
            </w:r>
          </w:p>
          <w:p w:rsidR="003E549B" w:rsidRPr="00687A1C" w:rsidRDefault="003E549B" w:rsidP="000C64BE">
            <w:pPr>
              <w:pStyle w:val="Tabletextnotes"/>
            </w:pPr>
            <w:r w:rsidRPr="00687A1C">
              <w:t>The 2017-18 outcome is higher than the 2017-18 target due to an unexpected increase in the number of Legislative Impact Assessments that needed to be reviewed.</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39</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35</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E549B">
            <w:pPr>
              <w:pStyle w:val="Tabletextright"/>
            </w:pPr>
            <w:r w:rsidRPr="00687A1C">
              <w:t>11.4</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 xml:space="preserve">High level engagement with non-Victorian </w:t>
            </w:r>
            <w:r w:rsidR="007D2DFC" w:rsidRPr="00687A1C">
              <w:t xml:space="preserve">public service </w:t>
            </w:r>
            <w:r w:rsidRPr="00687A1C">
              <w:t>stakeholder groups that contributes to public policy debate</w:t>
            </w:r>
          </w:p>
          <w:p w:rsidR="003E549B" w:rsidRPr="00687A1C" w:rsidRDefault="003E549B" w:rsidP="000C64BE">
            <w:pPr>
              <w:pStyle w:val="Tabletextnotes"/>
            </w:pPr>
            <w:r w:rsidRPr="00687A1C">
              <w:t>The 2017-18 outcome is higher than the 2017-18 target as the extent of engagement with local government groups on the centralised annual valuation initiative was unanticipated.</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F97BB9">
            <w:pPr>
              <w:pStyle w:val="Tabletextright"/>
            </w:pPr>
            <w:r w:rsidRPr="00687A1C">
              <w:t>55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20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228AA">
            <w:pPr>
              <w:pStyle w:val="Tabletextright"/>
            </w:pPr>
            <w:r w:rsidRPr="00687A1C">
              <w:t>1</w:t>
            </w:r>
            <w:r w:rsidR="003E549B" w:rsidRPr="00687A1C">
              <w:t>75</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Quality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F97BB9">
            <w:pPr>
              <w:pStyle w:val="Tabletextrigh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Conduct biannual surveys to assess the impact of changes to Victorian regulations on business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2</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2</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Accuracy of estimating State taxation revenue in the State budget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percentage variance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DB7E60" w:rsidP="003E549B">
            <w:pPr>
              <w:pStyle w:val="Tabletextright"/>
            </w:pPr>
            <w:r w:rsidRPr="00687A1C">
              <w:t>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≤5.0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219D3">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Accuracy of estimating the employment growth rate in the State budget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percentage point variance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219D3" w:rsidP="003E549B">
            <w:pPr>
              <w:pStyle w:val="Tabletextright"/>
            </w:pPr>
            <w:r w:rsidRPr="00687A1C">
              <w:t>0.71</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219D3">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Accuracy of estimating the gross state product rate in the State budget</w:t>
            </w:r>
          </w:p>
          <w:p w:rsidR="00B41B5B" w:rsidRPr="00687A1C" w:rsidRDefault="00B41B5B" w:rsidP="00B41B5B">
            <w:pPr>
              <w:pStyle w:val="Tabletextnotes"/>
            </w:pPr>
            <w:r w:rsidRPr="00687A1C">
              <w:t>The gross state product growth estimate is not yet</w:t>
            </w:r>
            <w:r w:rsidRPr="00687A1C">
              <w:rPr>
                <w:rFonts w:ascii="Calibri" w:hAnsi="Calibri" w:cs="Courier New"/>
              </w:rPr>
              <w:t> </w:t>
            </w:r>
            <w:r w:rsidRPr="00687A1C">
              <w:t>available. The estimate will be available when the</w:t>
            </w:r>
            <w:r w:rsidRPr="00687A1C">
              <w:rPr>
                <w:rFonts w:ascii="Calibri" w:hAnsi="Calibri" w:cs="Courier New"/>
              </w:rPr>
              <w:t> </w:t>
            </w:r>
            <w:r w:rsidRPr="00687A1C">
              <w:t>ABS State Accounts are released in November</w:t>
            </w:r>
            <w:r w:rsidRPr="00687A1C">
              <w:rPr>
                <w:rFonts w:ascii="Calibri" w:hAnsi="Calibri" w:cs="Courier New"/>
              </w:rPr>
              <w:t> </w:t>
            </w:r>
            <w:r w:rsidRPr="00687A1C">
              <w:t>2018.</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percentage point variance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B41B5B" w:rsidP="003E549B">
            <w:pPr>
              <w:pStyle w:val="Tabletextright"/>
            </w:pPr>
            <w:r w:rsidRPr="00687A1C">
              <w:t>n/a</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19D3" w:rsidP="003E549B">
            <w:pPr>
              <w:pStyle w:val="Tabletextright"/>
            </w:pPr>
            <w:r w:rsidRPr="00687A1C">
              <w:t>n/a</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219D3" w:rsidP="003219D3">
            <w:pPr>
              <w:pStyle w:val="Tabletextright"/>
            </w:pPr>
            <w:r w:rsidRPr="00687A1C">
              <w:t>n/a</w:t>
            </w: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Maintain ISO 9001 (Quality Management Systems) Certification</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Timeliness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Briefings on key Australian Bureau of Statistics economic data on day of release</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Respond to correspondence within agreed timeframes</w:t>
            </w:r>
          </w:p>
          <w:p w:rsidR="00683C4F" w:rsidRPr="00687A1C" w:rsidRDefault="00683C4F" w:rsidP="00683C4F">
            <w:pPr>
              <w:pStyle w:val="Tabletextnotes"/>
            </w:pPr>
            <w:r w:rsidRPr="00687A1C">
              <w:t>The 2017-18 outcome is lower than the 2017-18 target due to a system changeover and the internal process of allocation. Processes to ensure these errors are corrected have been implemented.</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AF68A3" w:rsidP="003E549B">
            <w:pPr>
              <w:pStyle w:val="Tabletextright"/>
            </w:pPr>
            <w:r w:rsidRPr="00687A1C">
              <w:t>77</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85</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AF68A3" w:rsidP="003E549B">
            <w:pPr>
              <w:pStyle w:val="Tabletextright"/>
            </w:pPr>
            <w:r w:rsidRPr="00687A1C">
              <w:t>-9.41</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AF68A3">
            <w:pPr>
              <w:pStyle w:val="TargetNotMet50"/>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Completion of assessment of Regulatory Impact Statements and Legislative Impact Assessments within agreed timeframes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228AA"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Cost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E22ED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E22EDB" w:rsidRPr="00687A1C" w:rsidRDefault="00E22EDB" w:rsidP="003E549B">
            <w:pPr>
              <w:pStyle w:val="Tabletext"/>
            </w:pPr>
            <w:r w:rsidRPr="00687A1C">
              <w:t>Total output cost</w:t>
            </w:r>
          </w:p>
          <w:p w:rsidR="00E22EDB" w:rsidRPr="00687A1C" w:rsidRDefault="0075639E" w:rsidP="00B41B5B">
            <w:pPr>
              <w:pStyle w:val="Tabletextnotes"/>
            </w:pPr>
            <w:r w:rsidRPr="00687A1C">
              <w:t>The 2017-18 outcome is higher than the 2017</w:t>
            </w:r>
            <w:r w:rsidRPr="00687A1C">
              <w:noBreakHyphen/>
              <w:t xml:space="preserve">18 target </w:t>
            </w:r>
            <w:r w:rsidR="00E22EDB" w:rsidRPr="00687A1C">
              <w:t xml:space="preserve">due to carryover funding of $0.39 million for Social Impact Bonds initiatives, additional funding for DTF ICT </w:t>
            </w:r>
            <w:r w:rsidR="00FD5A22" w:rsidRPr="00687A1C">
              <w:t xml:space="preserve">uplift </w:t>
            </w:r>
            <w:r w:rsidR="00E22EDB" w:rsidRPr="00687A1C">
              <w:t>and internal reprioritisation for additional policy functions.</w:t>
            </w:r>
          </w:p>
        </w:tc>
        <w:tc>
          <w:tcPr>
            <w:cnfStyle w:val="000010000000" w:firstRow="0" w:lastRow="0" w:firstColumn="0" w:lastColumn="0" w:oddVBand="1" w:evenVBand="0" w:oddHBand="0" w:evenHBand="0" w:firstRowFirstColumn="0" w:firstRowLastColumn="0" w:lastRowFirstColumn="0" w:lastRowLastColumn="0"/>
            <w:tcW w:w="1080" w:type="dxa"/>
          </w:tcPr>
          <w:p w:rsidR="00E22EDB" w:rsidRPr="00687A1C" w:rsidRDefault="00E22EDB" w:rsidP="003E549B">
            <w:pPr>
              <w:pStyle w:val="Tabletextcentred"/>
            </w:pPr>
            <w:r w:rsidRPr="00687A1C">
              <w:t>$</w:t>
            </w:r>
            <w:r w:rsidRPr="00687A1C">
              <w:rPr>
                <w:rFonts w:ascii="Calibri" w:hAnsi="Calibri" w:cs="Calibri"/>
              </w:rPr>
              <w:t> </w:t>
            </w:r>
            <w:r w:rsidRPr="00687A1C">
              <w:t>million</w:t>
            </w:r>
          </w:p>
        </w:tc>
        <w:tc>
          <w:tcPr>
            <w:cnfStyle w:val="000001000000" w:firstRow="0" w:lastRow="0" w:firstColumn="0" w:lastColumn="0" w:oddVBand="0" w:evenVBand="1" w:oddHBand="0" w:evenHBand="0" w:firstRowFirstColumn="0" w:firstRowLastColumn="0" w:lastRowFirstColumn="0" w:lastRowLastColumn="0"/>
            <w:tcW w:w="1008" w:type="dxa"/>
          </w:tcPr>
          <w:p w:rsidR="00E22EDB" w:rsidRPr="00687A1C" w:rsidRDefault="00F10BB5" w:rsidP="00E22EDB">
            <w:pPr>
              <w:pStyle w:val="Tabletextright"/>
            </w:pPr>
            <w:r w:rsidRPr="00687A1C">
              <w:t>28.7</w:t>
            </w:r>
          </w:p>
        </w:tc>
        <w:tc>
          <w:tcPr>
            <w:cnfStyle w:val="000010000000" w:firstRow="0" w:lastRow="0" w:firstColumn="0" w:lastColumn="0" w:oddVBand="1" w:evenVBand="0" w:oddHBand="0" w:evenHBand="0" w:firstRowFirstColumn="0" w:firstRowLastColumn="0" w:lastRowFirstColumn="0" w:lastRowLastColumn="0"/>
            <w:tcW w:w="1008" w:type="dxa"/>
          </w:tcPr>
          <w:p w:rsidR="00E22EDB" w:rsidRPr="00687A1C" w:rsidRDefault="00F10BB5" w:rsidP="00E22EDB">
            <w:pPr>
              <w:pStyle w:val="Tabletextright"/>
            </w:pPr>
            <w:r w:rsidRPr="00687A1C">
              <w:t>26.2</w:t>
            </w:r>
          </w:p>
        </w:tc>
        <w:tc>
          <w:tcPr>
            <w:cnfStyle w:val="000001000000" w:firstRow="0" w:lastRow="0" w:firstColumn="0" w:lastColumn="0" w:oddVBand="0" w:evenVBand="1" w:oddHBand="0" w:evenHBand="0" w:firstRowFirstColumn="0" w:firstRowLastColumn="0" w:lastRowFirstColumn="0" w:lastRowLastColumn="0"/>
            <w:tcW w:w="1324" w:type="dxa"/>
          </w:tcPr>
          <w:p w:rsidR="00E22EDB" w:rsidRPr="00687A1C" w:rsidRDefault="00AB6E4D" w:rsidP="00683C4F">
            <w:pPr>
              <w:pStyle w:val="Tabletextright"/>
            </w:pPr>
            <w:r w:rsidRPr="00687A1C">
              <w:t>(</w:t>
            </w:r>
            <w:r w:rsidR="00683C4F" w:rsidRPr="00687A1C">
              <w:t>9.5</w:t>
            </w: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E22EDB" w:rsidRPr="00687A1C" w:rsidRDefault="00E22EDB" w:rsidP="007F3DFC">
            <w:pPr>
              <w:pStyle w:val="TargetNotMet50"/>
            </w:pPr>
          </w:p>
        </w:tc>
      </w:tr>
    </w:tbl>
    <w:p w:rsidR="003E549B" w:rsidRPr="00687A1C" w:rsidRDefault="003E549B">
      <w:pPr>
        <w:spacing w:before="0" w:after="0"/>
      </w:pPr>
      <w:r w:rsidRPr="00687A1C">
        <w:br w:type="page"/>
      </w:r>
    </w:p>
    <w:p w:rsidR="003E549B" w:rsidRPr="00687A1C" w:rsidRDefault="003E549B" w:rsidP="003E549B">
      <w:pPr>
        <w:pStyle w:val="Heading3"/>
      </w:pPr>
      <w:r w:rsidRPr="00687A1C">
        <w:lastRenderedPageBreak/>
        <w:t>Economic Regulatory Services</w:t>
      </w:r>
    </w:p>
    <w:p w:rsidR="003E549B" w:rsidRPr="00687A1C" w:rsidRDefault="003E549B" w:rsidP="003E549B">
      <w:pPr>
        <w:rPr>
          <w:rFonts w:cstheme="minorHAnsi"/>
        </w:rPr>
      </w:pPr>
      <w:r w:rsidRPr="00687A1C">
        <w:rPr>
          <w:rFonts w:cstheme="minorHAnsi"/>
        </w:rPr>
        <w:t xml:space="preserve">This output provides economic regulation of utilities and other specified markets </w:t>
      </w:r>
      <w:r w:rsidR="00523948" w:rsidRPr="00687A1C">
        <w:rPr>
          <w:rFonts w:cstheme="minorHAnsi"/>
        </w:rPr>
        <w:t>in Victoria to protect the long</w:t>
      </w:r>
      <w:r w:rsidR="00523948" w:rsidRPr="00687A1C">
        <w:rPr>
          <w:rFonts w:cstheme="minorHAnsi"/>
        </w:rPr>
        <w:noBreakHyphen/>
      </w:r>
      <w:r w:rsidRPr="00687A1C">
        <w:rPr>
          <w:rFonts w:cstheme="minorHAnsi"/>
        </w:rPr>
        <w:t>term interests of Victorian consumers with regard to price, quality, reliability and efficiency of essential services. By providing these services, this output contributes to the Departmental objective to strengthen Victoria</w:t>
      </w:r>
      <w:r w:rsidR="009469FE" w:rsidRPr="00687A1C">
        <w:rPr>
          <w:rFonts w:cstheme="minorHAnsi"/>
        </w:rPr>
        <w:t>’</w:t>
      </w:r>
      <w:r w:rsidRPr="00687A1C">
        <w:rPr>
          <w:rFonts w:cstheme="minorHAnsi"/>
        </w:rPr>
        <w:t>s economic performance.</w:t>
      </w:r>
    </w:p>
    <w:p w:rsidR="003E549B" w:rsidRPr="00687A1C" w:rsidRDefault="003E549B" w:rsidP="003E549B">
      <w:pPr>
        <w:rPr>
          <w:rFonts w:cstheme="minorHAnsi"/>
        </w:rPr>
      </w:pPr>
      <w:r w:rsidRPr="00687A1C">
        <w:rPr>
          <w:rFonts w:cstheme="minorHAnsi"/>
        </w:rPr>
        <w:t>The performance measures below compare targets and expected or actual results from the delivery of programs and services as part of this output:</w:t>
      </w:r>
    </w:p>
    <w:p w:rsidR="003E549B" w:rsidRPr="00687A1C" w:rsidRDefault="003E549B" w:rsidP="003E549B">
      <w:pPr>
        <w:pStyle w:val="Spacer"/>
      </w:pPr>
    </w:p>
    <w:tbl>
      <w:tblPr>
        <w:tblStyle w:val="AnnualReporttexttable"/>
        <w:tblW w:w="8946" w:type="dxa"/>
        <w:tblInd w:w="108" w:type="dxa"/>
        <w:tblLayout w:type="fixed"/>
        <w:tblLook w:val="02A0" w:firstRow="1" w:lastRow="0" w:firstColumn="1" w:lastColumn="0" w:noHBand="1" w:noVBand="0"/>
      </w:tblPr>
      <w:tblGrid>
        <w:gridCol w:w="3600"/>
        <w:gridCol w:w="1080"/>
        <w:gridCol w:w="1008"/>
        <w:gridCol w:w="1008"/>
        <w:gridCol w:w="1324"/>
        <w:gridCol w:w="926"/>
      </w:tblGrid>
      <w:tr w:rsidR="003E549B" w:rsidRPr="00687A1C" w:rsidTr="00472C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jc w:val="left"/>
              <w:rPr>
                <w:rFonts w:cstheme="minorHAnsi"/>
                <w:szCs w:val="17"/>
              </w:rPr>
            </w:pPr>
            <w:r w:rsidRPr="00687A1C">
              <w:rPr>
                <w:rFonts w:cstheme="minorHAnsi"/>
                <w:szCs w:val="17"/>
              </w:rPr>
              <w:t>Performance measures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jc w:val="center"/>
              <w:rPr>
                <w:rFonts w:cstheme="minorHAnsi"/>
                <w:szCs w:val="17"/>
              </w:rPr>
            </w:pPr>
            <w:r w:rsidRPr="00687A1C">
              <w:rPr>
                <w:rFonts w:cstheme="minorHAnsi"/>
                <w:szCs w:val="17"/>
              </w:rPr>
              <w:t xml:space="preserve">Unit of </w:t>
            </w:r>
            <w:r w:rsidRPr="00687A1C">
              <w:rPr>
                <w:rFonts w:cstheme="minorHAnsi"/>
                <w:szCs w:val="17"/>
              </w:rPr>
              <w:br/>
              <w:t>measure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actual</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target</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rPr>
                <w:rFonts w:cstheme="minorHAnsi"/>
                <w:szCs w:val="17"/>
              </w:rPr>
            </w:pPr>
            <w:r w:rsidRPr="00687A1C">
              <w:rPr>
                <w:rFonts w:cstheme="minorHAnsi"/>
                <w:szCs w:val="17"/>
              </w:rPr>
              <w:t>Performance variation (%)</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B77A5">
            <w:pPr>
              <w:jc w:val="center"/>
              <w:rPr>
                <w:rFonts w:cstheme="minorHAnsi"/>
                <w:szCs w:val="17"/>
              </w:rPr>
            </w:pPr>
            <w:r w:rsidRPr="00687A1C">
              <w:rPr>
                <w:rFonts w:cstheme="minorHAnsi"/>
                <w:szCs w:val="17"/>
              </w:rPr>
              <w:t>Result</w:t>
            </w:r>
          </w:p>
        </w:tc>
      </w:tr>
      <w:tr w:rsidR="003E549B" w:rsidRPr="00687A1C" w:rsidTr="00472CA1">
        <w:trPr>
          <w:trHeight w:val="113"/>
        </w:trPr>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Quantity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New or revised regulatory instruments issued</w:t>
            </w:r>
          </w:p>
          <w:p w:rsidR="003E549B" w:rsidRPr="00687A1C" w:rsidRDefault="003E549B" w:rsidP="000C64BE">
            <w:pPr>
              <w:pStyle w:val="Tabletextnotes"/>
            </w:pPr>
            <w:r w:rsidRPr="00687A1C">
              <w:t>The 2017-18 outcome is higher than the 2017-18 target due to a higher number of new regulatory instruments being issued than originally anticipated.</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7</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6</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16.7</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Performance reports for regulated businesses or industries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7</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7</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Performance reviews and compliance audits of regulated businesses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144</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144</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Price approvals of regulated businesses</w:t>
            </w:r>
          </w:p>
          <w:p w:rsidR="003E549B" w:rsidRPr="00687A1C" w:rsidRDefault="003E549B" w:rsidP="000C64BE">
            <w:pPr>
              <w:pStyle w:val="Tabletextnotes"/>
            </w:pPr>
            <w:r w:rsidRPr="00687A1C">
              <w:t>The 2017-18 outcome is lower than the 2017-18 target due to a lesser requirement to perform price approvals of regulated businesses than originally anticipated.</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24</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39</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r w:rsidRPr="00687A1C">
              <w:t>(38</w:t>
            </w:r>
            <w:r w:rsidR="00142A1F" w:rsidRPr="00687A1C">
              <w:t>.5</w:t>
            </w: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NotMet50"/>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Registration and accreditation decisions/approvals in relation to the Victorian Energy Efficiency Target Scheme</w:t>
            </w:r>
          </w:p>
          <w:p w:rsidR="003E549B" w:rsidRPr="00687A1C" w:rsidRDefault="003E549B" w:rsidP="000C64BE">
            <w:pPr>
              <w:pStyle w:val="Tabletextnotes"/>
            </w:pPr>
            <w:r w:rsidRPr="00687A1C">
              <w:t>The 2017-18 outcome is lower than the 2017-18 target as the forecast assumed activities at a higher number of smaller business and residential sites, whereas activities in the year to date are increasingly being completed at fewer</w:t>
            </w:r>
            <w:r w:rsidR="007D2DFC" w:rsidRPr="00687A1C">
              <w:t>,</w:t>
            </w:r>
            <w:r w:rsidRPr="00687A1C">
              <w:t xml:space="preserve"> larger and more complex business sites.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4</w:t>
            </w:r>
            <w:r w:rsidR="00142A1F" w:rsidRPr="00687A1C">
              <w:t xml:space="preserve"> </w:t>
            </w:r>
            <w:r w:rsidRPr="00687A1C">
              <w:t>167</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D8412D">
            <w:pPr>
              <w:pStyle w:val="Tabletextright"/>
            </w:pPr>
            <w:r w:rsidRPr="00687A1C">
              <w:t>6</w:t>
            </w:r>
            <w:r w:rsidR="00D8412D" w:rsidRPr="00687A1C">
              <w:rPr>
                <w:rFonts w:ascii="Calibri" w:hAnsi="Calibri" w:cs="Courier New"/>
              </w:rPr>
              <w:t xml:space="preserve"> </w:t>
            </w:r>
            <w:r w:rsidRPr="00687A1C">
              <w:t>000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(30.6</w:t>
            </w:r>
            <w:r w:rsidR="003E549B"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NotMet50"/>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Reviews, investigations or advisory projects</w:t>
            </w:r>
          </w:p>
          <w:p w:rsidR="003E549B" w:rsidRPr="00687A1C" w:rsidRDefault="003E549B" w:rsidP="000C64BE">
            <w:pPr>
              <w:pStyle w:val="Tabletextnotes"/>
            </w:pPr>
            <w:r w:rsidRPr="00687A1C">
              <w:t>The 2017-18 outcome is higher than the 2017-18 target due to a higher number of advisory projects being undertaken than originally anticipated.</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2</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Compliance and enforcement activities – energy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15</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Quality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Decisions upheld where subject to review, appeal or disallowance</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Timeliness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Delivery of major milestones within agreed timelines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Cost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E22ED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E22EDB" w:rsidRPr="00687A1C" w:rsidRDefault="00E22EDB" w:rsidP="003E549B">
            <w:pPr>
              <w:pStyle w:val="Tabletext"/>
            </w:pPr>
            <w:r w:rsidRPr="00687A1C">
              <w:t>Total output cost</w:t>
            </w:r>
          </w:p>
          <w:p w:rsidR="00E22EDB" w:rsidRPr="00687A1C" w:rsidRDefault="0075639E" w:rsidP="0075639E">
            <w:pPr>
              <w:pStyle w:val="Tabletextnotes"/>
            </w:pPr>
            <w:r w:rsidRPr="00687A1C">
              <w:t>The 2017-18 outcome is higher than the 2017</w:t>
            </w:r>
            <w:r w:rsidRPr="00687A1C">
              <w:noBreakHyphen/>
              <w:t xml:space="preserve">18 target </w:t>
            </w:r>
            <w:r w:rsidR="00E22EDB" w:rsidRPr="00687A1C">
              <w:t>due to additional funding for enhanced regulatory activity.</w:t>
            </w:r>
          </w:p>
        </w:tc>
        <w:tc>
          <w:tcPr>
            <w:cnfStyle w:val="000010000000" w:firstRow="0" w:lastRow="0" w:firstColumn="0" w:lastColumn="0" w:oddVBand="1" w:evenVBand="0" w:oddHBand="0" w:evenHBand="0" w:firstRowFirstColumn="0" w:firstRowLastColumn="0" w:lastRowFirstColumn="0" w:lastRowLastColumn="0"/>
            <w:tcW w:w="1080" w:type="dxa"/>
          </w:tcPr>
          <w:p w:rsidR="00E22EDB" w:rsidRPr="00687A1C" w:rsidRDefault="00E22EDB" w:rsidP="003E549B">
            <w:pPr>
              <w:pStyle w:val="Tabletextcentred"/>
            </w:pPr>
            <w:r w:rsidRPr="00687A1C">
              <w:t>$</w:t>
            </w:r>
            <w:r w:rsidRPr="00687A1C">
              <w:rPr>
                <w:rFonts w:ascii="Calibri" w:hAnsi="Calibri" w:cs="Calibri"/>
              </w:rPr>
              <w:t> </w:t>
            </w:r>
            <w:r w:rsidRPr="00687A1C">
              <w:t>million</w:t>
            </w:r>
          </w:p>
        </w:tc>
        <w:tc>
          <w:tcPr>
            <w:cnfStyle w:val="000001000000" w:firstRow="0" w:lastRow="0" w:firstColumn="0" w:lastColumn="0" w:oddVBand="0" w:evenVBand="1" w:oddHBand="0" w:evenHBand="0" w:firstRowFirstColumn="0" w:firstRowLastColumn="0" w:lastRowFirstColumn="0" w:lastRowLastColumn="0"/>
            <w:tcW w:w="1008" w:type="dxa"/>
          </w:tcPr>
          <w:p w:rsidR="00E22EDB" w:rsidRPr="00687A1C" w:rsidRDefault="00F10BB5" w:rsidP="00E22EDB">
            <w:pPr>
              <w:pStyle w:val="Tabletextright"/>
            </w:pPr>
            <w:r w:rsidRPr="00687A1C">
              <w:t>24.4</w:t>
            </w:r>
          </w:p>
        </w:tc>
        <w:tc>
          <w:tcPr>
            <w:cnfStyle w:val="000010000000" w:firstRow="0" w:lastRow="0" w:firstColumn="0" w:lastColumn="0" w:oddVBand="1" w:evenVBand="0" w:oddHBand="0" w:evenHBand="0" w:firstRowFirstColumn="0" w:firstRowLastColumn="0" w:lastRowFirstColumn="0" w:lastRowLastColumn="0"/>
            <w:tcW w:w="1008" w:type="dxa"/>
          </w:tcPr>
          <w:p w:rsidR="00E22EDB" w:rsidRPr="00687A1C" w:rsidRDefault="00F10BB5" w:rsidP="00E22EDB">
            <w:pPr>
              <w:pStyle w:val="Tabletextright"/>
            </w:pPr>
            <w:r w:rsidRPr="00687A1C">
              <w:t>22.8</w:t>
            </w:r>
          </w:p>
        </w:tc>
        <w:tc>
          <w:tcPr>
            <w:cnfStyle w:val="000001000000" w:firstRow="0" w:lastRow="0" w:firstColumn="0" w:lastColumn="0" w:oddVBand="0" w:evenVBand="1" w:oddHBand="0" w:evenHBand="0" w:firstRowFirstColumn="0" w:firstRowLastColumn="0" w:lastRowFirstColumn="0" w:lastRowLastColumn="0"/>
            <w:tcW w:w="1324" w:type="dxa"/>
          </w:tcPr>
          <w:p w:rsidR="00E22EDB" w:rsidRPr="00687A1C" w:rsidRDefault="00AB6E4D" w:rsidP="00E22EDB">
            <w:pPr>
              <w:pStyle w:val="Tabletextright"/>
            </w:pPr>
            <w:r w:rsidRPr="00687A1C">
              <w:t>(</w:t>
            </w:r>
            <w:r w:rsidR="00683C4F" w:rsidRPr="00687A1C">
              <w:t>7.0</w:t>
            </w: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E22EDB" w:rsidRPr="00687A1C" w:rsidRDefault="00E22EDB" w:rsidP="007F3DFC">
            <w:pPr>
              <w:pStyle w:val="TargetNotMet50"/>
            </w:pPr>
          </w:p>
        </w:tc>
      </w:tr>
    </w:tbl>
    <w:p w:rsidR="003E549B" w:rsidRPr="00687A1C" w:rsidRDefault="003E549B" w:rsidP="003E549B">
      <w:pPr>
        <w:ind w:right="245"/>
      </w:pPr>
    </w:p>
    <w:p w:rsidR="003E549B" w:rsidRPr="00687A1C" w:rsidRDefault="003E549B">
      <w:pPr>
        <w:spacing w:before="0" w:after="0"/>
      </w:pPr>
      <w:r w:rsidRPr="00687A1C">
        <w:br w:type="page"/>
      </w:r>
    </w:p>
    <w:p w:rsidR="003E549B" w:rsidRPr="00687A1C" w:rsidRDefault="003E549B" w:rsidP="003E549B">
      <w:pPr>
        <w:pStyle w:val="Heading2"/>
      </w:pPr>
      <w:r w:rsidRPr="00687A1C">
        <w:lastRenderedPageBreak/>
        <w:t>Improve how Government manages its balance sheet, commercial activities and public sector infrastructure</w:t>
      </w:r>
    </w:p>
    <w:p w:rsidR="003E549B" w:rsidRPr="00687A1C" w:rsidRDefault="003E549B" w:rsidP="00523948">
      <w:r w:rsidRPr="00687A1C">
        <w:t>This objective delivers Government policies focused on oversighting the State</w:t>
      </w:r>
      <w:r w:rsidR="009469FE" w:rsidRPr="00687A1C">
        <w:t>’</w:t>
      </w:r>
      <w:r w:rsidRPr="00687A1C">
        <w:t xml:space="preserve">s balance sheet, major infrastructure and government business enterprises by the delivery and application of prudent financial and commercial principles and practices. </w:t>
      </w:r>
    </w:p>
    <w:p w:rsidR="003E549B" w:rsidRPr="00687A1C" w:rsidRDefault="003E549B" w:rsidP="00523948">
      <w:r w:rsidRPr="00687A1C">
        <w:t>The Department leads the development of strategic commercial and financial advice to Government to support key decisions regarding the State</w:t>
      </w:r>
      <w:r w:rsidR="009469FE" w:rsidRPr="00687A1C">
        <w:t>’</w:t>
      </w:r>
      <w:r w:rsidRPr="00687A1C">
        <w:t>s financial assets and liabilities and infrastructure investment to drive improvement in public sector commercial and asset management and the delivery of infrastructure for the State of Victoria.</w:t>
      </w:r>
    </w:p>
    <w:p w:rsidR="003E549B" w:rsidRPr="00687A1C" w:rsidRDefault="003E549B" w:rsidP="00523948">
      <w:r w:rsidRPr="00687A1C">
        <w:t>The departmental objective indicators are:</w:t>
      </w:r>
    </w:p>
    <w:p w:rsidR="003E549B" w:rsidRPr="00687A1C" w:rsidRDefault="003E549B" w:rsidP="00523948">
      <w:pPr>
        <w:pStyle w:val="Bullet"/>
      </w:pPr>
      <w:r w:rsidRPr="00687A1C">
        <w:t>percentage of Government projects completed within agreed budgets, timeframes and scope or evidenced by timely and appropriate remedial actions where necessary;</w:t>
      </w:r>
    </w:p>
    <w:p w:rsidR="003E549B" w:rsidRPr="00687A1C" w:rsidRDefault="009253F0" w:rsidP="00523948">
      <w:pPr>
        <w:pStyle w:val="Bullet"/>
      </w:pPr>
      <w:r w:rsidRPr="00687A1C">
        <w:t xml:space="preserve">government </w:t>
      </w:r>
      <w:r w:rsidR="007D2DFC" w:rsidRPr="00687A1C">
        <w:t xml:space="preserve">business enterprises </w:t>
      </w:r>
      <w:r w:rsidR="003E549B" w:rsidRPr="00687A1C">
        <w:t>performing against agreed financial and non-financial indicators; and</w:t>
      </w:r>
    </w:p>
    <w:p w:rsidR="003E549B" w:rsidRPr="00687A1C" w:rsidRDefault="003E549B" w:rsidP="00523948">
      <w:pPr>
        <w:pStyle w:val="Bullet"/>
      </w:pPr>
      <w:r w:rsidRPr="00687A1C">
        <w:t>advice contributes to the achievement of Government policies and priorities relating to Victoria</w:t>
      </w:r>
      <w:r w:rsidR="009469FE" w:rsidRPr="00687A1C">
        <w:t>’</w:t>
      </w:r>
      <w:r w:rsidRPr="00687A1C">
        <w:t>s balance sheet, commercial activities and public sector infrastructure.</w:t>
      </w:r>
    </w:p>
    <w:p w:rsidR="003E549B" w:rsidRPr="00687A1C" w:rsidRDefault="003E549B" w:rsidP="003E549B">
      <w:pPr>
        <w:pStyle w:val="Heading3"/>
      </w:pPr>
      <w:r w:rsidRPr="00687A1C">
        <w:t>Commercial and Infrastructure Advice</w:t>
      </w:r>
    </w:p>
    <w:p w:rsidR="003E549B" w:rsidRPr="00687A1C" w:rsidRDefault="003E549B" w:rsidP="00523948">
      <w:r w:rsidRPr="00687A1C">
        <w:t>This output contributes to the Department</w:t>
      </w:r>
      <w:r w:rsidR="009469FE" w:rsidRPr="00687A1C">
        <w:t>’</w:t>
      </w:r>
      <w:r w:rsidRPr="00687A1C">
        <w:t xml:space="preserve">s objective to improve how Government manages its balance sheet, commercial activities and public sector infrastructure by: </w:t>
      </w:r>
    </w:p>
    <w:p w:rsidR="003E549B" w:rsidRPr="00687A1C" w:rsidRDefault="003E549B" w:rsidP="003E549B">
      <w:pPr>
        <w:pStyle w:val="Bullet"/>
      </w:pPr>
      <w:r w:rsidRPr="00687A1C">
        <w:t xml:space="preserve">providing advice to Government and guidance to departments on infrastructure investment and other major commercial projects; </w:t>
      </w:r>
    </w:p>
    <w:p w:rsidR="003E549B" w:rsidRPr="00687A1C" w:rsidRDefault="003E549B" w:rsidP="00523948">
      <w:pPr>
        <w:pStyle w:val="Bullet"/>
      </w:pPr>
      <w:r w:rsidRPr="00687A1C">
        <w:t>overseeing a range of commercial and transactional activities on behalf of Government, including providing governance oversight of government business enterprises and advice to Government, departments and agencies relating to future uses or disposal of surplus government land, property, management of contaminated land liabilities, office accommodation for the public service, and management of the Greener Government Buildings Program;</w:t>
      </w:r>
    </w:p>
    <w:p w:rsidR="003E549B" w:rsidRPr="00687A1C" w:rsidRDefault="003E549B" w:rsidP="003E549B">
      <w:pPr>
        <w:pStyle w:val="Bullet"/>
      </w:pPr>
      <w:r w:rsidRPr="00687A1C">
        <w:t>providing advice and reports on the State</w:t>
      </w:r>
      <w:r w:rsidR="009469FE" w:rsidRPr="00687A1C">
        <w:t>’</w:t>
      </w:r>
      <w:r w:rsidRPr="00687A1C">
        <w:t>s financial assets and liabilities and associated financial risks, including the State</w:t>
      </w:r>
      <w:r w:rsidR="009469FE" w:rsidRPr="00687A1C">
        <w:t>’</w:t>
      </w:r>
      <w:r w:rsidRPr="00687A1C">
        <w:t>s investments, debts, unfunded superannuation, insurance claims liabilities and overseeing the registration and regulation of rental housing agencies;</w:t>
      </w:r>
    </w:p>
    <w:p w:rsidR="003E549B" w:rsidRPr="00687A1C" w:rsidRDefault="003E549B" w:rsidP="003E549B">
      <w:pPr>
        <w:pStyle w:val="Bullet"/>
      </w:pPr>
      <w:r w:rsidRPr="00687A1C">
        <w:t xml:space="preserve">providing commercial, financial and risk management advice to Government and guidance to departments regarding infrastructure projects including Partnerships Victoria projects and managing major commercial activities on behalf of Government; </w:t>
      </w:r>
    </w:p>
    <w:p w:rsidR="003E549B" w:rsidRPr="00687A1C" w:rsidRDefault="003E549B" w:rsidP="003E549B">
      <w:pPr>
        <w:pStyle w:val="Bullet"/>
      </w:pPr>
      <w:r w:rsidRPr="00687A1C">
        <w:t>overseeing potential asset recycling opportunities; and</w:t>
      </w:r>
    </w:p>
    <w:p w:rsidR="003E549B" w:rsidRPr="00687A1C" w:rsidRDefault="003E549B" w:rsidP="003E549B">
      <w:pPr>
        <w:pStyle w:val="Bullet"/>
      </w:pPr>
      <w:r w:rsidRPr="00687A1C">
        <w:t>producing budget and financial reporting data for government business enterprise sectors.</w:t>
      </w:r>
    </w:p>
    <w:p w:rsidR="003E549B" w:rsidRPr="00687A1C" w:rsidRDefault="003E549B" w:rsidP="00523948">
      <w:r w:rsidRPr="00687A1C">
        <w:t>The performance measures below compare targets and expected or actual results from the delivery of programs and services as part of this output:</w:t>
      </w:r>
    </w:p>
    <w:tbl>
      <w:tblPr>
        <w:tblStyle w:val="AnnualReporttexttable"/>
        <w:tblW w:w="8946" w:type="dxa"/>
        <w:tblInd w:w="108" w:type="dxa"/>
        <w:tblLayout w:type="fixed"/>
        <w:tblLook w:val="02A0" w:firstRow="1" w:lastRow="0" w:firstColumn="1" w:lastColumn="0" w:noHBand="1" w:noVBand="0"/>
      </w:tblPr>
      <w:tblGrid>
        <w:gridCol w:w="3600"/>
        <w:gridCol w:w="1080"/>
        <w:gridCol w:w="1008"/>
        <w:gridCol w:w="1008"/>
        <w:gridCol w:w="1324"/>
        <w:gridCol w:w="926"/>
      </w:tblGrid>
      <w:tr w:rsidR="003E549B" w:rsidRPr="00687A1C" w:rsidTr="00472C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472CA1">
            <w:pPr>
              <w:keepNext/>
              <w:jc w:val="left"/>
              <w:rPr>
                <w:rFonts w:cstheme="minorHAnsi"/>
                <w:szCs w:val="17"/>
              </w:rPr>
            </w:pPr>
            <w:r w:rsidRPr="00687A1C">
              <w:rPr>
                <w:rFonts w:cstheme="minorHAnsi"/>
                <w:szCs w:val="17"/>
              </w:rPr>
              <w:t>Performance measures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jc w:val="center"/>
              <w:rPr>
                <w:rFonts w:cstheme="minorHAnsi"/>
                <w:szCs w:val="17"/>
              </w:rPr>
            </w:pPr>
            <w:r w:rsidRPr="00687A1C">
              <w:rPr>
                <w:rFonts w:cstheme="minorHAnsi"/>
                <w:szCs w:val="17"/>
              </w:rPr>
              <w:t xml:space="preserve">Unit of </w:t>
            </w:r>
            <w:r w:rsidRPr="00687A1C">
              <w:rPr>
                <w:rFonts w:cstheme="minorHAnsi"/>
                <w:szCs w:val="17"/>
              </w:rPr>
              <w:br/>
              <w:t>measure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actual</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target</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rPr>
                <w:rFonts w:cstheme="minorHAnsi"/>
                <w:szCs w:val="17"/>
              </w:rPr>
            </w:pPr>
            <w:r w:rsidRPr="00687A1C">
              <w:rPr>
                <w:rFonts w:cstheme="minorHAnsi"/>
                <w:szCs w:val="17"/>
              </w:rPr>
              <w:t>Performance variation (%)</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rPr>
                <w:rFonts w:cstheme="minorHAnsi"/>
                <w:szCs w:val="17"/>
              </w:rPr>
            </w:pPr>
            <w:r w:rsidRPr="00687A1C">
              <w:rPr>
                <w:rFonts w:cstheme="minorHAnsi"/>
                <w:szCs w:val="17"/>
              </w:rPr>
              <w:t xml:space="preserve">Result </w:t>
            </w: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Quantity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Develop and implement policies, procedures and training to govern and build capability to deliver infrastructure investment</w:t>
            </w:r>
          </w:p>
          <w:p w:rsidR="003E549B" w:rsidRPr="00687A1C" w:rsidRDefault="003E549B" w:rsidP="000C64BE">
            <w:pPr>
              <w:pStyle w:val="Tabletextnotes"/>
            </w:pPr>
            <w:r w:rsidRPr="00687A1C">
              <w:t xml:space="preserve">The 2017-18 outcome is lower than the 2017-18 target due to </w:t>
            </w:r>
            <w:r w:rsidR="000C64BE" w:rsidRPr="00687A1C">
              <w:t>fewer changes to investment management policies, which resulted in decreased demand for infrastructure policy training sessions and fewer requests for presentations to external delegations.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48</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60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r w:rsidRPr="00687A1C">
              <w:t>(20)</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NotMet50"/>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Gateway reviews undertaken</w:t>
            </w:r>
          </w:p>
          <w:p w:rsidR="003E549B" w:rsidRPr="00687A1C" w:rsidRDefault="000C64BE" w:rsidP="000C64BE">
            <w:pPr>
              <w:pStyle w:val="Tabletextnotes"/>
            </w:pPr>
            <w:r w:rsidRPr="00687A1C">
              <w:t>Larger than forecast due to unexpected increase in volume of projects and reviews experienced in quarters 2 and 4.</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0C64BE" w:rsidP="003E549B">
            <w:pPr>
              <w:pStyle w:val="Tabletextright"/>
            </w:pPr>
            <w:r w:rsidRPr="00687A1C">
              <w:t>89</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70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0C64BE" w:rsidP="003E549B">
            <w:pPr>
              <w:pStyle w:val="Tabletextright"/>
            </w:pPr>
            <w:r w:rsidRPr="00687A1C">
              <w:t>27.1</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B77A5">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F21189">
            <w:pPr>
              <w:pStyle w:val="Tabletext"/>
              <w:keepNext/>
            </w:pPr>
            <w:r w:rsidRPr="00687A1C">
              <w:lastRenderedPageBreak/>
              <w:t>Revenue from sale of surplus Government land including Crown land</w:t>
            </w:r>
          </w:p>
          <w:p w:rsidR="003E549B" w:rsidRPr="00687A1C" w:rsidRDefault="003E549B" w:rsidP="00F21189">
            <w:pPr>
              <w:pStyle w:val="Tabletextnotes"/>
              <w:keepNext/>
            </w:pPr>
            <w:r w:rsidRPr="00687A1C">
              <w:t xml:space="preserve">The 2017-18 outcome is lower than the 2017-18 target </w:t>
            </w:r>
            <w:r w:rsidR="00E16454" w:rsidRPr="00687A1C">
              <w:t>due to reprofiling of the land sales program between financial years.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w:t>
            </w:r>
            <w:r w:rsidR="006F069A" w:rsidRPr="00687A1C">
              <w:rPr>
                <w:rFonts w:ascii="Calibri" w:hAnsi="Calibri" w:cs="Calibri"/>
              </w:rPr>
              <w:t> </w:t>
            </w:r>
            <w:r w:rsidR="006F069A" w:rsidRPr="00687A1C">
              <w:t>million</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557568">
            <w:pPr>
              <w:pStyle w:val="Tabletextright"/>
            </w:pPr>
            <w:r w:rsidRPr="00687A1C">
              <w:t>145.</w:t>
            </w:r>
            <w:r w:rsidR="00557568" w:rsidRPr="00687A1C">
              <w:t>8</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200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(27.1</w:t>
            </w:r>
            <w:r w:rsidR="003E549B"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NotMet50"/>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F21189">
            <w:pPr>
              <w:pStyle w:val="Tabletext"/>
              <w:keepNext/>
            </w:pPr>
            <w:r w:rsidRPr="00687A1C">
              <w:t>Coordinate and produce presentations for the annual review meetings with credit rating agencies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2</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2</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Provision of PNFC/PFC financial estimates and actuals, along with commentary and analysis, for the State budget papers and financial reports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number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6</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6</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Quality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Maintain ISO 9001 (Quality Management Systems) Certification</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Percentage of registered housing agencies assessed annually as meeting performance standards</w:t>
            </w:r>
          </w:p>
          <w:p w:rsidR="003E549B" w:rsidRPr="00687A1C" w:rsidRDefault="003E549B" w:rsidP="000C64BE">
            <w:pPr>
              <w:pStyle w:val="Tabletextnotes"/>
            </w:pPr>
            <w:r w:rsidRPr="00687A1C">
              <w:t xml:space="preserve">This is a new performance measure for 2017-18. The registered agencies (39 in total) performed strongly against the Performance Standards for the reporting year 2016-17. Each agency was assessed against the seven Performance Standards with a rating of either Met, Does not Meet or Capacity to Meet. Of the 39 agencies and seven Performance Standards, only four agencies were rated as </w:t>
            </w:r>
            <w:r w:rsidR="009469FE" w:rsidRPr="00687A1C">
              <w:t>‘</w:t>
            </w:r>
            <w:r w:rsidRPr="00687A1C">
              <w:t>Capacity to Meet</w:t>
            </w:r>
            <w:r w:rsidR="009469FE" w:rsidRPr="00687A1C">
              <w:t>’</w:t>
            </w:r>
            <w:r w:rsidRPr="00687A1C">
              <w:t xml:space="preserve"> in six instances (of total 273) representing a high level of compliance. None of the agencies failed to meet the Performance Standards (rating of Does not Meet).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98</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90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142A1F" w:rsidP="003E549B">
            <w:pPr>
              <w:pStyle w:val="Tabletextright"/>
            </w:pPr>
            <w:r w:rsidRPr="00687A1C">
              <w:t>8.9</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7D2DFC">
            <w:pPr>
              <w:pStyle w:val="Tabletextmeasure"/>
            </w:pPr>
            <w:r w:rsidRPr="00687A1C">
              <w:t>Timeliness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7D2DFC">
            <w:pPr>
              <w:pStyle w:val="Tabletext"/>
            </w:pPr>
            <w:r w:rsidRPr="00687A1C">
              <w:t>Advice provided to Government on board appointments at least three</w:t>
            </w:r>
            <w:r w:rsidR="007D2DFC" w:rsidRPr="00687A1C">
              <w:t xml:space="preserve"> </w:t>
            </w:r>
            <w:r w:rsidRPr="00687A1C">
              <w:t>months prior to upcoming</w:t>
            </w:r>
            <w:r w:rsidRPr="00687A1C">
              <w:rPr>
                <w:rFonts w:ascii="Calibri" w:hAnsi="Calibri" w:cs="Courier New"/>
              </w:rPr>
              <w:t> </w:t>
            </w:r>
            <w:r w:rsidRPr="00687A1C">
              <w:t>board vacancies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E22EDB"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Analysis and review of corporate plans within two months of receipt</w:t>
            </w:r>
          </w:p>
          <w:p w:rsidR="003E549B" w:rsidRPr="00687A1C" w:rsidRDefault="003E549B" w:rsidP="00E22EDB">
            <w:pPr>
              <w:pStyle w:val="Tabletextnotes"/>
            </w:pPr>
            <w:r w:rsidRPr="00687A1C">
              <w:t xml:space="preserve">The 2017-18 outcome is higher than the 2017-18 target due to successful review of </w:t>
            </w:r>
            <w:r w:rsidR="007D2DFC" w:rsidRPr="00687A1C">
              <w:t xml:space="preserve">corporate plans </w:t>
            </w:r>
            <w:r w:rsidRPr="00687A1C">
              <w:t xml:space="preserve">and resolution of issues with Government </w:t>
            </w:r>
            <w:r w:rsidR="007D2DFC" w:rsidRPr="00687A1C">
              <w:t xml:space="preserve">business enterprises </w:t>
            </w:r>
            <w:r w:rsidRPr="00687A1C">
              <w:t>within the two month time frame.</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95</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90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r w:rsidRPr="00687A1C">
              <w:t>5.6</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Dividend collection in accordance with budget decisions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E22EDB" w:rsidP="00E22ED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Cost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23251A"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23251A" w:rsidRPr="00687A1C" w:rsidRDefault="0023251A" w:rsidP="003E549B">
            <w:pPr>
              <w:pStyle w:val="Tabletext"/>
            </w:pPr>
            <w:r w:rsidRPr="00687A1C">
              <w:t>Tota</w:t>
            </w:r>
            <w:r w:rsidRPr="00687A1C">
              <w:rPr>
                <w:rStyle w:val="TabletextChar"/>
              </w:rPr>
              <w:t>l</w:t>
            </w:r>
            <w:r w:rsidRPr="00687A1C">
              <w:t xml:space="preserve"> output cost</w:t>
            </w:r>
          </w:p>
          <w:p w:rsidR="0023251A" w:rsidRPr="00687A1C" w:rsidRDefault="0075639E" w:rsidP="0075639E">
            <w:pPr>
              <w:pStyle w:val="Tabletextnotes"/>
            </w:pPr>
            <w:r w:rsidRPr="00687A1C">
              <w:t>The 2017-18 outcome is higher than the 2017</w:t>
            </w:r>
            <w:r w:rsidRPr="00687A1C">
              <w:noBreakHyphen/>
              <w:t xml:space="preserve">18 target due to additional funding of $7.6 million for the </w:t>
            </w:r>
            <w:r w:rsidR="00FD5A22" w:rsidRPr="00687A1C">
              <w:t xml:space="preserve">commercial transactions </w:t>
            </w:r>
            <w:r w:rsidR="0023251A" w:rsidRPr="00687A1C">
              <w:t>and Western Road</w:t>
            </w:r>
            <w:r w:rsidR="00FD5A22" w:rsidRPr="00687A1C">
              <w:t>s</w:t>
            </w:r>
            <w:r w:rsidR="0023251A" w:rsidRPr="00687A1C">
              <w:t xml:space="preserve"> Upgrade and offset by $0.9 million lower depreciation expenses for buildings and internal reprioritisation to other outputs.</w:t>
            </w:r>
          </w:p>
        </w:tc>
        <w:tc>
          <w:tcPr>
            <w:cnfStyle w:val="000010000000" w:firstRow="0" w:lastRow="0" w:firstColumn="0" w:lastColumn="0" w:oddVBand="1" w:evenVBand="0" w:oddHBand="0" w:evenHBand="0" w:firstRowFirstColumn="0" w:firstRowLastColumn="0" w:lastRowFirstColumn="0" w:lastRowLastColumn="0"/>
            <w:tcW w:w="1080" w:type="dxa"/>
          </w:tcPr>
          <w:p w:rsidR="0023251A" w:rsidRPr="00687A1C" w:rsidRDefault="0023251A" w:rsidP="003E549B">
            <w:pPr>
              <w:pStyle w:val="Tabletextcentred"/>
            </w:pPr>
            <w:r w:rsidRPr="00687A1C">
              <w:t>$</w:t>
            </w:r>
            <w:r w:rsidRPr="00687A1C">
              <w:rPr>
                <w:rFonts w:ascii="Calibri" w:hAnsi="Calibri" w:cs="Calibri"/>
              </w:rPr>
              <w:t> </w:t>
            </w:r>
            <w:r w:rsidRPr="00687A1C">
              <w:t>million</w:t>
            </w:r>
          </w:p>
        </w:tc>
        <w:tc>
          <w:tcPr>
            <w:cnfStyle w:val="000001000000" w:firstRow="0" w:lastRow="0" w:firstColumn="0" w:lastColumn="0" w:oddVBand="0" w:evenVBand="1" w:oddHBand="0" w:evenHBand="0" w:firstRowFirstColumn="0" w:firstRowLastColumn="0" w:lastRowFirstColumn="0" w:lastRowLastColumn="0"/>
            <w:tcW w:w="1008" w:type="dxa"/>
          </w:tcPr>
          <w:p w:rsidR="0023251A" w:rsidRPr="00687A1C" w:rsidRDefault="00F10BB5" w:rsidP="00525A0B">
            <w:pPr>
              <w:pStyle w:val="Tabletextright"/>
            </w:pPr>
            <w:r w:rsidRPr="00687A1C">
              <w:t>74.5</w:t>
            </w:r>
          </w:p>
        </w:tc>
        <w:tc>
          <w:tcPr>
            <w:cnfStyle w:val="000010000000" w:firstRow="0" w:lastRow="0" w:firstColumn="0" w:lastColumn="0" w:oddVBand="1" w:evenVBand="0" w:oddHBand="0" w:evenHBand="0" w:firstRowFirstColumn="0" w:firstRowLastColumn="0" w:lastRowFirstColumn="0" w:lastRowLastColumn="0"/>
            <w:tcW w:w="1008" w:type="dxa"/>
          </w:tcPr>
          <w:p w:rsidR="0023251A" w:rsidRPr="00687A1C" w:rsidRDefault="00F10BB5" w:rsidP="00525A0B">
            <w:pPr>
              <w:pStyle w:val="Tabletextright"/>
            </w:pPr>
            <w:r w:rsidRPr="00687A1C">
              <w:t>70.9</w:t>
            </w:r>
          </w:p>
        </w:tc>
        <w:tc>
          <w:tcPr>
            <w:cnfStyle w:val="000001000000" w:firstRow="0" w:lastRow="0" w:firstColumn="0" w:lastColumn="0" w:oddVBand="0" w:evenVBand="1" w:oddHBand="0" w:evenHBand="0" w:firstRowFirstColumn="0" w:firstRowLastColumn="0" w:lastRowFirstColumn="0" w:lastRowLastColumn="0"/>
            <w:tcW w:w="1324" w:type="dxa"/>
          </w:tcPr>
          <w:p w:rsidR="0023251A" w:rsidRPr="00687A1C" w:rsidRDefault="00AB6E4D" w:rsidP="00525A0B">
            <w:pPr>
              <w:pStyle w:val="Tabletextright"/>
            </w:pPr>
            <w:r w:rsidRPr="00687A1C">
              <w:t>(</w:t>
            </w:r>
            <w:r w:rsidR="00683C4F" w:rsidRPr="00687A1C">
              <w:t>5.1</w:t>
            </w: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23251A" w:rsidRPr="00687A1C" w:rsidRDefault="0023251A" w:rsidP="00E22EDB">
            <w:pPr>
              <w:pStyle w:val="TargetNotMet50"/>
            </w:pPr>
          </w:p>
        </w:tc>
      </w:tr>
    </w:tbl>
    <w:p w:rsidR="00B03F4D" w:rsidRPr="00687A1C" w:rsidRDefault="00B03F4D" w:rsidP="001A32DF"/>
    <w:p w:rsidR="003E549B" w:rsidRPr="00687A1C" w:rsidRDefault="003E549B">
      <w:pPr>
        <w:spacing w:before="0" w:after="0"/>
      </w:pPr>
    </w:p>
    <w:p w:rsidR="007D2DFC" w:rsidRPr="00687A1C" w:rsidRDefault="007D2DFC">
      <w:pPr>
        <w:spacing w:before="0" w:after="0"/>
        <w:rPr>
          <w:rFonts w:cstheme="minorHAnsi"/>
          <w:b/>
          <w:color w:val="404040"/>
          <w:sz w:val="24"/>
          <w:szCs w:val="28"/>
        </w:rPr>
      </w:pPr>
      <w:r w:rsidRPr="00687A1C">
        <w:br w:type="page"/>
      </w:r>
    </w:p>
    <w:p w:rsidR="003E549B" w:rsidRPr="00687A1C" w:rsidRDefault="003E549B" w:rsidP="003E549B">
      <w:pPr>
        <w:pStyle w:val="Heading2"/>
        <w:rPr>
          <w:rFonts w:eastAsiaTheme="minorHAnsi"/>
        </w:rPr>
      </w:pPr>
      <w:r w:rsidRPr="00687A1C">
        <w:lastRenderedPageBreak/>
        <w:t>Deliver efficient whole of government common services</w:t>
      </w:r>
    </w:p>
    <w:p w:rsidR="003E549B" w:rsidRPr="00687A1C" w:rsidRDefault="003E549B" w:rsidP="00523948">
      <w:pPr>
        <w:rPr>
          <w:rFonts w:eastAsiaTheme="minorHAnsi"/>
        </w:rPr>
      </w:pPr>
      <w:r w:rsidRPr="00687A1C">
        <w:rPr>
          <w:rFonts w:eastAsiaTheme="minorHAnsi"/>
        </w:rPr>
        <w:t xml:space="preserve">This objective delivers whole of government common services through working with business partners. </w:t>
      </w:r>
    </w:p>
    <w:p w:rsidR="003E549B" w:rsidRPr="00687A1C" w:rsidRDefault="003E549B" w:rsidP="00523948">
      <w:pPr>
        <w:rPr>
          <w:rFonts w:eastAsiaTheme="minorHAnsi"/>
        </w:rPr>
      </w:pPr>
      <w:r w:rsidRPr="00687A1C">
        <w:rPr>
          <w:rFonts w:eastAsiaTheme="minorHAnsi"/>
        </w:rPr>
        <w:t xml:space="preserve">The Department leads the delivery of integrated and client-centred whole of government services, policies and initiatives to achieve value for the Victorian public sector. Areas include procurement, fleet and accommodation. </w:t>
      </w:r>
    </w:p>
    <w:p w:rsidR="003E549B" w:rsidRPr="00687A1C" w:rsidRDefault="003E549B" w:rsidP="00523948">
      <w:pPr>
        <w:rPr>
          <w:rFonts w:eastAsiaTheme="minorHAnsi"/>
        </w:rPr>
      </w:pPr>
      <w:r w:rsidRPr="00687A1C">
        <w:rPr>
          <w:rFonts w:eastAsiaTheme="minorHAnsi"/>
        </w:rPr>
        <w:t>The departmental objective indicators are:</w:t>
      </w:r>
    </w:p>
    <w:p w:rsidR="003E549B" w:rsidRPr="00687A1C" w:rsidRDefault="003E549B" w:rsidP="003E549B">
      <w:pPr>
        <w:pStyle w:val="Bullet"/>
        <w:rPr>
          <w:rFonts w:eastAsiaTheme="minorHAnsi"/>
        </w:rPr>
      </w:pPr>
      <w:r w:rsidRPr="00687A1C">
        <w:rPr>
          <w:rFonts w:eastAsiaTheme="minorHAnsi"/>
        </w:rPr>
        <w:t>benefits delivered as a percentage of expenditure by mandated agencies under DTF-managed state purchase contracts, including reduced and avoided costs;</w:t>
      </w:r>
    </w:p>
    <w:p w:rsidR="003E549B" w:rsidRPr="00687A1C" w:rsidRDefault="003E549B" w:rsidP="003E549B">
      <w:pPr>
        <w:pStyle w:val="Bullet"/>
        <w:rPr>
          <w:rFonts w:eastAsiaTheme="minorHAnsi"/>
        </w:rPr>
      </w:pPr>
      <w:r w:rsidRPr="00687A1C">
        <w:rPr>
          <w:rFonts w:eastAsiaTheme="minorHAnsi"/>
        </w:rPr>
        <w:t>low vacancy rates for government office accommodation maintained; and</w:t>
      </w:r>
    </w:p>
    <w:p w:rsidR="003E549B" w:rsidRPr="00687A1C" w:rsidRDefault="003E549B" w:rsidP="003E549B">
      <w:pPr>
        <w:pStyle w:val="Bullet"/>
        <w:rPr>
          <w:rFonts w:eastAsiaTheme="minorHAnsi"/>
        </w:rPr>
      </w:pPr>
      <w:r w:rsidRPr="00687A1C">
        <w:rPr>
          <w:rFonts w:eastAsiaTheme="minorHAnsi"/>
        </w:rPr>
        <w:t>high quality whole of government common services provided to Government agencies, as assessed by feedback from key clients.</w:t>
      </w:r>
    </w:p>
    <w:p w:rsidR="003E549B" w:rsidRPr="00687A1C" w:rsidRDefault="003E549B" w:rsidP="00523948">
      <w:pPr>
        <w:pStyle w:val="Heading3"/>
      </w:pPr>
      <w:r w:rsidRPr="00687A1C">
        <w:t>Services to Government</w:t>
      </w:r>
    </w:p>
    <w:p w:rsidR="003E549B" w:rsidRPr="00687A1C" w:rsidRDefault="003E549B" w:rsidP="00523948">
      <w:r w:rsidRPr="00687A1C">
        <w:t>The output contributes to the Department</w:t>
      </w:r>
      <w:r w:rsidR="009469FE" w:rsidRPr="00687A1C">
        <w:t>’</w:t>
      </w:r>
      <w:r w:rsidRPr="00687A1C">
        <w:t xml:space="preserve">s objective of delivering efficient whole of government common services to the Victorian public sector by: </w:t>
      </w:r>
    </w:p>
    <w:p w:rsidR="003E549B" w:rsidRPr="00687A1C" w:rsidRDefault="003E549B" w:rsidP="003E549B">
      <w:pPr>
        <w:pStyle w:val="Bullet"/>
      </w:pPr>
      <w:r w:rsidRPr="00687A1C">
        <w:t xml:space="preserve">developing and maintaining a framework of whole of government policies, standards and guidelines which promote the efficient and effective use of common services including procurement, fleet and accommodation; </w:t>
      </w:r>
    </w:p>
    <w:p w:rsidR="003E549B" w:rsidRPr="00687A1C" w:rsidRDefault="003E549B" w:rsidP="003E549B">
      <w:pPr>
        <w:pStyle w:val="Bullet"/>
      </w:pPr>
      <w:r w:rsidRPr="00687A1C">
        <w:t xml:space="preserve">managing a program of whole of government procurement contracts to ensure optimum benefit to government; </w:t>
      </w:r>
    </w:p>
    <w:p w:rsidR="003E549B" w:rsidRPr="00687A1C" w:rsidRDefault="003E549B" w:rsidP="003E549B">
      <w:pPr>
        <w:pStyle w:val="Bullet"/>
      </w:pPr>
      <w:r w:rsidRPr="00687A1C">
        <w:t xml:space="preserve">supporting the operations of the Victorian Government Purchasing Board; </w:t>
      </w:r>
    </w:p>
    <w:p w:rsidR="003E549B" w:rsidRPr="00687A1C" w:rsidRDefault="003E549B" w:rsidP="003E549B">
      <w:pPr>
        <w:pStyle w:val="Bullet"/>
      </w:pPr>
      <w:r w:rsidRPr="00687A1C">
        <w:t>providing whole of government accommodation; and</w:t>
      </w:r>
    </w:p>
    <w:p w:rsidR="003E549B" w:rsidRPr="00687A1C" w:rsidRDefault="003E549B" w:rsidP="003E549B">
      <w:pPr>
        <w:pStyle w:val="Bullet"/>
      </w:pPr>
      <w:r w:rsidRPr="00687A1C">
        <w:t>providing of efficient fleet leasing and management services.</w:t>
      </w:r>
    </w:p>
    <w:p w:rsidR="00BD3381" w:rsidRPr="00687A1C" w:rsidRDefault="00BD3381" w:rsidP="00BD3381">
      <w:r w:rsidRPr="00687A1C">
        <w:t>The performance measures below compare targets and expected or actual results from the delivery of programs and services as part of this output:</w:t>
      </w:r>
    </w:p>
    <w:tbl>
      <w:tblPr>
        <w:tblStyle w:val="AnnualReporttexttable"/>
        <w:tblW w:w="8946" w:type="dxa"/>
        <w:tblInd w:w="108" w:type="dxa"/>
        <w:tblLayout w:type="fixed"/>
        <w:tblLook w:val="02A0" w:firstRow="1" w:lastRow="0" w:firstColumn="1" w:lastColumn="0" w:noHBand="1" w:noVBand="0"/>
      </w:tblPr>
      <w:tblGrid>
        <w:gridCol w:w="3600"/>
        <w:gridCol w:w="1080"/>
        <w:gridCol w:w="1008"/>
        <w:gridCol w:w="1008"/>
        <w:gridCol w:w="1324"/>
        <w:gridCol w:w="926"/>
      </w:tblGrid>
      <w:tr w:rsidR="003E549B" w:rsidRPr="00687A1C" w:rsidTr="00472C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jc w:val="left"/>
              <w:rPr>
                <w:rFonts w:cstheme="minorHAnsi"/>
                <w:szCs w:val="17"/>
              </w:rPr>
            </w:pPr>
            <w:r w:rsidRPr="00687A1C">
              <w:rPr>
                <w:rFonts w:cstheme="minorHAnsi"/>
                <w:szCs w:val="17"/>
              </w:rPr>
              <w:t>Performance measures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jc w:val="center"/>
              <w:rPr>
                <w:rFonts w:cstheme="minorHAnsi"/>
                <w:szCs w:val="17"/>
              </w:rPr>
            </w:pPr>
            <w:r w:rsidRPr="00687A1C">
              <w:rPr>
                <w:rFonts w:cstheme="minorHAnsi"/>
                <w:szCs w:val="17"/>
              </w:rPr>
              <w:t xml:space="preserve">Unit of </w:t>
            </w:r>
            <w:r w:rsidRPr="00687A1C">
              <w:rPr>
                <w:rFonts w:cstheme="minorHAnsi"/>
                <w:szCs w:val="17"/>
              </w:rPr>
              <w:br/>
              <w:t>measure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actual</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rPr>
                <w:rFonts w:cstheme="minorHAnsi"/>
                <w:szCs w:val="17"/>
              </w:rPr>
            </w:pPr>
            <w:r w:rsidRPr="00687A1C">
              <w:rPr>
                <w:rFonts w:cstheme="minorHAnsi"/>
                <w:szCs w:val="17"/>
              </w:rPr>
              <w:t>2017</w:t>
            </w:r>
            <w:r w:rsidRPr="00687A1C">
              <w:rPr>
                <w:rFonts w:cstheme="minorHAnsi"/>
                <w:szCs w:val="17"/>
              </w:rPr>
              <w:noBreakHyphen/>
              <w:t>18 target</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rPr>
                <w:rFonts w:cstheme="minorHAnsi"/>
                <w:szCs w:val="17"/>
              </w:rPr>
            </w:pPr>
            <w:r w:rsidRPr="00687A1C">
              <w:rPr>
                <w:rFonts w:cstheme="minorHAnsi"/>
                <w:szCs w:val="17"/>
              </w:rPr>
              <w:t>Performance variation (%)</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rPr>
                <w:rFonts w:cstheme="minorHAnsi"/>
                <w:szCs w:val="17"/>
              </w:rPr>
            </w:pPr>
            <w:r w:rsidRPr="00687A1C">
              <w:rPr>
                <w:rFonts w:cstheme="minorHAnsi"/>
                <w:szCs w:val="17"/>
              </w:rPr>
              <w:t xml:space="preserve">Result </w:t>
            </w: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Quantity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Total accommodation cost</w:t>
            </w:r>
          </w:p>
          <w:p w:rsidR="003E549B" w:rsidRPr="00687A1C" w:rsidRDefault="003E549B" w:rsidP="00557568">
            <w:pPr>
              <w:pStyle w:val="Tabletextnotes"/>
            </w:pPr>
            <w:r w:rsidRPr="00687A1C">
              <w:t>The 2017-18 outcome is higher than the 2017-18 target as the State has continued to</w:t>
            </w:r>
            <w:r w:rsidR="009469FE" w:rsidRPr="00687A1C">
              <w:t xml:space="preserve"> </w:t>
            </w:r>
            <w:r w:rsidRPr="00687A1C">
              <w:t xml:space="preserve">lease a significant amount of additional space in the CBD to keep up with rising demand and accommodate staff working on priority initiatives. This coupled with low vacancy rates in the </w:t>
            </w:r>
            <w:r w:rsidR="007D2DFC" w:rsidRPr="00687A1C">
              <w:t xml:space="preserve">eastern </w:t>
            </w:r>
            <w:r w:rsidRPr="00687A1C">
              <w:t>end of the CBD has caused a</w:t>
            </w:r>
            <w:r w:rsidR="00557568" w:rsidRPr="00687A1C">
              <w:t xml:space="preserve">n </w:t>
            </w:r>
            <w:r w:rsidRPr="00687A1C">
              <w:t>increase in newly leased rents.</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 per square metre per year</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443</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395</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r w:rsidRPr="00687A1C">
              <w:t>12.2</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NotMet50"/>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Workspace ratio</w:t>
            </w:r>
          </w:p>
          <w:p w:rsidR="003E549B" w:rsidRPr="00687A1C" w:rsidRDefault="003E549B" w:rsidP="0023251A">
            <w:pPr>
              <w:pStyle w:val="Tabletextnotes"/>
            </w:pPr>
            <w:r w:rsidRPr="00687A1C">
              <w:t>The average area per FTE is below the target of 14.4 sqm per FTE, though if adjusted to account for shift and operation workers from VicPol, the average area per FTE is 12.8 sqm per FTE.</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square metre per FTE</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11.9</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14.4</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r w:rsidRPr="00687A1C">
              <w:t>17.4</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Quality</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Client agencies</w:t>
            </w:r>
            <w:r w:rsidR="009469FE" w:rsidRPr="00687A1C">
              <w:t>’</w:t>
            </w:r>
            <w:r w:rsidRPr="00687A1C">
              <w:t xml:space="preserve"> satisfaction with the service provided by the Shared Service Provider</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F336DC" w:rsidP="003E549B">
            <w:pPr>
              <w:pStyle w:val="Tabletextright"/>
            </w:pPr>
            <w:r w:rsidRPr="00687A1C">
              <w:t>70.6</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F336DC" w:rsidP="003E549B">
            <w:pPr>
              <w:pStyle w:val="Tabletextright"/>
            </w:pPr>
            <w:r w:rsidRPr="00687A1C">
              <w:t>70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F336DC" w:rsidP="003E549B">
            <w:pPr>
              <w:pStyle w:val="Tabletextright"/>
            </w:pPr>
            <w:r w:rsidRPr="00687A1C">
              <w:t>0.85</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F336D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
            </w:pPr>
            <w:r w:rsidRPr="00687A1C">
              <w:t>Maintain ISO 9001 (Quality Management Systems) Certification</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r w:rsidRPr="00687A1C">
              <w:t>per cent</w:t>
            </w: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r w:rsidRPr="00687A1C">
              <w:t>100</w:t>
            </w: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7F3DFC">
            <w:pPr>
              <w:pStyle w:val="TargetMet"/>
            </w:pPr>
          </w:p>
        </w:tc>
      </w:tr>
      <w:tr w:rsidR="003E549B"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3E549B" w:rsidRPr="00687A1C" w:rsidRDefault="003E549B" w:rsidP="003E549B">
            <w:pPr>
              <w:pStyle w:val="Tabletextmeasure"/>
            </w:pPr>
            <w:r w:rsidRPr="00687A1C">
              <w:t>Cost</w:t>
            </w:r>
          </w:p>
        </w:tc>
        <w:tc>
          <w:tcPr>
            <w:cnfStyle w:val="000010000000" w:firstRow="0" w:lastRow="0" w:firstColumn="0" w:lastColumn="0" w:oddVBand="1" w:evenVBand="0" w:oddHBand="0" w:evenHBand="0" w:firstRowFirstColumn="0" w:firstRowLastColumn="0" w:lastRowFirstColumn="0" w:lastRowLastColumn="0"/>
            <w:tcW w:w="1080" w:type="dxa"/>
          </w:tcPr>
          <w:p w:rsidR="003E549B" w:rsidRPr="00687A1C" w:rsidRDefault="003E549B" w:rsidP="003E549B">
            <w:pPr>
              <w:pStyle w:val="Tabletextcentred"/>
            </w:pPr>
          </w:p>
        </w:tc>
        <w:tc>
          <w:tcPr>
            <w:cnfStyle w:val="000001000000" w:firstRow="0" w:lastRow="0" w:firstColumn="0" w:lastColumn="0" w:oddVBand="0" w:evenVBand="1" w:oddHBand="0" w:evenHBand="0" w:firstRowFirstColumn="0" w:firstRowLastColumn="0" w:lastRowFirstColumn="0" w:lastRowLastColumn="0"/>
            <w:tcW w:w="1008"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3E549B" w:rsidRPr="00687A1C" w:rsidRDefault="003E549B" w:rsidP="003E549B">
            <w:pPr>
              <w:pStyle w:val="Tabletextright"/>
            </w:pPr>
          </w:p>
        </w:tc>
        <w:tc>
          <w:tcPr>
            <w:cnfStyle w:val="000001000000" w:firstRow="0" w:lastRow="0" w:firstColumn="0" w:lastColumn="0" w:oddVBand="0" w:evenVBand="1" w:oddHBand="0" w:evenHBand="0" w:firstRowFirstColumn="0" w:firstRowLastColumn="0" w:lastRowFirstColumn="0" w:lastRowLastColumn="0"/>
            <w:tcW w:w="1324" w:type="dxa"/>
          </w:tcPr>
          <w:p w:rsidR="003E549B" w:rsidRPr="00687A1C" w:rsidRDefault="003E549B" w:rsidP="003E549B">
            <w:pPr>
              <w:pStyle w:val="Tabletextright"/>
            </w:pPr>
          </w:p>
        </w:tc>
        <w:tc>
          <w:tcPr>
            <w:cnfStyle w:val="000010000000" w:firstRow="0" w:lastRow="0" w:firstColumn="0" w:lastColumn="0" w:oddVBand="1" w:evenVBand="0" w:oddHBand="0" w:evenHBand="0" w:firstRowFirstColumn="0" w:firstRowLastColumn="0" w:lastRowFirstColumn="0" w:lastRowLastColumn="0"/>
            <w:tcW w:w="926" w:type="dxa"/>
          </w:tcPr>
          <w:p w:rsidR="003E549B" w:rsidRPr="00687A1C" w:rsidRDefault="003E549B" w:rsidP="003E549B">
            <w:pPr>
              <w:pStyle w:val="Tabletextright"/>
              <w:jc w:val="center"/>
            </w:pPr>
          </w:p>
        </w:tc>
      </w:tr>
      <w:tr w:rsidR="0023251A" w:rsidRPr="00687A1C" w:rsidTr="00472CA1">
        <w:tc>
          <w:tcPr>
            <w:cnfStyle w:val="001000000000" w:firstRow="0" w:lastRow="0" w:firstColumn="1" w:lastColumn="0" w:oddVBand="0" w:evenVBand="0" w:oddHBand="0" w:evenHBand="0" w:firstRowFirstColumn="0" w:firstRowLastColumn="0" w:lastRowFirstColumn="0" w:lastRowLastColumn="0"/>
            <w:tcW w:w="3600" w:type="dxa"/>
          </w:tcPr>
          <w:p w:rsidR="0023251A" w:rsidRPr="00687A1C" w:rsidRDefault="0023251A" w:rsidP="0085431B">
            <w:pPr>
              <w:pStyle w:val="Tabletext"/>
            </w:pPr>
            <w:r w:rsidRPr="00687A1C">
              <w:t>Total output cost</w:t>
            </w:r>
          </w:p>
        </w:tc>
        <w:tc>
          <w:tcPr>
            <w:cnfStyle w:val="000010000000" w:firstRow="0" w:lastRow="0" w:firstColumn="0" w:lastColumn="0" w:oddVBand="1" w:evenVBand="0" w:oddHBand="0" w:evenHBand="0" w:firstRowFirstColumn="0" w:firstRowLastColumn="0" w:lastRowFirstColumn="0" w:lastRowLastColumn="0"/>
            <w:tcW w:w="1080" w:type="dxa"/>
          </w:tcPr>
          <w:p w:rsidR="0023251A" w:rsidRPr="00687A1C" w:rsidRDefault="0023251A" w:rsidP="003E549B">
            <w:pPr>
              <w:pStyle w:val="Tabletextcentred"/>
            </w:pPr>
            <w:r w:rsidRPr="00687A1C">
              <w:t>$</w:t>
            </w:r>
            <w:r w:rsidRPr="00687A1C">
              <w:rPr>
                <w:rFonts w:ascii="Calibri" w:hAnsi="Calibri" w:cs="Calibri"/>
              </w:rPr>
              <w:t> </w:t>
            </w:r>
            <w:r w:rsidRPr="00687A1C">
              <w:t>million</w:t>
            </w:r>
          </w:p>
        </w:tc>
        <w:tc>
          <w:tcPr>
            <w:cnfStyle w:val="000001000000" w:firstRow="0" w:lastRow="0" w:firstColumn="0" w:lastColumn="0" w:oddVBand="0" w:evenVBand="1" w:oddHBand="0" w:evenHBand="0" w:firstRowFirstColumn="0" w:firstRowLastColumn="0" w:lastRowFirstColumn="0" w:lastRowLastColumn="0"/>
            <w:tcW w:w="1008" w:type="dxa"/>
          </w:tcPr>
          <w:p w:rsidR="0023251A" w:rsidRPr="00687A1C" w:rsidRDefault="00F10BB5" w:rsidP="00525A0B">
            <w:pPr>
              <w:pStyle w:val="Tabletextright"/>
            </w:pPr>
            <w:r w:rsidRPr="00687A1C">
              <w:t>40.3</w:t>
            </w:r>
          </w:p>
        </w:tc>
        <w:tc>
          <w:tcPr>
            <w:cnfStyle w:val="000010000000" w:firstRow="0" w:lastRow="0" w:firstColumn="0" w:lastColumn="0" w:oddVBand="1" w:evenVBand="0" w:oddHBand="0" w:evenHBand="0" w:firstRowFirstColumn="0" w:firstRowLastColumn="0" w:lastRowFirstColumn="0" w:lastRowLastColumn="0"/>
            <w:tcW w:w="1008" w:type="dxa"/>
          </w:tcPr>
          <w:p w:rsidR="0023251A" w:rsidRPr="00687A1C" w:rsidRDefault="00F10BB5" w:rsidP="00525A0B">
            <w:pPr>
              <w:pStyle w:val="Tabletextright"/>
            </w:pPr>
            <w:r w:rsidRPr="00687A1C">
              <w:t>41.3</w:t>
            </w:r>
          </w:p>
        </w:tc>
        <w:tc>
          <w:tcPr>
            <w:cnfStyle w:val="000001000000" w:firstRow="0" w:lastRow="0" w:firstColumn="0" w:lastColumn="0" w:oddVBand="0" w:evenVBand="1" w:oddHBand="0" w:evenHBand="0" w:firstRowFirstColumn="0" w:firstRowLastColumn="0" w:lastRowFirstColumn="0" w:lastRowLastColumn="0"/>
            <w:tcW w:w="1324" w:type="dxa"/>
          </w:tcPr>
          <w:p w:rsidR="0023251A" w:rsidRPr="00687A1C" w:rsidRDefault="00683C4F" w:rsidP="00525A0B">
            <w:pPr>
              <w:pStyle w:val="Tabletextright"/>
            </w:pPr>
            <w:r w:rsidRPr="00687A1C">
              <w:t>2.4</w:t>
            </w:r>
          </w:p>
        </w:tc>
        <w:tc>
          <w:tcPr>
            <w:cnfStyle w:val="000010000000" w:firstRow="0" w:lastRow="0" w:firstColumn="0" w:lastColumn="0" w:oddVBand="1" w:evenVBand="0" w:oddHBand="0" w:evenHBand="0" w:firstRowFirstColumn="0" w:firstRowLastColumn="0" w:lastRowFirstColumn="0" w:lastRowLastColumn="0"/>
            <w:tcW w:w="926" w:type="dxa"/>
          </w:tcPr>
          <w:p w:rsidR="0023251A" w:rsidRPr="00687A1C" w:rsidRDefault="0023251A" w:rsidP="008A0F6B">
            <w:pPr>
              <w:pStyle w:val="TargetMet"/>
            </w:pPr>
          </w:p>
        </w:tc>
      </w:tr>
    </w:tbl>
    <w:p w:rsidR="007B7064" w:rsidRPr="00687A1C" w:rsidRDefault="007B7064" w:rsidP="007B7064">
      <w:pPr>
        <w:pStyle w:val="Spacer"/>
        <w:spacing w:line="240" w:lineRule="auto"/>
      </w:pPr>
      <w:bookmarkStart w:id="17" w:name="PerfOutput_end"/>
    </w:p>
    <w:bookmarkEnd w:id="17"/>
    <w:p w:rsidR="0085431B" w:rsidRPr="00687A1C" w:rsidRDefault="0085431B" w:rsidP="0085431B">
      <w:pPr>
        <w:pStyle w:val="Spacer"/>
        <w:rPr>
          <w:rFonts w:eastAsiaTheme="minorHAnsi"/>
        </w:rPr>
      </w:pPr>
    </w:p>
    <w:p w:rsidR="0085431B" w:rsidRPr="00687A1C" w:rsidRDefault="0085431B" w:rsidP="0085431B">
      <w:pPr>
        <w:pStyle w:val="Spacer"/>
        <w:rPr>
          <w:rFonts w:eastAsiaTheme="minorHAnsi"/>
        </w:rPr>
      </w:pPr>
    </w:p>
    <w:p w:rsidR="003E549B" w:rsidRPr="00687A1C" w:rsidRDefault="003E549B" w:rsidP="007B7064">
      <w:pPr>
        <w:pStyle w:val="Heading2"/>
        <w:spacing w:before="0"/>
        <w:rPr>
          <w:rFonts w:eastAsiaTheme="minorHAnsi"/>
        </w:rPr>
      </w:pPr>
      <w:r w:rsidRPr="00687A1C">
        <w:rPr>
          <w:rFonts w:eastAsiaTheme="minorHAnsi"/>
        </w:rPr>
        <w:t>Discontinued operations</w:t>
      </w:r>
    </w:p>
    <w:p w:rsidR="007D2DFC" w:rsidRPr="00687A1C" w:rsidRDefault="003E549B" w:rsidP="00252AF1">
      <w:r w:rsidRPr="00687A1C">
        <w:t>There were no discontinued operations in 2017-18.</w:t>
      </w:r>
    </w:p>
    <w:p w:rsidR="00C4305B" w:rsidRPr="00687A1C" w:rsidRDefault="00C4305B" w:rsidP="00C4305B">
      <w:pPr>
        <w:sectPr w:rsidR="00C4305B" w:rsidRPr="00687A1C" w:rsidSect="00292D5E">
          <w:pgSz w:w="11909" w:h="16834" w:code="9"/>
          <w:pgMar w:top="1728" w:right="1152" w:bottom="1152" w:left="1152" w:header="720" w:footer="288" w:gutter="0"/>
          <w:cols w:space="720"/>
          <w:noEndnote/>
        </w:sectPr>
      </w:pPr>
    </w:p>
    <w:p w:rsidR="00F21189" w:rsidRDefault="00F21189">
      <w:pPr>
        <w:spacing w:before="0" w:after="0" w:line="240" w:lineRule="auto"/>
        <w:rPr>
          <w:rFonts w:cstheme="minorHAnsi"/>
          <w:b/>
          <w:color w:val="404040"/>
          <w:sz w:val="24"/>
          <w:szCs w:val="28"/>
        </w:rPr>
      </w:pPr>
      <w:r>
        <w:br w:type="page"/>
      </w:r>
    </w:p>
    <w:p w:rsidR="005B32E9" w:rsidRPr="00687A1C" w:rsidRDefault="00C4305B" w:rsidP="00252AF1">
      <w:pPr>
        <w:pStyle w:val="Heading2"/>
        <w:rPr>
          <w:vertAlign w:val="superscript"/>
        </w:rPr>
      </w:pPr>
      <w:r w:rsidRPr="00687A1C">
        <w:lastRenderedPageBreak/>
        <w:t>Victorian Transport Fund</w:t>
      </w:r>
      <w:r w:rsidR="003527AD" w:rsidRPr="00687A1C">
        <w:rPr>
          <w:vertAlign w:val="superscript"/>
        </w:rPr>
        <w:t>(a)</w:t>
      </w:r>
    </w:p>
    <w:p w:rsidR="00C4305B" w:rsidRPr="00687A1C" w:rsidRDefault="00C4305B" w:rsidP="003527AD">
      <w:pPr>
        <w:pStyle w:val="Tableheading"/>
      </w:pPr>
      <w:r w:rsidRPr="00687A1C">
        <w:t>Balance of the trust as at 30 June 201</w:t>
      </w:r>
      <w:r w:rsidR="006D50FC" w:rsidRPr="00687A1C">
        <w:t>8</w:t>
      </w:r>
    </w:p>
    <w:tbl>
      <w:tblPr>
        <w:tblStyle w:val="AnnualReportfinancialtable"/>
        <w:tblW w:w="4496" w:type="dxa"/>
        <w:tblLook w:val="04A0" w:firstRow="1" w:lastRow="0" w:firstColumn="1" w:lastColumn="0" w:noHBand="0" w:noVBand="1"/>
      </w:tblPr>
      <w:tblGrid>
        <w:gridCol w:w="3506"/>
        <w:gridCol w:w="990"/>
      </w:tblGrid>
      <w:tr w:rsidR="00241912" w:rsidRPr="00687A1C" w:rsidTr="00241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noWrap/>
            <w:hideMark/>
          </w:tcPr>
          <w:p w:rsidR="00241912" w:rsidRPr="00687A1C" w:rsidRDefault="00241912" w:rsidP="00241912">
            <w:pPr>
              <w:pStyle w:val="Tabletext"/>
            </w:pPr>
          </w:p>
        </w:tc>
        <w:tc>
          <w:tcPr>
            <w:tcW w:w="990" w:type="dxa"/>
            <w:noWrap/>
            <w:hideMark/>
          </w:tcPr>
          <w:p w:rsidR="00241912" w:rsidRPr="00687A1C" w:rsidRDefault="00241912" w:rsidP="008F632E">
            <w:pPr>
              <w:pStyle w:val="Tabletextheadingright"/>
              <w:cnfStyle w:val="100000000000" w:firstRow="1" w:lastRow="0" w:firstColumn="0" w:lastColumn="0" w:oddVBand="0" w:evenVBand="0" w:oddHBand="0" w:evenHBand="0" w:firstRowFirstColumn="0" w:firstRowLastColumn="0" w:lastRowFirstColumn="0" w:lastRowLastColumn="0"/>
              <w:rPr>
                <w:b/>
              </w:rPr>
            </w:pPr>
            <w:r w:rsidRPr="00687A1C">
              <w:rPr>
                <w:b/>
              </w:rPr>
              <w:t>201</w:t>
            </w:r>
            <w:r w:rsidR="008F632E" w:rsidRPr="00687A1C">
              <w:rPr>
                <w:b/>
              </w:rPr>
              <w:t>7</w:t>
            </w:r>
            <w:r w:rsidRPr="00687A1C">
              <w:rPr>
                <w:b/>
              </w:rPr>
              <w:t>-1</w:t>
            </w:r>
            <w:r w:rsidR="008F632E" w:rsidRPr="00687A1C">
              <w:rPr>
                <w:b/>
              </w:rPr>
              <w:t>8</w:t>
            </w:r>
            <w:r w:rsidRPr="00687A1C">
              <w:rPr>
                <w:b/>
              </w:rPr>
              <w:t xml:space="preserve"> actual</w:t>
            </w:r>
          </w:p>
        </w:tc>
      </w:tr>
      <w:tr w:rsidR="00241912" w:rsidRPr="00687A1C" w:rsidTr="00241912">
        <w:tc>
          <w:tcPr>
            <w:cnfStyle w:val="001000000000" w:firstRow="0" w:lastRow="0" w:firstColumn="1" w:lastColumn="0" w:oddVBand="0" w:evenVBand="0" w:oddHBand="0" w:evenHBand="0" w:firstRowFirstColumn="0" w:firstRowLastColumn="0" w:lastRowFirstColumn="0" w:lastRowLastColumn="0"/>
            <w:tcW w:w="3506" w:type="dxa"/>
            <w:noWrap/>
            <w:hideMark/>
          </w:tcPr>
          <w:p w:rsidR="00241912" w:rsidRPr="00687A1C" w:rsidRDefault="00241912" w:rsidP="00241912">
            <w:pPr>
              <w:pStyle w:val="Tabletext"/>
            </w:pPr>
          </w:p>
        </w:tc>
        <w:tc>
          <w:tcPr>
            <w:tcW w:w="990" w:type="dxa"/>
            <w:noWrap/>
            <w:hideMark/>
          </w:tcPr>
          <w:p w:rsidR="00241912" w:rsidRPr="00687A1C" w:rsidRDefault="00241912" w:rsidP="00241912">
            <w:pPr>
              <w:pStyle w:val="Tabletextheadingright"/>
              <w:cnfStyle w:val="000000000000" w:firstRow="0" w:lastRow="0" w:firstColumn="0" w:lastColumn="0" w:oddVBand="0" w:evenVBand="0" w:oddHBand="0" w:evenHBand="0" w:firstRowFirstColumn="0" w:firstRowLastColumn="0" w:lastRowFirstColumn="0" w:lastRowLastColumn="0"/>
            </w:pPr>
            <w:r w:rsidRPr="00687A1C">
              <w:t>$m</w:t>
            </w:r>
          </w:p>
        </w:tc>
      </w:tr>
      <w:tr w:rsidR="00241912" w:rsidRPr="00687A1C" w:rsidTr="008F632E">
        <w:tc>
          <w:tcPr>
            <w:cnfStyle w:val="001000000000" w:firstRow="0" w:lastRow="0" w:firstColumn="1" w:lastColumn="0" w:oddVBand="0" w:evenVBand="0" w:oddHBand="0" w:evenHBand="0" w:firstRowFirstColumn="0" w:firstRowLastColumn="0" w:lastRowFirstColumn="0" w:lastRowLastColumn="0"/>
            <w:tcW w:w="3506" w:type="dxa"/>
            <w:noWrap/>
            <w:hideMark/>
          </w:tcPr>
          <w:p w:rsidR="00241912" w:rsidRPr="00687A1C" w:rsidRDefault="00241912" w:rsidP="00241912">
            <w:pPr>
              <w:pStyle w:val="Tabletextbold"/>
            </w:pPr>
            <w:r w:rsidRPr="00687A1C">
              <w:t>Opening balance</w:t>
            </w:r>
          </w:p>
        </w:tc>
        <w:tc>
          <w:tcPr>
            <w:tcW w:w="990" w:type="dxa"/>
            <w:shd w:val="clear" w:color="auto" w:fill="E0E0E0"/>
            <w:noWrap/>
          </w:tcPr>
          <w:p w:rsidR="00241912" w:rsidRPr="00687A1C" w:rsidRDefault="00380502"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8</w:t>
            </w:r>
            <w:r w:rsidR="00D8412D" w:rsidRPr="00687A1C">
              <w:rPr>
                <w:rFonts w:ascii="Calibri" w:hAnsi="Calibri" w:cs="Calibri"/>
                <w:b w:val="0"/>
                <w:bCs w:val="0"/>
              </w:rPr>
              <w:t xml:space="preserve"> </w:t>
            </w:r>
            <w:r w:rsidRPr="00687A1C">
              <w:t>394</w:t>
            </w:r>
          </w:p>
        </w:tc>
      </w:tr>
      <w:tr w:rsidR="00241912" w:rsidRPr="00687A1C" w:rsidTr="008F632E">
        <w:tc>
          <w:tcPr>
            <w:cnfStyle w:val="001000000000" w:firstRow="0" w:lastRow="0" w:firstColumn="1" w:lastColumn="0" w:oddVBand="0" w:evenVBand="0" w:oddHBand="0" w:evenHBand="0" w:firstRowFirstColumn="0" w:firstRowLastColumn="0" w:lastRowFirstColumn="0" w:lastRowLastColumn="0"/>
            <w:tcW w:w="3506" w:type="dxa"/>
            <w:noWrap/>
            <w:hideMark/>
          </w:tcPr>
          <w:p w:rsidR="00241912" w:rsidRPr="00687A1C" w:rsidRDefault="00241912" w:rsidP="00241912">
            <w:pPr>
              <w:pStyle w:val="Tabletext"/>
            </w:pPr>
            <w:r w:rsidRPr="00687A1C">
              <w:t>Receipts into the trust</w:t>
            </w:r>
          </w:p>
        </w:tc>
        <w:tc>
          <w:tcPr>
            <w:tcW w:w="990" w:type="dxa"/>
            <w:shd w:val="clear" w:color="auto" w:fill="E0E0E0"/>
            <w:noWrap/>
          </w:tcPr>
          <w:p w:rsidR="00241912" w:rsidRPr="00687A1C" w:rsidRDefault="00241912" w:rsidP="00F2216D">
            <w:pPr>
              <w:pStyle w:val="Tabletextright"/>
              <w:cnfStyle w:val="000000000000" w:firstRow="0" w:lastRow="0" w:firstColumn="0" w:lastColumn="0" w:oddVBand="0" w:evenVBand="0" w:oddHBand="0" w:evenHBand="0" w:firstRowFirstColumn="0" w:firstRowLastColumn="0" w:lastRowFirstColumn="0" w:lastRowLastColumn="0"/>
            </w:pPr>
          </w:p>
        </w:tc>
      </w:tr>
      <w:tr w:rsidR="00380502" w:rsidRPr="00687A1C" w:rsidTr="00C73900">
        <w:tc>
          <w:tcPr>
            <w:cnfStyle w:val="001000000000" w:firstRow="0" w:lastRow="0" w:firstColumn="1" w:lastColumn="0" w:oddVBand="0" w:evenVBand="0" w:oddHBand="0" w:evenHBand="0" w:firstRowFirstColumn="0" w:firstRowLastColumn="0" w:lastRowFirstColumn="0" w:lastRowLastColumn="0"/>
            <w:tcW w:w="3506" w:type="dxa"/>
            <w:noWrap/>
            <w:hideMark/>
          </w:tcPr>
          <w:p w:rsidR="00380502" w:rsidRPr="00687A1C" w:rsidRDefault="00380502" w:rsidP="00380502">
            <w:pPr>
              <w:pStyle w:val="Tabletextindent"/>
              <w:spacing w:before="20" w:after="20"/>
              <w:ind w:left="270"/>
            </w:pPr>
            <w:r w:rsidRPr="00687A1C">
              <w:t xml:space="preserve">Interest revenue </w:t>
            </w:r>
          </w:p>
        </w:tc>
        <w:tc>
          <w:tcPr>
            <w:tcW w:w="990" w:type="dxa"/>
            <w:shd w:val="clear" w:color="auto" w:fill="E0E0E0"/>
            <w:noWrap/>
            <w:vAlign w:val="center"/>
          </w:tcPr>
          <w:p w:rsidR="00380502" w:rsidRPr="00687A1C" w:rsidRDefault="00380502" w:rsidP="00380502">
            <w:pPr>
              <w:pStyle w:val="Tabletextright"/>
              <w:cnfStyle w:val="000000000000" w:firstRow="0" w:lastRow="0" w:firstColumn="0" w:lastColumn="0" w:oddVBand="0" w:evenVBand="0" w:oddHBand="0" w:evenHBand="0" w:firstRowFirstColumn="0" w:firstRowLastColumn="0" w:lastRowFirstColumn="0" w:lastRowLastColumn="0"/>
            </w:pPr>
            <w:r w:rsidRPr="00687A1C">
              <w:t xml:space="preserve">120 </w:t>
            </w:r>
          </w:p>
        </w:tc>
      </w:tr>
      <w:tr w:rsidR="00380502" w:rsidRPr="00687A1C" w:rsidTr="00C73900">
        <w:tc>
          <w:tcPr>
            <w:cnfStyle w:val="001000000000" w:firstRow="0" w:lastRow="0" w:firstColumn="1" w:lastColumn="0" w:oddVBand="0" w:evenVBand="0" w:oddHBand="0" w:evenHBand="0" w:firstRowFirstColumn="0" w:firstRowLastColumn="0" w:lastRowFirstColumn="0" w:lastRowLastColumn="0"/>
            <w:tcW w:w="3506" w:type="dxa"/>
            <w:noWrap/>
            <w:hideMark/>
          </w:tcPr>
          <w:p w:rsidR="00380502" w:rsidRPr="00687A1C" w:rsidRDefault="00380502" w:rsidP="00380502">
            <w:pPr>
              <w:pStyle w:val="Tabletextindent"/>
              <w:spacing w:before="20" w:after="20"/>
              <w:ind w:left="270"/>
            </w:pPr>
            <w:r w:rsidRPr="00687A1C">
              <w:t>Commonwealth funding</w:t>
            </w:r>
            <w:r w:rsidRPr="00687A1C">
              <w:rPr>
                <w:vertAlign w:val="superscript"/>
              </w:rPr>
              <w:t>(</w:t>
            </w:r>
            <w:r w:rsidR="005E5744" w:rsidRPr="00687A1C">
              <w:rPr>
                <w:vertAlign w:val="superscript"/>
              </w:rPr>
              <w:t>b</w:t>
            </w:r>
            <w:r w:rsidRPr="00687A1C">
              <w:rPr>
                <w:vertAlign w:val="superscript"/>
              </w:rPr>
              <w:t>)</w:t>
            </w:r>
          </w:p>
        </w:tc>
        <w:tc>
          <w:tcPr>
            <w:tcW w:w="990" w:type="dxa"/>
            <w:shd w:val="clear" w:color="auto" w:fill="E0E0E0"/>
            <w:noWrap/>
            <w:vAlign w:val="center"/>
          </w:tcPr>
          <w:p w:rsidR="00380502" w:rsidRPr="00687A1C" w:rsidRDefault="00380502" w:rsidP="00380502">
            <w:pPr>
              <w:pStyle w:val="Tabletextright"/>
              <w:cnfStyle w:val="000000000000" w:firstRow="0" w:lastRow="0" w:firstColumn="0" w:lastColumn="0" w:oddVBand="0" w:evenVBand="0" w:oddHBand="0" w:evenHBand="0" w:firstRowFirstColumn="0" w:firstRowLastColumn="0" w:lastRowFirstColumn="0" w:lastRowLastColumn="0"/>
            </w:pPr>
            <w:r w:rsidRPr="00687A1C">
              <w:t xml:space="preserve">38 </w:t>
            </w:r>
          </w:p>
        </w:tc>
      </w:tr>
      <w:tr w:rsidR="00380502" w:rsidRPr="00687A1C" w:rsidTr="00C73900">
        <w:tc>
          <w:tcPr>
            <w:cnfStyle w:val="001000000000" w:firstRow="0" w:lastRow="0" w:firstColumn="1" w:lastColumn="0" w:oddVBand="0" w:evenVBand="0" w:oddHBand="0" w:evenHBand="0" w:firstRowFirstColumn="0" w:firstRowLastColumn="0" w:lastRowFirstColumn="0" w:lastRowLastColumn="0"/>
            <w:tcW w:w="3506" w:type="dxa"/>
            <w:noWrap/>
            <w:hideMark/>
          </w:tcPr>
          <w:p w:rsidR="00380502" w:rsidRPr="00687A1C" w:rsidRDefault="00380502" w:rsidP="00380502">
            <w:pPr>
              <w:pStyle w:val="Tabletextbold"/>
            </w:pPr>
            <w:r w:rsidRPr="00687A1C">
              <w:t>Total funding available</w:t>
            </w:r>
          </w:p>
        </w:tc>
        <w:tc>
          <w:tcPr>
            <w:tcW w:w="990" w:type="dxa"/>
            <w:shd w:val="clear" w:color="auto" w:fill="E0E0E0"/>
            <w:noWrap/>
            <w:vAlign w:val="center"/>
          </w:tcPr>
          <w:p w:rsidR="00380502" w:rsidRPr="00687A1C" w:rsidRDefault="00380502" w:rsidP="008D312D">
            <w:pPr>
              <w:pStyle w:val="Tabletextrightbold"/>
              <w:cnfStyle w:val="000000000000" w:firstRow="0" w:lastRow="0" w:firstColumn="0" w:lastColumn="0" w:oddVBand="0" w:evenVBand="0" w:oddHBand="0" w:evenHBand="0" w:firstRowFirstColumn="0" w:firstRowLastColumn="0" w:lastRowFirstColumn="0" w:lastRowLastColumn="0"/>
            </w:pPr>
            <w:r w:rsidRPr="00687A1C">
              <w:t>8</w:t>
            </w:r>
            <w:r w:rsidR="00D8412D" w:rsidRPr="00687A1C">
              <w:rPr>
                <w:rFonts w:ascii="Calibri" w:hAnsi="Calibri" w:cs="Calibri"/>
              </w:rPr>
              <w:t xml:space="preserve"> </w:t>
            </w:r>
            <w:r w:rsidRPr="00687A1C">
              <w:t>55</w:t>
            </w:r>
            <w:r w:rsidR="008D312D">
              <w:t>2</w:t>
            </w:r>
            <w:r w:rsidRPr="00687A1C">
              <w:t xml:space="preserve"> </w:t>
            </w:r>
          </w:p>
        </w:tc>
      </w:tr>
      <w:tr w:rsidR="00380502" w:rsidRPr="00687A1C" w:rsidTr="008F632E">
        <w:tc>
          <w:tcPr>
            <w:cnfStyle w:val="001000000000" w:firstRow="0" w:lastRow="0" w:firstColumn="1" w:lastColumn="0" w:oddVBand="0" w:evenVBand="0" w:oddHBand="0" w:evenHBand="0" w:firstRowFirstColumn="0" w:firstRowLastColumn="0" w:lastRowFirstColumn="0" w:lastRowLastColumn="0"/>
            <w:tcW w:w="3506" w:type="dxa"/>
            <w:noWrap/>
            <w:hideMark/>
          </w:tcPr>
          <w:p w:rsidR="00380502" w:rsidRPr="00687A1C" w:rsidRDefault="00380502" w:rsidP="00380502">
            <w:pPr>
              <w:pStyle w:val="Tabletext"/>
            </w:pPr>
          </w:p>
        </w:tc>
        <w:tc>
          <w:tcPr>
            <w:tcW w:w="990" w:type="dxa"/>
            <w:shd w:val="clear" w:color="auto" w:fill="E0E0E0"/>
            <w:noWrap/>
          </w:tcPr>
          <w:p w:rsidR="00380502" w:rsidRPr="00687A1C" w:rsidRDefault="00380502" w:rsidP="00380502">
            <w:pPr>
              <w:pStyle w:val="Tabletextright"/>
              <w:cnfStyle w:val="000000000000" w:firstRow="0" w:lastRow="0" w:firstColumn="0" w:lastColumn="0" w:oddVBand="0" w:evenVBand="0" w:oddHBand="0" w:evenHBand="0" w:firstRowFirstColumn="0" w:firstRowLastColumn="0" w:lastRowFirstColumn="0" w:lastRowLastColumn="0"/>
            </w:pPr>
          </w:p>
        </w:tc>
      </w:tr>
      <w:tr w:rsidR="00380502" w:rsidRPr="00687A1C" w:rsidTr="008F632E">
        <w:tc>
          <w:tcPr>
            <w:cnfStyle w:val="001000000000" w:firstRow="0" w:lastRow="0" w:firstColumn="1" w:lastColumn="0" w:oddVBand="0" w:evenVBand="0" w:oddHBand="0" w:evenHBand="0" w:firstRowFirstColumn="0" w:firstRowLastColumn="0" w:lastRowFirstColumn="0" w:lastRowLastColumn="0"/>
            <w:tcW w:w="3506" w:type="dxa"/>
            <w:noWrap/>
            <w:hideMark/>
          </w:tcPr>
          <w:p w:rsidR="00380502" w:rsidRPr="00687A1C" w:rsidRDefault="00380502" w:rsidP="00380502">
            <w:pPr>
              <w:pStyle w:val="Tabletext"/>
            </w:pPr>
            <w:r w:rsidRPr="00687A1C">
              <w:t>Payments from the trust</w:t>
            </w:r>
          </w:p>
        </w:tc>
        <w:tc>
          <w:tcPr>
            <w:tcW w:w="990" w:type="dxa"/>
            <w:shd w:val="clear" w:color="auto" w:fill="E0E0E0"/>
            <w:noWrap/>
          </w:tcPr>
          <w:p w:rsidR="00380502" w:rsidRPr="00687A1C" w:rsidRDefault="00380502" w:rsidP="00380502">
            <w:pPr>
              <w:pStyle w:val="Tabletextright"/>
              <w:cnfStyle w:val="000000000000" w:firstRow="0" w:lastRow="0" w:firstColumn="0" w:lastColumn="0" w:oddVBand="0" w:evenVBand="0" w:oddHBand="0" w:evenHBand="0" w:firstRowFirstColumn="0" w:firstRowLastColumn="0" w:lastRowFirstColumn="0" w:lastRowLastColumn="0"/>
            </w:pPr>
          </w:p>
        </w:tc>
      </w:tr>
      <w:tr w:rsidR="00D968A9" w:rsidRPr="00687A1C" w:rsidTr="00C73900">
        <w:tc>
          <w:tcPr>
            <w:cnfStyle w:val="001000000000" w:firstRow="0" w:lastRow="0" w:firstColumn="1" w:lastColumn="0" w:oddVBand="0" w:evenVBand="0" w:oddHBand="0" w:evenHBand="0" w:firstRowFirstColumn="0" w:firstRowLastColumn="0" w:lastRowFirstColumn="0" w:lastRowLastColumn="0"/>
            <w:tcW w:w="3506" w:type="dxa"/>
            <w:noWrap/>
            <w:vAlign w:val="center"/>
            <w:hideMark/>
          </w:tcPr>
          <w:p w:rsidR="00D968A9" w:rsidRPr="00687A1C" w:rsidRDefault="00D968A9" w:rsidP="00C73900">
            <w:pPr>
              <w:pStyle w:val="Tabletextindent"/>
              <w:spacing w:before="20" w:after="20"/>
              <w:ind w:left="270"/>
            </w:pPr>
            <w:r w:rsidRPr="00687A1C">
              <w:t>Caulfield to Dandenong conventional signalling and power infrastructure upgrade</w:t>
            </w:r>
          </w:p>
        </w:tc>
        <w:tc>
          <w:tcPr>
            <w:tcW w:w="990" w:type="dxa"/>
            <w:shd w:val="clear" w:color="auto" w:fill="E0E0E0"/>
            <w:noWrap/>
          </w:tcPr>
          <w:p w:rsidR="00D968A9" w:rsidRPr="00687A1C" w:rsidRDefault="00D968A9" w:rsidP="00C73900">
            <w:pPr>
              <w:pStyle w:val="Tabletextright"/>
              <w:cnfStyle w:val="000000000000" w:firstRow="0" w:lastRow="0" w:firstColumn="0" w:lastColumn="0" w:oddVBand="0" w:evenVBand="0" w:oddHBand="0" w:evenHBand="0" w:firstRowFirstColumn="0" w:firstRowLastColumn="0" w:lastRowFirstColumn="0" w:lastRowLastColumn="0"/>
            </w:pPr>
            <w:r w:rsidRPr="00687A1C">
              <w:t>377</w:t>
            </w:r>
          </w:p>
        </w:tc>
      </w:tr>
      <w:tr w:rsidR="00380502" w:rsidRPr="00687A1C" w:rsidTr="0017562C">
        <w:tc>
          <w:tcPr>
            <w:cnfStyle w:val="001000000000" w:firstRow="0" w:lastRow="0" w:firstColumn="1" w:lastColumn="0" w:oddVBand="0" w:evenVBand="0" w:oddHBand="0" w:evenHBand="0" w:firstRowFirstColumn="0" w:firstRowLastColumn="0" w:lastRowFirstColumn="0" w:lastRowLastColumn="0"/>
            <w:tcW w:w="3506" w:type="dxa"/>
            <w:noWrap/>
            <w:vAlign w:val="center"/>
            <w:hideMark/>
          </w:tcPr>
          <w:p w:rsidR="00380502" w:rsidRPr="00687A1C" w:rsidRDefault="00380502" w:rsidP="00380502">
            <w:pPr>
              <w:pStyle w:val="Tabletextindent"/>
              <w:spacing w:before="20" w:after="20"/>
              <w:ind w:left="270"/>
            </w:pPr>
            <w:r w:rsidRPr="00687A1C">
              <w:t>Level Crossing Removal Program</w:t>
            </w:r>
          </w:p>
        </w:tc>
        <w:tc>
          <w:tcPr>
            <w:tcW w:w="990" w:type="dxa"/>
            <w:shd w:val="clear" w:color="auto" w:fill="E0E0E0"/>
            <w:noWrap/>
          </w:tcPr>
          <w:p w:rsidR="00380502" w:rsidRPr="00687A1C" w:rsidRDefault="00380502"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1</w:t>
            </w:r>
            <w:r w:rsidR="00D8412D" w:rsidRPr="00687A1C">
              <w:rPr>
                <w:rFonts w:ascii="Calibri" w:hAnsi="Calibri" w:cs="Calibri"/>
              </w:rPr>
              <w:t xml:space="preserve"> </w:t>
            </w:r>
            <w:r w:rsidRPr="00687A1C">
              <w:t xml:space="preserve">938 </w:t>
            </w:r>
          </w:p>
        </w:tc>
      </w:tr>
      <w:tr w:rsidR="00D968A9" w:rsidRPr="00687A1C" w:rsidTr="00C73900">
        <w:tc>
          <w:tcPr>
            <w:cnfStyle w:val="001000000000" w:firstRow="0" w:lastRow="0" w:firstColumn="1" w:lastColumn="0" w:oddVBand="0" w:evenVBand="0" w:oddHBand="0" w:evenHBand="0" w:firstRowFirstColumn="0" w:firstRowLastColumn="0" w:lastRowFirstColumn="0" w:lastRowLastColumn="0"/>
            <w:tcW w:w="3506" w:type="dxa"/>
            <w:noWrap/>
            <w:vAlign w:val="center"/>
          </w:tcPr>
          <w:p w:rsidR="00D968A9" w:rsidRPr="00687A1C" w:rsidRDefault="00D968A9" w:rsidP="00C73900">
            <w:pPr>
              <w:pStyle w:val="Tabletextindent"/>
              <w:spacing w:before="20" w:after="20"/>
              <w:ind w:left="270"/>
            </w:pPr>
            <w:r w:rsidRPr="00687A1C">
              <w:t>Major periodic maintenance on the regional rail network</w:t>
            </w:r>
          </w:p>
        </w:tc>
        <w:tc>
          <w:tcPr>
            <w:tcW w:w="990" w:type="dxa"/>
            <w:shd w:val="clear" w:color="auto" w:fill="E0E0E0"/>
            <w:noWrap/>
          </w:tcPr>
          <w:p w:rsidR="00D968A9" w:rsidRPr="00687A1C" w:rsidRDefault="00D968A9" w:rsidP="00C73900">
            <w:pPr>
              <w:pStyle w:val="Tabletextright"/>
              <w:cnfStyle w:val="000000000000" w:firstRow="0" w:lastRow="0" w:firstColumn="0" w:lastColumn="0" w:oddVBand="0" w:evenVBand="0" w:oddHBand="0" w:evenHBand="0" w:firstRowFirstColumn="0" w:firstRowLastColumn="0" w:lastRowFirstColumn="0" w:lastRowLastColumn="0"/>
            </w:pPr>
            <w:r w:rsidRPr="00687A1C">
              <w:t>99</w:t>
            </w:r>
          </w:p>
        </w:tc>
      </w:tr>
      <w:tr w:rsidR="00380502" w:rsidRPr="00687A1C" w:rsidTr="0017562C">
        <w:tc>
          <w:tcPr>
            <w:cnfStyle w:val="001000000000" w:firstRow="0" w:lastRow="0" w:firstColumn="1" w:lastColumn="0" w:oddVBand="0" w:evenVBand="0" w:oddHBand="0" w:evenHBand="0" w:firstRowFirstColumn="0" w:firstRowLastColumn="0" w:lastRowFirstColumn="0" w:lastRowLastColumn="0"/>
            <w:tcW w:w="3506" w:type="dxa"/>
            <w:noWrap/>
            <w:vAlign w:val="center"/>
            <w:hideMark/>
          </w:tcPr>
          <w:p w:rsidR="00380502" w:rsidRPr="00687A1C" w:rsidRDefault="00380502" w:rsidP="00380502">
            <w:pPr>
              <w:pStyle w:val="Tabletextindent"/>
              <w:spacing w:before="20" w:after="20"/>
              <w:ind w:left="270"/>
            </w:pPr>
            <w:r w:rsidRPr="00687A1C">
              <w:t>Metro Tunnel</w:t>
            </w:r>
          </w:p>
        </w:tc>
        <w:tc>
          <w:tcPr>
            <w:tcW w:w="990" w:type="dxa"/>
            <w:shd w:val="clear" w:color="auto" w:fill="E0E0E0"/>
            <w:noWrap/>
          </w:tcPr>
          <w:p w:rsidR="00380502" w:rsidRPr="00687A1C" w:rsidRDefault="00380502" w:rsidP="0017562C">
            <w:pPr>
              <w:pStyle w:val="Tabletextright"/>
              <w:cnfStyle w:val="000000000000" w:firstRow="0" w:lastRow="0" w:firstColumn="0" w:lastColumn="0" w:oddVBand="0" w:evenVBand="0" w:oddHBand="0" w:evenHBand="0" w:firstRowFirstColumn="0" w:firstRowLastColumn="0" w:lastRowFirstColumn="0" w:lastRowLastColumn="0"/>
            </w:pPr>
            <w:r w:rsidRPr="00687A1C">
              <w:t>673</w:t>
            </w:r>
          </w:p>
        </w:tc>
      </w:tr>
      <w:tr w:rsidR="00380502" w:rsidRPr="00687A1C" w:rsidTr="0017562C">
        <w:tc>
          <w:tcPr>
            <w:cnfStyle w:val="001000000000" w:firstRow="0" w:lastRow="0" w:firstColumn="1" w:lastColumn="0" w:oddVBand="0" w:evenVBand="0" w:oddHBand="0" w:evenHBand="0" w:firstRowFirstColumn="0" w:firstRowLastColumn="0" w:lastRowFirstColumn="0" w:lastRowLastColumn="0"/>
            <w:tcW w:w="3506" w:type="dxa"/>
            <w:noWrap/>
            <w:vAlign w:val="center"/>
            <w:hideMark/>
          </w:tcPr>
          <w:p w:rsidR="00380502" w:rsidRPr="00687A1C" w:rsidRDefault="0096304E" w:rsidP="00380502">
            <w:pPr>
              <w:pStyle w:val="Tabletextindent"/>
              <w:spacing w:before="20" w:after="20"/>
              <w:ind w:left="270"/>
            </w:pPr>
            <w:r w:rsidRPr="00687A1C">
              <w:t>More regional trains – New VL</w:t>
            </w:r>
            <w:r w:rsidR="00380502" w:rsidRPr="00687A1C">
              <w:t>ocity trains</w:t>
            </w:r>
          </w:p>
        </w:tc>
        <w:tc>
          <w:tcPr>
            <w:tcW w:w="990" w:type="dxa"/>
            <w:shd w:val="clear" w:color="auto" w:fill="E0E0E0"/>
            <w:noWrap/>
          </w:tcPr>
          <w:p w:rsidR="00380502" w:rsidRPr="00687A1C" w:rsidRDefault="00380502" w:rsidP="0017562C">
            <w:pPr>
              <w:pStyle w:val="Tabletextright"/>
              <w:cnfStyle w:val="000000000000" w:firstRow="0" w:lastRow="0" w:firstColumn="0" w:lastColumn="0" w:oddVBand="0" w:evenVBand="0" w:oddHBand="0" w:evenHBand="0" w:firstRowFirstColumn="0" w:firstRowLastColumn="0" w:lastRowFirstColumn="0" w:lastRowLastColumn="0"/>
            </w:pPr>
            <w:r w:rsidRPr="00687A1C">
              <w:t>108</w:t>
            </w:r>
          </w:p>
        </w:tc>
      </w:tr>
      <w:tr w:rsidR="00380502" w:rsidRPr="00687A1C" w:rsidTr="0017562C">
        <w:tc>
          <w:tcPr>
            <w:cnfStyle w:val="001000000000" w:firstRow="0" w:lastRow="0" w:firstColumn="1" w:lastColumn="0" w:oddVBand="0" w:evenVBand="0" w:oddHBand="0" w:evenHBand="0" w:firstRowFirstColumn="0" w:firstRowLastColumn="0" w:lastRowFirstColumn="0" w:lastRowLastColumn="0"/>
            <w:tcW w:w="3506" w:type="dxa"/>
            <w:noWrap/>
            <w:vAlign w:val="center"/>
          </w:tcPr>
          <w:p w:rsidR="00380502" w:rsidRPr="00687A1C" w:rsidRDefault="00380502" w:rsidP="00380502">
            <w:pPr>
              <w:pStyle w:val="Tabletextindent"/>
              <w:spacing w:before="20" w:after="20"/>
              <w:ind w:left="270"/>
            </w:pPr>
            <w:r w:rsidRPr="00687A1C">
              <w:t>Movement in accounts payable and provisions</w:t>
            </w:r>
          </w:p>
        </w:tc>
        <w:tc>
          <w:tcPr>
            <w:tcW w:w="990" w:type="dxa"/>
            <w:shd w:val="clear" w:color="auto" w:fill="E0E0E0"/>
            <w:noWrap/>
          </w:tcPr>
          <w:p w:rsidR="00380502" w:rsidRPr="00687A1C" w:rsidRDefault="00196412" w:rsidP="0017562C">
            <w:pPr>
              <w:pStyle w:val="Tabletextright"/>
              <w:cnfStyle w:val="000000000000" w:firstRow="0" w:lastRow="0" w:firstColumn="0" w:lastColumn="0" w:oddVBand="0" w:evenVBand="0" w:oddHBand="0" w:evenHBand="0" w:firstRowFirstColumn="0" w:firstRowLastColumn="0" w:lastRowFirstColumn="0" w:lastRowLastColumn="0"/>
            </w:pPr>
            <w:r w:rsidRPr="00687A1C">
              <w:t>(</w:t>
            </w:r>
            <w:r w:rsidR="00380502" w:rsidRPr="00687A1C">
              <w:t>119</w:t>
            </w:r>
            <w:r w:rsidRPr="00687A1C">
              <w:t>)</w:t>
            </w:r>
          </w:p>
        </w:tc>
      </w:tr>
      <w:tr w:rsidR="00D968A9" w:rsidRPr="00687A1C" w:rsidTr="00C73900">
        <w:tc>
          <w:tcPr>
            <w:cnfStyle w:val="001000000000" w:firstRow="0" w:lastRow="0" w:firstColumn="1" w:lastColumn="0" w:oddVBand="0" w:evenVBand="0" w:oddHBand="0" w:evenHBand="0" w:firstRowFirstColumn="0" w:firstRowLastColumn="0" w:lastRowFirstColumn="0" w:lastRowLastColumn="0"/>
            <w:tcW w:w="3506" w:type="dxa"/>
            <w:vAlign w:val="center"/>
            <w:hideMark/>
          </w:tcPr>
          <w:p w:rsidR="00D968A9" w:rsidRPr="00687A1C" w:rsidRDefault="00D968A9" w:rsidP="00C73900">
            <w:pPr>
              <w:pStyle w:val="Tabletextindent"/>
              <w:spacing w:before="20" w:after="20"/>
              <w:ind w:left="270"/>
            </w:pPr>
            <w:r w:rsidRPr="00687A1C">
              <w:t>Regional Rail Revival</w:t>
            </w:r>
            <w:r w:rsidRPr="00687A1C">
              <w:rPr>
                <w:vertAlign w:val="superscript"/>
              </w:rPr>
              <w:t>(c)</w:t>
            </w:r>
          </w:p>
        </w:tc>
        <w:tc>
          <w:tcPr>
            <w:tcW w:w="990" w:type="dxa"/>
            <w:shd w:val="clear" w:color="auto" w:fill="E0E0E0"/>
            <w:noWrap/>
          </w:tcPr>
          <w:p w:rsidR="00D968A9" w:rsidRPr="00687A1C" w:rsidRDefault="00D968A9" w:rsidP="00C73900">
            <w:pPr>
              <w:pStyle w:val="Tabletextright"/>
              <w:cnfStyle w:val="000000000000" w:firstRow="0" w:lastRow="0" w:firstColumn="0" w:lastColumn="0" w:oddVBand="0" w:evenVBand="0" w:oddHBand="0" w:evenHBand="0" w:firstRowFirstColumn="0" w:firstRowLastColumn="0" w:lastRowFirstColumn="0" w:lastRowLastColumn="0"/>
            </w:pPr>
            <w:r w:rsidRPr="00687A1C">
              <w:t>118</w:t>
            </w:r>
          </w:p>
        </w:tc>
      </w:tr>
      <w:tr w:rsidR="00380502" w:rsidRPr="00687A1C" w:rsidTr="00C73900">
        <w:tc>
          <w:tcPr>
            <w:cnfStyle w:val="001000000000" w:firstRow="0" w:lastRow="0" w:firstColumn="1" w:lastColumn="0" w:oddVBand="0" w:evenVBand="0" w:oddHBand="0" w:evenHBand="0" w:firstRowFirstColumn="0" w:firstRowLastColumn="0" w:lastRowFirstColumn="0" w:lastRowLastColumn="0"/>
            <w:tcW w:w="3506" w:type="dxa"/>
            <w:noWrap/>
            <w:hideMark/>
          </w:tcPr>
          <w:p w:rsidR="00380502" w:rsidRPr="00687A1C" w:rsidRDefault="00380502" w:rsidP="00380502">
            <w:pPr>
              <w:pStyle w:val="Tabletextbold"/>
            </w:pPr>
            <w:r w:rsidRPr="00687A1C">
              <w:t>Total payments from the trust</w:t>
            </w:r>
          </w:p>
        </w:tc>
        <w:tc>
          <w:tcPr>
            <w:tcW w:w="990" w:type="dxa"/>
            <w:shd w:val="clear" w:color="auto" w:fill="E0E0E0"/>
            <w:noWrap/>
            <w:vAlign w:val="center"/>
          </w:tcPr>
          <w:p w:rsidR="00380502" w:rsidRPr="00687A1C" w:rsidRDefault="00380502"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3</w:t>
            </w:r>
            <w:r w:rsidR="00D8412D" w:rsidRPr="00687A1C">
              <w:rPr>
                <w:rFonts w:ascii="Calibri" w:hAnsi="Calibri" w:cs="Calibri"/>
              </w:rPr>
              <w:t xml:space="preserve"> </w:t>
            </w:r>
            <w:r w:rsidR="008D312D">
              <w:t>194</w:t>
            </w:r>
          </w:p>
        </w:tc>
      </w:tr>
      <w:tr w:rsidR="00380502" w:rsidRPr="00687A1C" w:rsidTr="00C73900">
        <w:tc>
          <w:tcPr>
            <w:cnfStyle w:val="001000000000" w:firstRow="0" w:lastRow="0" w:firstColumn="1" w:lastColumn="0" w:oddVBand="0" w:evenVBand="0" w:oddHBand="0" w:evenHBand="0" w:firstRowFirstColumn="0" w:firstRowLastColumn="0" w:lastRowFirstColumn="0" w:lastRowLastColumn="0"/>
            <w:tcW w:w="3506" w:type="dxa"/>
            <w:noWrap/>
            <w:hideMark/>
          </w:tcPr>
          <w:p w:rsidR="00380502" w:rsidRPr="00687A1C" w:rsidRDefault="00380502" w:rsidP="00380502">
            <w:pPr>
              <w:pStyle w:val="Tabletextbold"/>
            </w:pPr>
            <w:r w:rsidRPr="00687A1C">
              <w:t>Closing balance</w:t>
            </w:r>
          </w:p>
        </w:tc>
        <w:tc>
          <w:tcPr>
            <w:tcW w:w="990" w:type="dxa"/>
            <w:shd w:val="clear" w:color="auto" w:fill="E0E0E0"/>
            <w:noWrap/>
            <w:vAlign w:val="center"/>
          </w:tcPr>
          <w:p w:rsidR="00380502" w:rsidRPr="00687A1C" w:rsidRDefault="00380502"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5</w:t>
            </w:r>
            <w:r w:rsidR="00D8412D" w:rsidRPr="00687A1C">
              <w:rPr>
                <w:rFonts w:ascii="Calibri" w:hAnsi="Calibri" w:cs="Calibri"/>
              </w:rPr>
              <w:t xml:space="preserve"> </w:t>
            </w:r>
            <w:r w:rsidRPr="00687A1C">
              <w:t>358</w:t>
            </w:r>
          </w:p>
        </w:tc>
      </w:tr>
    </w:tbl>
    <w:p w:rsidR="003527AD" w:rsidRPr="00687A1C" w:rsidRDefault="003527AD" w:rsidP="004407A1">
      <w:pPr>
        <w:pStyle w:val="Notes"/>
      </w:pPr>
      <w:r w:rsidRPr="00687A1C">
        <w:t>Notes:</w:t>
      </w:r>
    </w:p>
    <w:p w:rsidR="00380502" w:rsidRPr="00687A1C" w:rsidRDefault="00241912" w:rsidP="00380502">
      <w:pPr>
        <w:pStyle w:val="Notes"/>
      </w:pPr>
      <w:r w:rsidRPr="00687A1C">
        <w:t xml:space="preserve">(a) </w:t>
      </w:r>
      <w:r w:rsidR="00380502" w:rsidRPr="00687A1C">
        <w:t>Reflects trust fund movements at a general government level.</w:t>
      </w:r>
    </w:p>
    <w:p w:rsidR="00380502" w:rsidRPr="00687A1C" w:rsidRDefault="00380502" w:rsidP="00380502">
      <w:pPr>
        <w:pStyle w:val="Notes"/>
      </w:pPr>
      <w:r w:rsidRPr="00687A1C">
        <w:t>(b) Reflects the Commonwealth’s share for the Main Road (St</w:t>
      </w:r>
      <w:r w:rsidRPr="00687A1C">
        <w:rPr>
          <w:rFonts w:ascii="Calibri" w:hAnsi="Calibri" w:cs="Calibri"/>
        </w:rPr>
        <w:t> </w:t>
      </w:r>
      <w:r w:rsidRPr="00687A1C">
        <w:t>Albans) project delivered as part of the Level Crossing Removal Program in 2017-18, and the Commonwealth's contribution to the Regional Rail Revival program.</w:t>
      </w:r>
    </w:p>
    <w:p w:rsidR="00241912" w:rsidRPr="00687A1C" w:rsidRDefault="00380502" w:rsidP="00380502">
      <w:pPr>
        <w:pStyle w:val="Notes"/>
      </w:pPr>
      <w:r w:rsidRPr="00687A1C">
        <w:t xml:space="preserve">(c) The $1.7 billion Regional Rail Revival includes expenditure in 2016-17 for the Ballarat Line Upgrade, and $235 million in funding for the North East Line Upgrade </w:t>
      </w:r>
      <w:r w:rsidR="00204B9E" w:rsidRPr="00687A1C">
        <w:t>which</w:t>
      </w:r>
      <w:r w:rsidRPr="00687A1C">
        <w:t xml:space="preserve"> is not expected to be funded through the Victorian Transport Fund.</w:t>
      </w:r>
    </w:p>
    <w:p w:rsidR="00663599" w:rsidRPr="00687A1C" w:rsidRDefault="003527AD" w:rsidP="00663599">
      <w:pPr>
        <w:pStyle w:val="Heading2"/>
      </w:pPr>
      <w:r w:rsidRPr="00687A1C">
        <w:br w:type="column"/>
      </w:r>
      <w:bookmarkStart w:id="18" w:name="_Toc335747362"/>
      <w:bookmarkStart w:id="19" w:name="_Toc337034820"/>
      <w:bookmarkStart w:id="20" w:name="BudgetPortfolioOutcomes_start"/>
      <w:r w:rsidR="00663599" w:rsidRPr="00687A1C">
        <w:t>Budget portfolio outcomes</w:t>
      </w:r>
      <w:bookmarkEnd w:id="18"/>
      <w:bookmarkEnd w:id="19"/>
    </w:p>
    <w:bookmarkEnd w:id="20"/>
    <w:p w:rsidR="00663599" w:rsidRPr="00687A1C" w:rsidRDefault="00663599" w:rsidP="007B7064">
      <w:r w:rsidRPr="00687A1C">
        <w:t>The budget portfolio outcomes statements provide a comparison between the actual financial information of all general government entities within the portfolio and the forecasted financial information published in the budget papers</w:t>
      </w:r>
      <w:r w:rsidRPr="00687A1C">
        <w:rPr>
          <w:i/>
        </w:rPr>
        <w:t>.</w:t>
      </w:r>
      <w:r w:rsidRPr="00687A1C">
        <w:t xml:space="preserve"> The budget portfolio outcomes comprise the comprehensive operating statement, balance sheet, statement of changes in equity, </w:t>
      </w:r>
      <w:r w:rsidR="009062DE" w:rsidRPr="00687A1C">
        <w:t>cash flow statement</w:t>
      </w:r>
      <w:r w:rsidRPr="00687A1C">
        <w:t>, and administered items statement.</w:t>
      </w:r>
    </w:p>
    <w:p w:rsidR="00663599" w:rsidRPr="00687A1C" w:rsidRDefault="00663599" w:rsidP="00663599">
      <w:r w:rsidRPr="00687A1C">
        <w:t>The budget portfolio outcomes have been prepared on a consolidated basis and include all general government entities within the portfolio. Financial transactions and balances are classified into either controlled or administered consistent with the published statements in the budget papers.</w:t>
      </w:r>
    </w:p>
    <w:p w:rsidR="00663599" w:rsidRPr="00687A1C" w:rsidRDefault="00663599" w:rsidP="00663599">
      <w:r w:rsidRPr="00687A1C">
        <w:t>The following budget portfolio outcomes statements are not subject to audit by the Victorian Auditor</w:t>
      </w:r>
      <w:r w:rsidRPr="00687A1C">
        <w:noBreakHyphen/>
        <w:t xml:space="preserve">General’s Office. They are not prepared on the same basis as the Department’s financial statements as they include the consolidated financial information of Essential Services Commission and </w:t>
      </w:r>
      <w:r w:rsidR="0027531A" w:rsidRPr="00687A1C">
        <w:t>Cenitex</w:t>
      </w:r>
      <w:r w:rsidRPr="00687A1C">
        <w:t xml:space="preserve"> in addition to that of the Department. Essential Services Commission and </w:t>
      </w:r>
      <w:r w:rsidR="0027531A" w:rsidRPr="00687A1C">
        <w:t>Cenitex</w:t>
      </w:r>
      <w:r w:rsidRPr="00687A1C">
        <w:t xml:space="preserve"> are not consolidated in the Department’s audited financial statements enclosed within this annual report, as they prepare separate annual reports for tabling in Parliament. Further, the Department’s audited financial statements include certain whole of government transactions, as referred to in note 4.2 .Otherwise, albeit in a different format, the following statements are reflective of the audited financial statements. </w:t>
      </w:r>
    </w:p>
    <w:p w:rsidR="00663599" w:rsidRPr="00687A1C" w:rsidRDefault="00663599" w:rsidP="00663599"/>
    <w:p w:rsidR="00663599" w:rsidRPr="00687A1C" w:rsidRDefault="00663599" w:rsidP="00663599"/>
    <w:p w:rsidR="00663599" w:rsidRPr="00687A1C" w:rsidRDefault="00663599" w:rsidP="00663599">
      <w:pPr>
        <w:rPr>
          <w:rFonts w:cstheme="minorHAnsi"/>
        </w:rPr>
      </w:pPr>
    </w:p>
    <w:p w:rsidR="00663599" w:rsidRPr="00687A1C" w:rsidRDefault="00663599" w:rsidP="00663599">
      <w:pPr>
        <w:pStyle w:val="Heading2"/>
        <w:sectPr w:rsidR="00663599" w:rsidRPr="00687A1C" w:rsidSect="00472CA1">
          <w:type w:val="continuous"/>
          <w:pgSz w:w="11909" w:h="16834" w:code="9"/>
          <w:pgMar w:top="1728" w:right="1152" w:bottom="1152" w:left="1152" w:header="720" w:footer="288" w:gutter="0"/>
          <w:cols w:num="2" w:space="720"/>
          <w:noEndnote/>
        </w:sectPr>
      </w:pPr>
    </w:p>
    <w:p w:rsidR="00663599" w:rsidRPr="00687A1C" w:rsidRDefault="00663599" w:rsidP="00663599">
      <w:pPr>
        <w:pStyle w:val="Heading2"/>
      </w:pPr>
      <w:r w:rsidRPr="00687A1C">
        <w:lastRenderedPageBreak/>
        <w:t>Budget portfolio outcomes</w:t>
      </w:r>
    </w:p>
    <w:p w:rsidR="00663599" w:rsidRPr="00687A1C" w:rsidRDefault="00663599" w:rsidP="00663599">
      <w:pPr>
        <w:pStyle w:val="Heading3"/>
      </w:pPr>
      <w:r w:rsidRPr="00687A1C">
        <w:t>Comprehensive operating statement for the year ended 30</w:t>
      </w:r>
      <w:r w:rsidRPr="00687A1C">
        <w:rPr>
          <w:rFonts w:ascii="Calibri" w:hAnsi="Calibri" w:cs="Calibri"/>
        </w:rPr>
        <w:t> </w:t>
      </w:r>
      <w:r w:rsidRPr="00687A1C">
        <w:t>June</w:t>
      </w:r>
      <w:r w:rsidRPr="00687A1C">
        <w:rPr>
          <w:rFonts w:ascii="Calibri" w:hAnsi="Calibri" w:cs="Calibri"/>
        </w:rPr>
        <w:t> </w:t>
      </w:r>
      <w:r w:rsidRPr="00687A1C">
        <w:t>2018</w:t>
      </w:r>
    </w:p>
    <w:tbl>
      <w:tblPr>
        <w:tblStyle w:val="AnnualReportfinancialtable"/>
        <w:tblW w:w="7938" w:type="dxa"/>
        <w:tblLayout w:type="fixed"/>
        <w:tblLook w:val="02A0" w:firstRow="1" w:lastRow="0" w:firstColumn="1" w:lastColumn="0" w:noHBand="1" w:noVBand="0"/>
      </w:tblPr>
      <w:tblGrid>
        <w:gridCol w:w="4608"/>
        <w:gridCol w:w="1110"/>
        <w:gridCol w:w="1110"/>
        <w:gridCol w:w="1110"/>
      </w:tblGrid>
      <w:tr w:rsidR="00DF49AA" w:rsidRPr="00687A1C" w:rsidTr="00DF49A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headingleft"/>
              <w:rPr>
                <w:b/>
              </w:rPr>
            </w:pPr>
            <w:r w:rsidRPr="00687A1C">
              <w:rPr>
                <w:b/>
              </w:rPr>
              <w:t>Controlled</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headingright"/>
              <w:rPr>
                <w:b/>
              </w:rPr>
            </w:pPr>
            <w:r w:rsidRPr="00687A1C">
              <w:rPr>
                <w:b/>
              </w:rPr>
              <w:t>2017</w:t>
            </w:r>
            <w:r w:rsidRPr="00687A1C">
              <w:rPr>
                <w:b/>
              </w:rPr>
              <w:noBreakHyphen/>
              <w:t>18</w:t>
            </w:r>
            <w:r w:rsidRPr="00687A1C">
              <w:rPr>
                <w:b/>
              </w:rPr>
              <w:br/>
              <w:t>budget</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headingright"/>
              <w:rPr>
                <w:b/>
              </w:rPr>
            </w:pPr>
            <w:r w:rsidRPr="00687A1C">
              <w:rPr>
                <w:b/>
              </w:rPr>
              <w:t>2017</w:t>
            </w:r>
            <w:r w:rsidRPr="00687A1C">
              <w:rPr>
                <w:b/>
              </w:rPr>
              <w:noBreakHyphen/>
              <w:t>18</w:t>
            </w:r>
            <w:r w:rsidRPr="00687A1C">
              <w:rPr>
                <w:b/>
              </w:rPr>
              <w:br/>
              <w:t>actual</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525A0B">
            <w:pPr>
              <w:pStyle w:val="Tabletextheadingright"/>
              <w:rPr>
                <w:b/>
              </w:rPr>
            </w:pPr>
            <w:r w:rsidRPr="00687A1C">
              <w:rPr>
                <w:b/>
              </w:rPr>
              <w:t>Variation</w:t>
            </w:r>
            <w:r w:rsidRPr="00687A1C">
              <w:rPr>
                <w:b/>
                <w:vertAlign w:val="superscript"/>
              </w:rPr>
              <w:t xml:space="preserve"> </w:t>
            </w:r>
          </w:p>
        </w:tc>
      </w:tr>
      <w:tr w:rsidR="00DF49AA" w:rsidRPr="00687A1C" w:rsidTr="00DF49AA">
        <w:trPr>
          <w:trHeight w:val="30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rPr>
                <w:rFonts w:ascii="Arial" w:hAnsi="Arial"/>
              </w:rPr>
            </w:pPr>
          </w:p>
        </w:tc>
        <w:tc>
          <w:tcPr>
            <w:cnfStyle w:val="000010000000" w:firstRow="0" w:lastRow="0" w:firstColumn="0" w:lastColumn="0" w:oddVBand="1" w:evenVBand="0" w:oddHBand="0" w:evenHBand="0" w:firstRowFirstColumn="0" w:firstRowLastColumn="0" w:lastRowFirstColumn="0" w:lastRowLastColumn="0"/>
            <w:tcW w:w="1110" w:type="dxa"/>
            <w:shd w:val="clear" w:color="auto" w:fill="FFFFFF" w:themeFill="background1"/>
          </w:tcPr>
          <w:p w:rsidR="00DF49AA" w:rsidRPr="00687A1C" w:rsidRDefault="00DF49AA" w:rsidP="001E1011">
            <w:pPr>
              <w:pStyle w:val="Tabletextheadingright"/>
            </w:pPr>
            <w:r w:rsidRPr="00687A1C">
              <w:t>$m</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headingright"/>
            </w:pPr>
            <w:r w:rsidRPr="00687A1C">
              <w:t>$m</w:t>
            </w:r>
          </w:p>
        </w:tc>
        <w:tc>
          <w:tcPr>
            <w:cnfStyle w:val="000010000000" w:firstRow="0" w:lastRow="0" w:firstColumn="0" w:lastColumn="0" w:oddVBand="1" w:evenVBand="0" w:oddHBand="0" w:evenHBand="0" w:firstRowFirstColumn="0" w:firstRowLastColumn="0" w:lastRowFirstColumn="0" w:lastRowLastColumn="0"/>
            <w:tcW w:w="1110" w:type="dxa"/>
            <w:shd w:val="clear" w:color="auto" w:fill="FFFFFF" w:themeFill="background1"/>
            <w:noWrap/>
          </w:tcPr>
          <w:p w:rsidR="00DF49AA" w:rsidRPr="00687A1C" w:rsidRDefault="00DF49AA" w:rsidP="00525A0B">
            <w:pPr>
              <w:pStyle w:val="Tabletextheadingright"/>
            </w:pPr>
            <w:r w:rsidRPr="00687A1C">
              <w:t>$m</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Income from transactions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525A0B">
            <w:pPr>
              <w:pStyle w:val="Tabletextright"/>
            </w:pP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Output appropriations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295.4</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299.8</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4.4</w:t>
            </w:r>
          </w:p>
        </w:tc>
      </w:tr>
      <w:tr w:rsidR="00DF49AA" w:rsidRPr="00687A1C" w:rsidTr="00DF49AA">
        <w:trPr>
          <w:trHeight w:val="28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Interest</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1.2</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1.5</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0.3</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Sale of goods and services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173.5</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187.3</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13.8</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Grants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1.9</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1.9</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Fair value of assets and services received free of charge or for nominal consideration</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0.2</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0.2</w:t>
            </w: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Other income</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31.5</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28.1</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(3.4)</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Total income from transactions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bold"/>
            </w:pPr>
            <w:r w:rsidRPr="00687A1C">
              <w:t>501.6</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bold"/>
            </w:pPr>
            <w:r w:rsidRPr="00687A1C">
              <w:t>518.8</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rPr>
                <w:b/>
                <w:bCs/>
              </w:rPr>
            </w:pPr>
            <w:r w:rsidRPr="00687A1C">
              <w:rPr>
                <w:b/>
                <w:bCs/>
              </w:rPr>
              <w:t>17.2</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rPr>
                <w:rFonts w:ascii="Arial" w:hAnsi="Arial"/>
              </w:rPr>
            </w:pP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525A0B">
            <w:pPr>
              <w:pStyle w:val="Tabletextright"/>
            </w:pP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Expenses from transactions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525A0B">
            <w:pPr>
              <w:pStyle w:val="Tabletextright"/>
            </w:pPr>
          </w:p>
        </w:tc>
      </w:tr>
      <w:tr w:rsidR="00DF49AA" w:rsidRPr="00687A1C" w:rsidTr="00DF49AA">
        <w:trPr>
          <w:trHeight w:val="28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Employee benefits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rPr>
                <w:rFonts w:cs="Arial"/>
              </w:rPr>
            </w:pPr>
            <w:r w:rsidRPr="00687A1C">
              <w:rPr>
                <w:rFonts w:cs="Arial"/>
              </w:rPr>
              <w:t>222.7</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rPr>
                <w:rFonts w:cs="Arial"/>
              </w:rPr>
            </w:pPr>
            <w:r w:rsidRPr="00687A1C">
              <w:rPr>
                <w:rFonts w:cs="Arial"/>
              </w:rPr>
              <w:t>225.8</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3.1</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Depreciation</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rPr>
                <w:rFonts w:cs="Arial"/>
              </w:rPr>
            </w:pPr>
            <w:r w:rsidRPr="00687A1C">
              <w:rPr>
                <w:rFonts w:cs="Arial"/>
              </w:rPr>
              <w:t>52.5</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rPr>
                <w:rFonts w:cs="Arial"/>
              </w:rPr>
            </w:pPr>
            <w:r w:rsidRPr="00687A1C">
              <w:rPr>
                <w:rFonts w:cs="Arial"/>
              </w:rPr>
              <w:t>47.6</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(4.9)</w:t>
            </w:r>
          </w:p>
        </w:tc>
      </w:tr>
      <w:tr w:rsidR="00DF49AA" w:rsidRPr="00687A1C" w:rsidTr="00DF49AA">
        <w:trPr>
          <w:trHeight w:val="28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Interest expense</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rPr>
                <w:rFonts w:cs="Arial"/>
              </w:rPr>
            </w:pPr>
            <w:r w:rsidRPr="00687A1C">
              <w:rPr>
                <w:rFonts w:cs="Arial"/>
              </w:rPr>
              <w:t>0.2</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rPr>
                <w:rFonts w:cs="Arial"/>
              </w:rPr>
            </w:pPr>
            <w:r w:rsidRPr="00687A1C">
              <w:rPr>
                <w:rFonts w:cs="Arial"/>
              </w:rPr>
              <w:t>0.1</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(0.1)</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Grants and other transfers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rPr>
                <w:rFonts w:cs="Arial"/>
              </w:rPr>
            </w:pPr>
            <w:r w:rsidRPr="00687A1C">
              <w:rPr>
                <w:rFonts w:cs="Arial"/>
              </w:rPr>
              <w:t>6.0</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rPr>
                <w:rFonts w:cs="Arial"/>
              </w:rPr>
            </w:pPr>
            <w:r w:rsidRPr="00687A1C">
              <w:rPr>
                <w:rFonts w:cs="Arial"/>
              </w:rPr>
              <w:t>7.7</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1.7</w:t>
            </w:r>
          </w:p>
        </w:tc>
      </w:tr>
      <w:tr w:rsidR="00DF49AA" w:rsidRPr="00687A1C" w:rsidTr="00DF49AA">
        <w:trPr>
          <w:trHeight w:val="30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 xml:space="preserve">Capital asset charge </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rPr>
                <w:rFonts w:cs="Arial"/>
              </w:rPr>
            </w:pPr>
            <w:r w:rsidRPr="00687A1C">
              <w:rPr>
                <w:rFonts w:cs="Arial"/>
              </w:rPr>
              <w:t>22.0</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rPr>
                <w:rFonts w:cs="Arial"/>
              </w:rPr>
            </w:pPr>
            <w:r w:rsidRPr="00687A1C">
              <w:rPr>
                <w:rFonts w:cs="Arial"/>
              </w:rPr>
              <w:t>22.0</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w:t>
            </w: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Other operating expenses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rPr>
                <w:rFonts w:cs="Arial"/>
              </w:rPr>
            </w:pPr>
            <w:r w:rsidRPr="00687A1C">
              <w:rPr>
                <w:rFonts w:cs="Arial"/>
              </w:rPr>
              <w:t>195.1</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rPr>
                <w:rFonts w:cs="Arial"/>
              </w:rPr>
            </w:pPr>
            <w:r w:rsidRPr="00687A1C">
              <w:rPr>
                <w:rFonts w:cs="Arial"/>
              </w:rPr>
              <w:t>212.0</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16.9</w:t>
            </w: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Total expenses from transactions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bold"/>
            </w:pPr>
            <w:r w:rsidRPr="00687A1C">
              <w:t>498.5</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bold"/>
            </w:pPr>
            <w:r w:rsidRPr="00687A1C">
              <w:t>515.2</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rPr>
                <w:b/>
                <w:bCs/>
              </w:rPr>
            </w:pPr>
            <w:r w:rsidRPr="00687A1C">
              <w:rPr>
                <w:b/>
                <w:bCs/>
              </w:rPr>
              <w:t>16.7</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Net result from transactions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bold"/>
            </w:pPr>
            <w:r w:rsidRPr="00687A1C">
              <w:t>3.1</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bold"/>
            </w:pPr>
            <w:r w:rsidRPr="00687A1C">
              <w:t>3.6</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rPr>
                <w:b/>
                <w:bCs/>
              </w:rPr>
            </w:pPr>
            <w:r w:rsidRPr="00687A1C">
              <w:rPr>
                <w:b/>
                <w:bCs/>
              </w:rPr>
              <w:t>0.5</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rPr>
                <w:rFonts w:ascii="Arial" w:hAnsi="Arial"/>
              </w:rPr>
            </w:pP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525A0B">
            <w:pPr>
              <w:pStyle w:val="Tabletextright"/>
            </w:pP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Other economic flows included in net result</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525A0B">
            <w:pPr>
              <w:pStyle w:val="Tabletextright"/>
            </w:pP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Net gain/(loss) on non</w:t>
            </w:r>
            <w:r w:rsidRPr="00687A1C">
              <w:noBreakHyphen/>
              <w:t>financial assets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(7.1)</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(0.6)</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6.5</w:t>
            </w: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r w:rsidRPr="00687A1C">
              <w:t>Net gain/(loss) on financial instruments and statutory receivables/payables</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r w:rsidRPr="00687A1C">
              <w:t>0.2</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pPr>
            <w:r w:rsidRPr="00687A1C">
              <w:t>0.2</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Total other economic flows included in net result</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bold"/>
            </w:pPr>
            <w:r w:rsidRPr="00687A1C">
              <w:t>(7.1)</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bold"/>
            </w:pPr>
            <w:r w:rsidRPr="00687A1C">
              <w:t>(0.4)</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rPr>
                <w:b/>
                <w:bCs/>
              </w:rPr>
            </w:pPr>
            <w:r w:rsidRPr="00687A1C">
              <w:rPr>
                <w:b/>
                <w:bCs/>
              </w:rPr>
              <w:t>6.7</w:t>
            </w:r>
          </w:p>
        </w:tc>
      </w:tr>
      <w:tr w:rsidR="00DF49AA" w:rsidRPr="00687A1C" w:rsidTr="00DF49AA">
        <w:trPr>
          <w:trHeight w:val="255"/>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Net result</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bold"/>
            </w:pPr>
            <w:r w:rsidRPr="00687A1C">
              <w:t>(4.0)</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bold"/>
            </w:pPr>
            <w:r w:rsidRPr="00687A1C">
              <w:t>3.2</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rPr>
                <w:b/>
                <w:bCs/>
              </w:rPr>
            </w:pPr>
            <w:r w:rsidRPr="00687A1C">
              <w:rPr>
                <w:b/>
                <w:bCs/>
              </w:rPr>
              <w:t>7.2</w:t>
            </w: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
            </w:pP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
            </w:pP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525A0B">
            <w:pPr>
              <w:pStyle w:val="Tabletextright"/>
            </w:pP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Other economic flows – other comprehensive income</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bold"/>
            </w:pPr>
            <w:r w:rsidRPr="00687A1C">
              <w:t>–</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bold"/>
            </w:pPr>
            <w:r w:rsidRPr="00687A1C">
              <w:t>4.8</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rPr>
                <w:b/>
                <w:bCs/>
              </w:rPr>
            </w:pPr>
            <w:r w:rsidRPr="00687A1C">
              <w:rPr>
                <w:b/>
                <w:bCs/>
              </w:rPr>
              <w:t>4.8</w:t>
            </w:r>
          </w:p>
        </w:tc>
      </w:tr>
      <w:tr w:rsidR="00DF49AA" w:rsidRPr="00687A1C" w:rsidTr="00DF49AA">
        <w:trPr>
          <w:trHeight w:val="270"/>
        </w:trPr>
        <w:tc>
          <w:tcPr>
            <w:cnfStyle w:val="001000000000" w:firstRow="0" w:lastRow="0" w:firstColumn="1" w:lastColumn="0" w:oddVBand="0" w:evenVBand="0" w:oddHBand="0" w:evenHBand="0" w:firstRowFirstColumn="0" w:firstRowLastColumn="0" w:lastRowFirstColumn="0" w:lastRowLastColumn="0"/>
            <w:tcW w:w="4608" w:type="dxa"/>
          </w:tcPr>
          <w:p w:rsidR="00DF49AA" w:rsidRPr="00687A1C" w:rsidRDefault="00DF49AA" w:rsidP="00525A0B">
            <w:pPr>
              <w:pStyle w:val="Tabletextbold"/>
            </w:pPr>
            <w:r w:rsidRPr="00687A1C">
              <w:t>Comprehensive result</w:t>
            </w:r>
          </w:p>
        </w:tc>
        <w:tc>
          <w:tcPr>
            <w:cnfStyle w:val="000010000000" w:firstRow="0" w:lastRow="0" w:firstColumn="0" w:lastColumn="0" w:oddVBand="1" w:evenVBand="0" w:oddHBand="0" w:evenHBand="0" w:firstRowFirstColumn="0" w:firstRowLastColumn="0" w:lastRowFirstColumn="0" w:lastRowLastColumn="0"/>
            <w:tcW w:w="1110" w:type="dxa"/>
          </w:tcPr>
          <w:p w:rsidR="00DF49AA" w:rsidRPr="00687A1C" w:rsidRDefault="00DF49AA" w:rsidP="001E1011">
            <w:pPr>
              <w:pStyle w:val="Tabletextrightbold"/>
            </w:pPr>
            <w:r w:rsidRPr="00687A1C">
              <w:t>(4.0)</w:t>
            </w:r>
          </w:p>
        </w:tc>
        <w:tc>
          <w:tcPr>
            <w:cnfStyle w:val="000001000000" w:firstRow="0" w:lastRow="0" w:firstColumn="0" w:lastColumn="0" w:oddVBand="0" w:evenVBand="1" w:oddHBand="0" w:evenHBand="0" w:firstRowFirstColumn="0" w:firstRowLastColumn="0" w:lastRowFirstColumn="0" w:lastRowLastColumn="0"/>
            <w:tcW w:w="1110" w:type="dxa"/>
            <w:noWrap/>
          </w:tcPr>
          <w:p w:rsidR="00DF49AA" w:rsidRPr="00687A1C" w:rsidRDefault="00DF49AA" w:rsidP="00525A0B">
            <w:pPr>
              <w:pStyle w:val="Tabletextrightbold"/>
            </w:pPr>
            <w:r w:rsidRPr="00687A1C">
              <w:t>8.0</w:t>
            </w:r>
          </w:p>
        </w:tc>
        <w:tc>
          <w:tcPr>
            <w:cnfStyle w:val="000010000000" w:firstRow="0" w:lastRow="0" w:firstColumn="0" w:lastColumn="0" w:oddVBand="1" w:evenVBand="0" w:oddHBand="0" w:evenHBand="0" w:firstRowFirstColumn="0" w:firstRowLastColumn="0" w:lastRowFirstColumn="0" w:lastRowLastColumn="0"/>
            <w:tcW w:w="1110" w:type="dxa"/>
            <w:noWrap/>
          </w:tcPr>
          <w:p w:rsidR="00DF49AA" w:rsidRPr="00687A1C" w:rsidRDefault="00DF49AA" w:rsidP="001E1011">
            <w:pPr>
              <w:pStyle w:val="Tabletextright"/>
              <w:rPr>
                <w:b/>
                <w:bCs/>
              </w:rPr>
            </w:pPr>
            <w:r w:rsidRPr="00687A1C">
              <w:rPr>
                <w:b/>
                <w:bCs/>
              </w:rPr>
              <w:t>12.0</w:t>
            </w:r>
          </w:p>
        </w:tc>
      </w:tr>
    </w:tbl>
    <w:p w:rsidR="00DF49AA" w:rsidRPr="00687A1C" w:rsidRDefault="00DF49AA" w:rsidP="00DF49AA">
      <w:pPr>
        <w:pStyle w:val="Notes"/>
      </w:pPr>
      <w:r w:rsidRPr="00687A1C">
        <w:t>Note:</w:t>
      </w:r>
    </w:p>
    <w:p w:rsidR="00DF49AA" w:rsidRPr="00687A1C" w:rsidRDefault="00DF49AA" w:rsidP="00DF49AA">
      <w:pPr>
        <w:pStyle w:val="Notes"/>
      </w:pPr>
      <w:r w:rsidRPr="00687A1C">
        <w:t xml:space="preserve">(a) Other economic flows </w:t>
      </w:r>
      <w:r w:rsidR="00FD5A22" w:rsidRPr="00687A1C">
        <w:t>–</w:t>
      </w:r>
      <w:r w:rsidRPr="00687A1C">
        <w:t xml:space="preserve"> other comprehensive income is above budget due to the VicFleet business unit being reclassified from an administered trust to a controlled trust.</w:t>
      </w:r>
    </w:p>
    <w:p w:rsidR="00663599" w:rsidRPr="00687A1C" w:rsidRDefault="00663599" w:rsidP="00663599">
      <w:pPr>
        <w:spacing w:before="0" w:after="0"/>
      </w:pPr>
      <w:r w:rsidRPr="00687A1C">
        <w:br w:type="page"/>
      </w:r>
    </w:p>
    <w:p w:rsidR="00663599" w:rsidRPr="00687A1C" w:rsidRDefault="00663599" w:rsidP="00663599">
      <w:pPr>
        <w:pStyle w:val="Heading2"/>
      </w:pPr>
      <w:r w:rsidRPr="00687A1C">
        <w:lastRenderedPageBreak/>
        <w:t>Budget portfolio outcomes</w:t>
      </w:r>
    </w:p>
    <w:p w:rsidR="00663599" w:rsidRPr="00687A1C" w:rsidRDefault="00663599" w:rsidP="00663599">
      <w:pPr>
        <w:pStyle w:val="Heading3"/>
      </w:pPr>
      <w:r w:rsidRPr="00687A1C">
        <w:t>Balance sheet as at 30</w:t>
      </w:r>
      <w:r w:rsidRPr="00687A1C">
        <w:rPr>
          <w:rFonts w:ascii="Calibri" w:hAnsi="Calibri" w:cs="Calibri"/>
        </w:rPr>
        <w:t> </w:t>
      </w:r>
      <w:r w:rsidRPr="00687A1C">
        <w:t>June</w:t>
      </w:r>
      <w:r w:rsidRPr="00687A1C">
        <w:rPr>
          <w:rFonts w:ascii="Calibri" w:hAnsi="Calibri" w:cs="Calibri"/>
        </w:rPr>
        <w:t> </w:t>
      </w:r>
      <w:r w:rsidRPr="00687A1C">
        <w:t>2018</w:t>
      </w:r>
    </w:p>
    <w:tbl>
      <w:tblPr>
        <w:tblW w:w="7710" w:type="dxa"/>
        <w:tblLayout w:type="fixed"/>
        <w:tblLook w:val="0000" w:firstRow="0" w:lastRow="0" w:firstColumn="0" w:lastColumn="0" w:noHBand="0" w:noVBand="0"/>
      </w:tblPr>
      <w:tblGrid>
        <w:gridCol w:w="4244"/>
        <w:gridCol w:w="1155"/>
        <w:gridCol w:w="1155"/>
        <w:gridCol w:w="1156"/>
      </w:tblGrid>
      <w:tr w:rsidR="00DF49AA" w:rsidRPr="00687A1C" w:rsidTr="001E1011">
        <w:trPr>
          <w:trHeight w:val="255"/>
        </w:trPr>
        <w:tc>
          <w:tcPr>
            <w:tcW w:w="4244" w:type="dxa"/>
            <w:shd w:val="clear" w:color="auto" w:fill="auto"/>
            <w:noWrap/>
            <w:vAlign w:val="bottom"/>
          </w:tcPr>
          <w:p w:rsidR="00DF49AA" w:rsidRPr="00687A1C" w:rsidRDefault="00DF49AA" w:rsidP="00525A0B">
            <w:pPr>
              <w:pStyle w:val="Tabletextheadingleft"/>
            </w:pPr>
            <w:r w:rsidRPr="00687A1C">
              <w:t>Controlled</w:t>
            </w:r>
          </w:p>
        </w:tc>
        <w:tc>
          <w:tcPr>
            <w:tcW w:w="1155" w:type="dxa"/>
            <w:vAlign w:val="bottom"/>
          </w:tcPr>
          <w:p w:rsidR="00DF49AA" w:rsidRPr="00687A1C" w:rsidRDefault="00DF49AA" w:rsidP="001E1011">
            <w:pPr>
              <w:pStyle w:val="Tabletextheadingright"/>
            </w:pPr>
            <w:r w:rsidRPr="00687A1C">
              <w:t>2018</w:t>
            </w:r>
            <w:r w:rsidRPr="00687A1C">
              <w:br/>
              <w:t>budget</w:t>
            </w:r>
          </w:p>
        </w:tc>
        <w:tc>
          <w:tcPr>
            <w:tcW w:w="1155" w:type="dxa"/>
            <w:shd w:val="clear" w:color="auto" w:fill="auto"/>
            <w:noWrap/>
            <w:vAlign w:val="bottom"/>
          </w:tcPr>
          <w:p w:rsidR="00DF49AA" w:rsidRPr="00687A1C" w:rsidRDefault="00DF49AA" w:rsidP="00525A0B">
            <w:pPr>
              <w:pStyle w:val="Tabletextheadingright"/>
            </w:pPr>
            <w:r w:rsidRPr="00687A1C">
              <w:t>2018</w:t>
            </w:r>
            <w:r w:rsidRPr="00687A1C">
              <w:br/>
              <w:t>actual</w:t>
            </w:r>
          </w:p>
        </w:tc>
        <w:tc>
          <w:tcPr>
            <w:tcW w:w="1156" w:type="dxa"/>
            <w:shd w:val="clear" w:color="auto" w:fill="auto"/>
            <w:noWrap/>
            <w:vAlign w:val="bottom"/>
          </w:tcPr>
          <w:p w:rsidR="00DF49AA" w:rsidRPr="00687A1C" w:rsidRDefault="00DF49AA" w:rsidP="00525A0B">
            <w:pPr>
              <w:pStyle w:val="Tabletextheadingright"/>
            </w:pPr>
            <w:r w:rsidRPr="00687A1C">
              <w:t>Variation</w:t>
            </w:r>
          </w:p>
        </w:tc>
      </w:tr>
      <w:tr w:rsidR="00DF49AA" w:rsidRPr="00687A1C" w:rsidTr="00DF49AA">
        <w:trPr>
          <w:trHeight w:val="270"/>
        </w:trPr>
        <w:tc>
          <w:tcPr>
            <w:tcW w:w="4244" w:type="dxa"/>
            <w:shd w:val="clear" w:color="auto" w:fill="auto"/>
            <w:noWrap/>
          </w:tcPr>
          <w:p w:rsidR="00DF49AA" w:rsidRPr="00687A1C" w:rsidRDefault="00DF49AA" w:rsidP="00525A0B">
            <w:pPr>
              <w:pStyle w:val="Tabletext"/>
            </w:pPr>
          </w:p>
        </w:tc>
        <w:tc>
          <w:tcPr>
            <w:tcW w:w="1155" w:type="dxa"/>
          </w:tcPr>
          <w:p w:rsidR="00DF49AA" w:rsidRPr="00687A1C" w:rsidRDefault="00DF49AA" w:rsidP="001E1011">
            <w:pPr>
              <w:pStyle w:val="Tabletextheadingright"/>
            </w:pPr>
            <w:r w:rsidRPr="00687A1C">
              <w:t>$m</w:t>
            </w:r>
          </w:p>
        </w:tc>
        <w:tc>
          <w:tcPr>
            <w:tcW w:w="1155" w:type="dxa"/>
            <w:shd w:val="clear" w:color="auto" w:fill="auto"/>
            <w:noWrap/>
          </w:tcPr>
          <w:p w:rsidR="00DF49AA" w:rsidRPr="00687A1C" w:rsidRDefault="00DF49AA" w:rsidP="00525A0B">
            <w:pPr>
              <w:pStyle w:val="Tabletextheadingright"/>
            </w:pPr>
            <w:r w:rsidRPr="00687A1C">
              <w:t>$m</w:t>
            </w:r>
          </w:p>
        </w:tc>
        <w:tc>
          <w:tcPr>
            <w:tcW w:w="1156" w:type="dxa"/>
            <w:shd w:val="clear" w:color="auto" w:fill="auto"/>
            <w:noWrap/>
          </w:tcPr>
          <w:p w:rsidR="00DF49AA" w:rsidRPr="00687A1C" w:rsidRDefault="00DF49AA" w:rsidP="00525A0B">
            <w:pPr>
              <w:pStyle w:val="Tabletextheadingright"/>
            </w:pPr>
            <w:r w:rsidRPr="00687A1C">
              <w:t>$m</w:t>
            </w:r>
          </w:p>
        </w:tc>
      </w:tr>
      <w:tr w:rsidR="00DF49AA" w:rsidRPr="00687A1C" w:rsidTr="002F082B">
        <w:trPr>
          <w:trHeight w:val="255"/>
        </w:trPr>
        <w:tc>
          <w:tcPr>
            <w:tcW w:w="4244" w:type="dxa"/>
            <w:shd w:val="clear" w:color="auto" w:fill="auto"/>
            <w:noWrap/>
            <w:vAlign w:val="bottom"/>
          </w:tcPr>
          <w:p w:rsidR="00DF49AA" w:rsidRPr="00687A1C" w:rsidRDefault="00DF49AA" w:rsidP="00525A0B">
            <w:pPr>
              <w:pStyle w:val="Tabletextbold"/>
            </w:pPr>
            <w:r w:rsidRPr="00687A1C">
              <w:t>Financial assets</w:t>
            </w:r>
          </w:p>
        </w:tc>
        <w:tc>
          <w:tcPr>
            <w:tcW w:w="1155" w:type="dxa"/>
            <w:shd w:val="clear" w:color="auto" w:fill="E0E0E0"/>
          </w:tcPr>
          <w:p w:rsidR="00DF49AA" w:rsidRPr="00687A1C" w:rsidRDefault="00DF49AA" w:rsidP="001E1011">
            <w:pPr>
              <w:pStyle w:val="Tabletextright"/>
            </w:pPr>
          </w:p>
        </w:tc>
        <w:tc>
          <w:tcPr>
            <w:tcW w:w="1155" w:type="dxa"/>
            <w:shd w:val="clear" w:color="auto" w:fill="FFFFFF" w:themeFill="background1"/>
            <w:noWrap/>
          </w:tcPr>
          <w:p w:rsidR="00DF49AA" w:rsidRPr="00687A1C" w:rsidRDefault="00DF49AA" w:rsidP="00525A0B">
            <w:pPr>
              <w:pStyle w:val="Tabletextright"/>
            </w:pPr>
          </w:p>
        </w:tc>
        <w:tc>
          <w:tcPr>
            <w:tcW w:w="1156" w:type="dxa"/>
            <w:shd w:val="clear" w:color="auto" w:fill="E0E0E0"/>
            <w:noWrap/>
          </w:tcPr>
          <w:p w:rsidR="00DF49AA" w:rsidRPr="00687A1C" w:rsidRDefault="00DF49AA" w:rsidP="002F082B">
            <w:pPr>
              <w:pStyle w:val="Tabletextright"/>
            </w:pPr>
          </w:p>
        </w:tc>
      </w:tr>
      <w:tr w:rsidR="002F082B" w:rsidRPr="00687A1C" w:rsidTr="002F082B">
        <w:trPr>
          <w:trHeight w:val="285"/>
        </w:trPr>
        <w:tc>
          <w:tcPr>
            <w:tcW w:w="4244" w:type="dxa"/>
            <w:shd w:val="clear" w:color="auto" w:fill="auto"/>
            <w:noWrap/>
            <w:vAlign w:val="bottom"/>
          </w:tcPr>
          <w:p w:rsidR="002F082B" w:rsidRPr="00687A1C" w:rsidRDefault="002F082B" w:rsidP="00BE0244">
            <w:pPr>
              <w:pStyle w:val="Tabletext"/>
            </w:pPr>
            <w:r w:rsidRPr="00687A1C">
              <w:t>Cash and deposits</w:t>
            </w:r>
            <w:r w:rsidRPr="00687A1C">
              <w:rPr>
                <w:vertAlign w:val="superscript"/>
              </w:rPr>
              <w:t>(a)</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96.6</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65.4</w:t>
            </w:r>
          </w:p>
        </w:tc>
        <w:tc>
          <w:tcPr>
            <w:tcW w:w="1156" w:type="dxa"/>
            <w:shd w:val="clear" w:color="auto" w:fill="E0E0E0"/>
            <w:noWrap/>
          </w:tcPr>
          <w:p w:rsidR="002F082B" w:rsidRPr="00687A1C" w:rsidRDefault="002F082B" w:rsidP="002F082B">
            <w:pPr>
              <w:pStyle w:val="Tabletextright"/>
            </w:pPr>
            <w:r w:rsidRPr="00687A1C">
              <w:t>(31.2)</w:t>
            </w:r>
          </w:p>
        </w:tc>
      </w:tr>
      <w:tr w:rsidR="002F082B" w:rsidRPr="00687A1C" w:rsidTr="002F082B">
        <w:trPr>
          <w:trHeight w:val="255"/>
        </w:trPr>
        <w:tc>
          <w:tcPr>
            <w:tcW w:w="4244" w:type="dxa"/>
            <w:shd w:val="clear" w:color="auto" w:fill="auto"/>
            <w:noWrap/>
            <w:vAlign w:val="bottom"/>
          </w:tcPr>
          <w:p w:rsidR="002F082B" w:rsidRPr="00687A1C" w:rsidRDefault="002F082B" w:rsidP="00DF49AA">
            <w:pPr>
              <w:pStyle w:val="Tabletext"/>
            </w:pPr>
            <w:r w:rsidRPr="00687A1C">
              <w:t>Receivables</w:t>
            </w:r>
            <w:r w:rsidRPr="00687A1C">
              <w:rPr>
                <w:vertAlign w:val="superscript"/>
              </w:rPr>
              <w:t>(b)</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273.1</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319.9</w:t>
            </w:r>
          </w:p>
        </w:tc>
        <w:tc>
          <w:tcPr>
            <w:tcW w:w="1156" w:type="dxa"/>
            <w:shd w:val="clear" w:color="auto" w:fill="E0E0E0"/>
            <w:noWrap/>
          </w:tcPr>
          <w:p w:rsidR="002F082B" w:rsidRPr="00687A1C" w:rsidRDefault="002F082B" w:rsidP="002F082B">
            <w:pPr>
              <w:pStyle w:val="Tabletextright"/>
            </w:pPr>
            <w:r w:rsidRPr="00687A1C">
              <w:t>46.8</w:t>
            </w: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
              <w:rPr>
                <w:rFonts w:cs="Calibri"/>
              </w:rPr>
            </w:pPr>
            <w:r w:rsidRPr="00687A1C">
              <w:t>Other financial assets</w:t>
            </w:r>
            <w:r w:rsidRPr="00687A1C">
              <w:rPr>
                <w:vertAlign w:val="superscript"/>
              </w:rPr>
              <w:t>(c)</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33.0</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15.6</w:t>
            </w:r>
          </w:p>
        </w:tc>
        <w:tc>
          <w:tcPr>
            <w:tcW w:w="1156" w:type="dxa"/>
            <w:shd w:val="clear" w:color="auto" w:fill="E0E0E0"/>
            <w:noWrap/>
          </w:tcPr>
          <w:p w:rsidR="002F082B" w:rsidRPr="00687A1C" w:rsidRDefault="002F082B" w:rsidP="002F082B">
            <w:pPr>
              <w:pStyle w:val="Tabletextright"/>
            </w:pPr>
            <w:r w:rsidRPr="00687A1C">
              <w:t>(17.4)</w:t>
            </w: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bold"/>
            </w:pPr>
            <w:r w:rsidRPr="00687A1C">
              <w:t>Total financial assets</w:t>
            </w:r>
          </w:p>
        </w:tc>
        <w:tc>
          <w:tcPr>
            <w:tcW w:w="1155" w:type="dxa"/>
            <w:shd w:val="clear" w:color="auto" w:fill="E0E0E0"/>
            <w:vAlign w:val="bottom"/>
          </w:tcPr>
          <w:p w:rsidR="002F082B" w:rsidRPr="00687A1C" w:rsidRDefault="002F082B" w:rsidP="001E1011">
            <w:pPr>
              <w:pStyle w:val="Tabletextrightbold"/>
            </w:pPr>
            <w:r w:rsidRPr="00687A1C">
              <w:t>402.7</w:t>
            </w:r>
          </w:p>
        </w:tc>
        <w:tc>
          <w:tcPr>
            <w:tcW w:w="1155" w:type="dxa"/>
            <w:shd w:val="clear" w:color="auto" w:fill="FFFFFF" w:themeFill="background1"/>
            <w:noWrap/>
            <w:vAlign w:val="bottom"/>
          </w:tcPr>
          <w:p w:rsidR="002F082B" w:rsidRPr="00687A1C" w:rsidRDefault="002F082B" w:rsidP="00525A0B">
            <w:pPr>
              <w:pStyle w:val="Tabletextrightbold"/>
            </w:pPr>
            <w:r w:rsidRPr="00687A1C">
              <w:t>400.9</w:t>
            </w:r>
          </w:p>
        </w:tc>
        <w:tc>
          <w:tcPr>
            <w:tcW w:w="1156" w:type="dxa"/>
            <w:shd w:val="clear" w:color="auto" w:fill="E0E0E0"/>
            <w:noWrap/>
          </w:tcPr>
          <w:p w:rsidR="002F082B" w:rsidRPr="00687A1C" w:rsidRDefault="002F082B" w:rsidP="002F082B">
            <w:pPr>
              <w:pStyle w:val="Tabletextright"/>
              <w:rPr>
                <w:b/>
                <w:bCs/>
              </w:rPr>
            </w:pPr>
            <w:r w:rsidRPr="00687A1C">
              <w:rPr>
                <w:b/>
                <w:bCs/>
              </w:rPr>
              <w:t>(1.8)</w:t>
            </w: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
            </w:pPr>
          </w:p>
        </w:tc>
        <w:tc>
          <w:tcPr>
            <w:tcW w:w="1155" w:type="dxa"/>
            <w:shd w:val="clear" w:color="auto" w:fill="E0E0E0"/>
            <w:vAlign w:val="bottom"/>
          </w:tcPr>
          <w:p w:rsidR="002F082B" w:rsidRPr="00687A1C" w:rsidRDefault="002F082B" w:rsidP="001E1011">
            <w:pPr>
              <w:pStyle w:val="Tabletextright"/>
            </w:pPr>
          </w:p>
        </w:tc>
        <w:tc>
          <w:tcPr>
            <w:tcW w:w="1155" w:type="dxa"/>
            <w:shd w:val="clear" w:color="auto" w:fill="FFFFFF" w:themeFill="background1"/>
            <w:noWrap/>
            <w:vAlign w:val="bottom"/>
          </w:tcPr>
          <w:p w:rsidR="002F082B" w:rsidRPr="00687A1C" w:rsidRDefault="002F082B" w:rsidP="00525A0B">
            <w:pPr>
              <w:pStyle w:val="Tabletextright"/>
            </w:pPr>
          </w:p>
        </w:tc>
        <w:tc>
          <w:tcPr>
            <w:tcW w:w="1156" w:type="dxa"/>
            <w:shd w:val="clear" w:color="auto" w:fill="E0E0E0"/>
            <w:noWrap/>
          </w:tcPr>
          <w:p w:rsidR="002F082B" w:rsidRPr="00687A1C" w:rsidRDefault="002F082B" w:rsidP="002F082B">
            <w:pPr>
              <w:pStyle w:val="Tabletextright"/>
            </w:pP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bold"/>
            </w:pPr>
            <w:r w:rsidRPr="00687A1C">
              <w:t>Non</w:t>
            </w:r>
            <w:r w:rsidRPr="00687A1C">
              <w:noBreakHyphen/>
              <w:t>financial assets</w:t>
            </w:r>
          </w:p>
        </w:tc>
        <w:tc>
          <w:tcPr>
            <w:tcW w:w="1155" w:type="dxa"/>
            <w:shd w:val="clear" w:color="auto" w:fill="E0E0E0"/>
            <w:vAlign w:val="bottom"/>
          </w:tcPr>
          <w:p w:rsidR="002F082B" w:rsidRPr="00687A1C" w:rsidRDefault="002F082B" w:rsidP="001E1011">
            <w:pPr>
              <w:pStyle w:val="Tabletextright"/>
            </w:pPr>
          </w:p>
        </w:tc>
        <w:tc>
          <w:tcPr>
            <w:tcW w:w="1155" w:type="dxa"/>
            <w:shd w:val="clear" w:color="auto" w:fill="FFFFFF" w:themeFill="background1"/>
            <w:noWrap/>
            <w:vAlign w:val="bottom"/>
          </w:tcPr>
          <w:p w:rsidR="002F082B" w:rsidRPr="00687A1C" w:rsidRDefault="002F082B" w:rsidP="00525A0B">
            <w:pPr>
              <w:pStyle w:val="Tabletextright"/>
            </w:pPr>
          </w:p>
        </w:tc>
        <w:tc>
          <w:tcPr>
            <w:tcW w:w="1156" w:type="dxa"/>
            <w:shd w:val="clear" w:color="auto" w:fill="E0E0E0"/>
            <w:noWrap/>
          </w:tcPr>
          <w:p w:rsidR="002F082B" w:rsidRPr="00687A1C" w:rsidRDefault="002F082B" w:rsidP="002F082B">
            <w:pPr>
              <w:pStyle w:val="Tabletextright"/>
            </w:pP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
              <w:rPr>
                <w:rFonts w:cs="Calibri"/>
              </w:rPr>
            </w:pPr>
            <w:r w:rsidRPr="00687A1C">
              <w:t>Inventories</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9.0</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11.7</w:t>
            </w:r>
          </w:p>
        </w:tc>
        <w:tc>
          <w:tcPr>
            <w:tcW w:w="1156" w:type="dxa"/>
            <w:shd w:val="clear" w:color="auto" w:fill="E0E0E0"/>
            <w:noWrap/>
          </w:tcPr>
          <w:p w:rsidR="002F082B" w:rsidRPr="00687A1C" w:rsidRDefault="002F082B" w:rsidP="002F082B">
            <w:pPr>
              <w:pStyle w:val="Tabletextright"/>
            </w:pPr>
            <w:r w:rsidRPr="00687A1C">
              <w:t>2.7</w:t>
            </w:r>
          </w:p>
        </w:tc>
      </w:tr>
      <w:tr w:rsidR="002F082B" w:rsidRPr="00687A1C" w:rsidTr="002F082B">
        <w:trPr>
          <w:trHeight w:val="255"/>
        </w:trPr>
        <w:tc>
          <w:tcPr>
            <w:tcW w:w="4244" w:type="dxa"/>
            <w:shd w:val="clear" w:color="auto" w:fill="auto"/>
            <w:noWrap/>
            <w:vAlign w:val="bottom"/>
          </w:tcPr>
          <w:p w:rsidR="002F082B" w:rsidRPr="00687A1C" w:rsidRDefault="002F082B" w:rsidP="00DF49AA">
            <w:pPr>
              <w:pStyle w:val="Tabletext"/>
              <w:rPr>
                <w:vertAlign w:val="superscript"/>
              </w:rPr>
            </w:pPr>
            <w:r w:rsidRPr="00687A1C">
              <w:t>Property, plant and equipment</w:t>
            </w:r>
            <w:r w:rsidRPr="00687A1C">
              <w:rPr>
                <w:vertAlign w:val="superscript"/>
              </w:rPr>
              <w:t>(d)</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658.5</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824.5</w:t>
            </w:r>
          </w:p>
        </w:tc>
        <w:tc>
          <w:tcPr>
            <w:tcW w:w="1156" w:type="dxa"/>
            <w:shd w:val="clear" w:color="auto" w:fill="E0E0E0"/>
            <w:noWrap/>
          </w:tcPr>
          <w:p w:rsidR="002F082B" w:rsidRPr="00687A1C" w:rsidRDefault="002F082B" w:rsidP="002F082B">
            <w:pPr>
              <w:pStyle w:val="Tabletextright"/>
            </w:pPr>
            <w:r w:rsidRPr="00687A1C">
              <w:t>166.0</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
              <w:rPr>
                <w:rFonts w:cs="Calibri"/>
              </w:rPr>
            </w:pPr>
            <w:r w:rsidRPr="00687A1C">
              <w:t>Intangible assets</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18.5</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14.8</w:t>
            </w:r>
          </w:p>
        </w:tc>
        <w:tc>
          <w:tcPr>
            <w:tcW w:w="1156" w:type="dxa"/>
            <w:shd w:val="clear" w:color="auto" w:fill="E0E0E0"/>
            <w:noWrap/>
          </w:tcPr>
          <w:p w:rsidR="002F082B" w:rsidRPr="00687A1C" w:rsidRDefault="002F082B" w:rsidP="002F082B">
            <w:pPr>
              <w:pStyle w:val="Tabletextright"/>
            </w:pPr>
            <w:r w:rsidRPr="00687A1C">
              <w:t>(3.7)</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
              <w:rPr>
                <w:rFonts w:cs="Calibri"/>
              </w:rPr>
            </w:pPr>
            <w:r w:rsidRPr="00687A1C">
              <w:t>Other assets</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17.7</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26.7</w:t>
            </w:r>
          </w:p>
        </w:tc>
        <w:tc>
          <w:tcPr>
            <w:tcW w:w="1156" w:type="dxa"/>
            <w:shd w:val="clear" w:color="auto" w:fill="E0E0E0"/>
            <w:noWrap/>
          </w:tcPr>
          <w:p w:rsidR="002F082B" w:rsidRPr="00687A1C" w:rsidRDefault="002F082B" w:rsidP="002F082B">
            <w:pPr>
              <w:pStyle w:val="Tabletextright"/>
            </w:pPr>
            <w:r w:rsidRPr="00687A1C">
              <w:t>9.0</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bold"/>
            </w:pPr>
            <w:r w:rsidRPr="00687A1C">
              <w:t>Total non</w:t>
            </w:r>
            <w:r w:rsidRPr="00687A1C">
              <w:noBreakHyphen/>
              <w:t>financial assets</w:t>
            </w:r>
          </w:p>
        </w:tc>
        <w:tc>
          <w:tcPr>
            <w:tcW w:w="1155" w:type="dxa"/>
            <w:shd w:val="clear" w:color="auto" w:fill="E0E0E0"/>
            <w:vAlign w:val="bottom"/>
          </w:tcPr>
          <w:p w:rsidR="002F082B" w:rsidRPr="00687A1C" w:rsidRDefault="002F082B" w:rsidP="001E1011">
            <w:pPr>
              <w:pStyle w:val="Tabletextrightbold"/>
            </w:pPr>
            <w:r w:rsidRPr="00687A1C">
              <w:t>703.7</w:t>
            </w:r>
          </w:p>
        </w:tc>
        <w:tc>
          <w:tcPr>
            <w:tcW w:w="1155" w:type="dxa"/>
            <w:shd w:val="clear" w:color="auto" w:fill="FFFFFF" w:themeFill="background1"/>
            <w:noWrap/>
            <w:vAlign w:val="bottom"/>
          </w:tcPr>
          <w:p w:rsidR="002F082B" w:rsidRPr="00687A1C" w:rsidRDefault="002F082B" w:rsidP="00525A0B">
            <w:pPr>
              <w:pStyle w:val="Tabletextrightbold"/>
            </w:pPr>
            <w:r w:rsidRPr="00687A1C">
              <w:t>877.7</w:t>
            </w:r>
          </w:p>
        </w:tc>
        <w:tc>
          <w:tcPr>
            <w:tcW w:w="1156" w:type="dxa"/>
            <w:shd w:val="clear" w:color="auto" w:fill="E0E0E0"/>
            <w:noWrap/>
          </w:tcPr>
          <w:p w:rsidR="002F082B" w:rsidRPr="00687A1C" w:rsidRDefault="002F082B" w:rsidP="002F082B">
            <w:pPr>
              <w:pStyle w:val="Tabletextright"/>
              <w:rPr>
                <w:b/>
                <w:bCs/>
              </w:rPr>
            </w:pPr>
            <w:r w:rsidRPr="00687A1C">
              <w:rPr>
                <w:b/>
                <w:bCs/>
              </w:rPr>
              <w:t>174.0</w:t>
            </w: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bold"/>
            </w:pPr>
            <w:r w:rsidRPr="00687A1C">
              <w:t>Total assets</w:t>
            </w:r>
          </w:p>
        </w:tc>
        <w:tc>
          <w:tcPr>
            <w:tcW w:w="1155" w:type="dxa"/>
            <w:shd w:val="clear" w:color="auto" w:fill="E0E0E0"/>
            <w:vAlign w:val="bottom"/>
          </w:tcPr>
          <w:p w:rsidR="002F082B" w:rsidRPr="00687A1C" w:rsidRDefault="002F082B" w:rsidP="001E1011">
            <w:pPr>
              <w:pStyle w:val="Tabletextrightbold"/>
            </w:pPr>
            <w:r w:rsidRPr="00687A1C">
              <w:t>1 106.4</w:t>
            </w:r>
          </w:p>
        </w:tc>
        <w:tc>
          <w:tcPr>
            <w:tcW w:w="1155" w:type="dxa"/>
            <w:shd w:val="clear" w:color="auto" w:fill="FFFFFF" w:themeFill="background1"/>
            <w:noWrap/>
            <w:vAlign w:val="bottom"/>
          </w:tcPr>
          <w:p w:rsidR="002F082B" w:rsidRPr="00687A1C" w:rsidRDefault="002F082B" w:rsidP="00525A0B">
            <w:pPr>
              <w:pStyle w:val="Tabletextrightbold"/>
            </w:pPr>
            <w:r w:rsidRPr="00687A1C">
              <w:t>1 278.6</w:t>
            </w:r>
          </w:p>
        </w:tc>
        <w:tc>
          <w:tcPr>
            <w:tcW w:w="1156" w:type="dxa"/>
            <w:shd w:val="clear" w:color="auto" w:fill="E0E0E0"/>
            <w:noWrap/>
          </w:tcPr>
          <w:p w:rsidR="002F082B" w:rsidRPr="00687A1C" w:rsidRDefault="002F082B" w:rsidP="002F082B">
            <w:pPr>
              <w:pStyle w:val="Tabletextright"/>
              <w:rPr>
                <w:b/>
                <w:bCs/>
              </w:rPr>
            </w:pPr>
            <w:r w:rsidRPr="00687A1C">
              <w:rPr>
                <w:b/>
                <w:bCs/>
              </w:rPr>
              <w:t>172.2</w:t>
            </w: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
            </w:pPr>
          </w:p>
        </w:tc>
        <w:tc>
          <w:tcPr>
            <w:tcW w:w="1155" w:type="dxa"/>
            <w:shd w:val="clear" w:color="auto" w:fill="E0E0E0"/>
            <w:vAlign w:val="bottom"/>
          </w:tcPr>
          <w:p w:rsidR="002F082B" w:rsidRPr="00687A1C" w:rsidRDefault="002F082B" w:rsidP="001E1011">
            <w:pPr>
              <w:pStyle w:val="Tabletextright"/>
            </w:pPr>
          </w:p>
        </w:tc>
        <w:tc>
          <w:tcPr>
            <w:tcW w:w="1155" w:type="dxa"/>
            <w:shd w:val="clear" w:color="auto" w:fill="FFFFFF" w:themeFill="background1"/>
            <w:noWrap/>
            <w:vAlign w:val="bottom"/>
          </w:tcPr>
          <w:p w:rsidR="002F082B" w:rsidRPr="00687A1C" w:rsidRDefault="002F082B" w:rsidP="00525A0B">
            <w:pPr>
              <w:pStyle w:val="Tabletextright"/>
            </w:pPr>
          </w:p>
        </w:tc>
        <w:tc>
          <w:tcPr>
            <w:tcW w:w="1156" w:type="dxa"/>
            <w:shd w:val="clear" w:color="auto" w:fill="E0E0E0"/>
            <w:noWrap/>
          </w:tcPr>
          <w:p w:rsidR="002F082B" w:rsidRPr="00687A1C" w:rsidRDefault="002F082B" w:rsidP="002F082B">
            <w:pPr>
              <w:pStyle w:val="Tabletextright"/>
            </w:pP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bold"/>
            </w:pPr>
            <w:r w:rsidRPr="00687A1C">
              <w:t>Liabilities</w:t>
            </w:r>
          </w:p>
        </w:tc>
        <w:tc>
          <w:tcPr>
            <w:tcW w:w="1155" w:type="dxa"/>
            <w:shd w:val="clear" w:color="auto" w:fill="E0E0E0"/>
            <w:vAlign w:val="bottom"/>
          </w:tcPr>
          <w:p w:rsidR="002F082B" w:rsidRPr="00687A1C" w:rsidRDefault="002F082B" w:rsidP="001E1011">
            <w:pPr>
              <w:pStyle w:val="Tabletextright"/>
            </w:pPr>
          </w:p>
        </w:tc>
        <w:tc>
          <w:tcPr>
            <w:tcW w:w="1155" w:type="dxa"/>
            <w:shd w:val="clear" w:color="auto" w:fill="FFFFFF" w:themeFill="background1"/>
            <w:noWrap/>
            <w:vAlign w:val="bottom"/>
          </w:tcPr>
          <w:p w:rsidR="002F082B" w:rsidRPr="00687A1C" w:rsidRDefault="002F082B" w:rsidP="00525A0B">
            <w:pPr>
              <w:pStyle w:val="Tabletextright"/>
            </w:pPr>
          </w:p>
        </w:tc>
        <w:tc>
          <w:tcPr>
            <w:tcW w:w="1156" w:type="dxa"/>
            <w:shd w:val="clear" w:color="auto" w:fill="E0E0E0"/>
            <w:noWrap/>
          </w:tcPr>
          <w:p w:rsidR="002F082B" w:rsidRPr="00687A1C" w:rsidRDefault="002F082B" w:rsidP="002F082B">
            <w:pPr>
              <w:pStyle w:val="Tabletextright"/>
            </w:pP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
              <w:rPr>
                <w:rFonts w:cs="Calibri"/>
              </w:rPr>
            </w:pPr>
            <w:r w:rsidRPr="00687A1C">
              <w:t>Payables</w:t>
            </w:r>
            <w:r w:rsidRPr="00687A1C">
              <w:rPr>
                <w:vertAlign w:val="superscript"/>
              </w:rPr>
              <w:t>(a)</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119.9</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63.0</w:t>
            </w:r>
          </w:p>
        </w:tc>
        <w:tc>
          <w:tcPr>
            <w:tcW w:w="1156" w:type="dxa"/>
            <w:shd w:val="clear" w:color="auto" w:fill="E0E0E0"/>
            <w:noWrap/>
          </w:tcPr>
          <w:p w:rsidR="002F082B" w:rsidRPr="00687A1C" w:rsidRDefault="002F082B" w:rsidP="002F082B">
            <w:pPr>
              <w:pStyle w:val="Tabletextright"/>
            </w:pPr>
            <w:r w:rsidRPr="00687A1C">
              <w:t>(56.9)</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
              <w:rPr>
                <w:rFonts w:cs="Calibri"/>
              </w:rPr>
            </w:pPr>
            <w:r w:rsidRPr="00687A1C">
              <w:t>Borrowings</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4.0</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4.9</w:t>
            </w:r>
          </w:p>
        </w:tc>
        <w:tc>
          <w:tcPr>
            <w:tcW w:w="1156" w:type="dxa"/>
            <w:shd w:val="clear" w:color="auto" w:fill="E0E0E0"/>
            <w:noWrap/>
          </w:tcPr>
          <w:p w:rsidR="002F082B" w:rsidRPr="00687A1C" w:rsidRDefault="002F082B" w:rsidP="002F082B">
            <w:pPr>
              <w:pStyle w:val="Tabletextright"/>
            </w:pPr>
            <w:r w:rsidRPr="00687A1C">
              <w:t>0.9</w:t>
            </w:r>
          </w:p>
        </w:tc>
      </w:tr>
      <w:tr w:rsidR="002F082B" w:rsidRPr="00687A1C" w:rsidTr="002F082B">
        <w:trPr>
          <w:trHeight w:val="270"/>
        </w:trPr>
        <w:tc>
          <w:tcPr>
            <w:tcW w:w="4244" w:type="dxa"/>
            <w:shd w:val="clear" w:color="auto" w:fill="auto"/>
            <w:noWrap/>
            <w:vAlign w:val="bottom"/>
          </w:tcPr>
          <w:p w:rsidR="002F082B" w:rsidRPr="00687A1C" w:rsidRDefault="002F082B" w:rsidP="00DF49AA">
            <w:pPr>
              <w:pStyle w:val="Tabletext"/>
              <w:rPr>
                <w:rFonts w:cs="Calibri"/>
              </w:rPr>
            </w:pPr>
            <w:r w:rsidRPr="00687A1C">
              <w:t>Provisions</w:t>
            </w:r>
            <w:r w:rsidRPr="00687A1C">
              <w:rPr>
                <w:vertAlign w:val="superscript"/>
              </w:rPr>
              <w:t>(b)</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66.5</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127.6</w:t>
            </w:r>
          </w:p>
        </w:tc>
        <w:tc>
          <w:tcPr>
            <w:tcW w:w="1156" w:type="dxa"/>
            <w:shd w:val="clear" w:color="auto" w:fill="E0E0E0"/>
            <w:noWrap/>
          </w:tcPr>
          <w:p w:rsidR="002F082B" w:rsidRPr="00687A1C" w:rsidRDefault="002F082B" w:rsidP="002F082B">
            <w:pPr>
              <w:pStyle w:val="Tabletextright"/>
            </w:pPr>
            <w:r w:rsidRPr="00687A1C">
              <w:t>61.1</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bold"/>
              <w:rPr>
                <w:rFonts w:cs="Calibri"/>
              </w:rPr>
            </w:pPr>
            <w:r w:rsidRPr="00687A1C">
              <w:t>Total liabilities</w:t>
            </w:r>
          </w:p>
        </w:tc>
        <w:tc>
          <w:tcPr>
            <w:tcW w:w="1155" w:type="dxa"/>
            <w:shd w:val="clear" w:color="auto" w:fill="E0E0E0"/>
            <w:vAlign w:val="bottom"/>
          </w:tcPr>
          <w:p w:rsidR="002F082B" w:rsidRPr="00687A1C" w:rsidRDefault="002F082B" w:rsidP="001E1011">
            <w:pPr>
              <w:pStyle w:val="Tabletextrightbold"/>
            </w:pPr>
            <w:r w:rsidRPr="00687A1C">
              <w:t>190.4</w:t>
            </w:r>
          </w:p>
        </w:tc>
        <w:tc>
          <w:tcPr>
            <w:tcW w:w="1155" w:type="dxa"/>
            <w:shd w:val="clear" w:color="auto" w:fill="FFFFFF" w:themeFill="background1"/>
            <w:noWrap/>
            <w:vAlign w:val="bottom"/>
          </w:tcPr>
          <w:p w:rsidR="002F082B" w:rsidRPr="00687A1C" w:rsidRDefault="002F082B" w:rsidP="00525A0B">
            <w:pPr>
              <w:pStyle w:val="Tabletextrightbold"/>
            </w:pPr>
            <w:r w:rsidRPr="00687A1C">
              <w:t>195.5</w:t>
            </w:r>
          </w:p>
        </w:tc>
        <w:tc>
          <w:tcPr>
            <w:tcW w:w="1156" w:type="dxa"/>
            <w:shd w:val="clear" w:color="auto" w:fill="E0E0E0"/>
            <w:noWrap/>
          </w:tcPr>
          <w:p w:rsidR="002F082B" w:rsidRPr="00687A1C" w:rsidRDefault="002F082B" w:rsidP="002F082B">
            <w:pPr>
              <w:pStyle w:val="Tabletextright"/>
              <w:rPr>
                <w:b/>
                <w:bCs/>
              </w:rPr>
            </w:pPr>
            <w:r w:rsidRPr="00687A1C">
              <w:rPr>
                <w:b/>
                <w:bCs/>
              </w:rPr>
              <w:t>5.1</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bold"/>
              <w:rPr>
                <w:rFonts w:cs="Calibri"/>
              </w:rPr>
            </w:pPr>
            <w:r w:rsidRPr="00687A1C">
              <w:t>Net assets</w:t>
            </w:r>
          </w:p>
        </w:tc>
        <w:tc>
          <w:tcPr>
            <w:tcW w:w="1155" w:type="dxa"/>
            <w:shd w:val="clear" w:color="auto" w:fill="E0E0E0"/>
            <w:vAlign w:val="bottom"/>
          </w:tcPr>
          <w:p w:rsidR="002F082B" w:rsidRPr="00687A1C" w:rsidRDefault="002F082B" w:rsidP="001E1011">
            <w:pPr>
              <w:pStyle w:val="Tabletextrightbold"/>
            </w:pPr>
            <w:r w:rsidRPr="00687A1C">
              <w:t>916.0</w:t>
            </w:r>
          </w:p>
        </w:tc>
        <w:tc>
          <w:tcPr>
            <w:tcW w:w="1155" w:type="dxa"/>
            <w:shd w:val="clear" w:color="auto" w:fill="FFFFFF" w:themeFill="background1"/>
            <w:noWrap/>
            <w:vAlign w:val="bottom"/>
          </w:tcPr>
          <w:p w:rsidR="002F082B" w:rsidRPr="00687A1C" w:rsidRDefault="002F082B" w:rsidP="00525A0B">
            <w:pPr>
              <w:pStyle w:val="Tabletextrightbold"/>
            </w:pPr>
            <w:r w:rsidRPr="00687A1C">
              <w:t>1 083.1</w:t>
            </w:r>
          </w:p>
        </w:tc>
        <w:tc>
          <w:tcPr>
            <w:tcW w:w="1156" w:type="dxa"/>
            <w:shd w:val="clear" w:color="auto" w:fill="E0E0E0"/>
            <w:noWrap/>
          </w:tcPr>
          <w:p w:rsidR="002F082B" w:rsidRPr="00687A1C" w:rsidRDefault="002F082B" w:rsidP="002F082B">
            <w:pPr>
              <w:pStyle w:val="Tabletextright"/>
              <w:rPr>
                <w:b/>
                <w:bCs/>
              </w:rPr>
            </w:pPr>
            <w:r w:rsidRPr="00687A1C">
              <w:rPr>
                <w:b/>
                <w:bCs/>
              </w:rPr>
              <w:t>167.1</w:t>
            </w: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
              <w:rPr>
                <w:rFonts w:ascii="Arial" w:hAnsi="Arial"/>
              </w:rPr>
            </w:pPr>
          </w:p>
        </w:tc>
        <w:tc>
          <w:tcPr>
            <w:tcW w:w="1155" w:type="dxa"/>
            <w:shd w:val="clear" w:color="auto" w:fill="E0E0E0"/>
            <w:vAlign w:val="bottom"/>
          </w:tcPr>
          <w:p w:rsidR="002F082B" w:rsidRPr="00687A1C" w:rsidRDefault="002F082B" w:rsidP="001E1011">
            <w:pPr>
              <w:pStyle w:val="Tabletextright"/>
            </w:pPr>
          </w:p>
        </w:tc>
        <w:tc>
          <w:tcPr>
            <w:tcW w:w="1155" w:type="dxa"/>
            <w:shd w:val="clear" w:color="auto" w:fill="FFFFFF" w:themeFill="background1"/>
            <w:noWrap/>
            <w:vAlign w:val="bottom"/>
          </w:tcPr>
          <w:p w:rsidR="002F082B" w:rsidRPr="00687A1C" w:rsidRDefault="002F082B" w:rsidP="00525A0B">
            <w:pPr>
              <w:pStyle w:val="Tabletextright"/>
            </w:pPr>
          </w:p>
        </w:tc>
        <w:tc>
          <w:tcPr>
            <w:tcW w:w="1156" w:type="dxa"/>
            <w:shd w:val="clear" w:color="auto" w:fill="E0E0E0"/>
            <w:noWrap/>
          </w:tcPr>
          <w:p w:rsidR="002F082B" w:rsidRPr="00687A1C" w:rsidRDefault="002F082B" w:rsidP="002F082B">
            <w:pPr>
              <w:pStyle w:val="Tabletextright"/>
            </w:pPr>
          </w:p>
        </w:tc>
      </w:tr>
      <w:tr w:rsidR="002F082B" w:rsidRPr="00687A1C" w:rsidTr="002F082B">
        <w:trPr>
          <w:trHeight w:val="285"/>
        </w:trPr>
        <w:tc>
          <w:tcPr>
            <w:tcW w:w="4244" w:type="dxa"/>
            <w:shd w:val="clear" w:color="auto" w:fill="auto"/>
            <w:noWrap/>
            <w:vAlign w:val="bottom"/>
          </w:tcPr>
          <w:p w:rsidR="002F082B" w:rsidRPr="00687A1C" w:rsidRDefault="002F082B" w:rsidP="00525A0B">
            <w:pPr>
              <w:pStyle w:val="Tabletextbold"/>
            </w:pPr>
            <w:r w:rsidRPr="00687A1C">
              <w:t>Equity</w:t>
            </w:r>
          </w:p>
        </w:tc>
        <w:tc>
          <w:tcPr>
            <w:tcW w:w="1155" w:type="dxa"/>
            <w:shd w:val="clear" w:color="auto" w:fill="E0E0E0"/>
            <w:vAlign w:val="bottom"/>
          </w:tcPr>
          <w:p w:rsidR="002F082B" w:rsidRPr="00687A1C" w:rsidRDefault="002F082B" w:rsidP="001E1011">
            <w:pPr>
              <w:pStyle w:val="Tabletextright"/>
            </w:pPr>
          </w:p>
        </w:tc>
        <w:tc>
          <w:tcPr>
            <w:tcW w:w="1155" w:type="dxa"/>
            <w:shd w:val="clear" w:color="auto" w:fill="FFFFFF" w:themeFill="background1"/>
            <w:noWrap/>
            <w:vAlign w:val="bottom"/>
          </w:tcPr>
          <w:p w:rsidR="002F082B" w:rsidRPr="00687A1C" w:rsidRDefault="002F082B" w:rsidP="00525A0B">
            <w:pPr>
              <w:pStyle w:val="Tabletextright"/>
            </w:pPr>
          </w:p>
        </w:tc>
        <w:tc>
          <w:tcPr>
            <w:tcW w:w="1156" w:type="dxa"/>
            <w:shd w:val="clear" w:color="auto" w:fill="E0E0E0"/>
            <w:noWrap/>
          </w:tcPr>
          <w:p w:rsidR="002F082B" w:rsidRPr="00687A1C" w:rsidRDefault="002F082B" w:rsidP="002F082B">
            <w:pPr>
              <w:pStyle w:val="Tabletextright"/>
            </w:pPr>
          </w:p>
        </w:tc>
      </w:tr>
      <w:tr w:rsidR="002F082B" w:rsidRPr="00687A1C" w:rsidTr="002F082B">
        <w:trPr>
          <w:trHeight w:val="255"/>
        </w:trPr>
        <w:tc>
          <w:tcPr>
            <w:tcW w:w="4244" w:type="dxa"/>
            <w:shd w:val="clear" w:color="auto" w:fill="auto"/>
            <w:noWrap/>
            <w:vAlign w:val="bottom"/>
          </w:tcPr>
          <w:p w:rsidR="002F082B" w:rsidRPr="00687A1C" w:rsidRDefault="002F082B" w:rsidP="00525A0B">
            <w:pPr>
              <w:pStyle w:val="Tabletext"/>
              <w:rPr>
                <w:rFonts w:cs="Calibri"/>
              </w:rPr>
            </w:pPr>
            <w:r w:rsidRPr="00687A1C">
              <w:t>Contributed capital</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366.4</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365.4</w:t>
            </w:r>
          </w:p>
        </w:tc>
        <w:tc>
          <w:tcPr>
            <w:tcW w:w="1156" w:type="dxa"/>
            <w:shd w:val="clear" w:color="auto" w:fill="E0E0E0"/>
            <w:noWrap/>
          </w:tcPr>
          <w:p w:rsidR="002F082B" w:rsidRPr="00687A1C" w:rsidRDefault="002F082B" w:rsidP="002F082B">
            <w:pPr>
              <w:pStyle w:val="Tabletextright"/>
            </w:pPr>
            <w:r w:rsidRPr="00687A1C">
              <w:t>(1.0)</w:t>
            </w:r>
          </w:p>
        </w:tc>
      </w:tr>
      <w:tr w:rsidR="002F082B" w:rsidRPr="00687A1C" w:rsidTr="002F082B">
        <w:trPr>
          <w:trHeight w:val="270"/>
        </w:trPr>
        <w:tc>
          <w:tcPr>
            <w:tcW w:w="4244" w:type="dxa"/>
            <w:shd w:val="clear" w:color="auto" w:fill="auto"/>
            <w:noWrap/>
            <w:vAlign w:val="bottom"/>
          </w:tcPr>
          <w:p w:rsidR="002F082B" w:rsidRPr="00687A1C" w:rsidRDefault="002F082B" w:rsidP="00DF49AA">
            <w:pPr>
              <w:pStyle w:val="Tabletext"/>
            </w:pPr>
            <w:r w:rsidRPr="00687A1C">
              <w:t>Reserves</w:t>
            </w:r>
            <w:r w:rsidRPr="00687A1C">
              <w:rPr>
                <w:vertAlign w:val="superscript"/>
              </w:rPr>
              <w:t>(d)</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421.2</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559.8</w:t>
            </w:r>
          </w:p>
        </w:tc>
        <w:tc>
          <w:tcPr>
            <w:tcW w:w="1156" w:type="dxa"/>
            <w:shd w:val="clear" w:color="auto" w:fill="E0E0E0"/>
            <w:noWrap/>
          </w:tcPr>
          <w:p w:rsidR="002F082B" w:rsidRPr="00687A1C" w:rsidRDefault="002F082B" w:rsidP="002F082B">
            <w:pPr>
              <w:pStyle w:val="Tabletextright"/>
            </w:pPr>
            <w:r w:rsidRPr="00687A1C">
              <w:t>138.6</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
            </w:pPr>
            <w:r w:rsidRPr="00687A1C">
              <w:t>Accumulated surplus</w:t>
            </w:r>
          </w:p>
        </w:tc>
        <w:tc>
          <w:tcPr>
            <w:tcW w:w="1155" w:type="dxa"/>
            <w:shd w:val="clear" w:color="auto" w:fill="E0E0E0"/>
            <w:vAlign w:val="bottom"/>
          </w:tcPr>
          <w:p w:rsidR="002F082B" w:rsidRPr="00687A1C" w:rsidRDefault="002F082B" w:rsidP="001E1011">
            <w:pPr>
              <w:pStyle w:val="Tabletextright"/>
              <w:rPr>
                <w:rFonts w:cs="Arial"/>
              </w:rPr>
            </w:pPr>
            <w:r w:rsidRPr="00687A1C">
              <w:rPr>
                <w:rFonts w:cs="Arial"/>
              </w:rPr>
              <w:t>128.4</w:t>
            </w:r>
          </w:p>
        </w:tc>
        <w:tc>
          <w:tcPr>
            <w:tcW w:w="1155" w:type="dxa"/>
            <w:shd w:val="clear" w:color="auto" w:fill="FFFFFF" w:themeFill="background1"/>
            <w:noWrap/>
            <w:vAlign w:val="bottom"/>
          </w:tcPr>
          <w:p w:rsidR="002F082B" w:rsidRPr="00687A1C" w:rsidRDefault="002F082B" w:rsidP="00525A0B">
            <w:pPr>
              <w:pStyle w:val="Tabletextright"/>
              <w:rPr>
                <w:rFonts w:cs="Arial"/>
              </w:rPr>
            </w:pPr>
            <w:r w:rsidRPr="00687A1C">
              <w:rPr>
                <w:rFonts w:cs="Arial"/>
              </w:rPr>
              <w:t>157.9</w:t>
            </w:r>
          </w:p>
        </w:tc>
        <w:tc>
          <w:tcPr>
            <w:tcW w:w="1156" w:type="dxa"/>
            <w:shd w:val="clear" w:color="auto" w:fill="E0E0E0"/>
            <w:noWrap/>
          </w:tcPr>
          <w:p w:rsidR="002F082B" w:rsidRPr="00687A1C" w:rsidRDefault="002F082B" w:rsidP="002F082B">
            <w:pPr>
              <w:pStyle w:val="Tabletextright"/>
            </w:pPr>
            <w:r w:rsidRPr="00687A1C">
              <w:t>29.5</w:t>
            </w:r>
          </w:p>
        </w:tc>
      </w:tr>
      <w:tr w:rsidR="002F082B" w:rsidRPr="00687A1C" w:rsidTr="002F082B">
        <w:trPr>
          <w:trHeight w:val="270"/>
        </w:trPr>
        <w:tc>
          <w:tcPr>
            <w:tcW w:w="4244" w:type="dxa"/>
            <w:shd w:val="clear" w:color="auto" w:fill="auto"/>
            <w:noWrap/>
            <w:vAlign w:val="bottom"/>
          </w:tcPr>
          <w:p w:rsidR="002F082B" w:rsidRPr="00687A1C" w:rsidRDefault="002F082B" w:rsidP="00525A0B">
            <w:pPr>
              <w:pStyle w:val="Tabletextbold"/>
            </w:pPr>
            <w:r w:rsidRPr="00687A1C">
              <w:t>Total equity</w:t>
            </w:r>
          </w:p>
        </w:tc>
        <w:tc>
          <w:tcPr>
            <w:tcW w:w="1155" w:type="dxa"/>
            <w:shd w:val="clear" w:color="auto" w:fill="E0E0E0"/>
            <w:vAlign w:val="bottom"/>
          </w:tcPr>
          <w:p w:rsidR="002F082B" w:rsidRPr="00687A1C" w:rsidRDefault="002F082B" w:rsidP="001E1011">
            <w:pPr>
              <w:pStyle w:val="Tabletextrightbold"/>
            </w:pPr>
            <w:r w:rsidRPr="00687A1C">
              <w:t>916.0</w:t>
            </w:r>
          </w:p>
        </w:tc>
        <w:tc>
          <w:tcPr>
            <w:tcW w:w="1155" w:type="dxa"/>
            <w:shd w:val="clear" w:color="auto" w:fill="FFFFFF" w:themeFill="background1"/>
            <w:noWrap/>
            <w:vAlign w:val="bottom"/>
          </w:tcPr>
          <w:p w:rsidR="002F082B" w:rsidRPr="00687A1C" w:rsidRDefault="002F082B" w:rsidP="00525A0B">
            <w:pPr>
              <w:pStyle w:val="Tabletextrightbold"/>
            </w:pPr>
            <w:r w:rsidRPr="00687A1C">
              <w:t>1 083.1</w:t>
            </w:r>
          </w:p>
        </w:tc>
        <w:tc>
          <w:tcPr>
            <w:tcW w:w="1156" w:type="dxa"/>
            <w:shd w:val="clear" w:color="auto" w:fill="E0E0E0"/>
            <w:noWrap/>
          </w:tcPr>
          <w:p w:rsidR="002F082B" w:rsidRPr="00687A1C" w:rsidRDefault="002F082B" w:rsidP="002F082B">
            <w:pPr>
              <w:pStyle w:val="Tabletextright"/>
              <w:rPr>
                <w:b/>
                <w:bCs/>
              </w:rPr>
            </w:pPr>
            <w:r w:rsidRPr="00687A1C">
              <w:rPr>
                <w:b/>
                <w:bCs/>
              </w:rPr>
              <w:t>167.1</w:t>
            </w:r>
          </w:p>
        </w:tc>
      </w:tr>
    </w:tbl>
    <w:p w:rsidR="00663599" w:rsidRPr="00687A1C" w:rsidRDefault="00663599" w:rsidP="00663599">
      <w:pPr>
        <w:pStyle w:val="Notes"/>
      </w:pPr>
      <w:r w:rsidRPr="00687A1C">
        <w:t>Notes:</w:t>
      </w:r>
    </w:p>
    <w:p w:rsidR="00DF49AA" w:rsidRPr="00687A1C" w:rsidRDefault="00DF49AA" w:rsidP="00DF49AA">
      <w:pPr>
        <w:pStyle w:val="Notes"/>
      </w:pPr>
      <w:r w:rsidRPr="00687A1C">
        <w:t>(a) The decrease is driven by the reclassification of part of the Finance Agency Trust from a controlled trust to an administered trust.</w:t>
      </w:r>
    </w:p>
    <w:p w:rsidR="00DF49AA" w:rsidRPr="00687A1C" w:rsidRDefault="00DF49AA" w:rsidP="00DF49AA">
      <w:pPr>
        <w:pStyle w:val="Notes"/>
      </w:pPr>
      <w:r w:rsidRPr="00687A1C">
        <w:t>(b) The increase is primarily due to a provision to remediate a land site and the associated funding receivable.</w:t>
      </w:r>
    </w:p>
    <w:p w:rsidR="00DF49AA" w:rsidRPr="00687A1C" w:rsidRDefault="00DF49AA" w:rsidP="00DF49AA">
      <w:pPr>
        <w:pStyle w:val="Notes"/>
      </w:pPr>
      <w:r w:rsidRPr="00687A1C">
        <w:t xml:space="preserve">(c) The decrease is driven by </w:t>
      </w:r>
      <w:r w:rsidR="0027531A" w:rsidRPr="00687A1C">
        <w:t>Cenitex</w:t>
      </w:r>
      <w:r w:rsidRPr="00687A1C">
        <w:t xml:space="preserve"> </w:t>
      </w:r>
      <w:r w:rsidR="0060571A" w:rsidRPr="00687A1C">
        <w:t xml:space="preserve">lowering </w:t>
      </w:r>
      <w:r w:rsidRPr="00687A1C">
        <w:t>investments.</w:t>
      </w:r>
    </w:p>
    <w:p w:rsidR="00663599" w:rsidRPr="00687A1C" w:rsidRDefault="00DF49AA" w:rsidP="00DF49AA">
      <w:pPr>
        <w:pStyle w:val="Notes"/>
      </w:pPr>
      <w:r w:rsidRPr="00687A1C">
        <w:t>(d) The increase reflects asset revaluations carried out in 2016-17.</w:t>
      </w:r>
    </w:p>
    <w:p w:rsidR="00663599" w:rsidRPr="00687A1C" w:rsidRDefault="00663599" w:rsidP="00663599"/>
    <w:p w:rsidR="00663599" w:rsidRPr="00687A1C" w:rsidRDefault="00663599" w:rsidP="00663599">
      <w:pPr>
        <w:spacing w:before="0" w:after="0"/>
      </w:pPr>
      <w:r w:rsidRPr="00687A1C">
        <w:br w:type="page"/>
      </w:r>
    </w:p>
    <w:p w:rsidR="00663599" w:rsidRPr="00687A1C" w:rsidRDefault="00663599" w:rsidP="00663599">
      <w:pPr>
        <w:pStyle w:val="Heading2"/>
      </w:pPr>
      <w:r w:rsidRPr="00687A1C">
        <w:lastRenderedPageBreak/>
        <w:t>Budget portfolio outcomes</w:t>
      </w:r>
    </w:p>
    <w:p w:rsidR="00663599" w:rsidRPr="00687A1C" w:rsidRDefault="00663599" w:rsidP="00663599">
      <w:pPr>
        <w:pStyle w:val="Heading3"/>
      </w:pPr>
      <w:r w:rsidRPr="00687A1C">
        <w:t>Cash flow statement for the year ended 30 June 2018</w:t>
      </w:r>
    </w:p>
    <w:tbl>
      <w:tblPr>
        <w:tblStyle w:val="AnnualReportfinancialtable"/>
        <w:tblW w:w="7755" w:type="dxa"/>
        <w:tblLayout w:type="fixed"/>
        <w:tblLook w:val="02A0" w:firstRow="1" w:lastRow="0" w:firstColumn="1" w:lastColumn="0" w:noHBand="1" w:noVBand="0"/>
      </w:tblPr>
      <w:tblGrid>
        <w:gridCol w:w="4245"/>
        <w:gridCol w:w="1170"/>
        <w:gridCol w:w="1170"/>
        <w:gridCol w:w="1170"/>
      </w:tblGrid>
      <w:tr w:rsidR="002F082B" w:rsidRPr="00687A1C" w:rsidTr="002F082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headingleft"/>
              <w:rPr>
                <w:b/>
              </w:rPr>
            </w:pPr>
            <w:r w:rsidRPr="00687A1C">
              <w:rPr>
                <w:b/>
              </w:rPr>
              <w:t>Controlled</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headingright"/>
              <w:rPr>
                <w:b/>
              </w:rPr>
            </w:pPr>
            <w:r w:rsidRPr="00687A1C">
              <w:rPr>
                <w:b/>
              </w:rPr>
              <w:t>2017</w:t>
            </w:r>
            <w:r w:rsidRPr="00687A1C">
              <w:rPr>
                <w:b/>
              </w:rPr>
              <w:noBreakHyphen/>
              <w:t>18</w:t>
            </w:r>
            <w:r w:rsidRPr="00687A1C">
              <w:rPr>
                <w:b/>
              </w:rPr>
              <w:br/>
              <w:t>budget</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headingright"/>
              <w:rPr>
                <w:b/>
              </w:rPr>
            </w:pPr>
            <w:r w:rsidRPr="00687A1C">
              <w:rPr>
                <w:b/>
              </w:rPr>
              <w:t>2017</w:t>
            </w:r>
            <w:r w:rsidRPr="00687A1C">
              <w:rPr>
                <w:b/>
              </w:rPr>
              <w:noBreakHyphen/>
              <w:t>18</w:t>
            </w:r>
            <w:r w:rsidRPr="00687A1C">
              <w:rPr>
                <w:b/>
              </w:rPr>
              <w:br/>
              <w:t>actual</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headingright"/>
              <w:rPr>
                <w:b/>
              </w:rPr>
            </w:pPr>
            <w:r w:rsidRPr="00687A1C">
              <w:rPr>
                <w:b/>
              </w:rPr>
              <w:t>Variation</w:t>
            </w: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rPr>
                <w:rFonts w:ascii="Arial" w:hAnsi="Arial"/>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noWrap/>
          </w:tcPr>
          <w:p w:rsidR="002F082B" w:rsidRPr="00687A1C" w:rsidRDefault="002F082B" w:rsidP="00525A0B">
            <w:pPr>
              <w:pStyle w:val="Tabletextheadingright"/>
            </w:pPr>
            <w:r w:rsidRPr="00687A1C">
              <w:t>$m</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headingright"/>
            </w:pPr>
            <w:r w:rsidRPr="00687A1C">
              <w:t>$m</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noWrap/>
          </w:tcPr>
          <w:p w:rsidR="002F082B" w:rsidRPr="00687A1C" w:rsidRDefault="002F082B" w:rsidP="00525A0B">
            <w:pPr>
              <w:pStyle w:val="Tabletextheadingright"/>
            </w:pPr>
            <w:r w:rsidRPr="00687A1C">
              <w:t xml:space="preserve">% </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Cash flows from operating activities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Receipts from government</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263.7</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282.2</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18.5</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Receipts from other entities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0.2</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1.3</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1.1</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Goods and services tax recovered from the ATO</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7.8</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7.8</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 xml:space="preserve">Interest received </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1.2</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1.5</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0.3</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 xml:space="preserve">Other receipts </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9062DE">
            <w:pPr>
              <w:pStyle w:val="Tabletextright"/>
              <w:rPr>
                <w:rFonts w:cs="Arial"/>
              </w:rPr>
            </w:pPr>
            <w:r w:rsidRPr="00687A1C">
              <w:rPr>
                <w:rFonts w:cs="Arial"/>
              </w:rPr>
              <w:t>209.</w:t>
            </w:r>
            <w:r w:rsidR="009062DE" w:rsidRPr="00687A1C">
              <w:rPr>
                <w:rFonts w:cs="Arial"/>
              </w:rPr>
              <w:t>9</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9062DE">
            <w:pPr>
              <w:pStyle w:val="Tabletextright"/>
              <w:rPr>
                <w:rFonts w:cs="Arial"/>
              </w:rPr>
            </w:pPr>
            <w:r w:rsidRPr="00687A1C">
              <w:rPr>
                <w:rFonts w:cs="Arial"/>
              </w:rPr>
              <w:t>159.</w:t>
            </w:r>
            <w:r w:rsidR="009062DE" w:rsidRPr="00687A1C">
              <w:rPr>
                <w:rFonts w:cs="Arial"/>
              </w:rPr>
              <w:t>8</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9062DE">
            <w:pPr>
              <w:pStyle w:val="Tabletextright"/>
            </w:pPr>
            <w:r w:rsidRPr="00687A1C">
              <w:t>(50.</w:t>
            </w:r>
            <w:r w:rsidR="009062DE" w:rsidRPr="00687A1C">
              <w:t>1</w:t>
            </w:r>
            <w:r w:rsidRPr="00687A1C">
              <w:t>)</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rPr>
                <w:rFonts w:cs="Calibri"/>
              </w:rPr>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r w:rsidRPr="00687A1C">
              <w:t>475.0</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r w:rsidRPr="00687A1C">
              <w:t>452.6</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rPr>
                <w:b/>
                <w:bCs/>
              </w:rPr>
            </w:pPr>
            <w:r w:rsidRPr="00687A1C">
              <w:rPr>
                <w:b/>
                <w:bCs/>
              </w:rPr>
              <w:t>(22.4)</w:t>
            </w:r>
          </w:p>
        </w:tc>
      </w:tr>
      <w:tr w:rsidR="002F082B" w:rsidRPr="00687A1C" w:rsidTr="002F082B">
        <w:trPr>
          <w:trHeight w:val="30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Payments of grants and other transfers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(10.3)</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(16.2)</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(5.9)</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 xml:space="preserve">Payments to suppliers and employees </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(415.9)</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(437.1)</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(21.2)</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Goods and services tax paid to the ATO</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(0.2)</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0.2</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Capital asset charge</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(22.0)</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(22.0)</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0.0</w:t>
            </w:r>
          </w:p>
        </w:tc>
      </w:tr>
      <w:tr w:rsidR="002F082B" w:rsidRPr="00687A1C" w:rsidTr="002F082B">
        <w:trPr>
          <w:trHeight w:val="28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Interest and other finance costs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(0.2)</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(0.1)</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0.1</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rPr>
                <w:rFonts w:cs="Calibri"/>
              </w:rPr>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r w:rsidRPr="00687A1C">
              <w:t>(448.6)</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r w:rsidRPr="00687A1C">
              <w:t>(475.4)</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rPr>
                <w:b/>
                <w:bCs/>
              </w:rPr>
            </w:pPr>
            <w:r w:rsidRPr="00687A1C">
              <w:rPr>
                <w:b/>
                <w:bCs/>
              </w:rPr>
              <w:t>(26.8)</w:t>
            </w: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Net cash flows from/(used in) operating activities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r w:rsidRPr="00687A1C">
              <w:t>26.4</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r w:rsidRPr="00687A1C">
              <w:t>(22.8)</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rPr>
                <w:b/>
                <w:bCs/>
              </w:rPr>
            </w:pPr>
            <w:r w:rsidRPr="00687A1C">
              <w:rPr>
                <w:b/>
                <w:bCs/>
              </w:rPr>
              <w:t>(49.2)</w:t>
            </w: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rPr>
                <w:rFonts w:ascii="Arial" w:hAnsi="Arial"/>
              </w:rPr>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Cash flows from investing activities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Net investment</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19.7</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19.7</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Net payments for non-financial assets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(23.8)</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(28.3)</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(4.5)</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Proceeds from sale of non-financial assets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0.8</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0.8</w:t>
            </w:r>
          </w:p>
        </w:tc>
      </w:tr>
      <w:tr w:rsidR="002F082B" w:rsidRPr="00687A1C" w:rsidTr="002F082B">
        <w:trPr>
          <w:trHeight w:val="28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Net loans to other parties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(3.0)</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3.0</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Net cash flows used in investing activities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r w:rsidRPr="00687A1C">
              <w:t>(26.8)</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r w:rsidRPr="00687A1C">
              <w:t>(7.8)</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rPr>
                <w:b/>
                <w:bCs/>
              </w:rPr>
            </w:pPr>
            <w:r w:rsidRPr="00687A1C">
              <w:rPr>
                <w:b/>
                <w:bCs/>
              </w:rPr>
              <w:t>19.0</w:t>
            </w: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Cash flows from financing activities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Owner contributions by State Government</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2.6</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5.9</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3.3</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Net borrowings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5.1</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(2.7)</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(7.8)</w:t>
            </w:r>
          </w:p>
        </w:tc>
      </w:tr>
      <w:tr w:rsidR="002F082B" w:rsidRPr="00687A1C" w:rsidTr="002F082B">
        <w:trPr>
          <w:trHeight w:val="28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Net cash flows from financing activities</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r w:rsidRPr="00687A1C">
              <w:t>7.7</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r w:rsidRPr="00687A1C">
              <w:t>3.2</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rPr>
                <w:b/>
                <w:bCs/>
              </w:rPr>
            </w:pPr>
            <w:r w:rsidRPr="00687A1C">
              <w:rPr>
                <w:b/>
                <w:bCs/>
              </w:rPr>
              <w:t>(4.5)</w:t>
            </w: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70"/>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Net increase/(decrease) in cash held</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r w:rsidRPr="00687A1C">
              <w:t>7.3</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r w:rsidRPr="00687A1C">
              <w:t>(27.4)</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rPr>
                <w:b/>
                <w:bCs/>
              </w:rPr>
            </w:pPr>
            <w:r w:rsidRPr="00687A1C">
              <w:rPr>
                <w:b/>
                <w:bCs/>
              </w:rPr>
              <w:t>(34.7)</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r w:rsidRPr="00687A1C">
              <w:t>Cash at the beginning of the financial year</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rFonts w:cs="Arial"/>
              </w:rPr>
            </w:pPr>
            <w:r w:rsidRPr="00687A1C">
              <w:rPr>
                <w:rFonts w:cs="Arial"/>
              </w:rPr>
              <w:t>89.3</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rFonts w:cs="Arial"/>
              </w:rPr>
            </w:pPr>
            <w:r w:rsidRPr="00687A1C">
              <w:rPr>
                <w:rFonts w:cs="Arial"/>
              </w:rPr>
              <w:t>92.8</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r w:rsidRPr="00687A1C">
              <w:t>3.5</w:t>
            </w: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
              <w:rPr>
                <w:b/>
                <w:bCs/>
              </w:rPr>
            </w:pP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
              <w:rPr>
                <w:b/>
                <w:bCs/>
              </w:rPr>
            </w:pP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pPr>
          </w:p>
        </w:tc>
      </w:tr>
      <w:tr w:rsidR="002F082B" w:rsidRPr="00687A1C" w:rsidTr="002F082B">
        <w:trPr>
          <w:trHeight w:val="255"/>
        </w:trPr>
        <w:tc>
          <w:tcPr>
            <w:cnfStyle w:val="001000000000" w:firstRow="0" w:lastRow="0" w:firstColumn="1" w:lastColumn="0" w:oddVBand="0" w:evenVBand="0" w:oddHBand="0" w:evenHBand="0" w:firstRowFirstColumn="0" w:firstRowLastColumn="0" w:lastRowFirstColumn="0" w:lastRowLastColumn="0"/>
            <w:tcW w:w="4245" w:type="dxa"/>
            <w:noWrap/>
          </w:tcPr>
          <w:p w:rsidR="002F082B" w:rsidRPr="00687A1C" w:rsidRDefault="002F082B" w:rsidP="00525A0B">
            <w:pPr>
              <w:pStyle w:val="Tabletextbold"/>
            </w:pPr>
            <w:r w:rsidRPr="00687A1C">
              <w:t>Cash at the end of the financial year</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525A0B">
            <w:pPr>
              <w:pStyle w:val="Tabletextrightbold"/>
            </w:pPr>
            <w:r w:rsidRPr="00687A1C">
              <w:t>96.6</w:t>
            </w:r>
          </w:p>
        </w:tc>
        <w:tc>
          <w:tcPr>
            <w:cnfStyle w:val="000001000000" w:firstRow="0" w:lastRow="0" w:firstColumn="0" w:lastColumn="0" w:oddVBand="0" w:evenVBand="1" w:oddHBand="0" w:evenHBand="0" w:firstRowFirstColumn="0" w:firstRowLastColumn="0" w:lastRowFirstColumn="0" w:lastRowLastColumn="0"/>
            <w:tcW w:w="1170" w:type="dxa"/>
          </w:tcPr>
          <w:p w:rsidR="002F082B" w:rsidRPr="00687A1C" w:rsidRDefault="002F082B" w:rsidP="001E1011">
            <w:pPr>
              <w:pStyle w:val="Tabletextrightbold"/>
            </w:pPr>
            <w:r w:rsidRPr="00687A1C">
              <w:t>65.4</w:t>
            </w:r>
          </w:p>
        </w:tc>
        <w:tc>
          <w:tcPr>
            <w:cnfStyle w:val="000010000000" w:firstRow="0" w:lastRow="0" w:firstColumn="0" w:lastColumn="0" w:oddVBand="1" w:evenVBand="0" w:oddHBand="0" w:evenHBand="0" w:firstRowFirstColumn="0" w:firstRowLastColumn="0" w:lastRowFirstColumn="0" w:lastRowLastColumn="0"/>
            <w:tcW w:w="1170" w:type="dxa"/>
            <w:noWrap/>
          </w:tcPr>
          <w:p w:rsidR="002F082B" w:rsidRPr="00687A1C" w:rsidRDefault="002F082B" w:rsidP="002F082B">
            <w:pPr>
              <w:pStyle w:val="Tabletextright"/>
              <w:rPr>
                <w:b/>
                <w:bCs/>
              </w:rPr>
            </w:pPr>
            <w:r w:rsidRPr="00687A1C">
              <w:rPr>
                <w:b/>
                <w:bCs/>
              </w:rPr>
              <w:t>(31.2)</w:t>
            </w:r>
          </w:p>
        </w:tc>
      </w:tr>
    </w:tbl>
    <w:p w:rsidR="00663599" w:rsidRPr="00687A1C" w:rsidRDefault="002F082B" w:rsidP="002F082B">
      <w:pPr>
        <w:pStyle w:val="Notes"/>
      </w:pPr>
      <w:r w:rsidRPr="00687A1C">
        <w:t>Note:</w:t>
      </w:r>
    </w:p>
    <w:p w:rsidR="002F082B" w:rsidRPr="00687A1C" w:rsidRDefault="002F082B" w:rsidP="002F082B">
      <w:pPr>
        <w:pStyle w:val="Notes"/>
      </w:pPr>
      <w:r w:rsidRPr="00687A1C">
        <w:t xml:space="preserve">(a) The inflow is driven by </w:t>
      </w:r>
      <w:r w:rsidR="0027531A" w:rsidRPr="00687A1C">
        <w:t>Cenitex</w:t>
      </w:r>
      <w:r w:rsidRPr="00687A1C">
        <w:t xml:space="preserve"> redeeming investments.</w:t>
      </w:r>
    </w:p>
    <w:p w:rsidR="00663599" w:rsidRPr="00687A1C" w:rsidRDefault="00663599" w:rsidP="00663599"/>
    <w:p w:rsidR="00663599" w:rsidRPr="00687A1C" w:rsidRDefault="00663599" w:rsidP="00663599">
      <w:pPr>
        <w:spacing w:before="0" w:after="0"/>
      </w:pPr>
      <w:r w:rsidRPr="00687A1C">
        <w:br w:type="page"/>
      </w:r>
    </w:p>
    <w:p w:rsidR="00663599" w:rsidRPr="00687A1C" w:rsidRDefault="00663599" w:rsidP="00663599">
      <w:pPr>
        <w:pStyle w:val="Heading2"/>
      </w:pPr>
      <w:r w:rsidRPr="00687A1C">
        <w:lastRenderedPageBreak/>
        <w:t>Budget portfolio outcomes</w:t>
      </w:r>
    </w:p>
    <w:p w:rsidR="00663599" w:rsidRPr="00687A1C" w:rsidRDefault="00663599" w:rsidP="006438D3">
      <w:pPr>
        <w:pStyle w:val="Heading3"/>
      </w:pPr>
      <w:r w:rsidRPr="00687A1C">
        <w:t>Statement of changes in equity for the year ended 30</w:t>
      </w:r>
      <w:r w:rsidRPr="00687A1C">
        <w:rPr>
          <w:rFonts w:ascii="Calibri" w:hAnsi="Calibri" w:cs="Calibri"/>
        </w:rPr>
        <w:t> </w:t>
      </w:r>
      <w:r w:rsidRPr="00687A1C">
        <w:t>June</w:t>
      </w:r>
      <w:r w:rsidRPr="00687A1C">
        <w:rPr>
          <w:rFonts w:ascii="Calibri" w:hAnsi="Calibri" w:cs="Calibri"/>
        </w:rPr>
        <w:t> </w:t>
      </w:r>
      <w:r w:rsidRPr="00687A1C">
        <w:t>2018</w:t>
      </w:r>
    </w:p>
    <w:tbl>
      <w:tblPr>
        <w:tblStyle w:val="AnnualReportfinancialtable"/>
        <w:tblW w:w="8424" w:type="dxa"/>
        <w:tblLayout w:type="fixed"/>
        <w:tblLook w:val="02A0" w:firstRow="1" w:lastRow="0" w:firstColumn="1" w:lastColumn="0" w:noHBand="1" w:noVBand="0"/>
      </w:tblPr>
      <w:tblGrid>
        <w:gridCol w:w="3236"/>
        <w:gridCol w:w="1297"/>
        <w:gridCol w:w="1297"/>
        <w:gridCol w:w="1297"/>
        <w:gridCol w:w="1297"/>
      </w:tblGrid>
      <w:tr w:rsidR="006438D3" w:rsidRPr="00687A1C" w:rsidTr="006438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36" w:type="dxa"/>
            <w:noWrap/>
            <w:vAlign w:val="bottom"/>
            <w:hideMark/>
          </w:tcPr>
          <w:p w:rsidR="006438D3" w:rsidRPr="00687A1C" w:rsidRDefault="006438D3" w:rsidP="002F082B">
            <w:pPr>
              <w:pStyle w:val="Tabletextheadingleft"/>
              <w:rPr>
                <w:b/>
              </w:rPr>
            </w:pPr>
            <w:r w:rsidRPr="00687A1C">
              <w:rPr>
                <w:b/>
              </w:rPr>
              <w:t>Controlled</w:t>
            </w:r>
          </w:p>
        </w:tc>
        <w:tc>
          <w:tcPr>
            <w:cnfStyle w:val="000010000000" w:firstRow="0" w:lastRow="0" w:firstColumn="0" w:lastColumn="0" w:oddVBand="1" w:evenVBand="0" w:oddHBand="0" w:evenHBand="0" w:firstRowFirstColumn="0" w:firstRowLastColumn="0" w:lastRowFirstColumn="0" w:lastRowLastColumn="0"/>
            <w:tcW w:w="1297" w:type="dxa"/>
            <w:noWrap/>
            <w:vAlign w:val="bottom"/>
            <w:hideMark/>
          </w:tcPr>
          <w:p w:rsidR="006438D3" w:rsidRPr="00687A1C" w:rsidRDefault="006438D3" w:rsidP="006438D3">
            <w:pPr>
              <w:pStyle w:val="Tabletextheadingright"/>
              <w:rPr>
                <w:b/>
              </w:rPr>
            </w:pPr>
            <w:r w:rsidRPr="00687A1C">
              <w:rPr>
                <w:b/>
              </w:rPr>
              <w:t>Reserves</w:t>
            </w:r>
          </w:p>
        </w:tc>
        <w:tc>
          <w:tcPr>
            <w:cnfStyle w:val="000001000000" w:firstRow="0" w:lastRow="0" w:firstColumn="0" w:lastColumn="0" w:oddVBand="0" w:evenVBand="1" w:oddHBand="0" w:evenHBand="0" w:firstRowFirstColumn="0" w:firstRowLastColumn="0" w:lastRowFirstColumn="0" w:lastRowLastColumn="0"/>
            <w:tcW w:w="1297" w:type="dxa"/>
            <w:noWrap/>
            <w:vAlign w:val="bottom"/>
            <w:hideMark/>
          </w:tcPr>
          <w:p w:rsidR="006438D3" w:rsidRPr="00687A1C" w:rsidRDefault="006438D3" w:rsidP="006438D3">
            <w:pPr>
              <w:pStyle w:val="Tabletextheadingright"/>
              <w:rPr>
                <w:b/>
              </w:rPr>
            </w:pPr>
            <w:r w:rsidRPr="00687A1C">
              <w:rPr>
                <w:b/>
              </w:rPr>
              <w:t>Accumulated surplus</w:t>
            </w:r>
          </w:p>
        </w:tc>
        <w:tc>
          <w:tcPr>
            <w:cnfStyle w:val="000010000000" w:firstRow="0" w:lastRow="0" w:firstColumn="0" w:lastColumn="0" w:oddVBand="1" w:evenVBand="0" w:oddHBand="0" w:evenHBand="0" w:firstRowFirstColumn="0" w:firstRowLastColumn="0" w:lastRowFirstColumn="0" w:lastRowLastColumn="0"/>
            <w:tcW w:w="1297" w:type="dxa"/>
            <w:noWrap/>
            <w:vAlign w:val="bottom"/>
            <w:hideMark/>
          </w:tcPr>
          <w:p w:rsidR="006438D3" w:rsidRPr="00687A1C" w:rsidRDefault="006438D3" w:rsidP="006438D3">
            <w:pPr>
              <w:pStyle w:val="Tabletextheadingright"/>
              <w:rPr>
                <w:b/>
              </w:rPr>
            </w:pPr>
            <w:r w:rsidRPr="00687A1C">
              <w:rPr>
                <w:b/>
              </w:rPr>
              <w:t>Contributed capital</w:t>
            </w:r>
          </w:p>
        </w:tc>
        <w:tc>
          <w:tcPr>
            <w:cnfStyle w:val="000001000000" w:firstRow="0" w:lastRow="0" w:firstColumn="0" w:lastColumn="0" w:oddVBand="0" w:evenVBand="1" w:oddHBand="0" w:evenHBand="0" w:firstRowFirstColumn="0" w:firstRowLastColumn="0" w:lastRowFirstColumn="0" w:lastRowLastColumn="0"/>
            <w:tcW w:w="1297" w:type="dxa"/>
            <w:noWrap/>
            <w:vAlign w:val="bottom"/>
            <w:hideMark/>
          </w:tcPr>
          <w:p w:rsidR="006438D3" w:rsidRPr="00687A1C" w:rsidRDefault="006438D3" w:rsidP="006438D3">
            <w:pPr>
              <w:pStyle w:val="Tabletextheadingright"/>
              <w:rPr>
                <w:b/>
              </w:rPr>
            </w:pPr>
            <w:r w:rsidRPr="00687A1C">
              <w:rPr>
                <w:b/>
              </w:rPr>
              <w:t>Total</w:t>
            </w:r>
          </w:p>
        </w:tc>
      </w:tr>
      <w:tr w:rsidR="006438D3" w:rsidRPr="00687A1C" w:rsidTr="006438D3">
        <w:trPr>
          <w:trHeight w:val="255"/>
        </w:trPr>
        <w:tc>
          <w:tcPr>
            <w:cnfStyle w:val="001000000000" w:firstRow="0" w:lastRow="0" w:firstColumn="1" w:lastColumn="0" w:oddVBand="0" w:evenVBand="0" w:oddHBand="0" w:evenHBand="0" w:firstRowFirstColumn="0" w:firstRowLastColumn="0" w:lastRowFirstColumn="0" w:lastRowLastColumn="0"/>
            <w:tcW w:w="3236" w:type="dxa"/>
            <w:noWrap/>
            <w:vAlign w:val="bottom"/>
          </w:tcPr>
          <w:p w:rsidR="006438D3" w:rsidRPr="00687A1C" w:rsidRDefault="006438D3" w:rsidP="006438D3">
            <w:pPr>
              <w:pStyle w:val="Tabletextheadingleft"/>
              <w:rPr>
                <w:b w:val="0"/>
              </w:rPr>
            </w:pPr>
          </w:p>
        </w:tc>
        <w:tc>
          <w:tcPr>
            <w:cnfStyle w:val="000010000000" w:firstRow="0" w:lastRow="0" w:firstColumn="0" w:lastColumn="0" w:oddVBand="1" w:evenVBand="0" w:oddHBand="0" w:evenHBand="0" w:firstRowFirstColumn="0" w:firstRowLastColumn="0" w:lastRowFirstColumn="0" w:lastRowLastColumn="0"/>
            <w:tcW w:w="1297" w:type="dxa"/>
            <w:shd w:val="clear" w:color="auto" w:fill="FFFFFF" w:themeFill="background1"/>
            <w:noWrap/>
            <w:vAlign w:val="bottom"/>
          </w:tcPr>
          <w:p w:rsidR="006438D3" w:rsidRPr="00687A1C" w:rsidRDefault="006438D3" w:rsidP="006438D3">
            <w:pPr>
              <w:pStyle w:val="Tabletextheadingright"/>
            </w:pPr>
            <w:r w:rsidRPr="00687A1C">
              <w:t>$m</w:t>
            </w:r>
          </w:p>
        </w:tc>
        <w:tc>
          <w:tcPr>
            <w:cnfStyle w:val="000001000000" w:firstRow="0" w:lastRow="0" w:firstColumn="0" w:lastColumn="0" w:oddVBand="0" w:evenVBand="1" w:oddHBand="0" w:evenHBand="0" w:firstRowFirstColumn="0" w:firstRowLastColumn="0" w:lastRowFirstColumn="0" w:lastRowLastColumn="0"/>
            <w:tcW w:w="1297" w:type="dxa"/>
            <w:noWrap/>
            <w:vAlign w:val="bottom"/>
          </w:tcPr>
          <w:p w:rsidR="006438D3" w:rsidRPr="00687A1C" w:rsidRDefault="006438D3" w:rsidP="006438D3">
            <w:pPr>
              <w:pStyle w:val="Tabletextheadingright"/>
            </w:pPr>
            <w:r w:rsidRPr="00687A1C">
              <w:t>$m</w:t>
            </w:r>
          </w:p>
        </w:tc>
        <w:tc>
          <w:tcPr>
            <w:cnfStyle w:val="000010000000" w:firstRow="0" w:lastRow="0" w:firstColumn="0" w:lastColumn="0" w:oddVBand="1" w:evenVBand="0" w:oddHBand="0" w:evenHBand="0" w:firstRowFirstColumn="0" w:firstRowLastColumn="0" w:lastRowFirstColumn="0" w:lastRowLastColumn="0"/>
            <w:tcW w:w="1297" w:type="dxa"/>
            <w:shd w:val="clear" w:color="auto" w:fill="FFFFFF" w:themeFill="background1"/>
            <w:noWrap/>
            <w:vAlign w:val="bottom"/>
          </w:tcPr>
          <w:p w:rsidR="006438D3" w:rsidRPr="00687A1C" w:rsidRDefault="006438D3" w:rsidP="006438D3">
            <w:pPr>
              <w:pStyle w:val="Tabletextheadingright"/>
            </w:pPr>
            <w:r w:rsidRPr="00687A1C">
              <w:t>$m</w:t>
            </w:r>
          </w:p>
        </w:tc>
        <w:tc>
          <w:tcPr>
            <w:cnfStyle w:val="000001000000" w:firstRow="0" w:lastRow="0" w:firstColumn="0" w:lastColumn="0" w:oddVBand="0" w:evenVBand="1" w:oddHBand="0" w:evenHBand="0" w:firstRowFirstColumn="0" w:firstRowLastColumn="0" w:lastRowFirstColumn="0" w:lastRowLastColumn="0"/>
            <w:tcW w:w="1297" w:type="dxa"/>
            <w:noWrap/>
            <w:vAlign w:val="bottom"/>
          </w:tcPr>
          <w:p w:rsidR="006438D3" w:rsidRPr="00687A1C" w:rsidRDefault="006438D3" w:rsidP="006438D3">
            <w:pPr>
              <w:pStyle w:val="Tabletextheadingright"/>
            </w:pPr>
            <w:r w:rsidRPr="00687A1C">
              <w:t>$m</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2F082B">
            <w:pPr>
              <w:pStyle w:val="Tabletextheadingleft"/>
            </w:pPr>
            <w:r w:rsidRPr="00687A1C">
              <w:t>2017-18 original budget</w:t>
            </w: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bold"/>
            </w:pP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bold"/>
            </w:pPr>
            <w:r w:rsidRPr="00687A1C">
              <w:t>Balance at 1 July 2017</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421.2</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132.4</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366.4</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920.0</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Net result for the year</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(4.0)</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(4.0)</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Transfer to accumulated surplus</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Capital appropriations</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bold"/>
            </w:pPr>
            <w:r w:rsidRPr="00687A1C">
              <w:t>Balance at 30 June 2018</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421.2</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128.4</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366.4</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916.0</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tcPr>
          <w:p w:rsidR="006438D3" w:rsidRPr="00687A1C" w:rsidRDefault="006438D3" w:rsidP="006438D3">
            <w:pPr>
              <w:pStyle w:val="Tabletextbold"/>
            </w:pP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bold"/>
            </w:pP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2F082B">
            <w:pPr>
              <w:pStyle w:val="Tabletextheadingleft"/>
            </w:pPr>
            <w:r w:rsidRPr="00687A1C">
              <w:t>2017-18 actuals</w:t>
            </w: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
            </w:pP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
            </w:pP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bold"/>
            </w:pPr>
            <w:r w:rsidRPr="00687A1C">
              <w:t>Balance at 1 July 2017</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561.0</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148.8</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366.0</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1 075.8</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Net result for the year</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(1.2)</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 xml:space="preserve"> 3.2</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2.0</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Transfer to accumulated surplus</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 xml:space="preserve"> 5.9</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5.9</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Capital appropriations</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(0.6)</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(0.6)</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bold"/>
            </w:pPr>
            <w:r w:rsidRPr="00687A1C">
              <w:t>Balance at 30 June 2018</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559.8</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157.9</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365.4</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1 083.1</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tcPr>
          <w:p w:rsidR="006438D3" w:rsidRPr="00687A1C" w:rsidRDefault="006438D3" w:rsidP="006438D3">
            <w:pPr>
              <w:pStyle w:val="Tabletextbold"/>
            </w:pP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bold"/>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bold"/>
            </w:pP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9062DE">
            <w:pPr>
              <w:pStyle w:val="Tabletextheadingleft"/>
            </w:pPr>
            <w:r w:rsidRPr="00687A1C">
              <w:t>Varia</w:t>
            </w:r>
            <w:r w:rsidR="009062DE" w:rsidRPr="00687A1C">
              <w:t>tion</w:t>
            </w:r>
            <w:r w:rsidRPr="00687A1C">
              <w:t xml:space="preserve"> to original budget</w:t>
            </w: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
            </w:pPr>
          </w:p>
        </w:tc>
        <w:tc>
          <w:tcPr>
            <w:cnfStyle w:val="000010000000" w:firstRow="0" w:lastRow="0" w:firstColumn="0" w:lastColumn="0" w:oddVBand="1" w:evenVBand="0" w:oddHBand="0" w:evenHBand="0" w:firstRowFirstColumn="0" w:firstRowLastColumn="0" w:lastRowFirstColumn="0" w:lastRowLastColumn="0"/>
            <w:tcW w:w="1297" w:type="dxa"/>
            <w:noWrap/>
          </w:tcPr>
          <w:p w:rsidR="006438D3" w:rsidRPr="00687A1C" w:rsidRDefault="006438D3" w:rsidP="006438D3">
            <w:pPr>
              <w:pStyle w:val="Tabletextright"/>
            </w:pPr>
          </w:p>
        </w:tc>
        <w:tc>
          <w:tcPr>
            <w:cnfStyle w:val="000001000000" w:firstRow="0" w:lastRow="0" w:firstColumn="0" w:lastColumn="0" w:oddVBand="0" w:evenVBand="1" w:oddHBand="0" w:evenHBand="0" w:firstRowFirstColumn="0" w:firstRowLastColumn="0" w:lastRowFirstColumn="0" w:lastRowLastColumn="0"/>
            <w:tcW w:w="1297" w:type="dxa"/>
            <w:noWrap/>
          </w:tcPr>
          <w:p w:rsidR="006438D3" w:rsidRPr="00687A1C" w:rsidRDefault="006438D3" w:rsidP="006438D3">
            <w:pPr>
              <w:pStyle w:val="Tabletextright"/>
            </w:pP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bold"/>
            </w:pPr>
            <w:r w:rsidRPr="00687A1C">
              <w:t>Balance at 1 July 2017</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139.8</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16.4</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(0.4)</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155.8</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Net result for the year</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(1.2)</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 xml:space="preserve"> 7.2</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6.0</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Transfer to accumulated surplus</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 xml:space="preserve"> 5.9</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5.9</w:t>
            </w:r>
          </w:p>
        </w:tc>
      </w:tr>
      <w:tr w:rsidR="006438D3" w:rsidRPr="00687A1C" w:rsidTr="006438D3">
        <w:trPr>
          <w:trHeight w:val="240"/>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
            </w:pPr>
            <w:r w:rsidRPr="00687A1C">
              <w:t>Capital appropriations</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(0.6)</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
            </w:pPr>
            <w:r w:rsidRPr="00687A1C">
              <w:t>(0.6)</w:t>
            </w:r>
          </w:p>
        </w:tc>
      </w:tr>
      <w:tr w:rsidR="006438D3" w:rsidRPr="00687A1C" w:rsidTr="006438D3">
        <w:trPr>
          <w:trHeight w:val="255"/>
        </w:trPr>
        <w:tc>
          <w:tcPr>
            <w:cnfStyle w:val="001000000000" w:firstRow="0" w:lastRow="0" w:firstColumn="1" w:lastColumn="0" w:oddVBand="0" w:evenVBand="0" w:oddHBand="0" w:evenHBand="0" w:firstRowFirstColumn="0" w:firstRowLastColumn="0" w:lastRowFirstColumn="0" w:lastRowLastColumn="0"/>
            <w:tcW w:w="3236" w:type="dxa"/>
            <w:noWrap/>
            <w:hideMark/>
          </w:tcPr>
          <w:p w:rsidR="006438D3" w:rsidRPr="00687A1C" w:rsidRDefault="006438D3" w:rsidP="006438D3">
            <w:pPr>
              <w:pStyle w:val="Tabletextbold"/>
            </w:pPr>
            <w:r w:rsidRPr="00687A1C">
              <w:t>Balance at 30 June 2018</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138.6</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29.5</w:t>
            </w:r>
          </w:p>
        </w:tc>
        <w:tc>
          <w:tcPr>
            <w:cnfStyle w:val="000010000000" w:firstRow="0" w:lastRow="0" w:firstColumn="0" w:lastColumn="0" w:oddVBand="1" w:evenVBand="0"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(1.0)</w:t>
            </w:r>
          </w:p>
        </w:tc>
        <w:tc>
          <w:tcPr>
            <w:cnfStyle w:val="000001000000" w:firstRow="0" w:lastRow="0" w:firstColumn="0" w:lastColumn="0" w:oddVBand="0" w:evenVBand="1" w:oddHBand="0" w:evenHBand="0" w:firstRowFirstColumn="0" w:firstRowLastColumn="0" w:lastRowFirstColumn="0" w:lastRowLastColumn="0"/>
            <w:tcW w:w="1297" w:type="dxa"/>
            <w:noWrap/>
            <w:hideMark/>
          </w:tcPr>
          <w:p w:rsidR="006438D3" w:rsidRPr="00687A1C" w:rsidRDefault="006438D3" w:rsidP="006438D3">
            <w:pPr>
              <w:pStyle w:val="Tabletextrightbold"/>
            </w:pPr>
            <w:r w:rsidRPr="00687A1C">
              <w:t xml:space="preserve"> 167.1</w:t>
            </w:r>
          </w:p>
        </w:tc>
      </w:tr>
    </w:tbl>
    <w:p w:rsidR="006438D3" w:rsidRPr="00687A1C" w:rsidRDefault="006438D3" w:rsidP="006438D3">
      <w:pPr>
        <w:pStyle w:val="Notes"/>
      </w:pPr>
      <w:r w:rsidRPr="00687A1C">
        <w:t>Note:</w:t>
      </w:r>
    </w:p>
    <w:p w:rsidR="006438D3" w:rsidRPr="00687A1C" w:rsidRDefault="006438D3" w:rsidP="006438D3">
      <w:pPr>
        <w:pStyle w:val="Notes"/>
      </w:pPr>
      <w:r w:rsidRPr="00687A1C">
        <w:t xml:space="preserve">(a) Transfer to accumulated surplus is higher than budget due to the VicFleet business unit being reclassified from an </w:t>
      </w:r>
      <w:r w:rsidRPr="00687A1C">
        <w:br/>
        <w:t>administered trust to a controlled trust.</w:t>
      </w:r>
    </w:p>
    <w:p w:rsidR="00663599" w:rsidRPr="00687A1C" w:rsidRDefault="00663599" w:rsidP="00663599"/>
    <w:p w:rsidR="00663599" w:rsidRPr="00687A1C" w:rsidRDefault="00663599" w:rsidP="00663599">
      <w:pPr>
        <w:spacing w:before="0" w:after="0"/>
      </w:pPr>
      <w:r w:rsidRPr="00687A1C">
        <w:br w:type="page"/>
      </w:r>
    </w:p>
    <w:p w:rsidR="00663599" w:rsidRPr="00687A1C" w:rsidRDefault="00663599" w:rsidP="00663599">
      <w:pPr>
        <w:pStyle w:val="Heading2"/>
      </w:pPr>
      <w:r w:rsidRPr="00687A1C">
        <w:lastRenderedPageBreak/>
        <w:t>Budget portfolio outcomes</w:t>
      </w:r>
    </w:p>
    <w:p w:rsidR="00663599" w:rsidRPr="00687A1C" w:rsidRDefault="00663599" w:rsidP="00663599">
      <w:pPr>
        <w:pStyle w:val="Heading3"/>
      </w:pPr>
      <w:r w:rsidRPr="00687A1C">
        <w:t>Administered items statement for the year ended 30</w:t>
      </w:r>
      <w:r w:rsidRPr="00687A1C">
        <w:rPr>
          <w:rFonts w:ascii="Calibri" w:hAnsi="Calibri" w:cs="Calibri"/>
        </w:rPr>
        <w:t> </w:t>
      </w:r>
      <w:r w:rsidRPr="00687A1C">
        <w:t>June</w:t>
      </w:r>
      <w:r w:rsidRPr="00687A1C">
        <w:rPr>
          <w:rFonts w:ascii="Calibri" w:hAnsi="Calibri" w:cs="Calibri"/>
        </w:rPr>
        <w:t> </w:t>
      </w:r>
      <w:r w:rsidRPr="00687A1C">
        <w:t>2018</w:t>
      </w:r>
    </w:p>
    <w:tbl>
      <w:tblPr>
        <w:tblStyle w:val="AnnualReportfinancialtable"/>
        <w:tblW w:w="4362" w:type="pct"/>
        <w:tblLayout w:type="fixed"/>
        <w:tblLook w:val="02A0" w:firstRow="1" w:lastRow="0" w:firstColumn="1" w:lastColumn="0" w:noHBand="1" w:noVBand="0"/>
      </w:tblPr>
      <w:tblGrid>
        <w:gridCol w:w="5038"/>
        <w:gridCol w:w="1165"/>
        <w:gridCol w:w="1163"/>
        <w:gridCol w:w="1163"/>
      </w:tblGrid>
      <w:tr w:rsidR="002F082B" w:rsidRPr="00687A1C" w:rsidTr="00E20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525A0B">
            <w:pPr>
              <w:pStyle w:val="Tabletextheadingright"/>
              <w:rPr>
                <w:b/>
              </w:rPr>
            </w:pPr>
            <w:r w:rsidRPr="00687A1C">
              <w:rPr>
                <w:b/>
              </w:rPr>
              <w:t>2017–18</w:t>
            </w:r>
            <w:r w:rsidRPr="00687A1C">
              <w:rPr>
                <w:b/>
              </w:rPr>
              <w:br/>
              <w:t>budget</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headingright"/>
              <w:rPr>
                <w:b/>
              </w:rPr>
            </w:pPr>
            <w:r w:rsidRPr="00687A1C">
              <w:rPr>
                <w:b/>
              </w:rPr>
              <w:t>2017–18</w:t>
            </w:r>
            <w:r w:rsidRPr="00687A1C">
              <w:rPr>
                <w:b/>
              </w:rPr>
              <w:br/>
              <w:t>actual</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525A0B">
            <w:pPr>
              <w:pStyle w:val="Tabletextheadingright"/>
              <w:rPr>
                <w:b/>
              </w:rPr>
            </w:pPr>
            <w:r w:rsidRPr="00687A1C">
              <w:rPr>
                <w:b/>
              </w:rPr>
              <w:t>Variation</w:t>
            </w:r>
          </w:p>
        </w:tc>
      </w:tr>
      <w:tr w:rsidR="002F082B" w:rsidRPr="00687A1C" w:rsidTr="00E20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525A0B">
            <w:pPr>
              <w:pStyle w:val="Tabletextheadingright"/>
              <w:rPr>
                <w:b/>
              </w:rPr>
            </w:pPr>
            <w:r w:rsidRPr="00687A1C">
              <w:rPr>
                <w:b/>
              </w:rPr>
              <w:t>$m</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headingright"/>
              <w:rPr>
                <w:b/>
              </w:rPr>
            </w:pPr>
            <w:r w:rsidRPr="00687A1C">
              <w:rPr>
                <w:b/>
              </w:rPr>
              <w:t>$m</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headingright"/>
              <w:rPr>
                <w:b/>
              </w:rPr>
            </w:pPr>
            <w:r w:rsidRPr="00687A1C">
              <w:rPr>
                <w:b/>
              </w:rPr>
              <w:t>$m</w:t>
            </w:r>
          </w:p>
        </w:tc>
      </w:tr>
      <w:tr w:rsidR="002F082B" w:rsidRPr="00687A1C" w:rsidTr="002F082B">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Administered income from transactions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525A0B">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525A0B">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pPr>
            <w:r w:rsidRPr="00687A1C">
              <w:t>Appropriations – payments made on behalf of the State</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7 401.3</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5 </w:t>
            </w:r>
            <w:r w:rsidR="0060571A" w:rsidRPr="00687A1C">
              <w:t>395.7</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 xml:space="preserve">(2 </w:t>
            </w:r>
            <w:r w:rsidR="0060571A" w:rsidRPr="00687A1C">
              <w:t>005.6</w:t>
            </w:r>
            <w:r w:rsidRPr="00687A1C">
              <w:t>)</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pPr>
            <w:r w:rsidRPr="00687A1C">
              <w:t>Special appropriations</w:t>
            </w:r>
            <w:r w:rsidRPr="00687A1C">
              <w:rPr>
                <w:vertAlign w:val="superscript"/>
              </w:rPr>
              <w:t>(b)</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2 276.3</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1 300.8</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(975.5)</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Interest</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210.2</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127.1</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(83.1)</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Sales of goods and services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33.7</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22.3</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(11.4)</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Grants</w:t>
            </w:r>
            <w:r w:rsidRPr="00687A1C">
              <w:rPr>
                <w:vertAlign w:val="superscript"/>
              </w:rPr>
              <w:t xml:space="preserve"> </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22 790.3</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22 659.1</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(131.2)</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Other income</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24 167.8</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24 961.8</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794.0</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Total administered income from transactions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56 879.6</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bold"/>
            </w:pPr>
            <w:r w:rsidRPr="00687A1C">
              <w:t xml:space="preserve">54 </w:t>
            </w:r>
            <w:r w:rsidR="0060571A" w:rsidRPr="00687A1C">
              <w:t>466.8</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bold"/>
            </w:pPr>
            <w:r w:rsidRPr="00687A1C">
              <w:t xml:space="preserve">(2 </w:t>
            </w:r>
            <w:r w:rsidR="0060571A" w:rsidRPr="00687A1C">
              <w:t>412.8</w:t>
            </w:r>
            <w:r w:rsidRPr="00687A1C">
              <w:t>)</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Administered expenses from transactions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Expenses on behalf of the State</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 xml:space="preserve"> 453.7</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199.8</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(253.9)</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pPr>
            <w:r w:rsidRPr="00687A1C">
              <w:t>Employee benefits</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1 638.6</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1 164.3</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(474.3)</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Grants and other transfers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4 329.4</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4 050.2</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(279.2)</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Interest expense</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1 247.1</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1 156.1</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(91.0)</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Payments into Consolidated Fund</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46 869.3</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47 676.3</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807.0</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Total administered expenses from transactions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54 538.1</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bold"/>
            </w:pPr>
            <w:r w:rsidRPr="00687A1C">
              <w:t>54 246.7</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bold"/>
            </w:pPr>
            <w:r w:rsidRPr="00687A1C">
              <w:t>(291.4)</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Net result from transactions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2 341.5</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60571A" w:rsidP="001E1011">
            <w:pPr>
              <w:pStyle w:val="Tabletextrightbold"/>
            </w:pPr>
            <w:r w:rsidRPr="00687A1C">
              <w:t>220.1</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60571A" w:rsidP="001E1011">
            <w:pPr>
              <w:pStyle w:val="Tabletextrightbold"/>
            </w:pPr>
            <w:r w:rsidRPr="00687A1C">
              <w:t>(2 121.4)</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Other economic flows included in net result</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Net gain/(loss) on non-financial assets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23.3</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1.5</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(21.8)</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Share of net profits/(losses) of associates and joint venture entities, excluding dividends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( 5.5)</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(5.5)</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pPr>
            <w:r w:rsidRPr="00687A1C">
              <w:t>Net gain on financial instruments and statutory receivables/payables</w:t>
            </w:r>
            <w:r w:rsidRPr="00687A1C">
              <w:rPr>
                <w:vertAlign w:val="superscript"/>
              </w:rPr>
              <w:t>(c)</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1 493.8</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1 493.8</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Total other economic flows included in net result</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23.3</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bold"/>
            </w:pPr>
            <w:r w:rsidRPr="00687A1C">
              <w:t>1 489.8</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bold"/>
            </w:pPr>
            <w:r w:rsidRPr="00687A1C">
              <w:t>1 466.5</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Net result</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2 364.8</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bold"/>
            </w:pPr>
            <w:r w:rsidRPr="00687A1C">
              <w:t>1</w:t>
            </w:r>
            <w:r w:rsidR="0060571A" w:rsidRPr="00687A1C">
              <w:t xml:space="preserve"> 709.9</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bold"/>
            </w:pPr>
            <w:r w:rsidRPr="00687A1C">
              <w:t>(</w:t>
            </w:r>
            <w:r w:rsidR="0060571A" w:rsidRPr="00687A1C">
              <w:t>654.9</w:t>
            </w:r>
            <w:r w:rsidRPr="00687A1C">
              <w:t>)</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Other economic flows – other non</w:t>
            </w:r>
            <w:r w:rsidRPr="00687A1C">
              <w:noBreakHyphen/>
              <w:t>owner changes in equity</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Remeasurement of superannuation defined benefit plans</w:t>
            </w:r>
            <w:r w:rsidRPr="00687A1C">
              <w:rPr>
                <w:vertAlign w:val="superscript"/>
              </w:rPr>
              <w:t xml:space="preserve"> (d)</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915.0</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( 258.1)</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(1 173.1)</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Other</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( 11.6)</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( 11.6)</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Total other economic flows – other non</w:t>
            </w:r>
            <w:r w:rsidRPr="00687A1C">
              <w:noBreakHyphen/>
              <w:t>owner changes in equity</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915.0</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bold"/>
            </w:pPr>
            <w:r w:rsidRPr="00687A1C">
              <w:t>( 269.7)</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bold"/>
            </w:pPr>
            <w:r w:rsidRPr="00687A1C">
              <w:t>(1 184.7)</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Comprehensive result</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3 279.8</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bold"/>
            </w:pPr>
            <w:r w:rsidRPr="00687A1C">
              <w:t xml:space="preserve">1 </w:t>
            </w:r>
            <w:r w:rsidR="0060571A" w:rsidRPr="00687A1C">
              <w:t>440.2</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bold"/>
            </w:pPr>
            <w:r w:rsidRPr="00687A1C">
              <w:t xml:space="preserve">(1 </w:t>
            </w:r>
            <w:r w:rsidR="0060571A" w:rsidRPr="00687A1C">
              <w:t>839.6</w:t>
            </w:r>
            <w:r w:rsidRPr="00687A1C">
              <w:t>)</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Administered assets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pPr>
            <w:r w:rsidRPr="00687A1C">
              <w:t>Cash and deposits</w:t>
            </w:r>
            <w:r w:rsidRPr="00687A1C">
              <w:rPr>
                <w:vertAlign w:val="superscript"/>
              </w:rPr>
              <w:t>(c)</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2 066.5</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3 </w:t>
            </w:r>
            <w:r w:rsidR="0060571A" w:rsidRPr="00687A1C">
              <w:t>443.9</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 xml:space="preserve">1 </w:t>
            </w:r>
            <w:r w:rsidR="0060571A" w:rsidRPr="00687A1C">
              <w:t>377.4</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Receivables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6 720.0</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6 174.3</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(545.7)</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pPr>
            <w:r w:rsidRPr="00687A1C">
              <w:t>Other financial assets</w:t>
            </w:r>
            <w:r w:rsidRPr="00687A1C">
              <w:rPr>
                <w:vertAlign w:val="superscript"/>
              </w:rPr>
              <w:t>(e)</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427.8</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427.8</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rPr>
                <w:vertAlign w:val="superscript"/>
              </w:rPr>
            </w:pPr>
            <w:r w:rsidRPr="00687A1C">
              <w:t>Property, plant and equipment</w:t>
            </w:r>
            <w:r w:rsidRPr="00687A1C">
              <w:rPr>
                <w:vertAlign w:val="superscript"/>
              </w:rPr>
              <w:t>(f)</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556.6</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E20AE5" w:rsidP="00E20AE5">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(556.6)</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Other non</w:t>
            </w:r>
            <w:r w:rsidRPr="00687A1C">
              <w:noBreakHyphen/>
              <w:t>financial assets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54.9</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27.2</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(27.7)</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Investments accounted for using the equity method</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7.0</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7.0</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Total administered assets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9 398.0</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60571A" w:rsidP="001E1011">
            <w:pPr>
              <w:pStyle w:val="Tabletextrightbold"/>
            </w:pPr>
            <w:r w:rsidRPr="00687A1C">
              <w:t>10 080.2</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60571A" w:rsidP="001E1011">
            <w:pPr>
              <w:pStyle w:val="Tabletextrightbold"/>
            </w:pPr>
            <w:r w:rsidRPr="00687A1C">
              <w:t>682.2</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ageBreakBefore/>
            </w:pPr>
            <w:r w:rsidRPr="00687A1C">
              <w:lastRenderedPageBreak/>
              <w:t>Administered liabilities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Payables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6 202.0</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5 663.5</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(538.5)</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Borrowings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24 883.0</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23 606.1</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(1 276.9)</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
            </w:pPr>
            <w:r w:rsidRPr="00687A1C">
              <w:t>Provisions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3.9</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 xml:space="preserve"> 95.5</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91.6</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2F082B">
            <w:pPr>
              <w:pStyle w:val="Tabletext"/>
            </w:pPr>
            <w:r w:rsidRPr="00687A1C">
              <w:t>Superannuation</w:t>
            </w:r>
            <w:r w:rsidRPr="00687A1C">
              <w:rPr>
                <w:vertAlign w:val="superscript"/>
              </w:rPr>
              <w:t>(d)</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
            </w:pPr>
            <w:r w:rsidRPr="00687A1C">
              <w:t>24 506.3</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
            </w:pPr>
            <w:r w:rsidRPr="00687A1C">
              <w:t>25 205.4</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
            </w:pPr>
            <w:r w:rsidRPr="00687A1C">
              <w:t>699.1</w:t>
            </w:r>
          </w:p>
        </w:tc>
      </w:tr>
      <w:tr w:rsidR="002F082B" w:rsidRPr="00687A1C" w:rsidTr="001E1011">
        <w:tc>
          <w:tcPr>
            <w:cnfStyle w:val="001000000000" w:firstRow="0" w:lastRow="0" w:firstColumn="1" w:lastColumn="0" w:oddVBand="0" w:evenVBand="0" w:oddHBand="0" w:evenHBand="0" w:firstRowFirstColumn="0" w:firstRowLastColumn="0" w:lastRowFirstColumn="0" w:lastRowLastColumn="0"/>
            <w:tcW w:w="2953" w:type="pct"/>
            <w:noWrap/>
          </w:tcPr>
          <w:p w:rsidR="002F082B" w:rsidRPr="00687A1C" w:rsidRDefault="002F082B" w:rsidP="00525A0B">
            <w:pPr>
              <w:pStyle w:val="Tabletextbold"/>
            </w:pPr>
            <w:r w:rsidRPr="00687A1C">
              <w:t>Total administered liabilities</w:t>
            </w:r>
          </w:p>
        </w:tc>
        <w:tc>
          <w:tcPr>
            <w:cnfStyle w:val="000010000000" w:firstRow="0" w:lastRow="0" w:firstColumn="0" w:lastColumn="0" w:oddVBand="1" w:evenVBand="0" w:oddHBand="0" w:evenHBand="0" w:firstRowFirstColumn="0" w:firstRowLastColumn="0" w:lastRowFirstColumn="0" w:lastRowLastColumn="0"/>
            <w:tcW w:w="683" w:type="pct"/>
            <w:noWrap/>
          </w:tcPr>
          <w:p w:rsidR="002F082B" w:rsidRPr="00687A1C" w:rsidRDefault="002F082B" w:rsidP="001E1011">
            <w:pPr>
              <w:pStyle w:val="Tabletextrightbold"/>
            </w:pPr>
            <w:r w:rsidRPr="00687A1C">
              <w:t>55 595.2</w:t>
            </w:r>
          </w:p>
        </w:tc>
        <w:tc>
          <w:tcPr>
            <w:cnfStyle w:val="000001000000" w:firstRow="0" w:lastRow="0" w:firstColumn="0" w:lastColumn="0" w:oddVBand="0" w:evenVBand="1" w:oddHBand="0" w:evenHBand="0" w:firstRowFirstColumn="0" w:firstRowLastColumn="0" w:lastRowFirstColumn="0" w:lastRowLastColumn="0"/>
            <w:tcW w:w="682" w:type="pct"/>
          </w:tcPr>
          <w:p w:rsidR="002F082B" w:rsidRPr="00687A1C" w:rsidRDefault="002F082B" w:rsidP="001E1011">
            <w:pPr>
              <w:pStyle w:val="Tabletextrightbold"/>
            </w:pPr>
            <w:r w:rsidRPr="00687A1C">
              <w:t>54 570.5</w:t>
            </w:r>
          </w:p>
        </w:tc>
        <w:tc>
          <w:tcPr>
            <w:cnfStyle w:val="000010000000" w:firstRow="0" w:lastRow="0" w:firstColumn="0" w:lastColumn="0" w:oddVBand="1" w:evenVBand="0" w:oddHBand="0" w:evenHBand="0" w:firstRowFirstColumn="0" w:firstRowLastColumn="0" w:lastRowFirstColumn="0" w:lastRowLastColumn="0"/>
            <w:tcW w:w="682" w:type="pct"/>
            <w:noWrap/>
          </w:tcPr>
          <w:p w:rsidR="002F082B" w:rsidRPr="00687A1C" w:rsidRDefault="002F082B" w:rsidP="001E1011">
            <w:pPr>
              <w:pStyle w:val="Tabletextrightbold"/>
            </w:pPr>
            <w:r w:rsidRPr="00687A1C">
              <w:t>(1 024.7)</w:t>
            </w:r>
          </w:p>
        </w:tc>
      </w:tr>
    </w:tbl>
    <w:p w:rsidR="00663599" w:rsidRPr="00687A1C" w:rsidRDefault="00663599" w:rsidP="00663599">
      <w:pPr>
        <w:pStyle w:val="Notes"/>
      </w:pPr>
      <w:r w:rsidRPr="00687A1C">
        <w:t>Notes:</w:t>
      </w:r>
    </w:p>
    <w:p w:rsidR="002F082B" w:rsidRPr="00687A1C" w:rsidRDefault="002F082B" w:rsidP="002F082B">
      <w:pPr>
        <w:pStyle w:val="Notes"/>
      </w:pPr>
      <w:r w:rsidRPr="00687A1C">
        <w:t>(a) The budget for the Department includes the estimate for Treasurer's Advances which may be provided during the year to all departments.  This includes both the appropriation revenue and the underlying expenditure.</w:t>
      </w:r>
    </w:p>
    <w:p w:rsidR="002F082B" w:rsidRPr="00687A1C" w:rsidRDefault="002F082B" w:rsidP="002F082B">
      <w:pPr>
        <w:pStyle w:val="Notes"/>
      </w:pPr>
      <w:r w:rsidRPr="00687A1C">
        <w:t>(b) Appropriation for refinancing of borrowings was not required to the extent budgeted.</w:t>
      </w:r>
    </w:p>
    <w:p w:rsidR="002F082B" w:rsidRPr="00687A1C" w:rsidRDefault="002F082B" w:rsidP="002F082B">
      <w:pPr>
        <w:pStyle w:val="Notes"/>
      </w:pPr>
      <w:r w:rsidRPr="00687A1C">
        <w:t>(c) The variations in net gain on financial instruments and cash and deposits mainly reflects the sale of the State's interest in Snowy Hydro.</w:t>
      </w:r>
    </w:p>
    <w:p w:rsidR="002F082B" w:rsidRPr="00687A1C" w:rsidRDefault="002F082B" w:rsidP="002F082B">
      <w:pPr>
        <w:pStyle w:val="Notes"/>
      </w:pPr>
      <w:r w:rsidRPr="00687A1C">
        <w:t>(d) The variations in the re-measurement of superannuation defined benefit plans and the associated superannuation l</w:t>
      </w:r>
      <w:r w:rsidR="0060571A" w:rsidRPr="00687A1C">
        <w:t>i</w:t>
      </w:r>
      <w:r w:rsidRPr="00687A1C">
        <w:t>ability were largely due to the impact of movements in the bond yields used to measure the superannuation liability.</w:t>
      </w:r>
    </w:p>
    <w:p w:rsidR="002F082B" w:rsidRPr="00687A1C" w:rsidRDefault="002F082B" w:rsidP="002F082B">
      <w:pPr>
        <w:pStyle w:val="Notes"/>
      </w:pPr>
      <w:r w:rsidRPr="00687A1C">
        <w:t>(e) The variations in other financial assets reflect the investment of funds relating to Victorian Social Housing Growth fund.</w:t>
      </w:r>
    </w:p>
    <w:p w:rsidR="00663599" w:rsidRPr="00687A1C" w:rsidRDefault="002F082B" w:rsidP="002F082B">
      <w:pPr>
        <w:pStyle w:val="Notes"/>
      </w:pPr>
      <w:r w:rsidRPr="00687A1C">
        <w:t>(f) The budget for the Department includes estimates which may be provided during the year to all departments.</w:t>
      </w:r>
    </w:p>
    <w:p w:rsidR="00CC6F77" w:rsidRPr="00687A1C" w:rsidRDefault="00CC6F77" w:rsidP="00CC6F77">
      <w:bookmarkStart w:id="21" w:name="BudgetPortfolioOutcomes_end"/>
    </w:p>
    <w:bookmarkEnd w:id="21"/>
    <w:p w:rsidR="003276F2" w:rsidRPr="00687A1C" w:rsidRDefault="003276F2" w:rsidP="002D36B2"/>
    <w:p w:rsidR="00564D58" w:rsidRPr="00687A1C" w:rsidRDefault="00564D58" w:rsidP="002D36B2">
      <w:pPr>
        <w:sectPr w:rsidR="00564D58" w:rsidRPr="00687A1C" w:rsidSect="00564D58">
          <w:pgSz w:w="11909" w:h="16834" w:code="9"/>
          <w:pgMar w:top="1728" w:right="1152" w:bottom="1152" w:left="1152" w:header="720" w:footer="288" w:gutter="0"/>
          <w:cols w:space="720"/>
          <w:noEndnote/>
        </w:sectPr>
      </w:pPr>
    </w:p>
    <w:p w:rsidR="002D54ED" w:rsidRPr="00687A1C" w:rsidRDefault="002D54ED" w:rsidP="00F93A60">
      <w:pPr>
        <w:pStyle w:val="Heading2"/>
      </w:pPr>
      <w:r w:rsidRPr="00687A1C">
        <w:lastRenderedPageBreak/>
        <w:t>Financial performance</w:t>
      </w:r>
    </w:p>
    <w:p w:rsidR="002D54ED" w:rsidRPr="00687A1C" w:rsidRDefault="002D54ED" w:rsidP="002D36B2">
      <w:pPr>
        <w:sectPr w:rsidR="002D54ED" w:rsidRPr="00687A1C" w:rsidSect="00644182">
          <w:pgSz w:w="11909" w:h="16834" w:code="9"/>
          <w:pgMar w:top="1728" w:right="1152" w:bottom="1152" w:left="1152" w:header="720" w:footer="288" w:gutter="0"/>
          <w:cols w:space="720"/>
          <w:noEndnote/>
        </w:sectPr>
      </w:pPr>
    </w:p>
    <w:p w:rsidR="002D54ED" w:rsidRPr="00687A1C" w:rsidRDefault="002D54ED" w:rsidP="00F93A60">
      <w:pPr>
        <w:pStyle w:val="Heading3"/>
      </w:pPr>
      <w:bookmarkStart w:id="22" w:name="_Ref492626953"/>
      <w:r w:rsidRPr="00687A1C">
        <w:t>Overview</w:t>
      </w:r>
      <w:bookmarkEnd w:id="22"/>
    </w:p>
    <w:p w:rsidR="00710B32" w:rsidRPr="00687A1C" w:rsidRDefault="00710B32" w:rsidP="00710B32">
      <w:r w:rsidRPr="00687A1C">
        <w:t>The Depar</w:t>
      </w:r>
      <w:r w:rsidR="0097242D" w:rsidRPr="00687A1C">
        <w:t>tment recorded a surplus of $1.5</w:t>
      </w:r>
      <w:r w:rsidRPr="00687A1C">
        <w:rPr>
          <w:rFonts w:ascii="Calibri" w:hAnsi="Calibri" w:cs="Courier New"/>
        </w:rPr>
        <w:t> </w:t>
      </w:r>
      <w:r w:rsidRPr="00687A1C">
        <w:t>million in 2017</w:t>
      </w:r>
      <w:r w:rsidRPr="00687A1C">
        <w:noBreakHyphen/>
        <w:t>18 compared to $5.0</w:t>
      </w:r>
      <w:r w:rsidRPr="00687A1C">
        <w:rPr>
          <w:rFonts w:ascii="Calibri" w:hAnsi="Calibri" w:cs="Courier New"/>
        </w:rPr>
        <w:t> </w:t>
      </w:r>
      <w:r w:rsidRPr="00687A1C">
        <w:t>million in 2016</w:t>
      </w:r>
      <w:r w:rsidRPr="00687A1C">
        <w:noBreakHyphen/>
        <w:t>17.</w:t>
      </w:r>
    </w:p>
    <w:p w:rsidR="00710B32" w:rsidRPr="00687A1C" w:rsidRDefault="00710B32" w:rsidP="00710B32">
      <w:r w:rsidRPr="00687A1C">
        <w:t>Total assets of the Department remained at $1.2</w:t>
      </w:r>
      <w:r w:rsidRPr="00687A1C">
        <w:rPr>
          <w:rFonts w:ascii="Calibri" w:hAnsi="Calibri" w:cs="Courier New"/>
        </w:rPr>
        <w:t> </w:t>
      </w:r>
      <w:r w:rsidRPr="00687A1C">
        <w:t>billion. The major</w:t>
      </w:r>
      <w:r w:rsidR="0098678D" w:rsidRPr="00687A1C">
        <w:t xml:space="preserve"> assets of the Department at 30</w:t>
      </w:r>
      <w:r w:rsidR="0098678D" w:rsidRPr="00687A1C">
        <w:rPr>
          <w:rFonts w:ascii="Calibri" w:hAnsi="Calibri" w:cs="Courier New"/>
        </w:rPr>
        <w:t> </w:t>
      </w:r>
      <w:r w:rsidRPr="00687A1C">
        <w:t>June 201</w:t>
      </w:r>
      <w:r w:rsidR="0097242D" w:rsidRPr="00687A1C">
        <w:t>8</w:t>
      </w:r>
      <w:r w:rsidRPr="00687A1C">
        <w:t xml:space="preserve"> are land and buildings ($785</w:t>
      </w:r>
      <w:r w:rsidRPr="00687A1C">
        <w:rPr>
          <w:rFonts w:ascii="Calibri" w:hAnsi="Calibri" w:cs="Courier New"/>
        </w:rPr>
        <w:t> </w:t>
      </w:r>
      <w:r w:rsidRPr="00687A1C">
        <w:t>million), the Department’s receivable from the State Administration Unit ($286</w:t>
      </w:r>
      <w:r w:rsidRPr="00687A1C">
        <w:rPr>
          <w:rFonts w:ascii="Calibri" w:hAnsi="Calibri" w:cs="Courier New"/>
        </w:rPr>
        <w:t> </w:t>
      </w:r>
      <w:r w:rsidRPr="00687A1C">
        <w:t>million), and funds held in trust ($30</w:t>
      </w:r>
      <w:r w:rsidRPr="00687A1C">
        <w:rPr>
          <w:rFonts w:ascii="Calibri" w:hAnsi="Calibri" w:cs="Courier New"/>
        </w:rPr>
        <w:t> </w:t>
      </w:r>
      <w:r w:rsidRPr="00687A1C">
        <w:t>million).</w:t>
      </w:r>
    </w:p>
    <w:p w:rsidR="00710B32" w:rsidRPr="00687A1C" w:rsidRDefault="00710B32" w:rsidP="00710B32">
      <w:r w:rsidRPr="00687A1C">
        <w:t>Total liabilities increased from $159</w:t>
      </w:r>
      <w:r w:rsidRPr="00687A1C">
        <w:rPr>
          <w:rFonts w:ascii="Calibri" w:hAnsi="Calibri" w:cs="Courier New"/>
        </w:rPr>
        <w:t> </w:t>
      </w:r>
      <w:r w:rsidRPr="00687A1C">
        <w:t>million to $1</w:t>
      </w:r>
      <w:r w:rsidR="009062DE" w:rsidRPr="00687A1C">
        <w:t>66</w:t>
      </w:r>
      <w:r w:rsidRPr="00687A1C">
        <w:rPr>
          <w:rFonts w:ascii="Calibri" w:hAnsi="Calibri" w:cs="Courier New"/>
        </w:rPr>
        <w:t> </w:t>
      </w:r>
      <w:r w:rsidRPr="00687A1C">
        <w:t>million. The Department</w:t>
      </w:r>
      <w:r w:rsidRPr="00687A1C">
        <w:rPr>
          <w:rFonts w:ascii="VIC" w:hAnsi="VIC" w:cs="VIC"/>
        </w:rPr>
        <w:t>’</w:t>
      </w:r>
      <w:r w:rsidRPr="00687A1C">
        <w:t>s major liabilities are accounts payable, provision for land remediation and employee provisions.</w:t>
      </w:r>
    </w:p>
    <w:p w:rsidR="002D54ED" w:rsidRPr="00687A1C" w:rsidRDefault="002D54ED" w:rsidP="00F93A60">
      <w:pPr>
        <w:pStyle w:val="Heading3"/>
      </w:pPr>
      <w:r w:rsidRPr="00687A1C">
        <w:t>Core operations</w:t>
      </w:r>
    </w:p>
    <w:p w:rsidR="00A91CDB" w:rsidRPr="00687A1C" w:rsidRDefault="00710B32" w:rsidP="00710B32">
      <w:r w:rsidRPr="00687A1C">
        <w:t>The best indicator of the scale and efficiency of core Departmental operations is the revenue paid by Government for DTF outputs. This has decreased this year to $299.8</w:t>
      </w:r>
      <w:r w:rsidRPr="00687A1C">
        <w:rPr>
          <w:rFonts w:ascii="Calibri" w:hAnsi="Calibri" w:cs="Courier New"/>
        </w:rPr>
        <w:t> </w:t>
      </w:r>
      <w:r w:rsidRPr="00687A1C">
        <w:t>million, from $353.2</w:t>
      </w:r>
      <w:r w:rsidRPr="00687A1C">
        <w:rPr>
          <w:rFonts w:ascii="Calibri" w:hAnsi="Calibri" w:cs="Courier New"/>
        </w:rPr>
        <w:t> </w:t>
      </w:r>
      <w:r w:rsidRPr="00687A1C">
        <w:t>million in 2016</w:t>
      </w:r>
      <w:r w:rsidRPr="00687A1C">
        <w:rPr>
          <w:rFonts w:ascii="MS Gothic" w:eastAsia="MS Gothic" w:hAnsi="MS Gothic" w:cs="MS Gothic"/>
        </w:rPr>
        <w:t>‑</w:t>
      </w:r>
      <w:r w:rsidRPr="00687A1C">
        <w:t>17. The decrease is largely attributable to land remediation obligations incurred in 2016-17.</w:t>
      </w:r>
    </w:p>
    <w:p w:rsidR="00C15CA9" w:rsidRPr="00687A1C" w:rsidRDefault="00C15CA9" w:rsidP="00A91CDB"/>
    <w:p w:rsidR="002D54ED" w:rsidRPr="00687A1C" w:rsidRDefault="00C15CA9" w:rsidP="002D54ED">
      <w:pPr>
        <w:rPr>
          <w:rFonts w:cstheme="minorHAnsi"/>
        </w:rPr>
      </w:pPr>
      <w:r w:rsidRPr="00687A1C">
        <w:rPr>
          <w:rFonts w:cstheme="minorHAnsi"/>
        </w:rPr>
        <w:br w:type="column"/>
      </w:r>
      <w:r w:rsidR="002D54ED" w:rsidRPr="00687A1C">
        <w:rPr>
          <w:rFonts w:cstheme="minorHAnsi"/>
        </w:rPr>
        <w:t>The following table details operational revenue by output group.</w:t>
      </w:r>
    </w:p>
    <w:p w:rsidR="002D54ED" w:rsidRPr="00687A1C" w:rsidRDefault="002D54ED" w:rsidP="00F93A60">
      <w:pPr>
        <w:pStyle w:val="Heading3"/>
        <w:rPr>
          <w:vertAlign w:val="superscript"/>
        </w:rPr>
      </w:pPr>
      <w:r w:rsidRPr="00687A1C">
        <w:t>Revenue from the provision of outputs</w:t>
      </w:r>
      <w:r w:rsidRPr="00687A1C">
        <w:rPr>
          <w:vertAlign w:val="superscript"/>
        </w:rPr>
        <w:t>(a)</w:t>
      </w:r>
    </w:p>
    <w:tbl>
      <w:tblPr>
        <w:tblW w:w="4608" w:type="dxa"/>
        <w:tblInd w:w="50" w:type="dxa"/>
        <w:tblLook w:val="01E0" w:firstRow="1" w:lastRow="1" w:firstColumn="1" w:lastColumn="1" w:noHBand="0" w:noVBand="0"/>
      </w:tblPr>
      <w:tblGrid>
        <w:gridCol w:w="2058"/>
        <w:gridCol w:w="876"/>
        <w:gridCol w:w="845"/>
        <w:gridCol w:w="829"/>
      </w:tblGrid>
      <w:tr w:rsidR="00710B32" w:rsidRPr="00687A1C" w:rsidTr="005F2ABA">
        <w:tc>
          <w:tcPr>
            <w:tcW w:w="2058" w:type="dxa"/>
            <w:shd w:val="clear" w:color="auto" w:fill="auto"/>
            <w:vAlign w:val="bottom"/>
          </w:tcPr>
          <w:p w:rsidR="00710B32" w:rsidRPr="00687A1C" w:rsidRDefault="00710B32" w:rsidP="00525A0B">
            <w:pPr>
              <w:pStyle w:val="Tabletextheadingleft"/>
            </w:pPr>
            <w:r w:rsidRPr="00687A1C">
              <w:t xml:space="preserve">Output group </w:t>
            </w:r>
          </w:p>
        </w:tc>
        <w:tc>
          <w:tcPr>
            <w:tcW w:w="876" w:type="dxa"/>
            <w:shd w:val="clear" w:color="auto" w:fill="auto"/>
          </w:tcPr>
          <w:p w:rsidR="00710B32" w:rsidRPr="00687A1C" w:rsidRDefault="00710B32" w:rsidP="00525A0B">
            <w:pPr>
              <w:pStyle w:val="Tabletextheadingright"/>
            </w:pPr>
            <w:r w:rsidRPr="00687A1C">
              <w:t>2017</w:t>
            </w:r>
            <w:r w:rsidRPr="00687A1C">
              <w:noBreakHyphen/>
              <w:t xml:space="preserve">18 </w:t>
            </w:r>
            <w:r w:rsidRPr="00687A1C">
              <w:br/>
              <w:t>$m</w:t>
            </w:r>
          </w:p>
        </w:tc>
        <w:tc>
          <w:tcPr>
            <w:tcW w:w="845" w:type="dxa"/>
          </w:tcPr>
          <w:p w:rsidR="00710B32" w:rsidRPr="00687A1C" w:rsidRDefault="00710B32" w:rsidP="00525A0B">
            <w:pPr>
              <w:pStyle w:val="Tabletextheadingright"/>
            </w:pPr>
            <w:r w:rsidRPr="00687A1C">
              <w:t>2016</w:t>
            </w:r>
            <w:r w:rsidRPr="00687A1C">
              <w:noBreakHyphen/>
              <w:t xml:space="preserve">17 </w:t>
            </w:r>
            <w:r w:rsidRPr="00687A1C">
              <w:br/>
              <w:t>$m</w:t>
            </w:r>
          </w:p>
        </w:tc>
        <w:tc>
          <w:tcPr>
            <w:tcW w:w="829" w:type="dxa"/>
            <w:shd w:val="clear" w:color="auto" w:fill="auto"/>
          </w:tcPr>
          <w:p w:rsidR="00710B32" w:rsidRPr="00687A1C" w:rsidRDefault="00710B32" w:rsidP="00525A0B">
            <w:pPr>
              <w:pStyle w:val="Tabletextheadingright"/>
            </w:pPr>
            <w:r w:rsidRPr="00687A1C">
              <w:t>Change</w:t>
            </w:r>
            <w:r w:rsidRPr="00687A1C">
              <w:br/>
              <w:t>$m</w:t>
            </w:r>
          </w:p>
        </w:tc>
      </w:tr>
      <w:tr w:rsidR="00710B32" w:rsidRPr="00687A1C" w:rsidTr="005F2ABA">
        <w:tc>
          <w:tcPr>
            <w:tcW w:w="2058" w:type="dxa"/>
            <w:shd w:val="clear" w:color="auto" w:fill="auto"/>
          </w:tcPr>
          <w:p w:rsidR="00710B32" w:rsidRPr="00687A1C" w:rsidRDefault="00710B32" w:rsidP="00525A0B">
            <w:pPr>
              <w:pStyle w:val="Tabletext"/>
            </w:pPr>
            <w:r w:rsidRPr="00687A1C">
              <w:t>Optimise Victoria's fiscal resources</w:t>
            </w:r>
          </w:p>
        </w:tc>
        <w:tc>
          <w:tcPr>
            <w:tcW w:w="876" w:type="dxa"/>
            <w:shd w:val="clear" w:color="auto" w:fill="E0E0E0"/>
          </w:tcPr>
          <w:p w:rsidR="00710B32" w:rsidRPr="00687A1C" w:rsidRDefault="00710B32" w:rsidP="00525A0B">
            <w:pPr>
              <w:pStyle w:val="Tabletextright"/>
            </w:pPr>
            <w:r w:rsidRPr="00687A1C">
              <w:t>136</w:t>
            </w:r>
          </w:p>
        </w:tc>
        <w:tc>
          <w:tcPr>
            <w:tcW w:w="845" w:type="dxa"/>
          </w:tcPr>
          <w:p w:rsidR="00710B32" w:rsidRPr="00687A1C" w:rsidRDefault="00710B32" w:rsidP="00525A0B">
            <w:pPr>
              <w:pStyle w:val="Tabletextright"/>
            </w:pPr>
            <w:r w:rsidRPr="00687A1C">
              <w:t>118</w:t>
            </w:r>
          </w:p>
        </w:tc>
        <w:tc>
          <w:tcPr>
            <w:tcW w:w="829" w:type="dxa"/>
            <w:shd w:val="clear" w:color="auto" w:fill="E0E0E0"/>
          </w:tcPr>
          <w:p w:rsidR="00710B32" w:rsidRPr="00687A1C" w:rsidRDefault="00710B32" w:rsidP="00525A0B">
            <w:pPr>
              <w:pStyle w:val="Tabletextright"/>
            </w:pPr>
            <w:r w:rsidRPr="00687A1C">
              <w:t>18</w:t>
            </w:r>
          </w:p>
        </w:tc>
      </w:tr>
      <w:tr w:rsidR="00710B32" w:rsidRPr="00687A1C" w:rsidTr="005F2ABA">
        <w:tc>
          <w:tcPr>
            <w:tcW w:w="2058" w:type="dxa"/>
            <w:shd w:val="clear" w:color="auto" w:fill="auto"/>
          </w:tcPr>
          <w:p w:rsidR="00710B32" w:rsidRPr="00687A1C" w:rsidRDefault="00710B32" w:rsidP="00525A0B">
            <w:pPr>
              <w:pStyle w:val="Tabletext"/>
            </w:pPr>
            <w:r w:rsidRPr="00687A1C">
              <w:t>Strengthen Victoria's economic performance</w:t>
            </w:r>
          </w:p>
        </w:tc>
        <w:tc>
          <w:tcPr>
            <w:tcW w:w="876" w:type="dxa"/>
            <w:shd w:val="clear" w:color="auto" w:fill="E0E0E0"/>
          </w:tcPr>
          <w:p w:rsidR="00710B32" w:rsidRPr="00687A1C" w:rsidRDefault="00710B32" w:rsidP="00525A0B">
            <w:pPr>
              <w:pStyle w:val="Tabletextright"/>
            </w:pPr>
            <w:r w:rsidRPr="00687A1C">
              <w:t>52</w:t>
            </w:r>
          </w:p>
        </w:tc>
        <w:tc>
          <w:tcPr>
            <w:tcW w:w="845" w:type="dxa"/>
          </w:tcPr>
          <w:p w:rsidR="00710B32" w:rsidRPr="00687A1C" w:rsidRDefault="00710B32" w:rsidP="00525A0B">
            <w:pPr>
              <w:pStyle w:val="Tabletextright"/>
            </w:pPr>
            <w:r w:rsidRPr="00687A1C">
              <w:t>50</w:t>
            </w:r>
          </w:p>
        </w:tc>
        <w:tc>
          <w:tcPr>
            <w:tcW w:w="829" w:type="dxa"/>
            <w:shd w:val="clear" w:color="auto" w:fill="E0E0E0"/>
          </w:tcPr>
          <w:p w:rsidR="00710B32" w:rsidRPr="00687A1C" w:rsidRDefault="00710B32" w:rsidP="00525A0B">
            <w:pPr>
              <w:pStyle w:val="Tabletextright"/>
            </w:pPr>
            <w:r w:rsidRPr="00687A1C">
              <w:t>2</w:t>
            </w:r>
          </w:p>
        </w:tc>
      </w:tr>
      <w:tr w:rsidR="00710B32" w:rsidRPr="00687A1C" w:rsidTr="005F2ABA">
        <w:tc>
          <w:tcPr>
            <w:tcW w:w="2058" w:type="dxa"/>
            <w:shd w:val="clear" w:color="auto" w:fill="auto"/>
          </w:tcPr>
          <w:p w:rsidR="00710B32" w:rsidRPr="00687A1C" w:rsidRDefault="00710B32" w:rsidP="00525A0B">
            <w:pPr>
              <w:pStyle w:val="Tabletext"/>
            </w:pPr>
            <w:r w:rsidRPr="00687A1C">
              <w:t>Improve how Government manages its balance sheet, commercial activities and public sector infrastructure</w:t>
            </w:r>
          </w:p>
        </w:tc>
        <w:tc>
          <w:tcPr>
            <w:tcW w:w="876" w:type="dxa"/>
            <w:shd w:val="clear" w:color="auto" w:fill="E0E0E0"/>
          </w:tcPr>
          <w:p w:rsidR="00710B32" w:rsidRPr="00687A1C" w:rsidRDefault="00710B32" w:rsidP="00525A0B">
            <w:pPr>
              <w:pStyle w:val="Tabletextright"/>
            </w:pPr>
            <w:r w:rsidRPr="00687A1C">
              <w:t>72</w:t>
            </w:r>
          </w:p>
        </w:tc>
        <w:tc>
          <w:tcPr>
            <w:tcW w:w="845" w:type="dxa"/>
          </w:tcPr>
          <w:p w:rsidR="00710B32" w:rsidRPr="00687A1C" w:rsidRDefault="00710B32" w:rsidP="00525A0B">
            <w:pPr>
              <w:pStyle w:val="Tabletextright"/>
            </w:pPr>
            <w:r w:rsidRPr="00687A1C">
              <w:t>143</w:t>
            </w:r>
          </w:p>
        </w:tc>
        <w:tc>
          <w:tcPr>
            <w:tcW w:w="829" w:type="dxa"/>
            <w:shd w:val="clear" w:color="auto" w:fill="E0E0E0"/>
          </w:tcPr>
          <w:p w:rsidR="00710B32" w:rsidRPr="00687A1C" w:rsidRDefault="00710B32" w:rsidP="00525A0B">
            <w:pPr>
              <w:pStyle w:val="Tabletextright"/>
            </w:pPr>
            <w:r w:rsidRPr="00687A1C">
              <w:t>(71)</w:t>
            </w:r>
          </w:p>
        </w:tc>
      </w:tr>
      <w:tr w:rsidR="00710B32" w:rsidRPr="00687A1C" w:rsidTr="005F2ABA">
        <w:tc>
          <w:tcPr>
            <w:tcW w:w="2058" w:type="dxa"/>
            <w:shd w:val="clear" w:color="auto" w:fill="auto"/>
          </w:tcPr>
          <w:p w:rsidR="00710B32" w:rsidRPr="00687A1C" w:rsidRDefault="00710B32" w:rsidP="00525A0B">
            <w:pPr>
              <w:pStyle w:val="Tabletext"/>
            </w:pPr>
            <w:r w:rsidRPr="00687A1C">
              <w:t>Deliver efficient whole of government common services</w:t>
            </w:r>
          </w:p>
        </w:tc>
        <w:tc>
          <w:tcPr>
            <w:tcW w:w="876" w:type="dxa"/>
            <w:shd w:val="clear" w:color="auto" w:fill="E0E0E0"/>
          </w:tcPr>
          <w:p w:rsidR="00710B32" w:rsidRPr="00687A1C" w:rsidRDefault="00710B32" w:rsidP="00525A0B">
            <w:pPr>
              <w:pStyle w:val="Tabletextright"/>
            </w:pPr>
            <w:r w:rsidRPr="00687A1C">
              <w:t>40</w:t>
            </w:r>
          </w:p>
        </w:tc>
        <w:tc>
          <w:tcPr>
            <w:tcW w:w="845" w:type="dxa"/>
          </w:tcPr>
          <w:p w:rsidR="00710B32" w:rsidRPr="00687A1C" w:rsidRDefault="00710B32" w:rsidP="00525A0B">
            <w:pPr>
              <w:pStyle w:val="Tabletextright"/>
            </w:pPr>
            <w:r w:rsidRPr="00687A1C">
              <w:t>42</w:t>
            </w:r>
          </w:p>
        </w:tc>
        <w:tc>
          <w:tcPr>
            <w:tcW w:w="829" w:type="dxa"/>
            <w:shd w:val="clear" w:color="auto" w:fill="E0E0E0"/>
          </w:tcPr>
          <w:p w:rsidR="00710B32" w:rsidRPr="00687A1C" w:rsidRDefault="00710B32" w:rsidP="00525A0B">
            <w:pPr>
              <w:pStyle w:val="Tabletextright"/>
            </w:pPr>
            <w:r w:rsidRPr="00687A1C">
              <w:t>(2)</w:t>
            </w:r>
          </w:p>
        </w:tc>
      </w:tr>
      <w:tr w:rsidR="00710B32" w:rsidRPr="00687A1C" w:rsidTr="005F2ABA">
        <w:tc>
          <w:tcPr>
            <w:tcW w:w="2058" w:type="dxa"/>
            <w:shd w:val="clear" w:color="auto" w:fill="auto"/>
          </w:tcPr>
          <w:p w:rsidR="00710B32" w:rsidRPr="00687A1C" w:rsidRDefault="00710B32" w:rsidP="00525A0B">
            <w:pPr>
              <w:pStyle w:val="Tabletextbold"/>
            </w:pPr>
            <w:r w:rsidRPr="00687A1C">
              <w:t>Total</w:t>
            </w:r>
          </w:p>
        </w:tc>
        <w:tc>
          <w:tcPr>
            <w:tcW w:w="876" w:type="dxa"/>
            <w:shd w:val="clear" w:color="auto" w:fill="E0E0E0"/>
          </w:tcPr>
          <w:p w:rsidR="00710B32" w:rsidRPr="00687A1C" w:rsidRDefault="00710B32" w:rsidP="00525A0B">
            <w:pPr>
              <w:pStyle w:val="Tabletextrightbold"/>
            </w:pPr>
            <w:r w:rsidRPr="00687A1C">
              <w:t>300</w:t>
            </w:r>
          </w:p>
        </w:tc>
        <w:tc>
          <w:tcPr>
            <w:tcW w:w="845" w:type="dxa"/>
          </w:tcPr>
          <w:p w:rsidR="00710B32" w:rsidRPr="00687A1C" w:rsidRDefault="00710B32" w:rsidP="00525A0B">
            <w:pPr>
              <w:pStyle w:val="Tabletextrightbold"/>
            </w:pPr>
            <w:r w:rsidRPr="00687A1C">
              <w:t>353</w:t>
            </w:r>
          </w:p>
        </w:tc>
        <w:tc>
          <w:tcPr>
            <w:tcW w:w="829" w:type="dxa"/>
            <w:shd w:val="clear" w:color="auto" w:fill="E0E0E0"/>
          </w:tcPr>
          <w:p w:rsidR="00710B32" w:rsidRPr="00687A1C" w:rsidRDefault="00710B32" w:rsidP="00525A0B">
            <w:pPr>
              <w:pStyle w:val="Tabletextrightbold"/>
            </w:pPr>
            <w:r w:rsidRPr="00687A1C">
              <w:t>(53)</w:t>
            </w:r>
          </w:p>
        </w:tc>
      </w:tr>
    </w:tbl>
    <w:p w:rsidR="002D54ED" w:rsidRPr="00687A1C" w:rsidRDefault="002D54ED" w:rsidP="002D54ED">
      <w:pPr>
        <w:pStyle w:val="Notes"/>
        <w:ind w:left="90"/>
        <w:rPr>
          <w:rFonts w:cstheme="minorHAnsi"/>
        </w:rPr>
      </w:pPr>
      <w:r w:rsidRPr="00687A1C">
        <w:rPr>
          <w:rFonts w:cstheme="minorHAnsi"/>
        </w:rPr>
        <w:t>Note:</w:t>
      </w:r>
    </w:p>
    <w:p w:rsidR="002D54ED" w:rsidRPr="00687A1C" w:rsidRDefault="002D54ED" w:rsidP="002D54ED">
      <w:pPr>
        <w:pStyle w:val="Notes"/>
        <w:ind w:left="90"/>
        <w:rPr>
          <w:rFonts w:cstheme="minorHAnsi"/>
        </w:rPr>
      </w:pPr>
      <w:r w:rsidRPr="00687A1C">
        <w:rPr>
          <w:rFonts w:cstheme="minorHAnsi"/>
        </w:rPr>
        <w:t>(a) Includes only Parliamentary appropriations.</w:t>
      </w:r>
    </w:p>
    <w:p w:rsidR="00710B32" w:rsidRPr="00687A1C" w:rsidRDefault="00710B32" w:rsidP="002D54ED">
      <w:pPr>
        <w:pStyle w:val="Notes"/>
        <w:ind w:left="90"/>
        <w:rPr>
          <w:rFonts w:cstheme="minorHAnsi"/>
        </w:rPr>
      </w:pPr>
    </w:p>
    <w:p w:rsidR="00710B32" w:rsidRPr="00687A1C" w:rsidRDefault="00710B32" w:rsidP="002D54ED">
      <w:pPr>
        <w:pStyle w:val="Notes"/>
        <w:ind w:left="90"/>
        <w:rPr>
          <w:rFonts w:cstheme="minorHAnsi"/>
        </w:rPr>
      </w:pPr>
    </w:p>
    <w:p w:rsidR="00056340" w:rsidRPr="00687A1C" w:rsidRDefault="00056340" w:rsidP="002D54ED">
      <w:pPr>
        <w:pStyle w:val="Notes"/>
        <w:ind w:left="90"/>
        <w:rPr>
          <w:rFonts w:cstheme="minorHAnsi"/>
        </w:rPr>
      </w:pPr>
    </w:p>
    <w:p w:rsidR="002D54ED" w:rsidRPr="00687A1C" w:rsidRDefault="002D54ED" w:rsidP="002D36B2">
      <w:pPr>
        <w:sectPr w:rsidR="002D54ED" w:rsidRPr="00687A1C" w:rsidSect="002D54ED">
          <w:type w:val="continuous"/>
          <w:pgSz w:w="11909" w:h="16834" w:code="9"/>
          <w:pgMar w:top="1728" w:right="1152" w:bottom="1152" w:left="1152" w:header="720" w:footer="288" w:gutter="0"/>
          <w:cols w:num="2" w:space="720"/>
          <w:noEndnote/>
        </w:sectPr>
      </w:pPr>
    </w:p>
    <w:p w:rsidR="002D54ED" w:rsidRPr="00687A1C" w:rsidRDefault="002D54ED" w:rsidP="00F93A60">
      <w:pPr>
        <w:pStyle w:val="Heading3"/>
      </w:pPr>
      <w:bookmarkStart w:id="23" w:name="_Ref492626911"/>
      <w:r w:rsidRPr="00687A1C">
        <w:t>Five year financial summary: Departmental (controlled) activities</w:t>
      </w:r>
      <w:bookmarkEnd w:id="23"/>
    </w:p>
    <w:tbl>
      <w:tblPr>
        <w:tblStyle w:val="AnnualReporttexttable"/>
        <w:tblW w:w="9823" w:type="dxa"/>
        <w:tblLook w:val="02A0" w:firstRow="1" w:lastRow="0" w:firstColumn="1" w:lastColumn="0" w:noHBand="1" w:noVBand="0"/>
      </w:tblPr>
      <w:tblGrid>
        <w:gridCol w:w="4158"/>
        <w:gridCol w:w="1133"/>
        <w:gridCol w:w="1133"/>
        <w:gridCol w:w="1133"/>
        <w:gridCol w:w="1133"/>
        <w:gridCol w:w="1133"/>
      </w:tblGrid>
      <w:tr w:rsidR="00710B32" w:rsidRPr="00687A1C" w:rsidTr="00525A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shd w:val="clear" w:color="auto" w:fill="auto"/>
          </w:tcPr>
          <w:p w:rsidR="00710B32" w:rsidRPr="00687A1C" w:rsidRDefault="00710B32" w:rsidP="00525A0B">
            <w:pPr>
              <w:pStyle w:val="Tabletextheadingright"/>
            </w:pPr>
          </w:p>
        </w:tc>
        <w:tc>
          <w:tcPr>
            <w:cnfStyle w:val="000010000000" w:firstRow="0" w:lastRow="0" w:firstColumn="0" w:lastColumn="0" w:oddVBand="1" w:evenVBand="0" w:oddHBand="0" w:evenHBand="0" w:firstRowFirstColumn="0" w:firstRowLastColumn="0" w:lastRowFirstColumn="0" w:lastRowLastColumn="0"/>
            <w:tcW w:w="1133" w:type="dxa"/>
            <w:shd w:val="clear" w:color="auto" w:fill="auto"/>
          </w:tcPr>
          <w:p w:rsidR="00710B32" w:rsidRPr="00687A1C" w:rsidRDefault="00710B32" w:rsidP="00525A0B">
            <w:pPr>
              <w:pStyle w:val="Tabletextheadingright"/>
              <w:rPr>
                <w:b/>
              </w:rPr>
            </w:pPr>
            <w:r w:rsidRPr="00687A1C">
              <w:rPr>
                <w:b/>
              </w:rPr>
              <w:t>2017</w:t>
            </w:r>
            <w:r w:rsidRPr="00687A1C">
              <w:rPr>
                <w:b/>
              </w:rPr>
              <w:noBreakHyphen/>
              <w:t>18</w:t>
            </w:r>
            <w:r w:rsidRPr="00687A1C">
              <w:rPr>
                <w:b/>
                <w:vertAlign w:val="superscript"/>
              </w:rPr>
              <w:t>(a)</w:t>
            </w:r>
            <w:r w:rsidRPr="00687A1C">
              <w:rPr>
                <w:b/>
              </w:rPr>
              <w:br/>
              <w:t>$m</w:t>
            </w:r>
          </w:p>
        </w:tc>
        <w:tc>
          <w:tcPr>
            <w:cnfStyle w:val="000001000000" w:firstRow="0" w:lastRow="0" w:firstColumn="0" w:lastColumn="0" w:oddVBand="0" w:evenVBand="1" w:oddHBand="0" w:evenHBand="0" w:firstRowFirstColumn="0" w:firstRowLastColumn="0" w:lastRowFirstColumn="0" w:lastRowLastColumn="0"/>
            <w:tcW w:w="1133" w:type="dxa"/>
            <w:shd w:val="clear" w:color="auto" w:fill="auto"/>
          </w:tcPr>
          <w:p w:rsidR="00710B32" w:rsidRPr="00687A1C" w:rsidRDefault="00710B32" w:rsidP="00525A0B">
            <w:pPr>
              <w:pStyle w:val="Tabletextheadingright"/>
              <w:rPr>
                <w:b/>
              </w:rPr>
            </w:pPr>
            <w:r w:rsidRPr="00687A1C">
              <w:rPr>
                <w:b/>
              </w:rPr>
              <w:t>2016</w:t>
            </w:r>
            <w:r w:rsidRPr="00687A1C">
              <w:rPr>
                <w:b/>
              </w:rPr>
              <w:noBreakHyphen/>
              <w:t>17</w:t>
            </w:r>
            <w:r w:rsidRPr="00687A1C">
              <w:rPr>
                <w:b/>
                <w:vertAlign w:val="superscript"/>
              </w:rPr>
              <w:t>(b)</w:t>
            </w:r>
            <w:r w:rsidRPr="00687A1C">
              <w:rPr>
                <w:b/>
              </w:rPr>
              <w:br/>
              <w:t>$m</w:t>
            </w:r>
          </w:p>
        </w:tc>
        <w:tc>
          <w:tcPr>
            <w:cnfStyle w:val="000010000000" w:firstRow="0" w:lastRow="0" w:firstColumn="0" w:lastColumn="0" w:oddVBand="1" w:evenVBand="0" w:oddHBand="0" w:evenHBand="0" w:firstRowFirstColumn="0" w:firstRowLastColumn="0" w:lastRowFirstColumn="0" w:lastRowLastColumn="0"/>
            <w:tcW w:w="1133" w:type="dxa"/>
            <w:shd w:val="clear" w:color="auto" w:fill="auto"/>
          </w:tcPr>
          <w:p w:rsidR="00710B32" w:rsidRPr="00687A1C" w:rsidRDefault="00710B32" w:rsidP="00525A0B">
            <w:pPr>
              <w:pStyle w:val="Tabletextheadingright"/>
              <w:rPr>
                <w:b/>
              </w:rPr>
            </w:pPr>
            <w:r w:rsidRPr="00687A1C">
              <w:rPr>
                <w:b/>
              </w:rPr>
              <w:t>2015</w:t>
            </w:r>
            <w:r w:rsidRPr="00687A1C">
              <w:rPr>
                <w:b/>
              </w:rPr>
              <w:noBreakHyphen/>
              <w:t>16</w:t>
            </w:r>
            <w:r w:rsidRPr="00687A1C">
              <w:rPr>
                <w:b/>
              </w:rPr>
              <w:br/>
              <w:t>$m</w:t>
            </w:r>
          </w:p>
        </w:tc>
        <w:tc>
          <w:tcPr>
            <w:cnfStyle w:val="000001000000" w:firstRow="0" w:lastRow="0" w:firstColumn="0" w:lastColumn="0" w:oddVBand="0" w:evenVBand="1" w:oddHBand="0" w:evenHBand="0" w:firstRowFirstColumn="0" w:firstRowLastColumn="0" w:lastRowFirstColumn="0" w:lastRowLastColumn="0"/>
            <w:tcW w:w="1133" w:type="dxa"/>
            <w:shd w:val="clear" w:color="auto" w:fill="auto"/>
          </w:tcPr>
          <w:p w:rsidR="00710B32" w:rsidRPr="00687A1C" w:rsidRDefault="00710B32" w:rsidP="00525A0B">
            <w:pPr>
              <w:pStyle w:val="Tabletextheadingright"/>
              <w:rPr>
                <w:b/>
              </w:rPr>
            </w:pPr>
            <w:r w:rsidRPr="00687A1C">
              <w:rPr>
                <w:b/>
              </w:rPr>
              <w:t>2014</w:t>
            </w:r>
            <w:r w:rsidRPr="00687A1C">
              <w:rPr>
                <w:b/>
              </w:rPr>
              <w:noBreakHyphen/>
              <w:t>15</w:t>
            </w:r>
            <w:r w:rsidRPr="00687A1C">
              <w:rPr>
                <w:b/>
              </w:rPr>
              <w:br/>
              <w:t>$m</w:t>
            </w:r>
          </w:p>
        </w:tc>
        <w:tc>
          <w:tcPr>
            <w:cnfStyle w:val="000010000000" w:firstRow="0" w:lastRow="0" w:firstColumn="0" w:lastColumn="0" w:oddVBand="1" w:evenVBand="0" w:oddHBand="0" w:evenHBand="0" w:firstRowFirstColumn="0" w:firstRowLastColumn="0" w:lastRowFirstColumn="0" w:lastRowLastColumn="0"/>
            <w:tcW w:w="1133" w:type="dxa"/>
            <w:shd w:val="clear" w:color="auto" w:fill="auto"/>
          </w:tcPr>
          <w:p w:rsidR="00710B32" w:rsidRPr="00687A1C" w:rsidRDefault="00710B32" w:rsidP="00525A0B">
            <w:pPr>
              <w:pStyle w:val="Tabletextheadingright"/>
              <w:rPr>
                <w:b/>
              </w:rPr>
            </w:pPr>
            <w:r w:rsidRPr="00687A1C">
              <w:rPr>
                <w:b/>
              </w:rPr>
              <w:t>2013</w:t>
            </w:r>
            <w:r w:rsidRPr="00687A1C">
              <w:rPr>
                <w:b/>
              </w:rPr>
              <w:noBreakHyphen/>
              <w:t>14</w:t>
            </w:r>
            <w:r w:rsidRPr="00687A1C">
              <w:rPr>
                <w:b/>
              </w:rPr>
              <w:br/>
              <w:t>$m</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Government output appropriations income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300</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353</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255</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 xml:space="preserve">251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255</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Other income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9062DE" w:rsidP="00525A0B">
            <w:pPr>
              <w:pStyle w:val="Tabletextright"/>
            </w:pPr>
            <w:r w:rsidRPr="00687A1C">
              <w:t>58</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57</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52</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 xml:space="preserve">51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52</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Total income from transactions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9062DE" w:rsidP="00525A0B">
            <w:pPr>
              <w:pStyle w:val="Tabletextright"/>
            </w:pPr>
            <w:r w:rsidRPr="00687A1C">
              <w:t>358</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410</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307</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 xml:space="preserve">302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307</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Total expenses from transactions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(356)</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(406)</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(305)</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(295)</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(290)</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Net result from transactions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4</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 xml:space="preserve">7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17</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Total other economic flows included in net result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1</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(1)</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(1)</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1</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Net result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5</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1</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 xml:space="preserve">6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18</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
            </w:pPr>
            <w:r w:rsidRPr="00687A1C">
              <w:t xml:space="preserve">Net cash flow from operations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21</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29</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23</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
            </w:pPr>
            <w:r w:rsidRPr="00687A1C">
              <w:t xml:space="preserve">25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
            </w:pPr>
            <w:r w:rsidRPr="00687A1C">
              <w:t>11</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bold"/>
            </w:pPr>
            <w:r w:rsidRPr="00687A1C">
              <w:t xml:space="preserve">Total assets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D8412D">
            <w:pPr>
              <w:pStyle w:val="Tabletextrightbold"/>
            </w:pPr>
            <w:r w:rsidRPr="00687A1C">
              <w:t>1</w:t>
            </w:r>
            <w:r w:rsidR="00D8412D" w:rsidRPr="00687A1C">
              <w:rPr>
                <w:rFonts w:ascii="Calibri" w:hAnsi="Calibri" w:cs="Courier New"/>
              </w:rPr>
              <w:t xml:space="preserve"> </w:t>
            </w:r>
            <w:r w:rsidR="009062DE" w:rsidRPr="00687A1C">
              <w:t>154</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D8412D">
            <w:pPr>
              <w:pStyle w:val="Tabletextrightbold"/>
            </w:pPr>
            <w:r w:rsidRPr="00687A1C">
              <w:t>1</w:t>
            </w:r>
            <w:r w:rsidR="00D8412D" w:rsidRPr="00687A1C">
              <w:rPr>
                <w:rFonts w:ascii="Calibri" w:hAnsi="Calibri" w:cs="Courier New"/>
              </w:rPr>
              <w:t xml:space="preserve"> </w:t>
            </w:r>
            <w:r w:rsidRPr="00687A1C">
              <w:t>145</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bold"/>
            </w:pPr>
            <w:r w:rsidRPr="00687A1C">
              <w:t>863</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bold"/>
            </w:pPr>
            <w:r w:rsidRPr="00687A1C">
              <w:t>771</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bold"/>
            </w:pPr>
            <w:r w:rsidRPr="00687A1C">
              <w:t>770</w:t>
            </w:r>
          </w:p>
        </w:tc>
      </w:tr>
      <w:tr w:rsidR="00710B32" w:rsidRPr="00687A1C" w:rsidTr="00525A0B">
        <w:tc>
          <w:tcPr>
            <w:cnfStyle w:val="001000000000" w:firstRow="0" w:lastRow="0" w:firstColumn="1" w:lastColumn="0" w:oddVBand="0" w:evenVBand="0" w:oddHBand="0" w:evenHBand="0" w:firstRowFirstColumn="0" w:firstRowLastColumn="0" w:lastRowFirstColumn="0" w:lastRowLastColumn="0"/>
            <w:tcW w:w="4158" w:type="dxa"/>
          </w:tcPr>
          <w:p w:rsidR="00710B32" w:rsidRPr="00687A1C" w:rsidRDefault="00710B32" w:rsidP="00525A0B">
            <w:pPr>
              <w:pStyle w:val="Tabletextbold"/>
            </w:pPr>
            <w:r w:rsidRPr="00687A1C">
              <w:t xml:space="preserve">Total liabilities </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9062DE" w:rsidP="00525A0B">
            <w:pPr>
              <w:pStyle w:val="Tabletextrightbold"/>
            </w:pPr>
            <w:r w:rsidRPr="00687A1C">
              <w:t>166</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bold"/>
            </w:pPr>
            <w:r w:rsidRPr="00687A1C">
              <w:t>159</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bold"/>
            </w:pPr>
            <w:r w:rsidRPr="00687A1C">
              <w:t>138</w:t>
            </w:r>
          </w:p>
        </w:tc>
        <w:tc>
          <w:tcPr>
            <w:cnfStyle w:val="000001000000" w:firstRow="0" w:lastRow="0" w:firstColumn="0" w:lastColumn="0" w:oddVBand="0" w:evenVBand="1" w:oddHBand="0" w:evenHBand="0" w:firstRowFirstColumn="0" w:firstRowLastColumn="0" w:lastRowFirstColumn="0" w:lastRowLastColumn="0"/>
            <w:tcW w:w="1133" w:type="dxa"/>
          </w:tcPr>
          <w:p w:rsidR="00710B32" w:rsidRPr="00687A1C" w:rsidRDefault="00710B32" w:rsidP="00525A0B">
            <w:pPr>
              <w:pStyle w:val="Tabletextrightbold"/>
            </w:pPr>
            <w:r w:rsidRPr="00687A1C">
              <w:t>112</w:t>
            </w:r>
          </w:p>
        </w:tc>
        <w:tc>
          <w:tcPr>
            <w:cnfStyle w:val="000010000000" w:firstRow="0" w:lastRow="0" w:firstColumn="0" w:lastColumn="0" w:oddVBand="1" w:evenVBand="0" w:oddHBand="0" w:evenHBand="0" w:firstRowFirstColumn="0" w:firstRowLastColumn="0" w:lastRowFirstColumn="0" w:lastRowLastColumn="0"/>
            <w:tcW w:w="1133" w:type="dxa"/>
          </w:tcPr>
          <w:p w:rsidR="00710B32" w:rsidRPr="00687A1C" w:rsidRDefault="00710B32" w:rsidP="00525A0B">
            <w:pPr>
              <w:pStyle w:val="Tabletextrightbold"/>
            </w:pPr>
            <w:r w:rsidRPr="00687A1C">
              <w:t>116</w:t>
            </w:r>
          </w:p>
        </w:tc>
      </w:tr>
    </w:tbl>
    <w:p w:rsidR="00B54ECD" w:rsidRPr="00687A1C" w:rsidRDefault="00B54ECD" w:rsidP="00B54ECD">
      <w:pPr>
        <w:pStyle w:val="Notes"/>
      </w:pPr>
      <w:r w:rsidRPr="00687A1C">
        <w:t>Note</w:t>
      </w:r>
      <w:r w:rsidR="00710B32" w:rsidRPr="00687A1C">
        <w:t>s</w:t>
      </w:r>
      <w:r w:rsidRPr="00687A1C">
        <w:t>:</w:t>
      </w:r>
    </w:p>
    <w:p w:rsidR="00710B32" w:rsidRPr="00687A1C" w:rsidRDefault="00710B32" w:rsidP="00710B32">
      <w:pPr>
        <w:pStyle w:val="Notes"/>
      </w:pPr>
      <w:r w:rsidRPr="00687A1C">
        <w:t>(a) During 2017-18 the Department reclassified certain functions between its controlled and administered activities. The comparatives for 2016-17 have been adjusted accordingly.</w:t>
      </w:r>
    </w:p>
    <w:p w:rsidR="00710B32" w:rsidRPr="00687A1C" w:rsidRDefault="00710B32" w:rsidP="00710B32">
      <w:pPr>
        <w:pStyle w:val="Notes"/>
      </w:pPr>
      <w:r w:rsidRPr="00687A1C">
        <w:t>(b) 2016-17 asset balances were impacted by asset valuations during the year.</w:t>
      </w:r>
    </w:p>
    <w:p w:rsidR="002D54ED" w:rsidRPr="00687A1C" w:rsidRDefault="002D54ED" w:rsidP="000A3364">
      <w:pPr>
        <w:pStyle w:val="Notes"/>
      </w:pPr>
    </w:p>
    <w:p w:rsidR="00502AE7" w:rsidRPr="00687A1C" w:rsidRDefault="00502AE7" w:rsidP="000A3364">
      <w:pPr>
        <w:pStyle w:val="Notes"/>
      </w:pPr>
    </w:p>
    <w:p w:rsidR="00502AE7" w:rsidRPr="00687A1C" w:rsidRDefault="00502AE7" w:rsidP="000A3364">
      <w:pPr>
        <w:pStyle w:val="Notes"/>
      </w:pPr>
    </w:p>
    <w:p w:rsidR="000A3364" w:rsidRPr="00687A1C" w:rsidRDefault="000A3364" w:rsidP="000A3364">
      <w:pPr>
        <w:pStyle w:val="Spacer"/>
      </w:pPr>
    </w:p>
    <w:p w:rsidR="002D54ED" w:rsidRPr="00687A1C" w:rsidRDefault="002D54ED" w:rsidP="002D36B2">
      <w:pPr>
        <w:sectPr w:rsidR="002D54ED" w:rsidRPr="00687A1C" w:rsidSect="002D54ED">
          <w:type w:val="continuous"/>
          <w:pgSz w:w="11909" w:h="16834" w:code="9"/>
          <w:pgMar w:top="1728" w:right="1152" w:bottom="1152" w:left="1152" w:header="720" w:footer="288" w:gutter="0"/>
          <w:cols w:space="720"/>
          <w:noEndnote/>
        </w:sectPr>
      </w:pPr>
    </w:p>
    <w:p w:rsidR="002D54ED" w:rsidRPr="00687A1C" w:rsidRDefault="008649FA" w:rsidP="00F1314F">
      <w:pPr>
        <w:pStyle w:val="Heading3"/>
      </w:pPr>
      <w:r w:rsidRPr="00687A1C">
        <w:lastRenderedPageBreak/>
        <w:t>Capital projects/asset investment programs</w:t>
      </w:r>
    </w:p>
    <w:p w:rsidR="008C1585" w:rsidRPr="00687A1C" w:rsidRDefault="008C1585" w:rsidP="008C1585">
      <w:r w:rsidRPr="00687A1C">
        <w:t xml:space="preserve">The Department and its related portfolio entities manage a range of capital projects to deliver services for government. </w:t>
      </w:r>
    </w:p>
    <w:p w:rsidR="008C1585" w:rsidRPr="00687A1C" w:rsidRDefault="008C1585" w:rsidP="008C1585">
      <w:r w:rsidRPr="00687A1C">
        <w:t>Information on the new and existing capital projects for Departments and the broader Victorian public sector is contained in Budget Paper No.</w:t>
      </w:r>
      <w:r w:rsidRPr="00687A1C">
        <w:rPr>
          <w:rFonts w:ascii="Calibri" w:hAnsi="Calibri" w:cs="Calibri"/>
        </w:rPr>
        <w:t> </w:t>
      </w:r>
      <w:r w:rsidRPr="00687A1C">
        <w:t xml:space="preserve">4 </w:t>
      </w:r>
      <w:r w:rsidRPr="00687A1C">
        <w:rPr>
          <w:i/>
        </w:rPr>
        <w:t>State Capital Program</w:t>
      </w:r>
      <w:r w:rsidRPr="00687A1C">
        <w:t>, which is available on DTF</w:t>
      </w:r>
      <w:r w:rsidR="009469FE" w:rsidRPr="00687A1C">
        <w:t>’</w:t>
      </w:r>
      <w:r w:rsidRPr="00687A1C">
        <w:t xml:space="preserve">s website. </w:t>
      </w:r>
    </w:p>
    <w:p w:rsidR="008C1585" w:rsidRPr="00687A1C" w:rsidRDefault="008C1585" w:rsidP="008C1585">
      <w:r w:rsidRPr="00687A1C">
        <w:t>No major projects with a total estimated investment of $10</w:t>
      </w:r>
      <w:r w:rsidR="006F069A" w:rsidRPr="00687A1C">
        <w:rPr>
          <w:rFonts w:ascii="Calibri" w:hAnsi="Calibri" w:cs="Calibri"/>
        </w:rPr>
        <w:t> </w:t>
      </w:r>
      <w:r w:rsidR="006F069A" w:rsidRPr="00687A1C">
        <w:rPr>
          <w:rFonts w:ascii="VIC" w:hAnsi="VIC"/>
        </w:rPr>
        <w:t>million</w:t>
      </w:r>
      <w:r w:rsidRPr="00687A1C">
        <w:t xml:space="preserve"> or greater were completed during the year.</w:t>
      </w:r>
    </w:p>
    <w:p w:rsidR="004A6796" w:rsidRPr="00687A1C" w:rsidRDefault="004A6796" w:rsidP="004A6796"/>
    <w:p w:rsidR="00C91302" w:rsidRPr="00687A1C" w:rsidRDefault="004A6796" w:rsidP="008B0FBF">
      <w:pPr>
        <w:pStyle w:val="Heading3"/>
      </w:pPr>
      <w:r w:rsidRPr="00687A1C">
        <w:br w:type="column"/>
      </w:r>
      <w:r w:rsidR="00C91302" w:rsidRPr="00687A1C">
        <w:t>Style conventions</w:t>
      </w:r>
    </w:p>
    <w:p w:rsidR="00C91302" w:rsidRPr="00687A1C" w:rsidRDefault="00C91302" w:rsidP="00C91302">
      <w:pPr>
        <w:rPr>
          <w:rFonts w:cstheme="minorHAnsi"/>
        </w:rPr>
      </w:pPr>
      <w:r w:rsidRPr="00687A1C">
        <w:rPr>
          <w:rFonts w:cstheme="minorHAnsi"/>
        </w:rPr>
        <w:t>Figures in the tables and in the text have been rounded. Discrepancies in tables between totals and sums of components reflect rounding. Percentage variations in all tables are based on the underlying unrounded amounts.</w:t>
      </w:r>
    </w:p>
    <w:p w:rsidR="00C91302" w:rsidRPr="00687A1C" w:rsidRDefault="00C91302" w:rsidP="00C91302">
      <w:pPr>
        <w:rPr>
          <w:rFonts w:cstheme="minorHAnsi"/>
        </w:rPr>
      </w:pPr>
      <w:r w:rsidRPr="00687A1C">
        <w:rPr>
          <w:rFonts w:cstheme="minorHAnsi"/>
        </w:rPr>
        <w:t>The notation used in the tables is as follows:</w:t>
      </w:r>
    </w:p>
    <w:p w:rsidR="00C91302" w:rsidRPr="00687A1C" w:rsidRDefault="00C91302" w:rsidP="00C91302">
      <w:pPr>
        <w:ind w:left="1980" w:hanging="1440"/>
        <w:rPr>
          <w:rFonts w:cstheme="minorHAnsi"/>
        </w:rPr>
      </w:pPr>
      <w:r w:rsidRPr="00687A1C">
        <w:rPr>
          <w:rFonts w:cstheme="minorHAnsi"/>
        </w:rPr>
        <w:t>–</w:t>
      </w:r>
      <w:r w:rsidRPr="00687A1C">
        <w:rPr>
          <w:rFonts w:cstheme="minorHAnsi"/>
        </w:rPr>
        <w:tab/>
        <w:t>zero, or rounded to zero</w:t>
      </w:r>
    </w:p>
    <w:p w:rsidR="00C91302" w:rsidRPr="00687A1C" w:rsidRDefault="00C91302" w:rsidP="00C91302">
      <w:pPr>
        <w:ind w:left="1980" w:hanging="1440"/>
        <w:rPr>
          <w:rFonts w:cstheme="minorHAnsi"/>
        </w:rPr>
      </w:pPr>
      <w:r w:rsidRPr="00687A1C">
        <w:rPr>
          <w:rFonts w:cstheme="minorHAnsi"/>
        </w:rPr>
        <w:t>1</w:t>
      </w:r>
      <w:r w:rsidR="001E075F" w:rsidRPr="00687A1C">
        <w:rPr>
          <w:rFonts w:ascii="Calibri" w:hAnsi="Calibri" w:cs="Calibri"/>
        </w:rPr>
        <w:t> </w:t>
      </w:r>
      <w:r w:rsidR="001E075F" w:rsidRPr="00687A1C">
        <w:t>billion</w:t>
      </w:r>
      <w:r w:rsidRPr="00687A1C">
        <w:rPr>
          <w:rFonts w:cstheme="minorHAnsi"/>
        </w:rPr>
        <w:tab/>
        <w:t>1</w:t>
      </w:r>
      <w:r w:rsidRPr="00687A1C">
        <w:rPr>
          <w:rFonts w:ascii="Calibri" w:hAnsi="Calibri" w:cs="Calibri"/>
        </w:rPr>
        <w:t> </w:t>
      </w:r>
      <w:r w:rsidRPr="00687A1C">
        <w:rPr>
          <w:rFonts w:cstheme="minorHAnsi"/>
        </w:rPr>
        <w:t>000</w:t>
      </w:r>
      <w:r w:rsidR="006F069A" w:rsidRPr="00687A1C">
        <w:rPr>
          <w:rFonts w:ascii="Calibri" w:hAnsi="Calibri" w:cs="Calibri"/>
        </w:rPr>
        <w:t> </w:t>
      </w:r>
      <w:r w:rsidR="006F069A" w:rsidRPr="00687A1C">
        <w:rPr>
          <w:rFonts w:ascii="VIC" w:hAnsi="VIC"/>
        </w:rPr>
        <w:t>million</w:t>
      </w:r>
    </w:p>
    <w:p w:rsidR="00C91302" w:rsidRPr="00687A1C" w:rsidRDefault="00C91302" w:rsidP="00C91302">
      <w:pPr>
        <w:ind w:left="1980" w:hanging="1440"/>
        <w:rPr>
          <w:rFonts w:cstheme="minorHAnsi"/>
        </w:rPr>
      </w:pPr>
      <w:r w:rsidRPr="00687A1C">
        <w:rPr>
          <w:rFonts w:cstheme="minorHAnsi"/>
        </w:rPr>
        <w:t>200x</w:t>
      </w:r>
      <w:r w:rsidRPr="00687A1C">
        <w:rPr>
          <w:rFonts w:cstheme="minorHAnsi"/>
        </w:rPr>
        <w:tab/>
        <w:t>year period</w:t>
      </w:r>
    </w:p>
    <w:p w:rsidR="00C91302" w:rsidRPr="00687A1C" w:rsidRDefault="00C91302" w:rsidP="00C91302">
      <w:pPr>
        <w:ind w:left="1980" w:hanging="1440"/>
        <w:rPr>
          <w:rFonts w:cstheme="minorHAnsi"/>
        </w:rPr>
      </w:pPr>
      <w:r w:rsidRPr="00687A1C">
        <w:rPr>
          <w:rFonts w:cstheme="minorHAnsi"/>
        </w:rPr>
        <w:t>200x</w:t>
      </w:r>
      <w:r w:rsidR="00B336DF" w:rsidRPr="00687A1C">
        <w:rPr>
          <w:rFonts w:cstheme="minorHAnsi"/>
        </w:rPr>
        <w:noBreakHyphen/>
      </w:r>
      <w:r w:rsidRPr="00687A1C">
        <w:rPr>
          <w:rFonts w:cstheme="minorHAnsi"/>
        </w:rPr>
        <w:t>0x</w:t>
      </w:r>
      <w:r w:rsidRPr="00687A1C">
        <w:rPr>
          <w:rFonts w:cstheme="minorHAnsi"/>
        </w:rPr>
        <w:tab/>
        <w:t>year period</w:t>
      </w:r>
    </w:p>
    <w:p w:rsidR="00C91302" w:rsidRPr="00687A1C" w:rsidRDefault="00C91302" w:rsidP="00C91302">
      <w:pPr>
        <w:ind w:left="1980" w:hanging="1440"/>
        <w:rPr>
          <w:rFonts w:cstheme="minorHAnsi"/>
        </w:rPr>
      </w:pPr>
      <w:r w:rsidRPr="00687A1C">
        <w:rPr>
          <w:rFonts w:cstheme="minorHAnsi"/>
        </w:rPr>
        <w:t>n/a</w:t>
      </w:r>
      <w:r w:rsidRPr="00687A1C">
        <w:rPr>
          <w:rFonts w:cstheme="minorHAnsi"/>
        </w:rPr>
        <w:tab/>
        <w:t>not available or not applicable</w:t>
      </w:r>
    </w:p>
    <w:p w:rsidR="00C91302" w:rsidRPr="00687A1C" w:rsidRDefault="00C91302" w:rsidP="00C91302">
      <w:pPr>
        <w:ind w:left="1980" w:hanging="1440"/>
        <w:rPr>
          <w:rFonts w:cstheme="minorHAnsi"/>
        </w:rPr>
      </w:pPr>
      <w:r w:rsidRPr="00687A1C">
        <w:rPr>
          <w:rFonts w:cstheme="minorHAnsi"/>
        </w:rPr>
        <w:t>(xxx.x)</w:t>
      </w:r>
      <w:r w:rsidRPr="00687A1C">
        <w:rPr>
          <w:rFonts w:cstheme="minorHAnsi"/>
        </w:rPr>
        <w:tab/>
        <w:t>negative numbers</w:t>
      </w:r>
    </w:p>
    <w:p w:rsidR="008649FA" w:rsidRPr="00687A1C" w:rsidRDefault="008649FA" w:rsidP="002D36B2"/>
    <w:p w:rsidR="00C12C77" w:rsidRPr="00687A1C" w:rsidRDefault="00C12C77" w:rsidP="00C12C77">
      <w:pPr>
        <w:pStyle w:val="Heading1"/>
        <w:rPr>
          <w:rFonts w:asciiTheme="minorHAnsi" w:hAnsiTheme="minorHAnsi" w:cstheme="minorHAnsi"/>
        </w:rPr>
        <w:sectPr w:rsidR="00C12C77" w:rsidRPr="00687A1C" w:rsidSect="00F1360B">
          <w:pgSz w:w="11909" w:h="16834" w:code="9"/>
          <w:pgMar w:top="1728" w:right="1152" w:bottom="1152" w:left="1152" w:header="720" w:footer="288" w:gutter="0"/>
          <w:cols w:num="2" w:space="720"/>
          <w:noEndnote/>
        </w:sectPr>
      </w:pPr>
      <w:bookmarkStart w:id="24" w:name="_Toc337034709"/>
      <w:bookmarkStart w:id="25" w:name="_Toc337034818"/>
      <w:bookmarkStart w:id="26" w:name="_Toc434228915"/>
    </w:p>
    <w:p w:rsidR="00174AEA" w:rsidRPr="00687A1C" w:rsidRDefault="00174AEA" w:rsidP="00174AEA">
      <w:pPr>
        <w:pStyle w:val="Heading1"/>
        <w:rPr>
          <w:rFonts w:asciiTheme="minorHAnsi" w:hAnsiTheme="minorHAnsi" w:cstheme="minorHAnsi"/>
        </w:rPr>
      </w:pPr>
      <w:bookmarkStart w:id="27" w:name="_Toc456085525"/>
      <w:bookmarkStart w:id="28" w:name="_Toc493685431"/>
      <w:bookmarkStart w:id="29" w:name="_Toc525026156"/>
      <w:bookmarkStart w:id="30" w:name="_Toc337034710"/>
      <w:bookmarkStart w:id="31" w:name="_Toc337034819"/>
      <w:bookmarkStart w:id="32" w:name="_Toc434228916"/>
      <w:bookmarkEnd w:id="24"/>
      <w:bookmarkEnd w:id="25"/>
      <w:bookmarkEnd w:id="26"/>
      <w:r w:rsidRPr="00687A1C">
        <w:rPr>
          <w:rFonts w:asciiTheme="minorHAnsi" w:hAnsiTheme="minorHAnsi" w:cstheme="minorHAnsi"/>
        </w:rPr>
        <w:lastRenderedPageBreak/>
        <w:t>Financial statements</w:t>
      </w:r>
      <w:bookmarkEnd w:id="27"/>
      <w:bookmarkEnd w:id="28"/>
      <w:bookmarkEnd w:id="29"/>
    </w:p>
    <w:p w:rsidR="00174AEA" w:rsidRPr="00687A1C" w:rsidRDefault="00174AEA" w:rsidP="00174AEA">
      <w:pPr>
        <w:pStyle w:val="Heading2"/>
      </w:pPr>
      <w:r w:rsidRPr="00687A1C">
        <w:t>Contents</w:t>
      </w:r>
    </w:p>
    <w:p w:rsidR="00F97BB9" w:rsidRDefault="00174AEA">
      <w:pPr>
        <w:pStyle w:val="TOC1"/>
        <w:rPr>
          <w:rFonts w:eastAsiaTheme="minorEastAsia" w:cstheme="minorBidi"/>
          <w:b w:val="0"/>
          <w:color w:val="auto"/>
          <w:sz w:val="22"/>
          <w:szCs w:val="22"/>
        </w:rPr>
      </w:pPr>
      <w:r w:rsidRPr="00687A1C">
        <w:rPr>
          <w:noProof w:val="0"/>
          <w:sz w:val="20"/>
        </w:rPr>
        <w:fldChar w:fldCharType="begin"/>
      </w:r>
      <w:r w:rsidRPr="00687A1C">
        <w:rPr>
          <w:noProof w:val="0"/>
        </w:rPr>
        <w:instrText xml:space="preserve"> TOC \h \z \t " Heading Fin,1,Heading 1 numbered,1,Heading 2 numbered,3 \b Section_02,Heading 2 numbered,3 \b Section_03,Heading 2 numbered,3 \b Section_04,Heading 2 numbered,3 \b Section_05, Heading 2 numbered,3 \b Section_06,Heading 2 numbered,3 \b Section_07, Heading 2 numbered,3 \b Section_08,Heading 2 numbered,3 \b Section_09</w:instrText>
      </w:r>
      <w:r w:rsidRPr="00687A1C">
        <w:rPr>
          <w:noProof w:val="0"/>
          <w:sz w:val="20"/>
        </w:rPr>
        <w:fldChar w:fldCharType="separate"/>
      </w:r>
      <w:hyperlink w:anchor="_Toc525026177" w:history="1">
        <w:r w:rsidR="00F97BB9" w:rsidRPr="0093111D">
          <w:rPr>
            <w:rStyle w:val="Hyperlink"/>
          </w:rPr>
          <w:t>Comprehensive operating statement</w:t>
        </w:r>
        <w:r w:rsidR="00F97BB9">
          <w:rPr>
            <w:webHidden/>
          </w:rPr>
          <w:tab/>
        </w:r>
        <w:r w:rsidR="00F97BB9">
          <w:rPr>
            <w:webHidden/>
          </w:rPr>
          <w:fldChar w:fldCharType="begin"/>
        </w:r>
        <w:r w:rsidR="00F97BB9">
          <w:rPr>
            <w:webHidden/>
          </w:rPr>
          <w:instrText xml:space="preserve"> PAGEREF _Toc525026177 \h </w:instrText>
        </w:r>
        <w:r w:rsidR="00F97BB9">
          <w:rPr>
            <w:webHidden/>
          </w:rPr>
        </w:r>
        <w:r w:rsidR="00F97BB9">
          <w:rPr>
            <w:webHidden/>
          </w:rPr>
          <w:fldChar w:fldCharType="separate"/>
        </w:r>
        <w:r w:rsidR="00BE5F15">
          <w:rPr>
            <w:webHidden/>
          </w:rPr>
          <w:t>42</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78" w:history="1">
        <w:r w:rsidR="00F97BB9" w:rsidRPr="0093111D">
          <w:rPr>
            <w:rStyle w:val="Hyperlink"/>
          </w:rPr>
          <w:t>Balance sheet</w:t>
        </w:r>
        <w:r w:rsidR="00F97BB9">
          <w:rPr>
            <w:webHidden/>
          </w:rPr>
          <w:tab/>
        </w:r>
        <w:r w:rsidR="00F97BB9">
          <w:rPr>
            <w:webHidden/>
          </w:rPr>
          <w:fldChar w:fldCharType="begin"/>
        </w:r>
        <w:r w:rsidR="00F97BB9">
          <w:rPr>
            <w:webHidden/>
          </w:rPr>
          <w:instrText xml:space="preserve"> PAGEREF _Toc525026178 \h </w:instrText>
        </w:r>
        <w:r w:rsidR="00F97BB9">
          <w:rPr>
            <w:webHidden/>
          </w:rPr>
        </w:r>
        <w:r w:rsidR="00F97BB9">
          <w:rPr>
            <w:webHidden/>
          </w:rPr>
          <w:fldChar w:fldCharType="separate"/>
        </w:r>
        <w:r w:rsidR="00BE5F15">
          <w:rPr>
            <w:webHidden/>
          </w:rPr>
          <w:t>43</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79" w:history="1">
        <w:r w:rsidR="00F97BB9" w:rsidRPr="0093111D">
          <w:rPr>
            <w:rStyle w:val="Hyperlink"/>
          </w:rPr>
          <w:t>Statement of changes in equity</w:t>
        </w:r>
        <w:r w:rsidR="00F97BB9">
          <w:rPr>
            <w:webHidden/>
          </w:rPr>
          <w:tab/>
        </w:r>
        <w:r w:rsidR="00F97BB9">
          <w:rPr>
            <w:webHidden/>
          </w:rPr>
          <w:fldChar w:fldCharType="begin"/>
        </w:r>
        <w:r w:rsidR="00F97BB9">
          <w:rPr>
            <w:webHidden/>
          </w:rPr>
          <w:instrText xml:space="preserve"> PAGEREF _Toc525026179 \h </w:instrText>
        </w:r>
        <w:r w:rsidR="00F97BB9">
          <w:rPr>
            <w:webHidden/>
          </w:rPr>
        </w:r>
        <w:r w:rsidR="00F97BB9">
          <w:rPr>
            <w:webHidden/>
          </w:rPr>
          <w:fldChar w:fldCharType="separate"/>
        </w:r>
        <w:r w:rsidR="00BE5F15">
          <w:rPr>
            <w:webHidden/>
          </w:rPr>
          <w:t>44</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80" w:history="1">
        <w:r w:rsidR="00F97BB9" w:rsidRPr="0093111D">
          <w:rPr>
            <w:rStyle w:val="Hyperlink"/>
          </w:rPr>
          <w:t>Cash flow statement</w:t>
        </w:r>
        <w:r w:rsidR="00F97BB9">
          <w:rPr>
            <w:webHidden/>
          </w:rPr>
          <w:tab/>
        </w:r>
        <w:r w:rsidR="00F97BB9">
          <w:rPr>
            <w:webHidden/>
          </w:rPr>
          <w:fldChar w:fldCharType="begin"/>
        </w:r>
        <w:r w:rsidR="00F97BB9">
          <w:rPr>
            <w:webHidden/>
          </w:rPr>
          <w:instrText xml:space="preserve"> PAGEREF _Toc525026180 \h </w:instrText>
        </w:r>
        <w:r w:rsidR="00F97BB9">
          <w:rPr>
            <w:webHidden/>
          </w:rPr>
        </w:r>
        <w:r w:rsidR="00F97BB9">
          <w:rPr>
            <w:webHidden/>
          </w:rPr>
          <w:fldChar w:fldCharType="separate"/>
        </w:r>
        <w:r w:rsidR="00BE5F15">
          <w:rPr>
            <w:webHidden/>
          </w:rPr>
          <w:t>45</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81" w:history="1">
        <w:r w:rsidR="00F97BB9" w:rsidRPr="0093111D">
          <w:rPr>
            <w:rStyle w:val="Hyperlink"/>
          </w:rPr>
          <w:t>1</w:t>
        </w:r>
        <w:r w:rsidR="00F97BB9">
          <w:rPr>
            <w:rFonts w:eastAsiaTheme="minorEastAsia" w:cstheme="minorBidi"/>
            <w:b w:val="0"/>
            <w:color w:val="auto"/>
            <w:sz w:val="22"/>
            <w:szCs w:val="22"/>
          </w:rPr>
          <w:tab/>
        </w:r>
        <w:r w:rsidR="00F97BB9" w:rsidRPr="0093111D">
          <w:rPr>
            <w:rStyle w:val="Hyperlink"/>
          </w:rPr>
          <w:t>About this report</w:t>
        </w:r>
        <w:r w:rsidR="00F97BB9">
          <w:rPr>
            <w:webHidden/>
          </w:rPr>
          <w:tab/>
        </w:r>
        <w:r w:rsidR="00F97BB9">
          <w:rPr>
            <w:webHidden/>
          </w:rPr>
          <w:fldChar w:fldCharType="begin"/>
        </w:r>
        <w:r w:rsidR="00F97BB9">
          <w:rPr>
            <w:webHidden/>
          </w:rPr>
          <w:instrText xml:space="preserve"> PAGEREF _Toc525026181 \h </w:instrText>
        </w:r>
        <w:r w:rsidR="00F97BB9">
          <w:rPr>
            <w:webHidden/>
          </w:rPr>
        </w:r>
        <w:r w:rsidR="00F97BB9">
          <w:rPr>
            <w:webHidden/>
          </w:rPr>
          <w:fldChar w:fldCharType="separate"/>
        </w:r>
        <w:r w:rsidR="00BE5F15">
          <w:rPr>
            <w:webHidden/>
          </w:rPr>
          <w:t>46</w:t>
        </w:r>
        <w:r w:rsidR="00F97BB9">
          <w:rPr>
            <w:webHidden/>
          </w:rPr>
          <w:fldChar w:fldCharType="end"/>
        </w:r>
      </w:hyperlink>
    </w:p>
    <w:p w:rsidR="00F97BB9" w:rsidRDefault="00EC4CFD">
      <w:pPr>
        <w:pStyle w:val="TOC1"/>
        <w:rPr>
          <w:rFonts w:eastAsiaTheme="minorEastAsia" w:cstheme="minorBidi"/>
          <w:b w:val="0"/>
          <w:color w:val="auto"/>
          <w:sz w:val="22"/>
          <w:szCs w:val="22"/>
        </w:rPr>
      </w:pPr>
      <w:hyperlink w:anchor="_Toc525026182" w:history="1">
        <w:r w:rsidR="00F97BB9" w:rsidRPr="0093111D">
          <w:rPr>
            <w:rStyle w:val="Hyperlink"/>
          </w:rPr>
          <w:t>2</w:t>
        </w:r>
        <w:r w:rsidR="00F97BB9">
          <w:rPr>
            <w:rFonts w:eastAsiaTheme="minorEastAsia" w:cstheme="minorBidi"/>
            <w:b w:val="0"/>
            <w:color w:val="auto"/>
            <w:sz w:val="22"/>
            <w:szCs w:val="22"/>
          </w:rPr>
          <w:tab/>
        </w:r>
        <w:r w:rsidR="00F97BB9" w:rsidRPr="0093111D">
          <w:rPr>
            <w:rStyle w:val="Hyperlink"/>
          </w:rPr>
          <w:t>Funding delivery of our services</w:t>
        </w:r>
        <w:r w:rsidR="00F97BB9">
          <w:rPr>
            <w:webHidden/>
          </w:rPr>
          <w:tab/>
        </w:r>
        <w:r w:rsidR="00F97BB9">
          <w:rPr>
            <w:webHidden/>
          </w:rPr>
          <w:fldChar w:fldCharType="begin"/>
        </w:r>
        <w:r w:rsidR="00F97BB9">
          <w:rPr>
            <w:webHidden/>
          </w:rPr>
          <w:instrText xml:space="preserve"> PAGEREF _Toc525026182 \h </w:instrText>
        </w:r>
        <w:r w:rsidR="00F97BB9">
          <w:rPr>
            <w:webHidden/>
          </w:rPr>
        </w:r>
        <w:r w:rsidR="00F97BB9">
          <w:rPr>
            <w:webHidden/>
          </w:rPr>
          <w:fldChar w:fldCharType="separate"/>
        </w:r>
        <w:r w:rsidR="00BE5F15">
          <w:rPr>
            <w:webHidden/>
          </w:rPr>
          <w:t>47</w:t>
        </w:r>
        <w:r w:rsidR="00F97BB9">
          <w:rPr>
            <w:webHidden/>
          </w:rPr>
          <w:fldChar w:fldCharType="end"/>
        </w:r>
      </w:hyperlink>
    </w:p>
    <w:p w:rsidR="00F97BB9" w:rsidRDefault="00EC4CFD">
      <w:pPr>
        <w:pStyle w:val="TOC3"/>
        <w:tabs>
          <w:tab w:val="left" w:pos="1260"/>
        </w:tabs>
        <w:rPr>
          <w:noProof/>
          <w:color w:val="auto"/>
          <w:sz w:val="22"/>
        </w:rPr>
      </w:pPr>
      <w:hyperlink w:anchor="_Toc525026183" w:history="1">
        <w:r w:rsidR="00F97BB9" w:rsidRPr="0093111D">
          <w:rPr>
            <w:rStyle w:val="Hyperlink"/>
            <w:noProof/>
          </w:rPr>
          <w:t>2.1</w:t>
        </w:r>
        <w:r w:rsidR="00F97BB9">
          <w:rPr>
            <w:noProof/>
            <w:color w:val="auto"/>
            <w:sz w:val="22"/>
          </w:rPr>
          <w:tab/>
        </w:r>
        <w:r w:rsidR="00F97BB9" w:rsidRPr="0093111D">
          <w:rPr>
            <w:rStyle w:val="Hyperlink"/>
            <w:noProof/>
          </w:rPr>
          <w:t>Summary of income that funds the delivery of our services</w:t>
        </w:r>
        <w:r w:rsidR="00F97BB9">
          <w:rPr>
            <w:noProof/>
            <w:webHidden/>
          </w:rPr>
          <w:tab/>
        </w:r>
        <w:r w:rsidR="00F97BB9">
          <w:rPr>
            <w:noProof/>
            <w:webHidden/>
          </w:rPr>
          <w:fldChar w:fldCharType="begin"/>
        </w:r>
        <w:r w:rsidR="00F97BB9">
          <w:rPr>
            <w:noProof/>
            <w:webHidden/>
          </w:rPr>
          <w:instrText xml:space="preserve"> PAGEREF _Toc525026183 \h </w:instrText>
        </w:r>
        <w:r w:rsidR="00F97BB9">
          <w:rPr>
            <w:noProof/>
            <w:webHidden/>
          </w:rPr>
        </w:r>
        <w:r w:rsidR="00F97BB9">
          <w:rPr>
            <w:noProof/>
            <w:webHidden/>
          </w:rPr>
          <w:fldChar w:fldCharType="separate"/>
        </w:r>
        <w:r w:rsidR="00BE5F15">
          <w:rPr>
            <w:noProof/>
            <w:webHidden/>
          </w:rPr>
          <w:t>47</w:t>
        </w:r>
        <w:r w:rsidR="00F97BB9">
          <w:rPr>
            <w:noProof/>
            <w:webHidden/>
          </w:rPr>
          <w:fldChar w:fldCharType="end"/>
        </w:r>
      </w:hyperlink>
    </w:p>
    <w:p w:rsidR="00F97BB9" w:rsidRDefault="00EC4CFD">
      <w:pPr>
        <w:pStyle w:val="TOC3"/>
        <w:tabs>
          <w:tab w:val="left" w:pos="1260"/>
        </w:tabs>
        <w:rPr>
          <w:noProof/>
          <w:color w:val="auto"/>
          <w:sz w:val="22"/>
        </w:rPr>
      </w:pPr>
      <w:hyperlink w:anchor="_Toc525026184" w:history="1">
        <w:r w:rsidR="00F97BB9" w:rsidRPr="0093111D">
          <w:rPr>
            <w:rStyle w:val="Hyperlink"/>
            <w:noProof/>
          </w:rPr>
          <w:t>2.2</w:t>
        </w:r>
        <w:r w:rsidR="00F97BB9">
          <w:rPr>
            <w:noProof/>
            <w:color w:val="auto"/>
            <w:sz w:val="22"/>
          </w:rPr>
          <w:tab/>
        </w:r>
        <w:r w:rsidR="00F97BB9" w:rsidRPr="0093111D">
          <w:rPr>
            <w:rStyle w:val="Hyperlink"/>
            <w:noProof/>
          </w:rPr>
          <w:t>Appropriations</w:t>
        </w:r>
        <w:r w:rsidR="00F97BB9">
          <w:rPr>
            <w:noProof/>
            <w:webHidden/>
          </w:rPr>
          <w:tab/>
        </w:r>
        <w:r w:rsidR="00F97BB9">
          <w:rPr>
            <w:noProof/>
            <w:webHidden/>
          </w:rPr>
          <w:fldChar w:fldCharType="begin"/>
        </w:r>
        <w:r w:rsidR="00F97BB9">
          <w:rPr>
            <w:noProof/>
            <w:webHidden/>
          </w:rPr>
          <w:instrText xml:space="preserve"> PAGEREF _Toc525026184 \h </w:instrText>
        </w:r>
        <w:r w:rsidR="00F97BB9">
          <w:rPr>
            <w:noProof/>
            <w:webHidden/>
          </w:rPr>
        </w:r>
        <w:r w:rsidR="00F97BB9">
          <w:rPr>
            <w:noProof/>
            <w:webHidden/>
          </w:rPr>
          <w:fldChar w:fldCharType="separate"/>
        </w:r>
        <w:r w:rsidR="00BE5F15">
          <w:rPr>
            <w:noProof/>
            <w:webHidden/>
          </w:rPr>
          <w:t>47</w:t>
        </w:r>
        <w:r w:rsidR="00F97BB9">
          <w:rPr>
            <w:noProof/>
            <w:webHidden/>
          </w:rPr>
          <w:fldChar w:fldCharType="end"/>
        </w:r>
      </w:hyperlink>
    </w:p>
    <w:p w:rsidR="00F97BB9" w:rsidRDefault="00EC4CFD">
      <w:pPr>
        <w:pStyle w:val="TOC3"/>
        <w:tabs>
          <w:tab w:val="left" w:pos="1260"/>
        </w:tabs>
        <w:rPr>
          <w:noProof/>
          <w:color w:val="auto"/>
          <w:sz w:val="22"/>
        </w:rPr>
      </w:pPr>
      <w:hyperlink w:anchor="_Toc525026185" w:history="1">
        <w:r w:rsidR="00F97BB9" w:rsidRPr="0093111D">
          <w:rPr>
            <w:rStyle w:val="Hyperlink"/>
            <w:noProof/>
          </w:rPr>
          <w:t>2.3</w:t>
        </w:r>
        <w:r w:rsidR="00F97BB9">
          <w:rPr>
            <w:noProof/>
            <w:color w:val="auto"/>
            <w:sz w:val="22"/>
          </w:rPr>
          <w:tab/>
        </w:r>
        <w:r w:rsidR="00F97BB9" w:rsidRPr="0093111D">
          <w:rPr>
            <w:rStyle w:val="Hyperlink"/>
            <w:noProof/>
          </w:rPr>
          <w:t>Summary of compliance with annual Parliamentary appropriations</w:t>
        </w:r>
        <w:r w:rsidR="00F97BB9">
          <w:rPr>
            <w:noProof/>
            <w:webHidden/>
          </w:rPr>
          <w:tab/>
        </w:r>
        <w:r w:rsidR="00F97BB9">
          <w:rPr>
            <w:noProof/>
            <w:webHidden/>
          </w:rPr>
          <w:fldChar w:fldCharType="begin"/>
        </w:r>
        <w:r w:rsidR="00F97BB9">
          <w:rPr>
            <w:noProof/>
            <w:webHidden/>
          </w:rPr>
          <w:instrText xml:space="preserve"> PAGEREF _Toc525026185 \h </w:instrText>
        </w:r>
        <w:r w:rsidR="00F97BB9">
          <w:rPr>
            <w:noProof/>
            <w:webHidden/>
          </w:rPr>
        </w:r>
        <w:r w:rsidR="00F97BB9">
          <w:rPr>
            <w:noProof/>
            <w:webHidden/>
          </w:rPr>
          <w:fldChar w:fldCharType="separate"/>
        </w:r>
        <w:r w:rsidR="00BE5F15">
          <w:rPr>
            <w:noProof/>
            <w:webHidden/>
          </w:rPr>
          <w:t>48</w:t>
        </w:r>
        <w:r w:rsidR="00F97BB9">
          <w:rPr>
            <w:noProof/>
            <w:webHidden/>
          </w:rPr>
          <w:fldChar w:fldCharType="end"/>
        </w:r>
      </w:hyperlink>
    </w:p>
    <w:p w:rsidR="00F97BB9" w:rsidRDefault="00EC4CFD">
      <w:pPr>
        <w:pStyle w:val="TOC3"/>
        <w:tabs>
          <w:tab w:val="left" w:pos="1260"/>
        </w:tabs>
        <w:rPr>
          <w:noProof/>
          <w:color w:val="auto"/>
          <w:sz w:val="22"/>
        </w:rPr>
      </w:pPr>
      <w:hyperlink w:anchor="_Toc525026186" w:history="1">
        <w:r w:rsidR="00F97BB9" w:rsidRPr="0093111D">
          <w:rPr>
            <w:rStyle w:val="Hyperlink"/>
            <w:noProof/>
          </w:rPr>
          <w:t>2.4</w:t>
        </w:r>
        <w:r w:rsidR="00F97BB9">
          <w:rPr>
            <w:noProof/>
            <w:color w:val="auto"/>
            <w:sz w:val="22"/>
          </w:rPr>
          <w:tab/>
        </w:r>
        <w:r w:rsidR="00F97BB9" w:rsidRPr="0093111D">
          <w:rPr>
            <w:rStyle w:val="Hyperlink"/>
            <w:noProof/>
          </w:rPr>
          <w:t>Annotated income agreements</w:t>
        </w:r>
        <w:r w:rsidR="00F97BB9">
          <w:rPr>
            <w:noProof/>
            <w:webHidden/>
          </w:rPr>
          <w:tab/>
        </w:r>
        <w:r w:rsidR="00F97BB9">
          <w:rPr>
            <w:noProof/>
            <w:webHidden/>
          </w:rPr>
          <w:fldChar w:fldCharType="begin"/>
        </w:r>
        <w:r w:rsidR="00F97BB9">
          <w:rPr>
            <w:noProof/>
            <w:webHidden/>
          </w:rPr>
          <w:instrText xml:space="preserve"> PAGEREF _Toc525026186 \h </w:instrText>
        </w:r>
        <w:r w:rsidR="00F97BB9">
          <w:rPr>
            <w:noProof/>
            <w:webHidden/>
          </w:rPr>
        </w:r>
        <w:r w:rsidR="00F97BB9">
          <w:rPr>
            <w:noProof/>
            <w:webHidden/>
          </w:rPr>
          <w:fldChar w:fldCharType="separate"/>
        </w:r>
        <w:r w:rsidR="00BE5F15">
          <w:rPr>
            <w:noProof/>
            <w:webHidden/>
          </w:rPr>
          <w:t>49</w:t>
        </w:r>
        <w:r w:rsidR="00F97BB9">
          <w:rPr>
            <w:noProof/>
            <w:webHidden/>
          </w:rPr>
          <w:fldChar w:fldCharType="end"/>
        </w:r>
      </w:hyperlink>
    </w:p>
    <w:p w:rsidR="00F97BB9" w:rsidRDefault="00EC4CFD">
      <w:pPr>
        <w:pStyle w:val="TOC3"/>
        <w:tabs>
          <w:tab w:val="left" w:pos="1260"/>
        </w:tabs>
        <w:rPr>
          <w:noProof/>
          <w:color w:val="auto"/>
          <w:sz w:val="22"/>
        </w:rPr>
      </w:pPr>
      <w:hyperlink w:anchor="_Toc525026187" w:history="1">
        <w:r w:rsidR="00F97BB9" w:rsidRPr="0093111D">
          <w:rPr>
            <w:rStyle w:val="Hyperlink"/>
            <w:noProof/>
          </w:rPr>
          <w:t>2.5</w:t>
        </w:r>
        <w:r w:rsidR="00F97BB9">
          <w:rPr>
            <w:noProof/>
            <w:color w:val="auto"/>
            <w:sz w:val="22"/>
          </w:rPr>
          <w:tab/>
        </w:r>
        <w:r w:rsidR="00F97BB9" w:rsidRPr="0093111D">
          <w:rPr>
            <w:rStyle w:val="Hyperlink"/>
            <w:noProof/>
          </w:rPr>
          <w:t>Other income</w:t>
        </w:r>
        <w:r w:rsidR="00F97BB9">
          <w:rPr>
            <w:noProof/>
            <w:webHidden/>
          </w:rPr>
          <w:tab/>
        </w:r>
        <w:r w:rsidR="00F97BB9">
          <w:rPr>
            <w:noProof/>
            <w:webHidden/>
          </w:rPr>
          <w:fldChar w:fldCharType="begin"/>
        </w:r>
        <w:r w:rsidR="00F97BB9">
          <w:rPr>
            <w:noProof/>
            <w:webHidden/>
          </w:rPr>
          <w:instrText xml:space="preserve"> PAGEREF _Toc525026187 \h </w:instrText>
        </w:r>
        <w:r w:rsidR="00F97BB9">
          <w:rPr>
            <w:noProof/>
            <w:webHidden/>
          </w:rPr>
        </w:r>
        <w:r w:rsidR="00F97BB9">
          <w:rPr>
            <w:noProof/>
            <w:webHidden/>
          </w:rPr>
          <w:fldChar w:fldCharType="separate"/>
        </w:r>
        <w:r w:rsidR="00BE5F15">
          <w:rPr>
            <w:noProof/>
            <w:webHidden/>
          </w:rPr>
          <w:t>50</w:t>
        </w:r>
        <w:r w:rsidR="00F97BB9">
          <w:rPr>
            <w:noProof/>
            <w:webHidden/>
          </w:rPr>
          <w:fldChar w:fldCharType="end"/>
        </w:r>
      </w:hyperlink>
    </w:p>
    <w:p w:rsidR="00F97BB9" w:rsidRDefault="00EC4CFD">
      <w:pPr>
        <w:pStyle w:val="TOC1"/>
        <w:rPr>
          <w:rFonts w:eastAsiaTheme="minorEastAsia" w:cstheme="minorBidi"/>
          <w:b w:val="0"/>
          <w:color w:val="auto"/>
          <w:sz w:val="22"/>
          <w:szCs w:val="22"/>
        </w:rPr>
      </w:pPr>
      <w:hyperlink w:anchor="_Toc525026188" w:history="1">
        <w:r w:rsidR="00F97BB9" w:rsidRPr="0093111D">
          <w:rPr>
            <w:rStyle w:val="Hyperlink"/>
          </w:rPr>
          <w:t>3</w:t>
        </w:r>
        <w:r w:rsidR="00F97BB9">
          <w:rPr>
            <w:rFonts w:eastAsiaTheme="minorEastAsia" w:cstheme="minorBidi"/>
            <w:b w:val="0"/>
            <w:color w:val="auto"/>
            <w:sz w:val="22"/>
            <w:szCs w:val="22"/>
          </w:rPr>
          <w:tab/>
        </w:r>
        <w:r w:rsidR="00F97BB9" w:rsidRPr="0093111D">
          <w:rPr>
            <w:rStyle w:val="Hyperlink"/>
          </w:rPr>
          <w:t>The cost of delivering services</w:t>
        </w:r>
        <w:r w:rsidR="00F97BB9">
          <w:rPr>
            <w:webHidden/>
          </w:rPr>
          <w:tab/>
        </w:r>
        <w:r w:rsidR="00F97BB9">
          <w:rPr>
            <w:webHidden/>
          </w:rPr>
          <w:fldChar w:fldCharType="begin"/>
        </w:r>
        <w:r w:rsidR="00F97BB9">
          <w:rPr>
            <w:webHidden/>
          </w:rPr>
          <w:instrText xml:space="preserve"> PAGEREF _Toc525026188 \h </w:instrText>
        </w:r>
        <w:r w:rsidR="00F97BB9">
          <w:rPr>
            <w:webHidden/>
          </w:rPr>
        </w:r>
        <w:r w:rsidR="00F97BB9">
          <w:rPr>
            <w:webHidden/>
          </w:rPr>
          <w:fldChar w:fldCharType="separate"/>
        </w:r>
        <w:r w:rsidR="00BE5F15">
          <w:rPr>
            <w:webHidden/>
          </w:rPr>
          <w:t>51</w:t>
        </w:r>
        <w:r w:rsidR="00F97BB9">
          <w:rPr>
            <w:webHidden/>
          </w:rPr>
          <w:fldChar w:fldCharType="end"/>
        </w:r>
      </w:hyperlink>
    </w:p>
    <w:p w:rsidR="00F97BB9" w:rsidRDefault="00EC4CFD">
      <w:pPr>
        <w:pStyle w:val="TOC3"/>
        <w:tabs>
          <w:tab w:val="left" w:pos="1260"/>
        </w:tabs>
        <w:rPr>
          <w:noProof/>
          <w:color w:val="auto"/>
          <w:sz w:val="22"/>
        </w:rPr>
      </w:pPr>
      <w:hyperlink w:anchor="_Toc525026189" w:history="1">
        <w:r w:rsidR="00F97BB9" w:rsidRPr="0093111D">
          <w:rPr>
            <w:rStyle w:val="Hyperlink"/>
            <w:noProof/>
          </w:rPr>
          <w:t>3.1</w:t>
        </w:r>
        <w:r w:rsidR="00F97BB9">
          <w:rPr>
            <w:noProof/>
            <w:color w:val="auto"/>
            <w:sz w:val="22"/>
          </w:rPr>
          <w:tab/>
        </w:r>
        <w:r w:rsidR="00F97BB9" w:rsidRPr="0093111D">
          <w:rPr>
            <w:rStyle w:val="Hyperlink"/>
            <w:noProof/>
          </w:rPr>
          <w:t>Expenses incurred in delivery of services</w:t>
        </w:r>
        <w:r w:rsidR="00F97BB9">
          <w:rPr>
            <w:noProof/>
            <w:webHidden/>
          </w:rPr>
          <w:tab/>
        </w:r>
        <w:r w:rsidR="00F97BB9">
          <w:rPr>
            <w:noProof/>
            <w:webHidden/>
          </w:rPr>
          <w:fldChar w:fldCharType="begin"/>
        </w:r>
        <w:r w:rsidR="00F97BB9">
          <w:rPr>
            <w:noProof/>
            <w:webHidden/>
          </w:rPr>
          <w:instrText xml:space="preserve"> PAGEREF _Toc525026189 \h </w:instrText>
        </w:r>
        <w:r w:rsidR="00F97BB9">
          <w:rPr>
            <w:noProof/>
            <w:webHidden/>
          </w:rPr>
        </w:r>
        <w:r w:rsidR="00F97BB9">
          <w:rPr>
            <w:noProof/>
            <w:webHidden/>
          </w:rPr>
          <w:fldChar w:fldCharType="separate"/>
        </w:r>
        <w:r w:rsidR="00BE5F15">
          <w:rPr>
            <w:noProof/>
            <w:webHidden/>
          </w:rPr>
          <w:t>51</w:t>
        </w:r>
        <w:r w:rsidR="00F97BB9">
          <w:rPr>
            <w:noProof/>
            <w:webHidden/>
          </w:rPr>
          <w:fldChar w:fldCharType="end"/>
        </w:r>
      </w:hyperlink>
    </w:p>
    <w:p w:rsidR="00F97BB9" w:rsidRDefault="00EC4CFD">
      <w:pPr>
        <w:pStyle w:val="TOC3"/>
        <w:tabs>
          <w:tab w:val="left" w:pos="1260"/>
        </w:tabs>
        <w:rPr>
          <w:noProof/>
          <w:color w:val="auto"/>
          <w:sz w:val="22"/>
        </w:rPr>
      </w:pPr>
      <w:hyperlink w:anchor="_Toc525026190" w:history="1">
        <w:r w:rsidR="00F97BB9" w:rsidRPr="0093111D">
          <w:rPr>
            <w:rStyle w:val="Hyperlink"/>
            <w:noProof/>
          </w:rPr>
          <w:t>3.2</w:t>
        </w:r>
        <w:r w:rsidR="00F97BB9">
          <w:rPr>
            <w:noProof/>
            <w:color w:val="auto"/>
            <w:sz w:val="22"/>
          </w:rPr>
          <w:tab/>
        </w:r>
        <w:r w:rsidR="00F97BB9" w:rsidRPr="0093111D">
          <w:rPr>
            <w:rStyle w:val="Hyperlink"/>
            <w:noProof/>
          </w:rPr>
          <w:t>Grants expense</w:t>
        </w:r>
        <w:r w:rsidR="00F97BB9">
          <w:rPr>
            <w:noProof/>
            <w:webHidden/>
          </w:rPr>
          <w:tab/>
        </w:r>
        <w:r w:rsidR="00F97BB9">
          <w:rPr>
            <w:noProof/>
            <w:webHidden/>
          </w:rPr>
          <w:fldChar w:fldCharType="begin"/>
        </w:r>
        <w:r w:rsidR="00F97BB9">
          <w:rPr>
            <w:noProof/>
            <w:webHidden/>
          </w:rPr>
          <w:instrText xml:space="preserve"> PAGEREF _Toc525026190 \h </w:instrText>
        </w:r>
        <w:r w:rsidR="00F97BB9">
          <w:rPr>
            <w:noProof/>
            <w:webHidden/>
          </w:rPr>
        </w:r>
        <w:r w:rsidR="00F97BB9">
          <w:rPr>
            <w:noProof/>
            <w:webHidden/>
          </w:rPr>
          <w:fldChar w:fldCharType="separate"/>
        </w:r>
        <w:r w:rsidR="00BE5F15">
          <w:rPr>
            <w:noProof/>
            <w:webHidden/>
          </w:rPr>
          <w:t>53</w:t>
        </w:r>
        <w:r w:rsidR="00F97BB9">
          <w:rPr>
            <w:noProof/>
            <w:webHidden/>
          </w:rPr>
          <w:fldChar w:fldCharType="end"/>
        </w:r>
      </w:hyperlink>
    </w:p>
    <w:p w:rsidR="00F97BB9" w:rsidRDefault="00EC4CFD">
      <w:pPr>
        <w:pStyle w:val="TOC3"/>
        <w:tabs>
          <w:tab w:val="left" w:pos="1260"/>
        </w:tabs>
        <w:rPr>
          <w:noProof/>
          <w:color w:val="auto"/>
          <w:sz w:val="22"/>
        </w:rPr>
      </w:pPr>
      <w:hyperlink w:anchor="_Toc525026191" w:history="1">
        <w:r w:rsidR="00F97BB9" w:rsidRPr="0093111D">
          <w:rPr>
            <w:rStyle w:val="Hyperlink"/>
            <w:noProof/>
          </w:rPr>
          <w:t>3.3</w:t>
        </w:r>
        <w:r w:rsidR="00F97BB9">
          <w:rPr>
            <w:noProof/>
            <w:color w:val="auto"/>
            <w:sz w:val="22"/>
          </w:rPr>
          <w:tab/>
        </w:r>
        <w:r w:rsidR="00F97BB9" w:rsidRPr="0093111D">
          <w:rPr>
            <w:rStyle w:val="Hyperlink"/>
            <w:noProof/>
          </w:rPr>
          <w:t>Capital asset charge</w:t>
        </w:r>
        <w:r w:rsidR="00F97BB9">
          <w:rPr>
            <w:noProof/>
            <w:webHidden/>
          </w:rPr>
          <w:tab/>
        </w:r>
        <w:r w:rsidR="00F97BB9">
          <w:rPr>
            <w:noProof/>
            <w:webHidden/>
          </w:rPr>
          <w:fldChar w:fldCharType="begin"/>
        </w:r>
        <w:r w:rsidR="00F97BB9">
          <w:rPr>
            <w:noProof/>
            <w:webHidden/>
          </w:rPr>
          <w:instrText xml:space="preserve"> PAGEREF _Toc525026191 \h </w:instrText>
        </w:r>
        <w:r w:rsidR="00F97BB9">
          <w:rPr>
            <w:noProof/>
            <w:webHidden/>
          </w:rPr>
        </w:r>
        <w:r w:rsidR="00F97BB9">
          <w:rPr>
            <w:noProof/>
            <w:webHidden/>
          </w:rPr>
          <w:fldChar w:fldCharType="separate"/>
        </w:r>
        <w:r w:rsidR="00BE5F15">
          <w:rPr>
            <w:noProof/>
            <w:webHidden/>
          </w:rPr>
          <w:t>53</w:t>
        </w:r>
        <w:r w:rsidR="00F97BB9">
          <w:rPr>
            <w:noProof/>
            <w:webHidden/>
          </w:rPr>
          <w:fldChar w:fldCharType="end"/>
        </w:r>
      </w:hyperlink>
    </w:p>
    <w:p w:rsidR="00F97BB9" w:rsidRDefault="00EC4CFD">
      <w:pPr>
        <w:pStyle w:val="TOC3"/>
        <w:tabs>
          <w:tab w:val="left" w:pos="1260"/>
        </w:tabs>
        <w:rPr>
          <w:noProof/>
          <w:color w:val="auto"/>
          <w:sz w:val="22"/>
        </w:rPr>
      </w:pPr>
      <w:hyperlink w:anchor="_Toc525026192" w:history="1">
        <w:r w:rsidR="00F97BB9" w:rsidRPr="0093111D">
          <w:rPr>
            <w:rStyle w:val="Hyperlink"/>
            <w:noProof/>
          </w:rPr>
          <w:t>3.4</w:t>
        </w:r>
        <w:r w:rsidR="00F97BB9">
          <w:rPr>
            <w:noProof/>
            <w:color w:val="auto"/>
            <w:sz w:val="22"/>
          </w:rPr>
          <w:tab/>
        </w:r>
        <w:r w:rsidR="00F97BB9" w:rsidRPr="0093111D">
          <w:rPr>
            <w:rStyle w:val="Hyperlink"/>
            <w:noProof/>
          </w:rPr>
          <w:t>Supplies and services</w:t>
        </w:r>
        <w:r w:rsidR="00F97BB9">
          <w:rPr>
            <w:noProof/>
            <w:webHidden/>
          </w:rPr>
          <w:tab/>
        </w:r>
        <w:r w:rsidR="00F97BB9">
          <w:rPr>
            <w:noProof/>
            <w:webHidden/>
          </w:rPr>
          <w:fldChar w:fldCharType="begin"/>
        </w:r>
        <w:r w:rsidR="00F97BB9">
          <w:rPr>
            <w:noProof/>
            <w:webHidden/>
          </w:rPr>
          <w:instrText xml:space="preserve"> PAGEREF _Toc525026192 \h </w:instrText>
        </w:r>
        <w:r w:rsidR="00F97BB9">
          <w:rPr>
            <w:noProof/>
            <w:webHidden/>
          </w:rPr>
        </w:r>
        <w:r w:rsidR="00F97BB9">
          <w:rPr>
            <w:noProof/>
            <w:webHidden/>
          </w:rPr>
          <w:fldChar w:fldCharType="separate"/>
        </w:r>
        <w:r w:rsidR="00BE5F15">
          <w:rPr>
            <w:noProof/>
            <w:webHidden/>
          </w:rPr>
          <w:t>54</w:t>
        </w:r>
        <w:r w:rsidR="00F97BB9">
          <w:rPr>
            <w:noProof/>
            <w:webHidden/>
          </w:rPr>
          <w:fldChar w:fldCharType="end"/>
        </w:r>
      </w:hyperlink>
    </w:p>
    <w:p w:rsidR="00F97BB9" w:rsidRDefault="00EC4CFD">
      <w:pPr>
        <w:pStyle w:val="TOC3"/>
        <w:tabs>
          <w:tab w:val="left" w:pos="1260"/>
        </w:tabs>
        <w:rPr>
          <w:noProof/>
          <w:color w:val="auto"/>
          <w:sz w:val="22"/>
        </w:rPr>
      </w:pPr>
      <w:hyperlink w:anchor="_Toc525026193" w:history="1">
        <w:r w:rsidR="00F97BB9" w:rsidRPr="0093111D">
          <w:rPr>
            <w:rStyle w:val="Hyperlink"/>
            <w:noProof/>
          </w:rPr>
          <w:t>3.5</w:t>
        </w:r>
        <w:r w:rsidR="00F97BB9">
          <w:rPr>
            <w:noProof/>
            <w:color w:val="auto"/>
            <w:sz w:val="22"/>
          </w:rPr>
          <w:tab/>
        </w:r>
        <w:r w:rsidR="00F97BB9" w:rsidRPr="0093111D">
          <w:rPr>
            <w:rStyle w:val="Hyperlink"/>
            <w:noProof/>
          </w:rPr>
          <w:t>Land remediation costs</w:t>
        </w:r>
        <w:r w:rsidR="00F97BB9">
          <w:rPr>
            <w:noProof/>
            <w:webHidden/>
          </w:rPr>
          <w:tab/>
        </w:r>
        <w:r w:rsidR="00F97BB9">
          <w:rPr>
            <w:noProof/>
            <w:webHidden/>
          </w:rPr>
          <w:fldChar w:fldCharType="begin"/>
        </w:r>
        <w:r w:rsidR="00F97BB9">
          <w:rPr>
            <w:noProof/>
            <w:webHidden/>
          </w:rPr>
          <w:instrText xml:space="preserve"> PAGEREF _Toc525026193 \h </w:instrText>
        </w:r>
        <w:r w:rsidR="00F97BB9">
          <w:rPr>
            <w:noProof/>
            <w:webHidden/>
          </w:rPr>
        </w:r>
        <w:r w:rsidR="00F97BB9">
          <w:rPr>
            <w:noProof/>
            <w:webHidden/>
          </w:rPr>
          <w:fldChar w:fldCharType="separate"/>
        </w:r>
        <w:r w:rsidR="00BE5F15">
          <w:rPr>
            <w:noProof/>
            <w:webHidden/>
          </w:rPr>
          <w:t>54</w:t>
        </w:r>
        <w:r w:rsidR="00F97BB9">
          <w:rPr>
            <w:noProof/>
            <w:webHidden/>
          </w:rPr>
          <w:fldChar w:fldCharType="end"/>
        </w:r>
      </w:hyperlink>
    </w:p>
    <w:p w:rsidR="00F97BB9" w:rsidRDefault="00EC4CFD">
      <w:pPr>
        <w:pStyle w:val="TOC1"/>
        <w:rPr>
          <w:rFonts w:eastAsiaTheme="minorEastAsia" w:cstheme="minorBidi"/>
          <w:b w:val="0"/>
          <w:color w:val="auto"/>
          <w:sz w:val="22"/>
          <w:szCs w:val="22"/>
        </w:rPr>
      </w:pPr>
      <w:hyperlink w:anchor="_Toc525026194" w:history="1">
        <w:r w:rsidR="00F97BB9" w:rsidRPr="0093111D">
          <w:rPr>
            <w:rStyle w:val="Hyperlink"/>
          </w:rPr>
          <w:t>4</w:t>
        </w:r>
        <w:r w:rsidR="00F97BB9">
          <w:rPr>
            <w:rFonts w:eastAsiaTheme="minorEastAsia" w:cstheme="minorBidi"/>
            <w:b w:val="0"/>
            <w:color w:val="auto"/>
            <w:sz w:val="22"/>
            <w:szCs w:val="22"/>
          </w:rPr>
          <w:tab/>
        </w:r>
        <w:r w:rsidR="00F97BB9" w:rsidRPr="0093111D">
          <w:rPr>
            <w:rStyle w:val="Hyperlink"/>
          </w:rPr>
          <w:t>Disaggregated financial information by output</w:t>
        </w:r>
        <w:r w:rsidR="00F97BB9">
          <w:rPr>
            <w:webHidden/>
          </w:rPr>
          <w:tab/>
        </w:r>
        <w:r w:rsidR="00F97BB9">
          <w:rPr>
            <w:webHidden/>
          </w:rPr>
          <w:fldChar w:fldCharType="begin"/>
        </w:r>
        <w:r w:rsidR="00F97BB9">
          <w:rPr>
            <w:webHidden/>
          </w:rPr>
          <w:instrText xml:space="preserve"> PAGEREF _Toc525026194 \h </w:instrText>
        </w:r>
        <w:r w:rsidR="00F97BB9">
          <w:rPr>
            <w:webHidden/>
          </w:rPr>
        </w:r>
        <w:r w:rsidR="00F97BB9">
          <w:rPr>
            <w:webHidden/>
          </w:rPr>
          <w:fldChar w:fldCharType="separate"/>
        </w:r>
        <w:r w:rsidR="00BE5F15">
          <w:rPr>
            <w:webHidden/>
          </w:rPr>
          <w:t>55</w:t>
        </w:r>
        <w:r w:rsidR="00F97BB9">
          <w:rPr>
            <w:webHidden/>
          </w:rPr>
          <w:fldChar w:fldCharType="end"/>
        </w:r>
      </w:hyperlink>
    </w:p>
    <w:p w:rsidR="00F97BB9" w:rsidRDefault="00EC4CFD">
      <w:pPr>
        <w:pStyle w:val="TOC3"/>
        <w:tabs>
          <w:tab w:val="left" w:pos="1260"/>
        </w:tabs>
        <w:rPr>
          <w:noProof/>
          <w:color w:val="auto"/>
          <w:sz w:val="22"/>
        </w:rPr>
      </w:pPr>
      <w:hyperlink w:anchor="_Toc525026195" w:history="1">
        <w:r w:rsidR="00F97BB9" w:rsidRPr="0093111D">
          <w:rPr>
            <w:rStyle w:val="Hyperlink"/>
            <w:noProof/>
          </w:rPr>
          <w:t>4.1</w:t>
        </w:r>
        <w:r w:rsidR="00F97BB9">
          <w:rPr>
            <w:noProof/>
            <w:color w:val="auto"/>
            <w:sz w:val="22"/>
          </w:rPr>
          <w:tab/>
        </w:r>
        <w:r w:rsidR="00F97BB9" w:rsidRPr="0093111D">
          <w:rPr>
            <w:rStyle w:val="Hyperlink"/>
            <w:noProof/>
          </w:rPr>
          <w:t>Departmental outputs</w:t>
        </w:r>
        <w:r w:rsidR="00F97BB9">
          <w:rPr>
            <w:noProof/>
            <w:webHidden/>
          </w:rPr>
          <w:tab/>
        </w:r>
        <w:r w:rsidR="00F97BB9">
          <w:rPr>
            <w:noProof/>
            <w:webHidden/>
          </w:rPr>
          <w:fldChar w:fldCharType="begin"/>
        </w:r>
        <w:r w:rsidR="00F97BB9">
          <w:rPr>
            <w:noProof/>
            <w:webHidden/>
          </w:rPr>
          <w:instrText xml:space="preserve"> PAGEREF _Toc525026195 \h </w:instrText>
        </w:r>
        <w:r w:rsidR="00F97BB9">
          <w:rPr>
            <w:noProof/>
            <w:webHidden/>
          </w:rPr>
        </w:r>
        <w:r w:rsidR="00F97BB9">
          <w:rPr>
            <w:noProof/>
            <w:webHidden/>
          </w:rPr>
          <w:fldChar w:fldCharType="separate"/>
        </w:r>
        <w:r w:rsidR="00BE5F15">
          <w:rPr>
            <w:noProof/>
            <w:webHidden/>
          </w:rPr>
          <w:t>55</w:t>
        </w:r>
        <w:r w:rsidR="00F97BB9">
          <w:rPr>
            <w:noProof/>
            <w:webHidden/>
          </w:rPr>
          <w:fldChar w:fldCharType="end"/>
        </w:r>
      </w:hyperlink>
    </w:p>
    <w:p w:rsidR="00F97BB9" w:rsidRDefault="00EC4CFD">
      <w:pPr>
        <w:pStyle w:val="TOC3"/>
        <w:tabs>
          <w:tab w:val="left" w:pos="1260"/>
        </w:tabs>
        <w:rPr>
          <w:noProof/>
          <w:color w:val="auto"/>
          <w:sz w:val="22"/>
        </w:rPr>
      </w:pPr>
      <w:hyperlink w:anchor="_Toc525026196" w:history="1">
        <w:r w:rsidR="00F97BB9" w:rsidRPr="0093111D">
          <w:rPr>
            <w:rStyle w:val="Hyperlink"/>
            <w:noProof/>
          </w:rPr>
          <w:t>4.2</w:t>
        </w:r>
        <w:r w:rsidR="00F97BB9">
          <w:rPr>
            <w:noProof/>
            <w:color w:val="auto"/>
            <w:sz w:val="22"/>
          </w:rPr>
          <w:tab/>
        </w:r>
        <w:r w:rsidR="00F97BB9" w:rsidRPr="0093111D">
          <w:rPr>
            <w:rStyle w:val="Hyperlink"/>
            <w:noProof/>
          </w:rPr>
          <w:t>Administered items</w:t>
        </w:r>
        <w:r w:rsidR="00F97BB9">
          <w:rPr>
            <w:noProof/>
            <w:webHidden/>
          </w:rPr>
          <w:tab/>
        </w:r>
        <w:r w:rsidR="00F97BB9">
          <w:rPr>
            <w:noProof/>
            <w:webHidden/>
          </w:rPr>
          <w:fldChar w:fldCharType="begin"/>
        </w:r>
        <w:r w:rsidR="00F97BB9">
          <w:rPr>
            <w:noProof/>
            <w:webHidden/>
          </w:rPr>
          <w:instrText xml:space="preserve"> PAGEREF _Toc525026196 \h </w:instrText>
        </w:r>
        <w:r w:rsidR="00F97BB9">
          <w:rPr>
            <w:noProof/>
            <w:webHidden/>
          </w:rPr>
        </w:r>
        <w:r w:rsidR="00F97BB9">
          <w:rPr>
            <w:noProof/>
            <w:webHidden/>
          </w:rPr>
          <w:fldChar w:fldCharType="separate"/>
        </w:r>
        <w:r w:rsidR="00BE5F15">
          <w:rPr>
            <w:noProof/>
            <w:webHidden/>
          </w:rPr>
          <w:t>58</w:t>
        </w:r>
        <w:r w:rsidR="00F97BB9">
          <w:rPr>
            <w:noProof/>
            <w:webHidden/>
          </w:rPr>
          <w:fldChar w:fldCharType="end"/>
        </w:r>
      </w:hyperlink>
    </w:p>
    <w:p w:rsidR="00F97BB9" w:rsidRDefault="00EC4CFD">
      <w:pPr>
        <w:pStyle w:val="TOC1"/>
        <w:rPr>
          <w:rFonts w:eastAsiaTheme="minorEastAsia" w:cstheme="minorBidi"/>
          <w:b w:val="0"/>
          <w:color w:val="auto"/>
          <w:sz w:val="22"/>
          <w:szCs w:val="22"/>
        </w:rPr>
      </w:pPr>
      <w:hyperlink w:anchor="_Toc525026197" w:history="1">
        <w:r w:rsidR="00F97BB9" w:rsidRPr="0093111D">
          <w:rPr>
            <w:rStyle w:val="Hyperlink"/>
          </w:rPr>
          <w:t>5</w:t>
        </w:r>
        <w:r w:rsidR="00F97BB9">
          <w:rPr>
            <w:rFonts w:eastAsiaTheme="minorEastAsia" w:cstheme="minorBidi"/>
            <w:b w:val="0"/>
            <w:color w:val="auto"/>
            <w:sz w:val="22"/>
            <w:szCs w:val="22"/>
          </w:rPr>
          <w:tab/>
        </w:r>
        <w:r w:rsidR="00F97BB9" w:rsidRPr="0093111D">
          <w:rPr>
            <w:rStyle w:val="Hyperlink"/>
          </w:rPr>
          <w:t>Key assets available to support output delivery</w:t>
        </w:r>
        <w:r w:rsidR="00F97BB9">
          <w:rPr>
            <w:webHidden/>
          </w:rPr>
          <w:tab/>
        </w:r>
        <w:r w:rsidR="00F97BB9">
          <w:rPr>
            <w:webHidden/>
          </w:rPr>
          <w:fldChar w:fldCharType="begin"/>
        </w:r>
        <w:r w:rsidR="00F97BB9">
          <w:rPr>
            <w:webHidden/>
          </w:rPr>
          <w:instrText xml:space="preserve"> PAGEREF _Toc525026197 \h </w:instrText>
        </w:r>
        <w:r w:rsidR="00F97BB9">
          <w:rPr>
            <w:webHidden/>
          </w:rPr>
        </w:r>
        <w:r w:rsidR="00F97BB9">
          <w:rPr>
            <w:webHidden/>
          </w:rPr>
          <w:fldChar w:fldCharType="separate"/>
        </w:r>
        <w:r w:rsidR="00BE5F15">
          <w:rPr>
            <w:webHidden/>
          </w:rPr>
          <w:t>68</w:t>
        </w:r>
        <w:r w:rsidR="00F97BB9">
          <w:rPr>
            <w:webHidden/>
          </w:rPr>
          <w:fldChar w:fldCharType="end"/>
        </w:r>
      </w:hyperlink>
    </w:p>
    <w:p w:rsidR="00F97BB9" w:rsidRDefault="00EC4CFD">
      <w:pPr>
        <w:pStyle w:val="TOC3"/>
        <w:tabs>
          <w:tab w:val="left" w:pos="1260"/>
        </w:tabs>
        <w:rPr>
          <w:noProof/>
          <w:color w:val="auto"/>
          <w:sz w:val="22"/>
        </w:rPr>
      </w:pPr>
      <w:hyperlink w:anchor="_Toc525026198" w:history="1">
        <w:r w:rsidR="00F97BB9" w:rsidRPr="0093111D">
          <w:rPr>
            <w:rStyle w:val="Hyperlink"/>
            <w:noProof/>
          </w:rPr>
          <w:t>5.1</w:t>
        </w:r>
        <w:r w:rsidR="00F97BB9">
          <w:rPr>
            <w:noProof/>
            <w:color w:val="auto"/>
            <w:sz w:val="22"/>
          </w:rPr>
          <w:tab/>
        </w:r>
        <w:r w:rsidR="00F97BB9" w:rsidRPr="0093111D">
          <w:rPr>
            <w:rStyle w:val="Hyperlink"/>
            <w:noProof/>
          </w:rPr>
          <w:t>Property, plant and equipment</w:t>
        </w:r>
        <w:r w:rsidR="00F97BB9">
          <w:rPr>
            <w:noProof/>
            <w:webHidden/>
          </w:rPr>
          <w:tab/>
        </w:r>
        <w:r w:rsidR="00F97BB9">
          <w:rPr>
            <w:noProof/>
            <w:webHidden/>
          </w:rPr>
          <w:fldChar w:fldCharType="begin"/>
        </w:r>
        <w:r w:rsidR="00F97BB9">
          <w:rPr>
            <w:noProof/>
            <w:webHidden/>
          </w:rPr>
          <w:instrText xml:space="preserve"> PAGEREF _Toc525026198 \h </w:instrText>
        </w:r>
        <w:r w:rsidR="00F97BB9">
          <w:rPr>
            <w:noProof/>
            <w:webHidden/>
          </w:rPr>
        </w:r>
        <w:r w:rsidR="00F97BB9">
          <w:rPr>
            <w:noProof/>
            <w:webHidden/>
          </w:rPr>
          <w:fldChar w:fldCharType="separate"/>
        </w:r>
        <w:r w:rsidR="00BE5F15">
          <w:rPr>
            <w:noProof/>
            <w:webHidden/>
          </w:rPr>
          <w:t>68</w:t>
        </w:r>
        <w:r w:rsidR="00F97BB9">
          <w:rPr>
            <w:noProof/>
            <w:webHidden/>
          </w:rPr>
          <w:fldChar w:fldCharType="end"/>
        </w:r>
      </w:hyperlink>
    </w:p>
    <w:p w:rsidR="00F97BB9" w:rsidRDefault="00EC4CFD">
      <w:pPr>
        <w:pStyle w:val="TOC3"/>
        <w:tabs>
          <w:tab w:val="left" w:pos="1260"/>
        </w:tabs>
        <w:rPr>
          <w:noProof/>
          <w:color w:val="auto"/>
          <w:sz w:val="22"/>
        </w:rPr>
      </w:pPr>
      <w:hyperlink w:anchor="_Toc525026199" w:history="1">
        <w:r w:rsidR="00F97BB9" w:rsidRPr="0093111D">
          <w:rPr>
            <w:rStyle w:val="Hyperlink"/>
            <w:noProof/>
          </w:rPr>
          <w:t>5.2</w:t>
        </w:r>
        <w:r w:rsidR="00F97BB9">
          <w:rPr>
            <w:noProof/>
            <w:color w:val="auto"/>
            <w:sz w:val="22"/>
          </w:rPr>
          <w:tab/>
        </w:r>
        <w:r w:rsidR="00F97BB9" w:rsidRPr="0093111D">
          <w:rPr>
            <w:rStyle w:val="Hyperlink"/>
            <w:noProof/>
          </w:rPr>
          <w:t>Intangible assets</w:t>
        </w:r>
        <w:r w:rsidR="00F97BB9">
          <w:rPr>
            <w:noProof/>
            <w:webHidden/>
          </w:rPr>
          <w:tab/>
        </w:r>
        <w:r w:rsidR="00F97BB9">
          <w:rPr>
            <w:noProof/>
            <w:webHidden/>
          </w:rPr>
          <w:fldChar w:fldCharType="begin"/>
        </w:r>
        <w:r w:rsidR="00F97BB9">
          <w:rPr>
            <w:noProof/>
            <w:webHidden/>
          </w:rPr>
          <w:instrText xml:space="preserve"> PAGEREF _Toc525026199 \h </w:instrText>
        </w:r>
        <w:r w:rsidR="00F97BB9">
          <w:rPr>
            <w:noProof/>
            <w:webHidden/>
          </w:rPr>
        </w:r>
        <w:r w:rsidR="00F97BB9">
          <w:rPr>
            <w:noProof/>
            <w:webHidden/>
          </w:rPr>
          <w:fldChar w:fldCharType="separate"/>
        </w:r>
        <w:r w:rsidR="00BE5F15">
          <w:rPr>
            <w:noProof/>
            <w:webHidden/>
          </w:rPr>
          <w:t>72</w:t>
        </w:r>
        <w:r w:rsidR="00F97BB9">
          <w:rPr>
            <w:noProof/>
            <w:webHidden/>
          </w:rPr>
          <w:fldChar w:fldCharType="end"/>
        </w:r>
      </w:hyperlink>
    </w:p>
    <w:p w:rsidR="00F97BB9" w:rsidRDefault="00EC4CFD">
      <w:pPr>
        <w:pStyle w:val="TOC1"/>
        <w:rPr>
          <w:rFonts w:eastAsiaTheme="minorEastAsia" w:cstheme="minorBidi"/>
          <w:b w:val="0"/>
          <w:color w:val="auto"/>
          <w:sz w:val="22"/>
          <w:szCs w:val="22"/>
        </w:rPr>
      </w:pPr>
      <w:hyperlink w:anchor="_Toc525026200" w:history="1">
        <w:r w:rsidR="00F97BB9" w:rsidRPr="0093111D">
          <w:rPr>
            <w:rStyle w:val="Hyperlink"/>
          </w:rPr>
          <w:t>6</w:t>
        </w:r>
        <w:r w:rsidR="00F97BB9">
          <w:rPr>
            <w:rFonts w:eastAsiaTheme="minorEastAsia" w:cstheme="minorBidi"/>
            <w:b w:val="0"/>
            <w:color w:val="auto"/>
            <w:sz w:val="22"/>
            <w:szCs w:val="22"/>
          </w:rPr>
          <w:tab/>
        </w:r>
        <w:r w:rsidR="00F97BB9" w:rsidRPr="0093111D">
          <w:rPr>
            <w:rStyle w:val="Hyperlink"/>
          </w:rPr>
          <w:t>Other assets and liabilities</w:t>
        </w:r>
        <w:r w:rsidR="00F97BB9">
          <w:rPr>
            <w:webHidden/>
          </w:rPr>
          <w:tab/>
        </w:r>
        <w:r w:rsidR="00F97BB9">
          <w:rPr>
            <w:webHidden/>
          </w:rPr>
          <w:fldChar w:fldCharType="begin"/>
        </w:r>
        <w:r w:rsidR="00F97BB9">
          <w:rPr>
            <w:webHidden/>
          </w:rPr>
          <w:instrText xml:space="preserve"> PAGEREF _Toc525026200 \h </w:instrText>
        </w:r>
        <w:r w:rsidR="00F97BB9">
          <w:rPr>
            <w:webHidden/>
          </w:rPr>
        </w:r>
        <w:r w:rsidR="00F97BB9">
          <w:rPr>
            <w:webHidden/>
          </w:rPr>
          <w:fldChar w:fldCharType="separate"/>
        </w:r>
        <w:r w:rsidR="00BE5F15">
          <w:rPr>
            <w:webHidden/>
          </w:rPr>
          <w:t>74</w:t>
        </w:r>
        <w:r w:rsidR="00F97BB9">
          <w:rPr>
            <w:webHidden/>
          </w:rPr>
          <w:fldChar w:fldCharType="end"/>
        </w:r>
      </w:hyperlink>
    </w:p>
    <w:p w:rsidR="00F97BB9" w:rsidRDefault="00EC4CFD">
      <w:pPr>
        <w:pStyle w:val="TOC3"/>
        <w:tabs>
          <w:tab w:val="left" w:pos="1260"/>
        </w:tabs>
        <w:rPr>
          <w:noProof/>
          <w:color w:val="auto"/>
          <w:sz w:val="22"/>
        </w:rPr>
      </w:pPr>
      <w:hyperlink w:anchor="_Toc525026201" w:history="1">
        <w:r w:rsidR="00F97BB9" w:rsidRPr="0093111D">
          <w:rPr>
            <w:rStyle w:val="Hyperlink"/>
            <w:noProof/>
          </w:rPr>
          <w:t>6.1</w:t>
        </w:r>
        <w:r w:rsidR="00F97BB9">
          <w:rPr>
            <w:noProof/>
            <w:color w:val="auto"/>
            <w:sz w:val="22"/>
          </w:rPr>
          <w:tab/>
        </w:r>
        <w:r w:rsidR="00F97BB9" w:rsidRPr="0093111D">
          <w:rPr>
            <w:rStyle w:val="Hyperlink"/>
            <w:noProof/>
          </w:rPr>
          <w:t>Receivables</w:t>
        </w:r>
        <w:r w:rsidR="00F97BB9">
          <w:rPr>
            <w:noProof/>
            <w:webHidden/>
          </w:rPr>
          <w:tab/>
        </w:r>
        <w:r w:rsidR="00F97BB9">
          <w:rPr>
            <w:noProof/>
            <w:webHidden/>
          </w:rPr>
          <w:fldChar w:fldCharType="begin"/>
        </w:r>
        <w:r w:rsidR="00F97BB9">
          <w:rPr>
            <w:noProof/>
            <w:webHidden/>
          </w:rPr>
          <w:instrText xml:space="preserve"> PAGEREF _Toc525026201 \h </w:instrText>
        </w:r>
        <w:r w:rsidR="00F97BB9">
          <w:rPr>
            <w:noProof/>
            <w:webHidden/>
          </w:rPr>
        </w:r>
        <w:r w:rsidR="00F97BB9">
          <w:rPr>
            <w:noProof/>
            <w:webHidden/>
          </w:rPr>
          <w:fldChar w:fldCharType="separate"/>
        </w:r>
        <w:r w:rsidR="00BE5F15">
          <w:rPr>
            <w:noProof/>
            <w:webHidden/>
          </w:rPr>
          <w:t>74</w:t>
        </w:r>
        <w:r w:rsidR="00F97BB9">
          <w:rPr>
            <w:noProof/>
            <w:webHidden/>
          </w:rPr>
          <w:fldChar w:fldCharType="end"/>
        </w:r>
      </w:hyperlink>
    </w:p>
    <w:p w:rsidR="00F97BB9" w:rsidRDefault="00EC4CFD">
      <w:pPr>
        <w:pStyle w:val="TOC3"/>
        <w:tabs>
          <w:tab w:val="left" w:pos="1260"/>
        </w:tabs>
        <w:rPr>
          <w:noProof/>
          <w:color w:val="auto"/>
          <w:sz w:val="22"/>
        </w:rPr>
      </w:pPr>
      <w:hyperlink w:anchor="_Toc525026202" w:history="1">
        <w:r w:rsidR="00F97BB9" w:rsidRPr="0093111D">
          <w:rPr>
            <w:rStyle w:val="Hyperlink"/>
            <w:noProof/>
          </w:rPr>
          <w:t>6.2</w:t>
        </w:r>
        <w:r w:rsidR="00F97BB9">
          <w:rPr>
            <w:noProof/>
            <w:color w:val="auto"/>
            <w:sz w:val="22"/>
          </w:rPr>
          <w:tab/>
        </w:r>
        <w:r w:rsidR="00F97BB9" w:rsidRPr="0093111D">
          <w:rPr>
            <w:rStyle w:val="Hyperlink"/>
            <w:noProof/>
          </w:rPr>
          <w:t>Payables</w:t>
        </w:r>
        <w:r w:rsidR="00F97BB9">
          <w:rPr>
            <w:noProof/>
            <w:webHidden/>
          </w:rPr>
          <w:tab/>
        </w:r>
        <w:r w:rsidR="00F97BB9">
          <w:rPr>
            <w:noProof/>
            <w:webHidden/>
          </w:rPr>
          <w:fldChar w:fldCharType="begin"/>
        </w:r>
        <w:r w:rsidR="00F97BB9">
          <w:rPr>
            <w:noProof/>
            <w:webHidden/>
          </w:rPr>
          <w:instrText xml:space="preserve"> PAGEREF _Toc525026202 \h </w:instrText>
        </w:r>
        <w:r w:rsidR="00F97BB9">
          <w:rPr>
            <w:noProof/>
            <w:webHidden/>
          </w:rPr>
        </w:r>
        <w:r w:rsidR="00F97BB9">
          <w:rPr>
            <w:noProof/>
            <w:webHidden/>
          </w:rPr>
          <w:fldChar w:fldCharType="separate"/>
        </w:r>
        <w:r w:rsidR="00BE5F15">
          <w:rPr>
            <w:noProof/>
            <w:webHidden/>
          </w:rPr>
          <w:t>75</w:t>
        </w:r>
        <w:r w:rsidR="00F97BB9">
          <w:rPr>
            <w:noProof/>
            <w:webHidden/>
          </w:rPr>
          <w:fldChar w:fldCharType="end"/>
        </w:r>
      </w:hyperlink>
    </w:p>
    <w:p w:rsidR="00F97BB9" w:rsidRDefault="00EC4CFD">
      <w:pPr>
        <w:pStyle w:val="TOC3"/>
        <w:tabs>
          <w:tab w:val="left" w:pos="1260"/>
        </w:tabs>
        <w:rPr>
          <w:noProof/>
          <w:color w:val="auto"/>
          <w:sz w:val="22"/>
        </w:rPr>
      </w:pPr>
      <w:hyperlink w:anchor="_Toc525026203" w:history="1">
        <w:r w:rsidR="00F97BB9" w:rsidRPr="0093111D">
          <w:rPr>
            <w:rStyle w:val="Hyperlink"/>
            <w:noProof/>
          </w:rPr>
          <w:t>6.3</w:t>
        </w:r>
        <w:r w:rsidR="00F97BB9">
          <w:rPr>
            <w:noProof/>
            <w:color w:val="auto"/>
            <w:sz w:val="22"/>
          </w:rPr>
          <w:tab/>
        </w:r>
        <w:r w:rsidR="00F97BB9" w:rsidRPr="0093111D">
          <w:rPr>
            <w:rStyle w:val="Hyperlink"/>
            <w:noProof/>
          </w:rPr>
          <w:t>Non</w:t>
        </w:r>
        <w:r w:rsidR="00F97BB9" w:rsidRPr="0093111D">
          <w:rPr>
            <w:rStyle w:val="Hyperlink"/>
            <w:noProof/>
          </w:rPr>
          <w:noBreakHyphen/>
          <w:t>financial assets classified as held for sale</w:t>
        </w:r>
        <w:r w:rsidR="00F97BB9">
          <w:rPr>
            <w:noProof/>
            <w:webHidden/>
          </w:rPr>
          <w:tab/>
        </w:r>
        <w:r w:rsidR="00F97BB9">
          <w:rPr>
            <w:noProof/>
            <w:webHidden/>
          </w:rPr>
          <w:fldChar w:fldCharType="begin"/>
        </w:r>
        <w:r w:rsidR="00F97BB9">
          <w:rPr>
            <w:noProof/>
            <w:webHidden/>
          </w:rPr>
          <w:instrText xml:space="preserve"> PAGEREF _Toc525026203 \h </w:instrText>
        </w:r>
        <w:r w:rsidR="00F97BB9">
          <w:rPr>
            <w:noProof/>
            <w:webHidden/>
          </w:rPr>
        </w:r>
        <w:r w:rsidR="00F97BB9">
          <w:rPr>
            <w:noProof/>
            <w:webHidden/>
          </w:rPr>
          <w:fldChar w:fldCharType="separate"/>
        </w:r>
        <w:r w:rsidR="00BE5F15">
          <w:rPr>
            <w:noProof/>
            <w:webHidden/>
          </w:rPr>
          <w:t>76</w:t>
        </w:r>
        <w:r w:rsidR="00F97BB9">
          <w:rPr>
            <w:noProof/>
            <w:webHidden/>
          </w:rPr>
          <w:fldChar w:fldCharType="end"/>
        </w:r>
      </w:hyperlink>
    </w:p>
    <w:p w:rsidR="00F97BB9" w:rsidRDefault="00EC4CFD">
      <w:pPr>
        <w:pStyle w:val="TOC3"/>
        <w:tabs>
          <w:tab w:val="left" w:pos="1260"/>
        </w:tabs>
        <w:rPr>
          <w:noProof/>
          <w:color w:val="auto"/>
          <w:sz w:val="22"/>
        </w:rPr>
      </w:pPr>
      <w:hyperlink w:anchor="_Toc525026204" w:history="1">
        <w:r w:rsidR="00F97BB9" w:rsidRPr="0093111D">
          <w:rPr>
            <w:rStyle w:val="Hyperlink"/>
            <w:noProof/>
          </w:rPr>
          <w:t>6.4</w:t>
        </w:r>
        <w:r w:rsidR="00F97BB9">
          <w:rPr>
            <w:noProof/>
            <w:color w:val="auto"/>
            <w:sz w:val="22"/>
          </w:rPr>
          <w:tab/>
        </w:r>
        <w:r w:rsidR="00F97BB9" w:rsidRPr="0093111D">
          <w:rPr>
            <w:rStyle w:val="Hyperlink"/>
            <w:noProof/>
          </w:rPr>
          <w:t>Unearned income</w:t>
        </w:r>
        <w:r w:rsidR="00F97BB9">
          <w:rPr>
            <w:noProof/>
            <w:webHidden/>
          </w:rPr>
          <w:tab/>
        </w:r>
        <w:r w:rsidR="00F97BB9">
          <w:rPr>
            <w:noProof/>
            <w:webHidden/>
          </w:rPr>
          <w:fldChar w:fldCharType="begin"/>
        </w:r>
        <w:r w:rsidR="00F97BB9">
          <w:rPr>
            <w:noProof/>
            <w:webHidden/>
          </w:rPr>
          <w:instrText xml:space="preserve"> PAGEREF _Toc525026204 \h </w:instrText>
        </w:r>
        <w:r w:rsidR="00F97BB9">
          <w:rPr>
            <w:noProof/>
            <w:webHidden/>
          </w:rPr>
        </w:r>
        <w:r w:rsidR="00F97BB9">
          <w:rPr>
            <w:noProof/>
            <w:webHidden/>
          </w:rPr>
          <w:fldChar w:fldCharType="separate"/>
        </w:r>
        <w:r w:rsidR="00BE5F15">
          <w:rPr>
            <w:noProof/>
            <w:webHidden/>
          </w:rPr>
          <w:t>76</w:t>
        </w:r>
        <w:r w:rsidR="00F97BB9">
          <w:rPr>
            <w:noProof/>
            <w:webHidden/>
          </w:rPr>
          <w:fldChar w:fldCharType="end"/>
        </w:r>
      </w:hyperlink>
    </w:p>
    <w:p w:rsidR="00F97BB9" w:rsidRDefault="00EC4CFD">
      <w:pPr>
        <w:pStyle w:val="TOC1"/>
        <w:rPr>
          <w:rFonts w:eastAsiaTheme="minorEastAsia" w:cstheme="minorBidi"/>
          <w:b w:val="0"/>
          <w:color w:val="auto"/>
          <w:sz w:val="22"/>
          <w:szCs w:val="22"/>
        </w:rPr>
      </w:pPr>
      <w:hyperlink w:anchor="_Toc525026205" w:history="1">
        <w:r w:rsidR="00F97BB9" w:rsidRPr="0093111D">
          <w:rPr>
            <w:rStyle w:val="Hyperlink"/>
          </w:rPr>
          <w:t>7</w:t>
        </w:r>
        <w:r w:rsidR="00F97BB9">
          <w:rPr>
            <w:rFonts w:eastAsiaTheme="minorEastAsia" w:cstheme="minorBidi"/>
            <w:b w:val="0"/>
            <w:color w:val="auto"/>
            <w:sz w:val="22"/>
            <w:szCs w:val="22"/>
          </w:rPr>
          <w:tab/>
        </w:r>
        <w:r w:rsidR="00F97BB9" w:rsidRPr="0093111D">
          <w:rPr>
            <w:rStyle w:val="Hyperlink"/>
          </w:rPr>
          <w:t>Financing our operations</w:t>
        </w:r>
        <w:r w:rsidR="00F97BB9">
          <w:rPr>
            <w:webHidden/>
          </w:rPr>
          <w:tab/>
        </w:r>
        <w:r w:rsidR="00F97BB9">
          <w:rPr>
            <w:webHidden/>
          </w:rPr>
          <w:fldChar w:fldCharType="begin"/>
        </w:r>
        <w:r w:rsidR="00F97BB9">
          <w:rPr>
            <w:webHidden/>
          </w:rPr>
          <w:instrText xml:space="preserve"> PAGEREF _Toc525026205 \h </w:instrText>
        </w:r>
        <w:r w:rsidR="00F97BB9">
          <w:rPr>
            <w:webHidden/>
          </w:rPr>
        </w:r>
        <w:r w:rsidR="00F97BB9">
          <w:rPr>
            <w:webHidden/>
          </w:rPr>
          <w:fldChar w:fldCharType="separate"/>
        </w:r>
        <w:r w:rsidR="00BE5F15">
          <w:rPr>
            <w:webHidden/>
          </w:rPr>
          <w:t>77</w:t>
        </w:r>
        <w:r w:rsidR="00F97BB9">
          <w:rPr>
            <w:webHidden/>
          </w:rPr>
          <w:fldChar w:fldCharType="end"/>
        </w:r>
      </w:hyperlink>
    </w:p>
    <w:p w:rsidR="00F97BB9" w:rsidRDefault="00EC4CFD">
      <w:pPr>
        <w:pStyle w:val="TOC3"/>
        <w:tabs>
          <w:tab w:val="left" w:pos="1260"/>
        </w:tabs>
        <w:rPr>
          <w:noProof/>
          <w:color w:val="auto"/>
          <w:sz w:val="22"/>
        </w:rPr>
      </w:pPr>
      <w:hyperlink w:anchor="_Toc525026206" w:history="1">
        <w:r w:rsidR="00F97BB9" w:rsidRPr="0093111D">
          <w:rPr>
            <w:rStyle w:val="Hyperlink"/>
            <w:noProof/>
          </w:rPr>
          <w:t>7.1</w:t>
        </w:r>
        <w:r w:rsidR="00F97BB9">
          <w:rPr>
            <w:noProof/>
            <w:color w:val="auto"/>
            <w:sz w:val="22"/>
          </w:rPr>
          <w:tab/>
        </w:r>
        <w:r w:rsidR="00F97BB9" w:rsidRPr="0093111D">
          <w:rPr>
            <w:rStyle w:val="Hyperlink"/>
            <w:noProof/>
          </w:rPr>
          <w:t>Borrowings</w:t>
        </w:r>
        <w:r w:rsidR="00F97BB9">
          <w:rPr>
            <w:noProof/>
            <w:webHidden/>
          </w:rPr>
          <w:tab/>
        </w:r>
        <w:r w:rsidR="00F97BB9">
          <w:rPr>
            <w:noProof/>
            <w:webHidden/>
          </w:rPr>
          <w:fldChar w:fldCharType="begin"/>
        </w:r>
        <w:r w:rsidR="00F97BB9">
          <w:rPr>
            <w:noProof/>
            <w:webHidden/>
          </w:rPr>
          <w:instrText xml:space="preserve"> PAGEREF _Toc525026206 \h </w:instrText>
        </w:r>
        <w:r w:rsidR="00F97BB9">
          <w:rPr>
            <w:noProof/>
            <w:webHidden/>
          </w:rPr>
        </w:r>
        <w:r w:rsidR="00F97BB9">
          <w:rPr>
            <w:noProof/>
            <w:webHidden/>
          </w:rPr>
          <w:fldChar w:fldCharType="separate"/>
        </w:r>
        <w:r w:rsidR="00BE5F15">
          <w:rPr>
            <w:noProof/>
            <w:webHidden/>
          </w:rPr>
          <w:t>77</w:t>
        </w:r>
        <w:r w:rsidR="00F97BB9">
          <w:rPr>
            <w:noProof/>
            <w:webHidden/>
          </w:rPr>
          <w:fldChar w:fldCharType="end"/>
        </w:r>
      </w:hyperlink>
    </w:p>
    <w:p w:rsidR="00F97BB9" w:rsidRDefault="00EC4CFD">
      <w:pPr>
        <w:pStyle w:val="TOC3"/>
        <w:tabs>
          <w:tab w:val="left" w:pos="1260"/>
        </w:tabs>
        <w:rPr>
          <w:noProof/>
          <w:color w:val="auto"/>
          <w:sz w:val="22"/>
        </w:rPr>
      </w:pPr>
      <w:hyperlink w:anchor="_Toc525026207" w:history="1">
        <w:r w:rsidR="00F97BB9" w:rsidRPr="0093111D">
          <w:rPr>
            <w:rStyle w:val="Hyperlink"/>
            <w:noProof/>
          </w:rPr>
          <w:t>7.2</w:t>
        </w:r>
        <w:r w:rsidR="00F97BB9">
          <w:rPr>
            <w:noProof/>
            <w:color w:val="auto"/>
            <w:sz w:val="22"/>
          </w:rPr>
          <w:tab/>
        </w:r>
        <w:r w:rsidR="00F97BB9" w:rsidRPr="0093111D">
          <w:rPr>
            <w:rStyle w:val="Hyperlink"/>
            <w:noProof/>
          </w:rPr>
          <w:t>Cash flow information and balances</w:t>
        </w:r>
        <w:r w:rsidR="00F97BB9">
          <w:rPr>
            <w:noProof/>
            <w:webHidden/>
          </w:rPr>
          <w:tab/>
        </w:r>
        <w:r w:rsidR="00F97BB9">
          <w:rPr>
            <w:noProof/>
            <w:webHidden/>
          </w:rPr>
          <w:fldChar w:fldCharType="begin"/>
        </w:r>
        <w:r w:rsidR="00F97BB9">
          <w:rPr>
            <w:noProof/>
            <w:webHidden/>
          </w:rPr>
          <w:instrText xml:space="preserve"> PAGEREF _Toc525026207 \h </w:instrText>
        </w:r>
        <w:r w:rsidR="00F97BB9">
          <w:rPr>
            <w:noProof/>
            <w:webHidden/>
          </w:rPr>
        </w:r>
        <w:r w:rsidR="00F97BB9">
          <w:rPr>
            <w:noProof/>
            <w:webHidden/>
          </w:rPr>
          <w:fldChar w:fldCharType="separate"/>
        </w:r>
        <w:r w:rsidR="00BE5F15">
          <w:rPr>
            <w:noProof/>
            <w:webHidden/>
          </w:rPr>
          <w:t>78</w:t>
        </w:r>
        <w:r w:rsidR="00F97BB9">
          <w:rPr>
            <w:noProof/>
            <w:webHidden/>
          </w:rPr>
          <w:fldChar w:fldCharType="end"/>
        </w:r>
      </w:hyperlink>
    </w:p>
    <w:p w:rsidR="00F97BB9" w:rsidRDefault="00EC4CFD">
      <w:pPr>
        <w:pStyle w:val="TOC3"/>
        <w:tabs>
          <w:tab w:val="left" w:pos="1260"/>
        </w:tabs>
        <w:rPr>
          <w:noProof/>
          <w:color w:val="auto"/>
          <w:sz w:val="22"/>
        </w:rPr>
      </w:pPr>
      <w:hyperlink w:anchor="_Toc525026208" w:history="1">
        <w:r w:rsidR="00F97BB9" w:rsidRPr="0093111D">
          <w:rPr>
            <w:rStyle w:val="Hyperlink"/>
            <w:noProof/>
          </w:rPr>
          <w:t>7.3</w:t>
        </w:r>
        <w:r w:rsidR="00F97BB9">
          <w:rPr>
            <w:noProof/>
            <w:color w:val="auto"/>
            <w:sz w:val="22"/>
          </w:rPr>
          <w:tab/>
        </w:r>
        <w:r w:rsidR="00F97BB9" w:rsidRPr="0093111D">
          <w:rPr>
            <w:rStyle w:val="Hyperlink"/>
            <w:noProof/>
          </w:rPr>
          <w:t>Trust account balances</w:t>
        </w:r>
        <w:r w:rsidR="00F97BB9">
          <w:rPr>
            <w:noProof/>
            <w:webHidden/>
          </w:rPr>
          <w:tab/>
        </w:r>
        <w:r w:rsidR="00F97BB9">
          <w:rPr>
            <w:noProof/>
            <w:webHidden/>
          </w:rPr>
          <w:fldChar w:fldCharType="begin"/>
        </w:r>
        <w:r w:rsidR="00F97BB9">
          <w:rPr>
            <w:noProof/>
            <w:webHidden/>
          </w:rPr>
          <w:instrText xml:space="preserve"> PAGEREF _Toc525026208 \h </w:instrText>
        </w:r>
        <w:r w:rsidR="00F97BB9">
          <w:rPr>
            <w:noProof/>
            <w:webHidden/>
          </w:rPr>
        </w:r>
        <w:r w:rsidR="00F97BB9">
          <w:rPr>
            <w:noProof/>
            <w:webHidden/>
          </w:rPr>
          <w:fldChar w:fldCharType="separate"/>
        </w:r>
        <w:r w:rsidR="00BE5F15">
          <w:rPr>
            <w:noProof/>
            <w:webHidden/>
          </w:rPr>
          <w:t>80</w:t>
        </w:r>
        <w:r w:rsidR="00F97BB9">
          <w:rPr>
            <w:noProof/>
            <w:webHidden/>
          </w:rPr>
          <w:fldChar w:fldCharType="end"/>
        </w:r>
      </w:hyperlink>
    </w:p>
    <w:p w:rsidR="00F97BB9" w:rsidRDefault="00EC4CFD">
      <w:pPr>
        <w:pStyle w:val="TOC3"/>
        <w:tabs>
          <w:tab w:val="left" w:pos="1260"/>
        </w:tabs>
        <w:rPr>
          <w:noProof/>
          <w:color w:val="auto"/>
          <w:sz w:val="22"/>
        </w:rPr>
      </w:pPr>
      <w:hyperlink w:anchor="_Toc525026209" w:history="1">
        <w:r w:rsidR="00F97BB9" w:rsidRPr="0093111D">
          <w:rPr>
            <w:rStyle w:val="Hyperlink"/>
            <w:noProof/>
          </w:rPr>
          <w:t>7.4</w:t>
        </w:r>
        <w:r w:rsidR="00F97BB9">
          <w:rPr>
            <w:noProof/>
            <w:color w:val="auto"/>
            <w:sz w:val="22"/>
          </w:rPr>
          <w:tab/>
        </w:r>
        <w:r w:rsidR="00F97BB9" w:rsidRPr="0093111D">
          <w:rPr>
            <w:rStyle w:val="Hyperlink"/>
            <w:noProof/>
          </w:rPr>
          <w:t>Commitments for expenditure</w:t>
        </w:r>
        <w:r w:rsidR="00F97BB9">
          <w:rPr>
            <w:noProof/>
            <w:webHidden/>
          </w:rPr>
          <w:tab/>
        </w:r>
        <w:r w:rsidR="00F97BB9">
          <w:rPr>
            <w:noProof/>
            <w:webHidden/>
          </w:rPr>
          <w:fldChar w:fldCharType="begin"/>
        </w:r>
        <w:r w:rsidR="00F97BB9">
          <w:rPr>
            <w:noProof/>
            <w:webHidden/>
          </w:rPr>
          <w:instrText xml:space="preserve"> PAGEREF _Toc525026209 \h </w:instrText>
        </w:r>
        <w:r w:rsidR="00F97BB9">
          <w:rPr>
            <w:noProof/>
            <w:webHidden/>
          </w:rPr>
        </w:r>
        <w:r w:rsidR="00F97BB9">
          <w:rPr>
            <w:noProof/>
            <w:webHidden/>
          </w:rPr>
          <w:fldChar w:fldCharType="separate"/>
        </w:r>
        <w:r w:rsidR="00BE5F15">
          <w:rPr>
            <w:noProof/>
            <w:webHidden/>
          </w:rPr>
          <w:t>84</w:t>
        </w:r>
        <w:r w:rsidR="00F97BB9">
          <w:rPr>
            <w:noProof/>
            <w:webHidden/>
          </w:rPr>
          <w:fldChar w:fldCharType="end"/>
        </w:r>
      </w:hyperlink>
    </w:p>
    <w:p w:rsidR="00F97BB9" w:rsidRDefault="00EC4CFD">
      <w:pPr>
        <w:pStyle w:val="TOC1"/>
        <w:rPr>
          <w:rFonts w:eastAsiaTheme="minorEastAsia" w:cstheme="minorBidi"/>
          <w:b w:val="0"/>
          <w:color w:val="auto"/>
          <w:sz w:val="22"/>
          <w:szCs w:val="22"/>
        </w:rPr>
      </w:pPr>
      <w:hyperlink w:anchor="_Toc525026210" w:history="1">
        <w:r w:rsidR="00F97BB9" w:rsidRPr="0093111D">
          <w:rPr>
            <w:rStyle w:val="Hyperlink"/>
          </w:rPr>
          <w:t>8</w:t>
        </w:r>
        <w:r w:rsidR="00F97BB9">
          <w:rPr>
            <w:rFonts w:eastAsiaTheme="minorEastAsia" w:cstheme="minorBidi"/>
            <w:b w:val="0"/>
            <w:color w:val="auto"/>
            <w:sz w:val="22"/>
            <w:szCs w:val="22"/>
          </w:rPr>
          <w:tab/>
        </w:r>
        <w:r w:rsidR="00F97BB9" w:rsidRPr="0093111D">
          <w:rPr>
            <w:rStyle w:val="Hyperlink"/>
          </w:rPr>
          <w:t>Risks, contingencies and valuation judgements</w:t>
        </w:r>
        <w:r w:rsidR="00F97BB9">
          <w:rPr>
            <w:webHidden/>
          </w:rPr>
          <w:tab/>
        </w:r>
        <w:r w:rsidR="00F97BB9">
          <w:rPr>
            <w:webHidden/>
          </w:rPr>
          <w:fldChar w:fldCharType="begin"/>
        </w:r>
        <w:r w:rsidR="00F97BB9">
          <w:rPr>
            <w:webHidden/>
          </w:rPr>
          <w:instrText xml:space="preserve"> PAGEREF _Toc525026210 \h </w:instrText>
        </w:r>
        <w:r w:rsidR="00F97BB9">
          <w:rPr>
            <w:webHidden/>
          </w:rPr>
        </w:r>
        <w:r w:rsidR="00F97BB9">
          <w:rPr>
            <w:webHidden/>
          </w:rPr>
          <w:fldChar w:fldCharType="separate"/>
        </w:r>
        <w:r w:rsidR="00BE5F15">
          <w:rPr>
            <w:webHidden/>
          </w:rPr>
          <w:t>85</w:t>
        </w:r>
        <w:r w:rsidR="00F97BB9">
          <w:rPr>
            <w:webHidden/>
          </w:rPr>
          <w:fldChar w:fldCharType="end"/>
        </w:r>
      </w:hyperlink>
    </w:p>
    <w:p w:rsidR="00F97BB9" w:rsidRDefault="00EC4CFD">
      <w:pPr>
        <w:pStyle w:val="TOC3"/>
        <w:tabs>
          <w:tab w:val="left" w:pos="1260"/>
        </w:tabs>
        <w:rPr>
          <w:noProof/>
          <w:color w:val="auto"/>
          <w:sz w:val="22"/>
        </w:rPr>
      </w:pPr>
      <w:hyperlink w:anchor="_Toc525026211" w:history="1">
        <w:r w:rsidR="00F97BB9" w:rsidRPr="0093111D">
          <w:rPr>
            <w:rStyle w:val="Hyperlink"/>
            <w:noProof/>
          </w:rPr>
          <w:t>8.1</w:t>
        </w:r>
        <w:r w:rsidR="00F97BB9">
          <w:rPr>
            <w:noProof/>
            <w:color w:val="auto"/>
            <w:sz w:val="22"/>
          </w:rPr>
          <w:tab/>
        </w:r>
        <w:r w:rsidR="00F97BB9" w:rsidRPr="0093111D">
          <w:rPr>
            <w:rStyle w:val="Hyperlink"/>
            <w:noProof/>
          </w:rPr>
          <w:t>Financial instruments specific disclosures</w:t>
        </w:r>
        <w:r w:rsidR="00F97BB9">
          <w:rPr>
            <w:noProof/>
            <w:webHidden/>
          </w:rPr>
          <w:tab/>
        </w:r>
        <w:r w:rsidR="00F97BB9">
          <w:rPr>
            <w:noProof/>
            <w:webHidden/>
          </w:rPr>
          <w:fldChar w:fldCharType="begin"/>
        </w:r>
        <w:r w:rsidR="00F97BB9">
          <w:rPr>
            <w:noProof/>
            <w:webHidden/>
          </w:rPr>
          <w:instrText xml:space="preserve"> PAGEREF _Toc525026211 \h </w:instrText>
        </w:r>
        <w:r w:rsidR="00F97BB9">
          <w:rPr>
            <w:noProof/>
            <w:webHidden/>
          </w:rPr>
        </w:r>
        <w:r w:rsidR="00F97BB9">
          <w:rPr>
            <w:noProof/>
            <w:webHidden/>
          </w:rPr>
          <w:fldChar w:fldCharType="separate"/>
        </w:r>
        <w:r w:rsidR="00BE5F15">
          <w:rPr>
            <w:noProof/>
            <w:webHidden/>
          </w:rPr>
          <w:t>85</w:t>
        </w:r>
        <w:r w:rsidR="00F97BB9">
          <w:rPr>
            <w:noProof/>
            <w:webHidden/>
          </w:rPr>
          <w:fldChar w:fldCharType="end"/>
        </w:r>
      </w:hyperlink>
    </w:p>
    <w:p w:rsidR="00F97BB9" w:rsidRDefault="00EC4CFD">
      <w:pPr>
        <w:pStyle w:val="TOC3"/>
        <w:tabs>
          <w:tab w:val="left" w:pos="1260"/>
        </w:tabs>
        <w:rPr>
          <w:noProof/>
          <w:color w:val="auto"/>
          <w:sz w:val="22"/>
        </w:rPr>
      </w:pPr>
      <w:hyperlink w:anchor="_Toc525026212" w:history="1">
        <w:r w:rsidR="00F97BB9" w:rsidRPr="0093111D">
          <w:rPr>
            <w:rStyle w:val="Hyperlink"/>
            <w:noProof/>
          </w:rPr>
          <w:t>8.2</w:t>
        </w:r>
        <w:r w:rsidR="00F97BB9">
          <w:rPr>
            <w:noProof/>
            <w:color w:val="auto"/>
            <w:sz w:val="22"/>
          </w:rPr>
          <w:tab/>
        </w:r>
        <w:r w:rsidR="00F97BB9" w:rsidRPr="0093111D">
          <w:rPr>
            <w:rStyle w:val="Hyperlink"/>
            <w:noProof/>
          </w:rPr>
          <w:t>Contingent assets and contingent liabilities</w:t>
        </w:r>
        <w:r w:rsidR="00F97BB9">
          <w:rPr>
            <w:noProof/>
            <w:webHidden/>
          </w:rPr>
          <w:tab/>
        </w:r>
        <w:r w:rsidR="00F97BB9">
          <w:rPr>
            <w:noProof/>
            <w:webHidden/>
          </w:rPr>
          <w:fldChar w:fldCharType="begin"/>
        </w:r>
        <w:r w:rsidR="00F97BB9">
          <w:rPr>
            <w:noProof/>
            <w:webHidden/>
          </w:rPr>
          <w:instrText xml:space="preserve"> PAGEREF _Toc525026212 \h </w:instrText>
        </w:r>
        <w:r w:rsidR="00F97BB9">
          <w:rPr>
            <w:noProof/>
            <w:webHidden/>
          </w:rPr>
        </w:r>
        <w:r w:rsidR="00F97BB9">
          <w:rPr>
            <w:noProof/>
            <w:webHidden/>
          </w:rPr>
          <w:fldChar w:fldCharType="separate"/>
        </w:r>
        <w:r w:rsidR="00BE5F15">
          <w:rPr>
            <w:noProof/>
            <w:webHidden/>
          </w:rPr>
          <w:t>88</w:t>
        </w:r>
        <w:r w:rsidR="00F97BB9">
          <w:rPr>
            <w:noProof/>
            <w:webHidden/>
          </w:rPr>
          <w:fldChar w:fldCharType="end"/>
        </w:r>
      </w:hyperlink>
    </w:p>
    <w:p w:rsidR="00F97BB9" w:rsidRDefault="00EC4CFD">
      <w:pPr>
        <w:pStyle w:val="TOC3"/>
        <w:tabs>
          <w:tab w:val="left" w:pos="1260"/>
        </w:tabs>
        <w:rPr>
          <w:noProof/>
          <w:color w:val="auto"/>
          <w:sz w:val="22"/>
        </w:rPr>
      </w:pPr>
      <w:hyperlink w:anchor="_Toc525026213" w:history="1">
        <w:r w:rsidR="00F97BB9" w:rsidRPr="0093111D">
          <w:rPr>
            <w:rStyle w:val="Hyperlink"/>
            <w:noProof/>
          </w:rPr>
          <w:t>8.3</w:t>
        </w:r>
        <w:r w:rsidR="00F97BB9">
          <w:rPr>
            <w:noProof/>
            <w:color w:val="auto"/>
            <w:sz w:val="22"/>
          </w:rPr>
          <w:tab/>
        </w:r>
        <w:r w:rsidR="00F97BB9" w:rsidRPr="0093111D">
          <w:rPr>
            <w:rStyle w:val="Hyperlink"/>
            <w:noProof/>
          </w:rPr>
          <w:t>Fair value determination</w:t>
        </w:r>
        <w:r w:rsidR="00F97BB9">
          <w:rPr>
            <w:noProof/>
            <w:webHidden/>
          </w:rPr>
          <w:tab/>
        </w:r>
        <w:r w:rsidR="00F97BB9">
          <w:rPr>
            <w:noProof/>
            <w:webHidden/>
          </w:rPr>
          <w:fldChar w:fldCharType="begin"/>
        </w:r>
        <w:r w:rsidR="00F97BB9">
          <w:rPr>
            <w:noProof/>
            <w:webHidden/>
          </w:rPr>
          <w:instrText xml:space="preserve"> PAGEREF _Toc525026213 \h </w:instrText>
        </w:r>
        <w:r w:rsidR="00F97BB9">
          <w:rPr>
            <w:noProof/>
            <w:webHidden/>
          </w:rPr>
        </w:r>
        <w:r w:rsidR="00F97BB9">
          <w:rPr>
            <w:noProof/>
            <w:webHidden/>
          </w:rPr>
          <w:fldChar w:fldCharType="separate"/>
        </w:r>
        <w:r w:rsidR="00BE5F15">
          <w:rPr>
            <w:noProof/>
            <w:webHidden/>
          </w:rPr>
          <w:t>88</w:t>
        </w:r>
        <w:r w:rsidR="00F97BB9">
          <w:rPr>
            <w:noProof/>
            <w:webHidden/>
          </w:rPr>
          <w:fldChar w:fldCharType="end"/>
        </w:r>
      </w:hyperlink>
    </w:p>
    <w:p w:rsidR="00F97BB9" w:rsidRDefault="00EC4CFD">
      <w:pPr>
        <w:pStyle w:val="TOC1"/>
        <w:rPr>
          <w:rFonts w:eastAsiaTheme="minorEastAsia" w:cstheme="minorBidi"/>
          <w:b w:val="0"/>
          <w:color w:val="auto"/>
          <w:sz w:val="22"/>
          <w:szCs w:val="22"/>
        </w:rPr>
      </w:pPr>
      <w:hyperlink w:anchor="_Toc525026214" w:history="1">
        <w:r w:rsidR="00F97BB9" w:rsidRPr="0093111D">
          <w:rPr>
            <w:rStyle w:val="Hyperlink"/>
          </w:rPr>
          <w:t>9</w:t>
        </w:r>
        <w:r w:rsidR="00F97BB9">
          <w:rPr>
            <w:rFonts w:eastAsiaTheme="minorEastAsia" w:cstheme="minorBidi"/>
            <w:b w:val="0"/>
            <w:color w:val="auto"/>
            <w:sz w:val="22"/>
            <w:szCs w:val="22"/>
          </w:rPr>
          <w:tab/>
        </w:r>
        <w:r w:rsidR="00F97BB9" w:rsidRPr="0093111D">
          <w:rPr>
            <w:rStyle w:val="Hyperlink"/>
          </w:rPr>
          <w:t>Other disclosures</w:t>
        </w:r>
        <w:r w:rsidR="00F97BB9">
          <w:rPr>
            <w:webHidden/>
          </w:rPr>
          <w:tab/>
        </w:r>
        <w:r w:rsidR="00F97BB9">
          <w:rPr>
            <w:webHidden/>
          </w:rPr>
          <w:fldChar w:fldCharType="begin"/>
        </w:r>
        <w:r w:rsidR="00F97BB9">
          <w:rPr>
            <w:webHidden/>
          </w:rPr>
          <w:instrText xml:space="preserve"> PAGEREF _Toc525026214 \h </w:instrText>
        </w:r>
        <w:r w:rsidR="00F97BB9">
          <w:rPr>
            <w:webHidden/>
          </w:rPr>
        </w:r>
        <w:r w:rsidR="00F97BB9">
          <w:rPr>
            <w:webHidden/>
          </w:rPr>
          <w:fldChar w:fldCharType="separate"/>
        </w:r>
        <w:r w:rsidR="00BE5F15">
          <w:rPr>
            <w:webHidden/>
          </w:rPr>
          <w:t>92</w:t>
        </w:r>
        <w:r w:rsidR="00F97BB9">
          <w:rPr>
            <w:webHidden/>
          </w:rPr>
          <w:fldChar w:fldCharType="end"/>
        </w:r>
      </w:hyperlink>
    </w:p>
    <w:p w:rsidR="00F97BB9" w:rsidRDefault="00EC4CFD">
      <w:pPr>
        <w:pStyle w:val="TOC3"/>
        <w:tabs>
          <w:tab w:val="left" w:pos="1260"/>
        </w:tabs>
        <w:rPr>
          <w:noProof/>
          <w:color w:val="auto"/>
          <w:sz w:val="22"/>
        </w:rPr>
      </w:pPr>
      <w:hyperlink w:anchor="_Toc525026215" w:history="1">
        <w:r w:rsidR="00F97BB9" w:rsidRPr="0093111D">
          <w:rPr>
            <w:rStyle w:val="Hyperlink"/>
            <w:noProof/>
          </w:rPr>
          <w:t>9.1</w:t>
        </w:r>
        <w:r w:rsidR="00F97BB9">
          <w:rPr>
            <w:noProof/>
            <w:color w:val="auto"/>
            <w:sz w:val="22"/>
          </w:rPr>
          <w:tab/>
        </w:r>
        <w:r w:rsidR="00F97BB9" w:rsidRPr="0093111D">
          <w:rPr>
            <w:rStyle w:val="Hyperlink"/>
            <w:noProof/>
          </w:rPr>
          <w:t>Other economic flows included in net result</w:t>
        </w:r>
        <w:r w:rsidR="00F97BB9">
          <w:rPr>
            <w:noProof/>
            <w:webHidden/>
          </w:rPr>
          <w:tab/>
        </w:r>
        <w:r w:rsidR="00F97BB9">
          <w:rPr>
            <w:noProof/>
            <w:webHidden/>
          </w:rPr>
          <w:fldChar w:fldCharType="begin"/>
        </w:r>
        <w:r w:rsidR="00F97BB9">
          <w:rPr>
            <w:noProof/>
            <w:webHidden/>
          </w:rPr>
          <w:instrText xml:space="preserve"> PAGEREF _Toc525026215 \h </w:instrText>
        </w:r>
        <w:r w:rsidR="00F97BB9">
          <w:rPr>
            <w:noProof/>
            <w:webHidden/>
          </w:rPr>
        </w:r>
        <w:r w:rsidR="00F97BB9">
          <w:rPr>
            <w:noProof/>
            <w:webHidden/>
          </w:rPr>
          <w:fldChar w:fldCharType="separate"/>
        </w:r>
        <w:r w:rsidR="00BE5F15">
          <w:rPr>
            <w:noProof/>
            <w:webHidden/>
          </w:rPr>
          <w:t>92</w:t>
        </w:r>
        <w:r w:rsidR="00F97BB9">
          <w:rPr>
            <w:noProof/>
            <w:webHidden/>
          </w:rPr>
          <w:fldChar w:fldCharType="end"/>
        </w:r>
      </w:hyperlink>
    </w:p>
    <w:p w:rsidR="00F97BB9" w:rsidRDefault="00EC4CFD">
      <w:pPr>
        <w:pStyle w:val="TOC3"/>
        <w:tabs>
          <w:tab w:val="left" w:pos="1260"/>
        </w:tabs>
        <w:rPr>
          <w:noProof/>
          <w:color w:val="auto"/>
          <w:sz w:val="22"/>
        </w:rPr>
      </w:pPr>
      <w:hyperlink w:anchor="_Toc525026216" w:history="1">
        <w:r w:rsidR="00F97BB9" w:rsidRPr="0093111D">
          <w:rPr>
            <w:rStyle w:val="Hyperlink"/>
            <w:noProof/>
          </w:rPr>
          <w:t>9.2</w:t>
        </w:r>
        <w:r w:rsidR="00F97BB9">
          <w:rPr>
            <w:noProof/>
            <w:color w:val="auto"/>
            <w:sz w:val="22"/>
          </w:rPr>
          <w:tab/>
        </w:r>
        <w:r w:rsidR="00F97BB9" w:rsidRPr="0093111D">
          <w:rPr>
            <w:rStyle w:val="Hyperlink"/>
            <w:noProof/>
          </w:rPr>
          <w:t>Responsible persons</w:t>
        </w:r>
        <w:r w:rsidR="00F97BB9">
          <w:rPr>
            <w:noProof/>
            <w:webHidden/>
          </w:rPr>
          <w:tab/>
        </w:r>
        <w:r w:rsidR="00F97BB9">
          <w:rPr>
            <w:noProof/>
            <w:webHidden/>
          </w:rPr>
          <w:fldChar w:fldCharType="begin"/>
        </w:r>
        <w:r w:rsidR="00F97BB9">
          <w:rPr>
            <w:noProof/>
            <w:webHidden/>
          </w:rPr>
          <w:instrText xml:space="preserve"> PAGEREF _Toc525026216 \h </w:instrText>
        </w:r>
        <w:r w:rsidR="00F97BB9">
          <w:rPr>
            <w:noProof/>
            <w:webHidden/>
          </w:rPr>
        </w:r>
        <w:r w:rsidR="00F97BB9">
          <w:rPr>
            <w:noProof/>
            <w:webHidden/>
          </w:rPr>
          <w:fldChar w:fldCharType="separate"/>
        </w:r>
        <w:r w:rsidR="00BE5F15">
          <w:rPr>
            <w:noProof/>
            <w:webHidden/>
          </w:rPr>
          <w:t>93</w:t>
        </w:r>
        <w:r w:rsidR="00F97BB9">
          <w:rPr>
            <w:noProof/>
            <w:webHidden/>
          </w:rPr>
          <w:fldChar w:fldCharType="end"/>
        </w:r>
      </w:hyperlink>
    </w:p>
    <w:p w:rsidR="00F97BB9" w:rsidRDefault="00EC4CFD">
      <w:pPr>
        <w:pStyle w:val="TOC3"/>
        <w:tabs>
          <w:tab w:val="left" w:pos="1260"/>
        </w:tabs>
        <w:rPr>
          <w:noProof/>
          <w:color w:val="auto"/>
          <w:sz w:val="22"/>
        </w:rPr>
      </w:pPr>
      <w:hyperlink w:anchor="_Toc525026217" w:history="1">
        <w:r w:rsidR="00F97BB9" w:rsidRPr="0093111D">
          <w:rPr>
            <w:rStyle w:val="Hyperlink"/>
            <w:noProof/>
          </w:rPr>
          <w:t>9.3</w:t>
        </w:r>
        <w:r w:rsidR="00F97BB9">
          <w:rPr>
            <w:noProof/>
            <w:color w:val="auto"/>
            <w:sz w:val="22"/>
          </w:rPr>
          <w:tab/>
        </w:r>
        <w:r w:rsidR="00F97BB9" w:rsidRPr="0093111D">
          <w:rPr>
            <w:rStyle w:val="Hyperlink"/>
            <w:noProof/>
          </w:rPr>
          <w:t>Remuneration of executives</w:t>
        </w:r>
        <w:r w:rsidR="00F97BB9">
          <w:rPr>
            <w:noProof/>
            <w:webHidden/>
          </w:rPr>
          <w:tab/>
        </w:r>
        <w:r w:rsidR="00F97BB9">
          <w:rPr>
            <w:noProof/>
            <w:webHidden/>
          </w:rPr>
          <w:fldChar w:fldCharType="begin"/>
        </w:r>
        <w:r w:rsidR="00F97BB9">
          <w:rPr>
            <w:noProof/>
            <w:webHidden/>
          </w:rPr>
          <w:instrText xml:space="preserve"> PAGEREF _Toc525026217 \h </w:instrText>
        </w:r>
        <w:r w:rsidR="00F97BB9">
          <w:rPr>
            <w:noProof/>
            <w:webHidden/>
          </w:rPr>
        </w:r>
        <w:r w:rsidR="00F97BB9">
          <w:rPr>
            <w:noProof/>
            <w:webHidden/>
          </w:rPr>
          <w:fldChar w:fldCharType="separate"/>
        </w:r>
        <w:r w:rsidR="00BE5F15">
          <w:rPr>
            <w:noProof/>
            <w:webHidden/>
          </w:rPr>
          <w:t>93</w:t>
        </w:r>
        <w:r w:rsidR="00F97BB9">
          <w:rPr>
            <w:noProof/>
            <w:webHidden/>
          </w:rPr>
          <w:fldChar w:fldCharType="end"/>
        </w:r>
      </w:hyperlink>
    </w:p>
    <w:p w:rsidR="00F97BB9" w:rsidRDefault="00EC4CFD">
      <w:pPr>
        <w:pStyle w:val="TOC3"/>
        <w:tabs>
          <w:tab w:val="left" w:pos="1260"/>
        </w:tabs>
        <w:rPr>
          <w:noProof/>
          <w:color w:val="auto"/>
          <w:sz w:val="22"/>
        </w:rPr>
      </w:pPr>
      <w:hyperlink w:anchor="_Toc525026218" w:history="1">
        <w:r w:rsidR="00F97BB9" w:rsidRPr="0093111D">
          <w:rPr>
            <w:rStyle w:val="Hyperlink"/>
            <w:noProof/>
          </w:rPr>
          <w:t>9.4</w:t>
        </w:r>
        <w:r w:rsidR="00F97BB9">
          <w:rPr>
            <w:noProof/>
            <w:color w:val="auto"/>
            <w:sz w:val="22"/>
          </w:rPr>
          <w:tab/>
        </w:r>
        <w:r w:rsidR="00F97BB9" w:rsidRPr="0093111D">
          <w:rPr>
            <w:rStyle w:val="Hyperlink"/>
            <w:noProof/>
          </w:rPr>
          <w:t>Related parties</w:t>
        </w:r>
        <w:r w:rsidR="00F97BB9">
          <w:rPr>
            <w:noProof/>
            <w:webHidden/>
          </w:rPr>
          <w:tab/>
        </w:r>
        <w:r w:rsidR="00F97BB9">
          <w:rPr>
            <w:noProof/>
            <w:webHidden/>
          </w:rPr>
          <w:fldChar w:fldCharType="begin"/>
        </w:r>
        <w:r w:rsidR="00F97BB9">
          <w:rPr>
            <w:noProof/>
            <w:webHidden/>
          </w:rPr>
          <w:instrText xml:space="preserve"> PAGEREF _Toc525026218 \h </w:instrText>
        </w:r>
        <w:r w:rsidR="00F97BB9">
          <w:rPr>
            <w:noProof/>
            <w:webHidden/>
          </w:rPr>
        </w:r>
        <w:r w:rsidR="00F97BB9">
          <w:rPr>
            <w:noProof/>
            <w:webHidden/>
          </w:rPr>
          <w:fldChar w:fldCharType="separate"/>
        </w:r>
        <w:r w:rsidR="00BE5F15">
          <w:rPr>
            <w:noProof/>
            <w:webHidden/>
          </w:rPr>
          <w:t>94</w:t>
        </w:r>
        <w:r w:rsidR="00F97BB9">
          <w:rPr>
            <w:noProof/>
            <w:webHidden/>
          </w:rPr>
          <w:fldChar w:fldCharType="end"/>
        </w:r>
      </w:hyperlink>
    </w:p>
    <w:p w:rsidR="00F97BB9" w:rsidRDefault="00EC4CFD">
      <w:pPr>
        <w:pStyle w:val="TOC3"/>
        <w:tabs>
          <w:tab w:val="left" w:pos="1260"/>
        </w:tabs>
        <w:rPr>
          <w:noProof/>
          <w:color w:val="auto"/>
          <w:sz w:val="22"/>
        </w:rPr>
      </w:pPr>
      <w:hyperlink w:anchor="_Toc525026219" w:history="1">
        <w:r w:rsidR="00F97BB9" w:rsidRPr="0093111D">
          <w:rPr>
            <w:rStyle w:val="Hyperlink"/>
            <w:noProof/>
          </w:rPr>
          <w:t>9.5</w:t>
        </w:r>
        <w:r w:rsidR="00F97BB9">
          <w:rPr>
            <w:noProof/>
            <w:color w:val="auto"/>
            <w:sz w:val="22"/>
          </w:rPr>
          <w:tab/>
        </w:r>
        <w:r w:rsidR="00F97BB9" w:rsidRPr="0093111D">
          <w:rPr>
            <w:rStyle w:val="Hyperlink"/>
            <w:noProof/>
          </w:rPr>
          <w:t>Remuneration of auditors</w:t>
        </w:r>
        <w:r w:rsidR="00F97BB9">
          <w:rPr>
            <w:noProof/>
            <w:webHidden/>
          </w:rPr>
          <w:tab/>
        </w:r>
        <w:r w:rsidR="00F97BB9">
          <w:rPr>
            <w:noProof/>
            <w:webHidden/>
          </w:rPr>
          <w:fldChar w:fldCharType="begin"/>
        </w:r>
        <w:r w:rsidR="00F97BB9">
          <w:rPr>
            <w:noProof/>
            <w:webHidden/>
          </w:rPr>
          <w:instrText xml:space="preserve"> PAGEREF _Toc525026219 \h </w:instrText>
        </w:r>
        <w:r w:rsidR="00F97BB9">
          <w:rPr>
            <w:noProof/>
            <w:webHidden/>
          </w:rPr>
        </w:r>
        <w:r w:rsidR="00F97BB9">
          <w:rPr>
            <w:noProof/>
            <w:webHidden/>
          </w:rPr>
          <w:fldChar w:fldCharType="separate"/>
        </w:r>
        <w:r w:rsidR="00BE5F15">
          <w:rPr>
            <w:noProof/>
            <w:webHidden/>
          </w:rPr>
          <w:t>95</w:t>
        </w:r>
        <w:r w:rsidR="00F97BB9">
          <w:rPr>
            <w:noProof/>
            <w:webHidden/>
          </w:rPr>
          <w:fldChar w:fldCharType="end"/>
        </w:r>
      </w:hyperlink>
    </w:p>
    <w:p w:rsidR="00F97BB9" w:rsidRDefault="00EC4CFD">
      <w:pPr>
        <w:pStyle w:val="TOC3"/>
        <w:tabs>
          <w:tab w:val="left" w:pos="1260"/>
        </w:tabs>
        <w:rPr>
          <w:noProof/>
          <w:color w:val="auto"/>
          <w:sz w:val="22"/>
        </w:rPr>
      </w:pPr>
      <w:hyperlink w:anchor="_Toc525026220" w:history="1">
        <w:r w:rsidR="00F97BB9" w:rsidRPr="0093111D">
          <w:rPr>
            <w:rStyle w:val="Hyperlink"/>
            <w:noProof/>
          </w:rPr>
          <w:t>9.6</w:t>
        </w:r>
        <w:r w:rsidR="00F97BB9">
          <w:rPr>
            <w:noProof/>
            <w:color w:val="auto"/>
            <w:sz w:val="22"/>
          </w:rPr>
          <w:tab/>
        </w:r>
        <w:r w:rsidR="00F97BB9" w:rsidRPr="0093111D">
          <w:rPr>
            <w:rStyle w:val="Hyperlink"/>
            <w:noProof/>
          </w:rPr>
          <w:t>Other accounting matters</w:t>
        </w:r>
        <w:r w:rsidR="00F97BB9">
          <w:rPr>
            <w:noProof/>
            <w:webHidden/>
          </w:rPr>
          <w:tab/>
        </w:r>
        <w:r w:rsidR="00F97BB9">
          <w:rPr>
            <w:noProof/>
            <w:webHidden/>
          </w:rPr>
          <w:fldChar w:fldCharType="begin"/>
        </w:r>
        <w:r w:rsidR="00F97BB9">
          <w:rPr>
            <w:noProof/>
            <w:webHidden/>
          </w:rPr>
          <w:instrText xml:space="preserve"> PAGEREF _Toc525026220 \h </w:instrText>
        </w:r>
        <w:r w:rsidR="00F97BB9">
          <w:rPr>
            <w:noProof/>
            <w:webHidden/>
          </w:rPr>
        </w:r>
        <w:r w:rsidR="00F97BB9">
          <w:rPr>
            <w:noProof/>
            <w:webHidden/>
          </w:rPr>
          <w:fldChar w:fldCharType="separate"/>
        </w:r>
        <w:r w:rsidR="00BE5F15">
          <w:rPr>
            <w:noProof/>
            <w:webHidden/>
          </w:rPr>
          <w:t>95</w:t>
        </w:r>
        <w:r w:rsidR="00F97BB9">
          <w:rPr>
            <w:noProof/>
            <w:webHidden/>
          </w:rPr>
          <w:fldChar w:fldCharType="end"/>
        </w:r>
      </w:hyperlink>
    </w:p>
    <w:p w:rsidR="00F97BB9" w:rsidRDefault="00EC4CFD">
      <w:pPr>
        <w:pStyle w:val="TOC3"/>
        <w:tabs>
          <w:tab w:val="left" w:pos="1260"/>
        </w:tabs>
        <w:rPr>
          <w:noProof/>
          <w:color w:val="auto"/>
          <w:sz w:val="22"/>
        </w:rPr>
      </w:pPr>
      <w:hyperlink w:anchor="_Toc525026221" w:history="1">
        <w:r w:rsidR="00F97BB9" w:rsidRPr="0093111D">
          <w:rPr>
            <w:rStyle w:val="Hyperlink"/>
            <w:noProof/>
          </w:rPr>
          <w:t>9.7</w:t>
        </w:r>
        <w:r w:rsidR="00F97BB9">
          <w:rPr>
            <w:noProof/>
            <w:color w:val="auto"/>
            <w:sz w:val="22"/>
          </w:rPr>
          <w:tab/>
        </w:r>
        <w:r w:rsidR="00F97BB9" w:rsidRPr="0093111D">
          <w:rPr>
            <w:rStyle w:val="Hyperlink"/>
            <w:noProof/>
          </w:rPr>
          <w:t>Australian Accounting Standards issued that are not yet effective</w:t>
        </w:r>
        <w:r w:rsidR="00F97BB9">
          <w:rPr>
            <w:noProof/>
            <w:webHidden/>
          </w:rPr>
          <w:tab/>
        </w:r>
        <w:r w:rsidR="00F97BB9">
          <w:rPr>
            <w:noProof/>
            <w:webHidden/>
          </w:rPr>
          <w:fldChar w:fldCharType="begin"/>
        </w:r>
        <w:r w:rsidR="00F97BB9">
          <w:rPr>
            <w:noProof/>
            <w:webHidden/>
          </w:rPr>
          <w:instrText xml:space="preserve"> PAGEREF _Toc525026221 \h </w:instrText>
        </w:r>
        <w:r w:rsidR="00F97BB9">
          <w:rPr>
            <w:noProof/>
            <w:webHidden/>
          </w:rPr>
        </w:r>
        <w:r w:rsidR="00F97BB9">
          <w:rPr>
            <w:noProof/>
            <w:webHidden/>
          </w:rPr>
          <w:fldChar w:fldCharType="separate"/>
        </w:r>
        <w:r w:rsidR="00BE5F15">
          <w:rPr>
            <w:noProof/>
            <w:webHidden/>
          </w:rPr>
          <w:t>95</w:t>
        </w:r>
        <w:r w:rsidR="00F97BB9">
          <w:rPr>
            <w:noProof/>
            <w:webHidden/>
          </w:rPr>
          <w:fldChar w:fldCharType="end"/>
        </w:r>
      </w:hyperlink>
    </w:p>
    <w:p w:rsidR="00F97BB9" w:rsidRDefault="00EC4CFD">
      <w:pPr>
        <w:pStyle w:val="TOC3"/>
        <w:tabs>
          <w:tab w:val="left" w:pos="1260"/>
        </w:tabs>
        <w:rPr>
          <w:noProof/>
          <w:color w:val="auto"/>
          <w:sz w:val="22"/>
        </w:rPr>
      </w:pPr>
      <w:hyperlink w:anchor="_Toc525026222" w:history="1">
        <w:r w:rsidR="00F97BB9" w:rsidRPr="0093111D">
          <w:rPr>
            <w:rStyle w:val="Hyperlink"/>
            <w:noProof/>
          </w:rPr>
          <w:t>9.8</w:t>
        </w:r>
        <w:r w:rsidR="00F97BB9">
          <w:rPr>
            <w:noProof/>
            <w:color w:val="auto"/>
            <w:sz w:val="22"/>
          </w:rPr>
          <w:tab/>
        </w:r>
        <w:r w:rsidR="00F97BB9" w:rsidRPr="0093111D">
          <w:rPr>
            <w:rStyle w:val="Hyperlink"/>
            <w:noProof/>
          </w:rPr>
          <w:t>Glossary of technical terms</w:t>
        </w:r>
        <w:r w:rsidR="00F97BB9">
          <w:rPr>
            <w:noProof/>
            <w:webHidden/>
          </w:rPr>
          <w:tab/>
        </w:r>
        <w:r w:rsidR="00F97BB9">
          <w:rPr>
            <w:noProof/>
            <w:webHidden/>
          </w:rPr>
          <w:fldChar w:fldCharType="begin"/>
        </w:r>
        <w:r w:rsidR="00F97BB9">
          <w:rPr>
            <w:noProof/>
            <w:webHidden/>
          </w:rPr>
          <w:instrText xml:space="preserve"> PAGEREF _Toc525026222 \h </w:instrText>
        </w:r>
        <w:r w:rsidR="00F97BB9">
          <w:rPr>
            <w:noProof/>
            <w:webHidden/>
          </w:rPr>
        </w:r>
        <w:r w:rsidR="00F97BB9">
          <w:rPr>
            <w:noProof/>
            <w:webHidden/>
          </w:rPr>
          <w:fldChar w:fldCharType="separate"/>
        </w:r>
        <w:r w:rsidR="00BE5F15">
          <w:rPr>
            <w:noProof/>
            <w:webHidden/>
          </w:rPr>
          <w:t>96</w:t>
        </w:r>
        <w:r w:rsidR="00F97BB9">
          <w:rPr>
            <w:noProof/>
            <w:webHidden/>
          </w:rPr>
          <w:fldChar w:fldCharType="end"/>
        </w:r>
      </w:hyperlink>
    </w:p>
    <w:p w:rsidR="00174AEA" w:rsidRPr="00687A1C" w:rsidRDefault="00174AEA" w:rsidP="00174AEA">
      <w:pPr>
        <w:rPr>
          <w:rFonts w:cstheme="minorHAnsi"/>
        </w:rPr>
      </w:pPr>
      <w:r w:rsidRPr="00687A1C">
        <w:rPr>
          <w:rFonts w:cstheme="minorHAnsi"/>
          <w:b/>
        </w:rPr>
        <w:fldChar w:fldCharType="end"/>
      </w:r>
    </w:p>
    <w:p w:rsidR="00174AEA" w:rsidRPr="00687A1C" w:rsidRDefault="00174AEA" w:rsidP="00174AEA">
      <w:pPr>
        <w:spacing w:before="0" w:after="0"/>
        <w:rPr>
          <w:rFonts w:cstheme="minorHAnsi"/>
          <w:b/>
          <w:color w:val="404040"/>
          <w:sz w:val="24"/>
          <w:szCs w:val="28"/>
        </w:rPr>
      </w:pPr>
      <w:bookmarkStart w:id="33" w:name="_Ref492631681"/>
      <w:bookmarkStart w:id="34" w:name="_Toc303670541"/>
      <w:bookmarkStart w:id="35" w:name="_Toc335740840"/>
      <w:r w:rsidRPr="00687A1C">
        <w:br w:type="page"/>
      </w:r>
    </w:p>
    <w:p w:rsidR="00174AEA" w:rsidRPr="00687A1C" w:rsidRDefault="00174AEA" w:rsidP="00174AEA">
      <w:pPr>
        <w:pStyle w:val="Heading2"/>
      </w:pPr>
      <w:r w:rsidRPr="00687A1C">
        <w:lastRenderedPageBreak/>
        <w:t>Declaration in the financial statements</w:t>
      </w:r>
      <w:bookmarkEnd w:id="33"/>
    </w:p>
    <w:p w:rsidR="00174AEA" w:rsidRPr="00687A1C" w:rsidRDefault="00174AEA" w:rsidP="00174AEA">
      <w:r w:rsidRPr="00687A1C">
        <w:t xml:space="preserve">The attached financial statements for the Department of Treasury and Finance have been prepared in accordance with Direction 5.2 of the Standing Directions of the Minister of Finance under the </w:t>
      </w:r>
      <w:r w:rsidRPr="00687A1C">
        <w:rPr>
          <w:i/>
        </w:rPr>
        <w:t>Financial Management Act 1994</w:t>
      </w:r>
      <w:r w:rsidRPr="00687A1C">
        <w:t>, applicable Financial Reporting Directions, Australian Accounting Standards, including Interpretations, and other mandatory professional reporting requirements.</w:t>
      </w:r>
    </w:p>
    <w:p w:rsidR="00174AEA" w:rsidRPr="00687A1C" w:rsidRDefault="00174AEA" w:rsidP="00174AEA">
      <w:r w:rsidRPr="00687A1C">
        <w:t>We further state that, in our opinion, the information set out in the comprehensive operating statement, balance sheet, statement of changes in equity, cash flow statement and notes to the financial statements, presents fairly the financial transactions during the year ended 30 June 2018 and financial posi</w:t>
      </w:r>
      <w:r w:rsidR="00F96836" w:rsidRPr="00687A1C">
        <w:t xml:space="preserve">tion of the Department as at </w:t>
      </w:r>
      <w:r w:rsidR="00264578" w:rsidRPr="00687A1C">
        <w:t>30</w:t>
      </w:r>
      <w:r w:rsidR="00F96836" w:rsidRPr="00687A1C">
        <w:rPr>
          <w:rFonts w:ascii="Calibri" w:hAnsi="Calibri" w:cs="Calibri"/>
        </w:rPr>
        <w:t> </w:t>
      </w:r>
      <w:r w:rsidRPr="00687A1C">
        <w:t>June 2018.</w:t>
      </w:r>
    </w:p>
    <w:p w:rsidR="00174AEA" w:rsidRPr="00687A1C" w:rsidRDefault="00174AEA" w:rsidP="00174AEA">
      <w:r w:rsidRPr="00687A1C">
        <w:t>At the time of signing, we are not aware of any circumstance which would render any particulars included in the financial statements to be misleading or inaccurate.</w:t>
      </w:r>
    </w:p>
    <w:p w:rsidR="00174AEA" w:rsidRPr="00687A1C" w:rsidRDefault="00174AEA" w:rsidP="00174AEA">
      <w:r w:rsidRPr="00687A1C">
        <w:t>We authorise the attached financial statements for issue on 1</w:t>
      </w:r>
      <w:r w:rsidR="00E0494C">
        <w:t>4</w:t>
      </w:r>
      <w:r w:rsidRPr="00687A1C">
        <w:t xml:space="preserve"> September 2018.</w:t>
      </w:r>
    </w:p>
    <w:p w:rsidR="00EC4CFD" w:rsidRPr="00687A1C" w:rsidRDefault="00EC4CFD" w:rsidP="00EC4CFD"/>
    <w:p w:rsidR="00EC4CFD" w:rsidRDefault="00EC4CFD" w:rsidP="00EC4CFD">
      <w:pPr>
        <w:spacing w:after="0"/>
      </w:pPr>
    </w:p>
    <w:p w:rsidR="00EC4CFD" w:rsidRPr="00687A1C" w:rsidRDefault="00EC4CFD" w:rsidP="00EC4CFD">
      <w:pPr>
        <w:spacing w:after="0"/>
        <w:ind w:left="-180"/>
      </w:pPr>
      <w:r>
        <w:rPr>
          <w:noProof/>
        </w:rPr>
        <w:drawing>
          <wp:inline distT="0" distB="0" distL="0" distR="0" wp14:anchorId="51843C1F" wp14:editId="59035331">
            <wp:extent cx="1385248" cy="597418"/>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nia signatur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04916" cy="605900"/>
                    </a:xfrm>
                    <a:prstGeom prst="rect">
                      <a:avLst/>
                    </a:prstGeom>
                  </pic:spPr>
                </pic:pic>
              </a:graphicData>
            </a:graphic>
          </wp:inline>
        </w:drawing>
      </w:r>
    </w:p>
    <w:p w:rsidR="00EC4CFD" w:rsidRPr="00687A1C" w:rsidRDefault="00EC4CFD" w:rsidP="00EC4CFD">
      <w:pPr>
        <w:spacing w:before="0"/>
        <w:rPr>
          <w:rFonts w:cstheme="minorHAnsi"/>
          <w:b/>
        </w:rPr>
      </w:pPr>
      <w:r w:rsidRPr="00687A1C">
        <w:rPr>
          <w:rFonts w:cstheme="minorHAnsi"/>
          <w:b/>
        </w:rPr>
        <w:t>Tania Reaburn</w:t>
      </w:r>
      <w:r w:rsidRPr="00687A1C">
        <w:rPr>
          <w:rFonts w:cstheme="minorHAnsi"/>
          <w:b/>
        </w:rPr>
        <w:br/>
        <w:t>Chief Financial Officer</w:t>
      </w:r>
      <w:r w:rsidRPr="00687A1C">
        <w:rPr>
          <w:rFonts w:cstheme="minorHAnsi"/>
          <w:b/>
        </w:rPr>
        <w:br/>
        <w:t>Department of Treasury and Finance</w:t>
      </w:r>
    </w:p>
    <w:p w:rsidR="00EC4CFD" w:rsidRPr="00687A1C" w:rsidRDefault="00EC4CFD" w:rsidP="00EC4CFD">
      <w:pPr>
        <w:rPr>
          <w:rFonts w:cstheme="minorHAnsi"/>
        </w:rPr>
      </w:pPr>
      <w:r>
        <w:rPr>
          <w:rFonts w:cstheme="minorHAnsi"/>
        </w:rPr>
        <w:t>Melbourne</w:t>
      </w:r>
      <w:r>
        <w:rPr>
          <w:rFonts w:cstheme="minorHAnsi"/>
        </w:rPr>
        <w:br/>
        <w:t>14</w:t>
      </w:r>
      <w:r w:rsidRPr="00687A1C">
        <w:rPr>
          <w:rFonts w:cstheme="minorHAnsi"/>
        </w:rPr>
        <w:t xml:space="preserve"> September 2018</w:t>
      </w:r>
    </w:p>
    <w:p w:rsidR="00EC4CFD" w:rsidRPr="00687A1C" w:rsidRDefault="00EC4CFD" w:rsidP="00EC4CFD">
      <w:pPr>
        <w:rPr>
          <w:rFonts w:cstheme="minorHAnsi"/>
        </w:rPr>
      </w:pPr>
    </w:p>
    <w:p w:rsidR="00EC4CFD" w:rsidRPr="00687A1C" w:rsidRDefault="00EC4CFD" w:rsidP="00EC4CFD">
      <w:pPr>
        <w:spacing w:after="0"/>
        <w:ind w:left="-180"/>
        <w:rPr>
          <w:rFonts w:cstheme="minorHAnsi"/>
        </w:rPr>
      </w:pPr>
      <w:r>
        <w:rPr>
          <w:rFonts w:cstheme="minorHAnsi"/>
          <w:noProof/>
        </w:rPr>
        <w:drawing>
          <wp:inline distT="0" distB="0" distL="0" distR="0" wp14:anchorId="6F9B6826" wp14:editId="37F7627B">
            <wp:extent cx="1666875" cy="601345"/>
            <wp:effectExtent l="0" t="0" r="0" b="8255"/>
            <wp:docPr id="8" name="Picture 8" descr="T:\Corpcom_CSS\COMMUNICATIONS\PROJECTS\DTF Annual Report\2014-15\Misc\d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PROJECTS\DTF Annual Report\2014-15\Misc\dm signature.jpg"/>
                    <pic:cNvPicPr>
                      <a:picLocks noChangeAspect="1" noChangeArrowheads="1"/>
                    </pic:cNvPicPr>
                  </pic:nvPicPr>
                  <pic:blipFill>
                    <a:blip r:embed="rId26" cstate="print">
                      <a:clrChange>
                        <a:clrFrom>
                          <a:srgbClr val="FFFFFF"/>
                        </a:clrFrom>
                        <a:clrTo>
                          <a:srgbClr val="FFFFFF">
                            <a:alpha val="0"/>
                          </a:srgbClr>
                        </a:clrTo>
                      </a:clrChange>
                      <a:grayscl/>
                      <a:extLst>
                        <a:ext uri="{BEBA8EAE-BF5A-486C-A8C5-ECC9F3942E4B}">
                          <a14:imgProps xmlns:a14="http://schemas.microsoft.com/office/drawing/2010/main">
                            <a14:imgLayer r:embed="rId11">
                              <a14:imgEffect>
                                <a14:sharpenSoften amount="25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601345"/>
                    </a:xfrm>
                    <a:prstGeom prst="rect">
                      <a:avLst/>
                    </a:prstGeom>
                    <a:noFill/>
                    <a:ln>
                      <a:noFill/>
                    </a:ln>
                  </pic:spPr>
                </pic:pic>
              </a:graphicData>
            </a:graphic>
          </wp:inline>
        </w:drawing>
      </w:r>
    </w:p>
    <w:p w:rsidR="00EC4CFD" w:rsidRPr="00687A1C" w:rsidRDefault="00EC4CFD" w:rsidP="00EC4CFD">
      <w:pPr>
        <w:spacing w:before="0"/>
        <w:rPr>
          <w:rFonts w:cstheme="minorHAnsi"/>
          <w:b/>
        </w:rPr>
      </w:pPr>
      <w:r w:rsidRPr="00687A1C">
        <w:rPr>
          <w:rFonts w:cstheme="minorHAnsi"/>
          <w:b/>
        </w:rPr>
        <w:t>David Martine</w:t>
      </w:r>
      <w:r w:rsidRPr="00687A1C">
        <w:rPr>
          <w:rFonts w:cstheme="minorHAnsi"/>
          <w:b/>
        </w:rPr>
        <w:br/>
        <w:t xml:space="preserve">Secretary </w:t>
      </w:r>
      <w:r w:rsidRPr="00687A1C">
        <w:rPr>
          <w:rFonts w:cstheme="minorHAnsi"/>
          <w:b/>
        </w:rPr>
        <w:br/>
        <w:t>Department of Treasury and Finance</w:t>
      </w:r>
    </w:p>
    <w:p w:rsidR="00EC4CFD" w:rsidRPr="00687A1C" w:rsidRDefault="00EC4CFD" w:rsidP="00EC4CFD">
      <w:pPr>
        <w:rPr>
          <w:rFonts w:cstheme="minorHAnsi"/>
        </w:rPr>
      </w:pPr>
      <w:r>
        <w:rPr>
          <w:rFonts w:cstheme="minorHAnsi"/>
        </w:rPr>
        <w:t>Melbourne</w:t>
      </w:r>
      <w:r>
        <w:rPr>
          <w:rFonts w:cstheme="minorHAnsi"/>
        </w:rPr>
        <w:br/>
        <w:t>14</w:t>
      </w:r>
      <w:r w:rsidRPr="00687A1C">
        <w:rPr>
          <w:rFonts w:cstheme="minorHAnsi"/>
        </w:rPr>
        <w:t xml:space="preserve"> September 2018</w:t>
      </w:r>
    </w:p>
    <w:p w:rsidR="00174AEA" w:rsidRPr="00687A1C" w:rsidRDefault="00174AEA" w:rsidP="00174AEA"/>
    <w:p w:rsidR="00174AEA" w:rsidRPr="00687A1C" w:rsidRDefault="00174AEA" w:rsidP="00174AEA">
      <w:pPr>
        <w:spacing w:before="0" w:after="0"/>
        <w:rPr>
          <w:rFonts w:cstheme="minorHAnsi"/>
          <w:b/>
          <w:color w:val="404040"/>
          <w:sz w:val="24"/>
          <w:szCs w:val="28"/>
        </w:rPr>
      </w:pPr>
      <w:r w:rsidRPr="00687A1C">
        <w:br w:type="page"/>
      </w:r>
    </w:p>
    <w:p w:rsidR="00174AEA" w:rsidRPr="00687A1C" w:rsidRDefault="00174AEA" w:rsidP="00174AEA">
      <w:pPr>
        <w:pStyle w:val="Heading2"/>
      </w:pPr>
      <w:r w:rsidRPr="00687A1C">
        <w:lastRenderedPageBreak/>
        <w:t>Independent auditor’s report</w:t>
      </w:r>
    </w:p>
    <w:p w:rsidR="009C5495" w:rsidRDefault="00F823BB" w:rsidP="009C5495">
      <w:r>
        <w:rPr>
          <w:noProof/>
        </w:rPr>
        <w:drawing>
          <wp:inline distT="0" distB="0" distL="0" distR="0">
            <wp:extent cx="6099175" cy="8516203"/>
            <wp:effectExtent l="0" t="0" r="0" b="0"/>
            <wp:docPr id="29" name="Picture 29" descr="Image of independent auditor's repo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pinion - Department of Treasury and Finance _Page_1.png"/>
                    <pic:cNvPicPr/>
                  </pic:nvPicPr>
                  <pic:blipFill rotWithShape="1">
                    <a:blip r:embed="rId27" cstate="print">
                      <a:grayscl/>
                      <a:extLst>
                        <a:ext uri="{28A0092B-C50C-407E-A947-70E740481C1C}">
                          <a14:useLocalDpi xmlns:a14="http://schemas.microsoft.com/office/drawing/2010/main" val="0"/>
                        </a:ext>
                      </a:extLst>
                    </a:blip>
                    <a:srcRect b="1235"/>
                    <a:stretch/>
                  </pic:blipFill>
                  <pic:spPr bwMode="auto">
                    <a:xfrm>
                      <a:off x="0" y="0"/>
                      <a:ext cx="6099175" cy="8516203"/>
                    </a:xfrm>
                    <a:prstGeom prst="rect">
                      <a:avLst/>
                    </a:prstGeom>
                    <a:ln>
                      <a:noFill/>
                    </a:ln>
                    <a:extLst>
                      <a:ext uri="{53640926-AAD7-44D8-BBD7-CCE9431645EC}">
                        <a14:shadowObscured xmlns:a14="http://schemas.microsoft.com/office/drawing/2010/main"/>
                      </a:ext>
                    </a:extLst>
                  </pic:spPr>
                </pic:pic>
              </a:graphicData>
            </a:graphic>
          </wp:inline>
        </w:drawing>
      </w:r>
    </w:p>
    <w:p w:rsidR="008A3976" w:rsidRPr="00687A1C" w:rsidRDefault="008A3976" w:rsidP="008A3976">
      <w:pPr>
        <w:pStyle w:val="Heading2"/>
        <w:rPr>
          <w:i/>
        </w:rPr>
      </w:pPr>
      <w:r w:rsidRPr="00687A1C">
        <w:lastRenderedPageBreak/>
        <w:t xml:space="preserve">Independent auditor’s report </w:t>
      </w:r>
      <w:r w:rsidRPr="00687A1C">
        <w:rPr>
          <w:i/>
        </w:rPr>
        <w:t>(continued)</w:t>
      </w:r>
    </w:p>
    <w:p w:rsidR="008A3976" w:rsidRPr="00687A1C" w:rsidRDefault="00F823BB" w:rsidP="00B322CD">
      <w:r>
        <w:rPr>
          <w:noProof/>
        </w:rPr>
        <w:drawing>
          <wp:inline distT="0" distB="0" distL="0" distR="0">
            <wp:extent cx="6099175" cy="8491741"/>
            <wp:effectExtent l="0" t="0" r="0" b="5080"/>
            <wp:docPr id="31" name="Picture 31" descr="Image of independent auditor's report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pinion - Department of Treasury and Finance _Page_2.png"/>
                    <pic:cNvPicPr/>
                  </pic:nvPicPr>
                  <pic:blipFill rotWithShape="1">
                    <a:blip r:embed="rId28" cstate="print">
                      <a:grayscl/>
                      <a:extLst>
                        <a:ext uri="{28A0092B-C50C-407E-A947-70E740481C1C}">
                          <a14:useLocalDpi xmlns:a14="http://schemas.microsoft.com/office/drawing/2010/main" val="0"/>
                        </a:ext>
                      </a:extLst>
                    </a:blip>
                    <a:srcRect t="1504"/>
                    <a:stretch/>
                  </pic:blipFill>
                  <pic:spPr bwMode="auto">
                    <a:xfrm>
                      <a:off x="0" y="0"/>
                      <a:ext cx="6099175" cy="8491741"/>
                    </a:xfrm>
                    <a:prstGeom prst="rect">
                      <a:avLst/>
                    </a:prstGeom>
                    <a:ln>
                      <a:noFill/>
                    </a:ln>
                    <a:extLst>
                      <a:ext uri="{53640926-AAD7-44D8-BBD7-CCE9431645EC}">
                        <a14:shadowObscured xmlns:a14="http://schemas.microsoft.com/office/drawing/2010/main"/>
                      </a:ext>
                    </a:extLst>
                  </pic:spPr>
                </pic:pic>
              </a:graphicData>
            </a:graphic>
          </wp:inline>
        </w:drawing>
      </w:r>
    </w:p>
    <w:p w:rsidR="00174AEA" w:rsidRPr="00687A1C" w:rsidRDefault="00174AEA" w:rsidP="00174AEA">
      <w:pPr>
        <w:pStyle w:val="HeadingFin"/>
      </w:pPr>
      <w:bookmarkStart w:id="36" w:name="_Toc525026177"/>
      <w:r w:rsidRPr="00687A1C">
        <w:lastRenderedPageBreak/>
        <w:t>Comprehensive operating statement</w:t>
      </w:r>
      <w:bookmarkEnd w:id="34"/>
      <w:bookmarkEnd w:id="35"/>
      <w:bookmarkEnd w:id="36"/>
    </w:p>
    <w:p w:rsidR="00174AEA" w:rsidRPr="00687A1C" w:rsidRDefault="00174AEA" w:rsidP="00174AEA">
      <w:pPr>
        <w:pStyle w:val="Heading2"/>
        <w:spacing w:before="0"/>
      </w:pPr>
      <w:r w:rsidRPr="00687A1C">
        <w:t>for the year ended 30 June 2018</w:t>
      </w:r>
    </w:p>
    <w:tbl>
      <w:tblPr>
        <w:tblW w:w="8134" w:type="dxa"/>
        <w:tblLayout w:type="fixed"/>
        <w:tblLook w:val="0000" w:firstRow="0" w:lastRow="0" w:firstColumn="0" w:lastColumn="0" w:noHBand="0" w:noVBand="0"/>
      </w:tblPr>
      <w:tblGrid>
        <w:gridCol w:w="4770"/>
        <w:gridCol w:w="990"/>
        <w:gridCol w:w="1187"/>
        <w:gridCol w:w="1187"/>
      </w:tblGrid>
      <w:tr w:rsidR="00174AEA" w:rsidRPr="00687A1C" w:rsidTr="008A3976">
        <w:tc>
          <w:tcPr>
            <w:tcW w:w="4770" w:type="dxa"/>
          </w:tcPr>
          <w:p w:rsidR="00174AEA" w:rsidRPr="00687A1C" w:rsidRDefault="00174AEA" w:rsidP="008A3976">
            <w:pPr>
              <w:pStyle w:val="Tabletext"/>
            </w:pPr>
            <w:r w:rsidRPr="00687A1C">
              <w:br w:type="page"/>
            </w:r>
          </w:p>
        </w:tc>
        <w:tc>
          <w:tcPr>
            <w:tcW w:w="990" w:type="dxa"/>
          </w:tcPr>
          <w:p w:rsidR="00174AEA" w:rsidRPr="00687A1C" w:rsidRDefault="00174AEA" w:rsidP="008A3976">
            <w:pPr>
              <w:pStyle w:val="Tabletextheadingcentred"/>
            </w:pPr>
          </w:p>
        </w:tc>
        <w:tc>
          <w:tcPr>
            <w:tcW w:w="1187" w:type="dxa"/>
            <w:shd w:val="clear" w:color="auto" w:fill="auto"/>
            <w:vAlign w:val="bottom"/>
          </w:tcPr>
          <w:p w:rsidR="00174AEA" w:rsidRPr="00687A1C" w:rsidRDefault="00174AEA" w:rsidP="008A3976">
            <w:pPr>
              <w:pStyle w:val="Tabletextheadingright"/>
            </w:pPr>
            <w:r w:rsidRPr="00687A1C">
              <w:t>2018</w:t>
            </w:r>
          </w:p>
        </w:tc>
        <w:tc>
          <w:tcPr>
            <w:tcW w:w="1187" w:type="dxa"/>
            <w:vAlign w:val="bottom"/>
          </w:tcPr>
          <w:p w:rsidR="00174AEA" w:rsidRPr="00687A1C" w:rsidRDefault="00174AEA" w:rsidP="008A3976">
            <w:pPr>
              <w:pStyle w:val="Tabletextheadingright"/>
            </w:pPr>
            <w:r w:rsidRPr="00687A1C">
              <w:t>2017</w:t>
            </w:r>
          </w:p>
        </w:tc>
      </w:tr>
      <w:tr w:rsidR="00174AEA" w:rsidRPr="00687A1C" w:rsidTr="008A3976">
        <w:tc>
          <w:tcPr>
            <w:tcW w:w="4770" w:type="dxa"/>
          </w:tcPr>
          <w:p w:rsidR="00174AEA" w:rsidRPr="00687A1C" w:rsidRDefault="00174AEA" w:rsidP="008A3976">
            <w:pPr>
              <w:pStyle w:val="Tabletext"/>
            </w:pPr>
          </w:p>
        </w:tc>
        <w:tc>
          <w:tcPr>
            <w:tcW w:w="990" w:type="dxa"/>
          </w:tcPr>
          <w:p w:rsidR="00174AEA" w:rsidRPr="00687A1C" w:rsidRDefault="00174AEA" w:rsidP="008A3976">
            <w:pPr>
              <w:pStyle w:val="Tabletextheadingcentred"/>
            </w:pPr>
            <w:r w:rsidRPr="00687A1C">
              <w:t>Notes</w:t>
            </w:r>
          </w:p>
        </w:tc>
        <w:tc>
          <w:tcPr>
            <w:tcW w:w="1187" w:type="dxa"/>
            <w:shd w:val="clear" w:color="auto" w:fill="auto"/>
          </w:tcPr>
          <w:p w:rsidR="00174AEA" w:rsidRPr="00687A1C" w:rsidRDefault="00174AEA" w:rsidP="008A3976">
            <w:pPr>
              <w:pStyle w:val="Tabletextheadingright"/>
            </w:pPr>
            <w:r w:rsidRPr="00687A1C">
              <w:t>$’000</w:t>
            </w:r>
          </w:p>
        </w:tc>
        <w:tc>
          <w:tcPr>
            <w:tcW w:w="1187" w:type="dxa"/>
          </w:tcPr>
          <w:p w:rsidR="00174AEA" w:rsidRPr="00687A1C" w:rsidRDefault="00174AEA" w:rsidP="008A3976">
            <w:pPr>
              <w:pStyle w:val="Tabletextheadingright"/>
            </w:pPr>
            <w:r w:rsidRPr="00687A1C">
              <w:t>$’000</w:t>
            </w:r>
          </w:p>
        </w:tc>
      </w:tr>
      <w:tr w:rsidR="00174AEA" w:rsidRPr="00687A1C" w:rsidTr="00491F1E">
        <w:tc>
          <w:tcPr>
            <w:tcW w:w="4770" w:type="dxa"/>
          </w:tcPr>
          <w:p w:rsidR="00174AEA" w:rsidRPr="00687A1C" w:rsidRDefault="00174AEA" w:rsidP="008A3976">
            <w:pPr>
              <w:pStyle w:val="Tabletextbold"/>
            </w:pPr>
            <w:r w:rsidRPr="00687A1C">
              <w:t>Income from transactions</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pPr>
          </w:p>
        </w:tc>
        <w:tc>
          <w:tcPr>
            <w:tcW w:w="1187" w:type="dxa"/>
          </w:tcPr>
          <w:p w:rsidR="00174AEA" w:rsidRPr="00687A1C" w:rsidRDefault="00174AEA" w:rsidP="00491F1E">
            <w:pPr>
              <w:pStyle w:val="Tabletextright"/>
            </w:pPr>
          </w:p>
        </w:tc>
      </w:tr>
      <w:tr w:rsidR="00174AEA" w:rsidRPr="00687A1C" w:rsidTr="00491F1E">
        <w:tc>
          <w:tcPr>
            <w:tcW w:w="4770" w:type="dxa"/>
          </w:tcPr>
          <w:p w:rsidR="00174AEA" w:rsidRPr="00687A1C" w:rsidRDefault="00174AEA" w:rsidP="008A3976">
            <w:pPr>
              <w:pStyle w:val="Tabletext"/>
            </w:pPr>
            <w:r w:rsidRPr="00687A1C">
              <w:t xml:space="preserve">Output appropriations </w:t>
            </w:r>
          </w:p>
        </w:tc>
        <w:tc>
          <w:tcPr>
            <w:tcW w:w="990" w:type="dxa"/>
            <w:vAlign w:val="bottom"/>
          </w:tcPr>
          <w:p w:rsidR="00174AEA" w:rsidRPr="00687A1C" w:rsidRDefault="00174AEA" w:rsidP="008A3976">
            <w:pPr>
              <w:pStyle w:val="Tabletextcentred"/>
            </w:pPr>
            <w:r w:rsidRPr="00687A1C">
              <w:t>2.3</w:t>
            </w:r>
          </w:p>
        </w:tc>
        <w:tc>
          <w:tcPr>
            <w:tcW w:w="1187" w:type="dxa"/>
            <w:shd w:val="clear" w:color="auto" w:fill="E0E0E0"/>
          </w:tcPr>
          <w:p w:rsidR="00174AEA" w:rsidRPr="00687A1C" w:rsidRDefault="00174AEA" w:rsidP="00D8412D">
            <w:pPr>
              <w:pStyle w:val="Tabletextright"/>
            </w:pPr>
            <w:r w:rsidRPr="00687A1C">
              <w:rPr>
                <w:bCs/>
              </w:rPr>
              <w:t>299</w:t>
            </w:r>
            <w:r w:rsidR="00D8412D" w:rsidRPr="00687A1C">
              <w:rPr>
                <w:rFonts w:ascii="Calibri" w:hAnsi="Calibri" w:cs="Calibri"/>
                <w:bCs/>
              </w:rPr>
              <w:t xml:space="preserve"> </w:t>
            </w:r>
            <w:r w:rsidRPr="00687A1C">
              <w:rPr>
                <w:bCs/>
              </w:rPr>
              <w:t>794</w:t>
            </w:r>
          </w:p>
        </w:tc>
        <w:tc>
          <w:tcPr>
            <w:tcW w:w="1187" w:type="dxa"/>
          </w:tcPr>
          <w:p w:rsidR="00174AEA" w:rsidRPr="00687A1C" w:rsidRDefault="00174AEA" w:rsidP="00D8412D">
            <w:pPr>
              <w:pStyle w:val="Tabletextright"/>
            </w:pPr>
            <w:r w:rsidRPr="00687A1C">
              <w:rPr>
                <w:bCs/>
              </w:rPr>
              <w:t>353</w:t>
            </w:r>
            <w:r w:rsidR="00D8412D" w:rsidRPr="00687A1C">
              <w:rPr>
                <w:rFonts w:ascii="Calibri" w:hAnsi="Calibri" w:cs="Calibri"/>
                <w:bCs/>
              </w:rPr>
              <w:t xml:space="preserve"> </w:t>
            </w:r>
            <w:r w:rsidRPr="00687A1C">
              <w:rPr>
                <w:bCs/>
              </w:rPr>
              <w:t>213</w:t>
            </w:r>
          </w:p>
        </w:tc>
      </w:tr>
      <w:tr w:rsidR="00174AEA" w:rsidRPr="00687A1C" w:rsidTr="00491F1E">
        <w:tc>
          <w:tcPr>
            <w:tcW w:w="4770" w:type="dxa"/>
          </w:tcPr>
          <w:p w:rsidR="00174AEA" w:rsidRPr="00687A1C" w:rsidRDefault="00174AEA" w:rsidP="008A3976">
            <w:pPr>
              <w:pStyle w:val="Tabletext"/>
            </w:pPr>
            <w:r w:rsidRPr="00687A1C">
              <w:t>Other income</w:t>
            </w:r>
          </w:p>
        </w:tc>
        <w:tc>
          <w:tcPr>
            <w:tcW w:w="990" w:type="dxa"/>
            <w:vAlign w:val="bottom"/>
          </w:tcPr>
          <w:p w:rsidR="00174AEA" w:rsidRPr="00687A1C" w:rsidRDefault="00174AEA" w:rsidP="008A3976">
            <w:pPr>
              <w:pStyle w:val="Tabletextcentred"/>
            </w:pPr>
            <w:r w:rsidRPr="00687A1C">
              <w:t>2.5</w:t>
            </w:r>
          </w:p>
        </w:tc>
        <w:tc>
          <w:tcPr>
            <w:tcW w:w="1187" w:type="dxa"/>
            <w:shd w:val="clear" w:color="auto" w:fill="E0E0E0"/>
          </w:tcPr>
          <w:p w:rsidR="00174AEA" w:rsidRPr="00687A1C" w:rsidRDefault="00174AEA" w:rsidP="00D8412D">
            <w:pPr>
              <w:pStyle w:val="Tabletextright"/>
            </w:pPr>
            <w:r w:rsidRPr="00687A1C">
              <w:rPr>
                <w:bCs/>
              </w:rPr>
              <w:t>57</w:t>
            </w:r>
            <w:r w:rsidR="00D8412D" w:rsidRPr="00687A1C">
              <w:rPr>
                <w:rFonts w:ascii="Calibri" w:hAnsi="Calibri" w:cs="Calibri"/>
                <w:bCs/>
              </w:rPr>
              <w:t xml:space="preserve"> </w:t>
            </w:r>
            <w:r w:rsidRPr="00687A1C">
              <w:rPr>
                <w:bCs/>
              </w:rPr>
              <w:t>621</w:t>
            </w:r>
          </w:p>
        </w:tc>
        <w:tc>
          <w:tcPr>
            <w:tcW w:w="1187" w:type="dxa"/>
          </w:tcPr>
          <w:p w:rsidR="00174AEA" w:rsidRPr="00687A1C" w:rsidRDefault="00174AEA" w:rsidP="00D8412D">
            <w:pPr>
              <w:pStyle w:val="Tabletextright"/>
            </w:pPr>
            <w:r w:rsidRPr="00687A1C">
              <w:rPr>
                <w:bCs/>
              </w:rPr>
              <w:t>57</w:t>
            </w:r>
            <w:r w:rsidR="00D8412D" w:rsidRPr="00687A1C">
              <w:rPr>
                <w:rFonts w:ascii="Calibri" w:hAnsi="Calibri" w:cs="Calibri"/>
                <w:bCs/>
              </w:rPr>
              <w:t xml:space="preserve"> </w:t>
            </w:r>
            <w:r w:rsidRPr="00687A1C">
              <w:rPr>
                <w:bCs/>
              </w:rPr>
              <w:t>417</w:t>
            </w:r>
          </w:p>
        </w:tc>
      </w:tr>
      <w:tr w:rsidR="00174AEA" w:rsidRPr="00687A1C" w:rsidTr="00491F1E">
        <w:tc>
          <w:tcPr>
            <w:tcW w:w="4770" w:type="dxa"/>
          </w:tcPr>
          <w:p w:rsidR="00174AEA" w:rsidRPr="00687A1C" w:rsidRDefault="00174AEA" w:rsidP="008A3976">
            <w:pPr>
              <w:pStyle w:val="Tabletextbold"/>
            </w:pPr>
            <w:r w:rsidRPr="00687A1C">
              <w:t>Total income from transactions</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D8412D">
            <w:pPr>
              <w:pStyle w:val="Tabletextrightbold"/>
            </w:pPr>
            <w:r w:rsidRPr="00687A1C">
              <w:t>357</w:t>
            </w:r>
            <w:r w:rsidR="00D8412D" w:rsidRPr="00687A1C">
              <w:rPr>
                <w:rFonts w:ascii="Calibri" w:hAnsi="Calibri" w:cs="Calibri"/>
              </w:rPr>
              <w:t xml:space="preserve"> </w:t>
            </w:r>
            <w:r w:rsidRPr="00687A1C">
              <w:t>415</w:t>
            </w:r>
          </w:p>
        </w:tc>
        <w:tc>
          <w:tcPr>
            <w:tcW w:w="1187" w:type="dxa"/>
          </w:tcPr>
          <w:p w:rsidR="00174AEA" w:rsidRPr="00687A1C" w:rsidRDefault="00174AEA" w:rsidP="00D8412D">
            <w:pPr>
              <w:pStyle w:val="Tabletextrightbold"/>
            </w:pPr>
            <w:r w:rsidRPr="00687A1C">
              <w:t>410</w:t>
            </w:r>
            <w:r w:rsidR="00D8412D" w:rsidRPr="00687A1C">
              <w:rPr>
                <w:rFonts w:ascii="Calibri" w:hAnsi="Calibri" w:cs="Calibri"/>
              </w:rPr>
              <w:t xml:space="preserve"> </w:t>
            </w:r>
            <w:r w:rsidRPr="00687A1C">
              <w:t>630</w:t>
            </w:r>
          </w:p>
        </w:tc>
      </w:tr>
      <w:tr w:rsidR="00174AEA" w:rsidRPr="00687A1C" w:rsidTr="00491F1E">
        <w:tc>
          <w:tcPr>
            <w:tcW w:w="4770"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rPr>
                <w:b/>
                <w:bCs/>
              </w:rPr>
            </w:pPr>
          </w:p>
        </w:tc>
        <w:tc>
          <w:tcPr>
            <w:tcW w:w="1187" w:type="dxa"/>
          </w:tcPr>
          <w:p w:rsidR="00174AEA" w:rsidRPr="00687A1C" w:rsidRDefault="00174AEA" w:rsidP="00491F1E">
            <w:pPr>
              <w:pStyle w:val="Tabletextright"/>
              <w:rPr>
                <w:bCs/>
              </w:rPr>
            </w:pPr>
          </w:p>
        </w:tc>
      </w:tr>
      <w:tr w:rsidR="00174AEA" w:rsidRPr="00687A1C" w:rsidTr="00491F1E">
        <w:tc>
          <w:tcPr>
            <w:tcW w:w="4770" w:type="dxa"/>
          </w:tcPr>
          <w:p w:rsidR="00174AEA" w:rsidRPr="00687A1C" w:rsidRDefault="00174AEA" w:rsidP="008A3976">
            <w:pPr>
              <w:pStyle w:val="Tabletextbold"/>
            </w:pPr>
            <w:r w:rsidRPr="00687A1C">
              <w:t>Expenses from transactions</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rPr>
                <w:b/>
                <w:bCs/>
              </w:rPr>
            </w:pPr>
          </w:p>
        </w:tc>
        <w:tc>
          <w:tcPr>
            <w:tcW w:w="1187" w:type="dxa"/>
          </w:tcPr>
          <w:p w:rsidR="00174AEA" w:rsidRPr="00687A1C" w:rsidRDefault="00174AEA" w:rsidP="00491F1E">
            <w:pPr>
              <w:pStyle w:val="Tabletextright"/>
              <w:rPr>
                <w:bCs/>
              </w:rPr>
            </w:pPr>
          </w:p>
        </w:tc>
      </w:tr>
      <w:tr w:rsidR="00174AEA" w:rsidRPr="00687A1C" w:rsidTr="00491F1E">
        <w:tc>
          <w:tcPr>
            <w:tcW w:w="4770" w:type="dxa"/>
            <w:vAlign w:val="bottom"/>
          </w:tcPr>
          <w:p w:rsidR="00174AEA" w:rsidRPr="00687A1C" w:rsidRDefault="00174AEA" w:rsidP="008A3976">
            <w:pPr>
              <w:pStyle w:val="Tabletext"/>
            </w:pPr>
            <w:r w:rsidRPr="00687A1C">
              <w:t>Employee expenses</w:t>
            </w:r>
          </w:p>
        </w:tc>
        <w:tc>
          <w:tcPr>
            <w:tcW w:w="990" w:type="dxa"/>
            <w:vAlign w:val="bottom"/>
          </w:tcPr>
          <w:p w:rsidR="00174AEA" w:rsidRPr="00687A1C" w:rsidRDefault="00174AEA" w:rsidP="008A3976">
            <w:pPr>
              <w:pStyle w:val="Tabletextcentred"/>
            </w:pPr>
            <w:r w:rsidRPr="00687A1C">
              <w:t>3.1.1</w:t>
            </w:r>
          </w:p>
        </w:tc>
        <w:tc>
          <w:tcPr>
            <w:tcW w:w="1187" w:type="dxa"/>
            <w:shd w:val="clear" w:color="auto" w:fill="E0E0E0"/>
          </w:tcPr>
          <w:p w:rsidR="00174AEA" w:rsidRPr="00687A1C" w:rsidRDefault="00174AEA" w:rsidP="00D8412D">
            <w:pPr>
              <w:pStyle w:val="Tabletextright"/>
            </w:pPr>
            <w:r w:rsidRPr="00687A1C">
              <w:t>140</w:t>
            </w:r>
            <w:r w:rsidR="00D8412D" w:rsidRPr="00687A1C">
              <w:rPr>
                <w:rFonts w:ascii="Calibri" w:hAnsi="Calibri" w:cs="Calibri"/>
              </w:rPr>
              <w:t xml:space="preserve"> </w:t>
            </w:r>
            <w:r w:rsidRPr="00687A1C">
              <w:t>960</w:t>
            </w:r>
          </w:p>
        </w:tc>
        <w:tc>
          <w:tcPr>
            <w:tcW w:w="1187" w:type="dxa"/>
          </w:tcPr>
          <w:p w:rsidR="00174AEA" w:rsidRPr="00687A1C" w:rsidRDefault="00174AEA" w:rsidP="00D8412D">
            <w:pPr>
              <w:pStyle w:val="Tabletextright"/>
            </w:pPr>
            <w:r w:rsidRPr="00687A1C">
              <w:t>131</w:t>
            </w:r>
            <w:r w:rsidR="00D8412D" w:rsidRPr="00687A1C">
              <w:rPr>
                <w:rFonts w:ascii="Calibri" w:hAnsi="Calibri" w:cs="Calibri"/>
              </w:rPr>
              <w:t xml:space="preserve"> </w:t>
            </w:r>
            <w:r w:rsidRPr="00687A1C">
              <w:t>199</w:t>
            </w:r>
          </w:p>
        </w:tc>
      </w:tr>
      <w:tr w:rsidR="00174AEA" w:rsidRPr="00687A1C" w:rsidTr="00491F1E">
        <w:tc>
          <w:tcPr>
            <w:tcW w:w="4770" w:type="dxa"/>
            <w:vAlign w:val="bottom"/>
          </w:tcPr>
          <w:p w:rsidR="00174AEA" w:rsidRPr="00687A1C" w:rsidRDefault="00174AEA" w:rsidP="008A3976">
            <w:pPr>
              <w:pStyle w:val="Tabletext"/>
            </w:pPr>
            <w:r w:rsidRPr="00687A1C">
              <w:t>Depreciation</w:t>
            </w:r>
            <w:r w:rsidR="00AE48A5" w:rsidRPr="00687A1C">
              <w:t xml:space="preserve"> and amortisation</w:t>
            </w:r>
          </w:p>
        </w:tc>
        <w:tc>
          <w:tcPr>
            <w:tcW w:w="990" w:type="dxa"/>
            <w:vAlign w:val="bottom"/>
          </w:tcPr>
          <w:p w:rsidR="00174AEA" w:rsidRPr="00687A1C" w:rsidRDefault="00174AEA" w:rsidP="008A3976">
            <w:pPr>
              <w:pStyle w:val="Tabletextcentred"/>
            </w:pPr>
            <w:r w:rsidRPr="00687A1C">
              <w:t>5.1.1</w:t>
            </w:r>
          </w:p>
        </w:tc>
        <w:tc>
          <w:tcPr>
            <w:tcW w:w="1187" w:type="dxa"/>
            <w:shd w:val="clear" w:color="auto" w:fill="E0E0E0"/>
          </w:tcPr>
          <w:p w:rsidR="00174AEA" w:rsidRPr="00687A1C" w:rsidRDefault="00174AEA" w:rsidP="00D8412D">
            <w:pPr>
              <w:pStyle w:val="Tabletextright"/>
            </w:pPr>
            <w:r w:rsidRPr="00687A1C">
              <w:t>34</w:t>
            </w:r>
            <w:r w:rsidR="00D8412D" w:rsidRPr="00687A1C">
              <w:rPr>
                <w:rFonts w:ascii="Calibri" w:hAnsi="Calibri" w:cs="Calibri"/>
              </w:rPr>
              <w:t xml:space="preserve"> </w:t>
            </w:r>
            <w:r w:rsidR="00AE48A5" w:rsidRPr="00687A1C">
              <w:t>759</w:t>
            </w:r>
          </w:p>
        </w:tc>
        <w:tc>
          <w:tcPr>
            <w:tcW w:w="1187" w:type="dxa"/>
          </w:tcPr>
          <w:p w:rsidR="00174AEA" w:rsidRPr="00687A1C" w:rsidRDefault="00174AEA" w:rsidP="00D8412D">
            <w:pPr>
              <w:pStyle w:val="Tabletextright"/>
            </w:pPr>
            <w:r w:rsidRPr="00687A1C">
              <w:t>23</w:t>
            </w:r>
            <w:r w:rsidR="00D8412D" w:rsidRPr="00687A1C">
              <w:rPr>
                <w:rFonts w:ascii="Calibri" w:hAnsi="Calibri" w:cs="Calibri"/>
              </w:rPr>
              <w:t xml:space="preserve"> </w:t>
            </w:r>
            <w:r w:rsidRPr="00687A1C">
              <w:t>629</w:t>
            </w:r>
          </w:p>
        </w:tc>
      </w:tr>
      <w:tr w:rsidR="00174AEA" w:rsidRPr="00687A1C" w:rsidTr="00491F1E">
        <w:tc>
          <w:tcPr>
            <w:tcW w:w="4770" w:type="dxa"/>
            <w:vAlign w:val="bottom"/>
          </w:tcPr>
          <w:p w:rsidR="00174AEA" w:rsidRPr="00687A1C" w:rsidRDefault="00174AEA" w:rsidP="008A3976">
            <w:pPr>
              <w:pStyle w:val="Tabletext"/>
            </w:pPr>
            <w:r w:rsidRPr="00687A1C">
              <w:t>Interest expense</w:t>
            </w:r>
          </w:p>
        </w:tc>
        <w:tc>
          <w:tcPr>
            <w:tcW w:w="990" w:type="dxa"/>
            <w:vAlign w:val="bottom"/>
          </w:tcPr>
          <w:p w:rsidR="00174AEA" w:rsidRPr="00687A1C" w:rsidRDefault="00AE48A5" w:rsidP="008A3976">
            <w:pPr>
              <w:pStyle w:val="Tabletextcentred"/>
            </w:pPr>
            <w:r w:rsidRPr="00687A1C">
              <w:t>8.1.1</w:t>
            </w:r>
          </w:p>
        </w:tc>
        <w:tc>
          <w:tcPr>
            <w:tcW w:w="1187" w:type="dxa"/>
            <w:shd w:val="clear" w:color="auto" w:fill="E0E0E0"/>
          </w:tcPr>
          <w:p w:rsidR="00174AEA" w:rsidRPr="00687A1C" w:rsidRDefault="00174AEA" w:rsidP="00491F1E">
            <w:pPr>
              <w:pStyle w:val="Tabletextright"/>
            </w:pPr>
            <w:r w:rsidRPr="00687A1C">
              <w:t>86</w:t>
            </w:r>
          </w:p>
        </w:tc>
        <w:tc>
          <w:tcPr>
            <w:tcW w:w="1187" w:type="dxa"/>
          </w:tcPr>
          <w:p w:rsidR="00174AEA" w:rsidRPr="00687A1C" w:rsidRDefault="00174AEA" w:rsidP="00491F1E">
            <w:pPr>
              <w:pStyle w:val="Tabletextright"/>
            </w:pPr>
            <w:r w:rsidRPr="00687A1C">
              <w:t>50</w:t>
            </w:r>
          </w:p>
        </w:tc>
      </w:tr>
      <w:tr w:rsidR="00174AEA" w:rsidRPr="00687A1C" w:rsidTr="00491F1E">
        <w:tc>
          <w:tcPr>
            <w:tcW w:w="4770" w:type="dxa"/>
            <w:vAlign w:val="bottom"/>
          </w:tcPr>
          <w:p w:rsidR="00174AEA" w:rsidRPr="00687A1C" w:rsidRDefault="00174AEA" w:rsidP="008A3976">
            <w:pPr>
              <w:pStyle w:val="Tabletext"/>
            </w:pPr>
            <w:r w:rsidRPr="00687A1C">
              <w:t>Grants expense</w:t>
            </w:r>
          </w:p>
        </w:tc>
        <w:tc>
          <w:tcPr>
            <w:tcW w:w="990" w:type="dxa"/>
            <w:vAlign w:val="bottom"/>
          </w:tcPr>
          <w:p w:rsidR="00174AEA" w:rsidRPr="00687A1C" w:rsidRDefault="00174AEA" w:rsidP="008A3976">
            <w:pPr>
              <w:pStyle w:val="Tabletextcentred"/>
            </w:pPr>
            <w:r w:rsidRPr="00687A1C">
              <w:t>3.2</w:t>
            </w:r>
          </w:p>
        </w:tc>
        <w:tc>
          <w:tcPr>
            <w:tcW w:w="1187" w:type="dxa"/>
            <w:shd w:val="clear" w:color="auto" w:fill="E0E0E0"/>
          </w:tcPr>
          <w:p w:rsidR="00174AEA" w:rsidRPr="00687A1C" w:rsidRDefault="00174AEA" w:rsidP="00D8412D">
            <w:pPr>
              <w:pStyle w:val="Tabletextright"/>
            </w:pPr>
            <w:r w:rsidRPr="00687A1C">
              <w:t>31</w:t>
            </w:r>
            <w:r w:rsidR="00D8412D" w:rsidRPr="00687A1C">
              <w:rPr>
                <w:rFonts w:ascii="Calibri" w:hAnsi="Calibri" w:cs="Calibri"/>
              </w:rPr>
              <w:t xml:space="preserve"> </w:t>
            </w:r>
            <w:r w:rsidRPr="00687A1C">
              <w:t>771</w:t>
            </w:r>
          </w:p>
        </w:tc>
        <w:tc>
          <w:tcPr>
            <w:tcW w:w="1187" w:type="dxa"/>
          </w:tcPr>
          <w:p w:rsidR="00174AEA" w:rsidRPr="00687A1C" w:rsidRDefault="00174AEA" w:rsidP="00D8412D">
            <w:pPr>
              <w:pStyle w:val="Tabletextright"/>
            </w:pPr>
            <w:r w:rsidRPr="00687A1C">
              <w:t>34</w:t>
            </w:r>
            <w:r w:rsidR="00D8412D" w:rsidRPr="00687A1C">
              <w:rPr>
                <w:rFonts w:ascii="Calibri" w:hAnsi="Calibri" w:cs="Calibri"/>
              </w:rPr>
              <w:t xml:space="preserve"> </w:t>
            </w:r>
            <w:r w:rsidRPr="00687A1C">
              <w:t>870</w:t>
            </w:r>
          </w:p>
        </w:tc>
      </w:tr>
      <w:tr w:rsidR="00174AEA" w:rsidRPr="00687A1C" w:rsidTr="00491F1E">
        <w:tc>
          <w:tcPr>
            <w:tcW w:w="4770" w:type="dxa"/>
            <w:vAlign w:val="bottom"/>
          </w:tcPr>
          <w:p w:rsidR="00174AEA" w:rsidRPr="00687A1C" w:rsidRDefault="00174AEA" w:rsidP="008A3976">
            <w:pPr>
              <w:pStyle w:val="Tabletext"/>
            </w:pPr>
            <w:r w:rsidRPr="00687A1C">
              <w:t>Capital asset charge</w:t>
            </w:r>
          </w:p>
        </w:tc>
        <w:tc>
          <w:tcPr>
            <w:tcW w:w="990" w:type="dxa"/>
            <w:vAlign w:val="bottom"/>
          </w:tcPr>
          <w:p w:rsidR="00174AEA" w:rsidRPr="00687A1C" w:rsidRDefault="00174AEA" w:rsidP="008A3976">
            <w:pPr>
              <w:pStyle w:val="Tabletextcentred"/>
            </w:pPr>
            <w:r w:rsidRPr="00687A1C">
              <w:t>3.3</w:t>
            </w:r>
          </w:p>
        </w:tc>
        <w:tc>
          <w:tcPr>
            <w:tcW w:w="1187" w:type="dxa"/>
            <w:shd w:val="clear" w:color="auto" w:fill="E0E0E0"/>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998</w:t>
            </w:r>
          </w:p>
        </w:tc>
        <w:tc>
          <w:tcPr>
            <w:tcW w:w="1187" w:type="dxa"/>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815</w:t>
            </w:r>
          </w:p>
        </w:tc>
      </w:tr>
      <w:tr w:rsidR="00174AEA" w:rsidRPr="00687A1C" w:rsidTr="00491F1E">
        <w:tc>
          <w:tcPr>
            <w:tcW w:w="4770" w:type="dxa"/>
            <w:vAlign w:val="bottom"/>
          </w:tcPr>
          <w:p w:rsidR="00174AEA" w:rsidRPr="00687A1C" w:rsidRDefault="00174AEA" w:rsidP="008A3976">
            <w:pPr>
              <w:pStyle w:val="Tabletext"/>
            </w:pPr>
            <w:r w:rsidRPr="00687A1C">
              <w:t>Supplies and services</w:t>
            </w:r>
          </w:p>
        </w:tc>
        <w:tc>
          <w:tcPr>
            <w:tcW w:w="990" w:type="dxa"/>
            <w:vAlign w:val="bottom"/>
          </w:tcPr>
          <w:p w:rsidR="00174AEA" w:rsidRPr="00687A1C" w:rsidRDefault="00174AEA" w:rsidP="008A3976">
            <w:pPr>
              <w:pStyle w:val="Tabletextcentred"/>
            </w:pPr>
            <w:r w:rsidRPr="00687A1C">
              <w:t>3.4</w:t>
            </w:r>
          </w:p>
        </w:tc>
        <w:tc>
          <w:tcPr>
            <w:tcW w:w="1187" w:type="dxa"/>
            <w:shd w:val="clear" w:color="auto" w:fill="E0E0E0"/>
          </w:tcPr>
          <w:p w:rsidR="00174AEA" w:rsidRPr="00687A1C" w:rsidRDefault="00174AEA" w:rsidP="00D8412D">
            <w:pPr>
              <w:pStyle w:val="Tabletextright"/>
            </w:pPr>
            <w:r w:rsidRPr="00687A1C">
              <w:t>116</w:t>
            </w:r>
            <w:r w:rsidR="00D8412D" w:rsidRPr="00687A1C">
              <w:rPr>
                <w:rFonts w:ascii="Calibri" w:hAnsi="Calibri" w:cs="Calibri"/>
              </w:rPr>
              <w:t xml:space="preserve"> </w:t>
            </w:r>
            <w:r w:rsidRPr="00687A1C">
              <w:t>704</w:t>
            </w:r>
          </w:p>
        </w:tc>
        <w:tc>
          <w:tcPr>
            <w:tcW w:w="1187" w:type="dxa"/>
          </w:tcPr>
          <w:p w:rsidR="00174AEA" w:rsidRPr="00687A1C" w:rsidRDefault="00174AEA" w:rsidP="00D8412D">
            <w:pPr>
              <w:pStyle w:val="Tabletextright"/>
            </w:pPr>
            <w:r w:rsidRPr="00687A1C">
              <w:t>117</w:t>
            </w:r>
            <w:r w:rsidR="00D8412D" w:rsidRPr="00687A1C">
              <w:rPr>
                <w:rFonts w:ascii="Calibri" w:hAnsi="Calibri" w:cs="Calibri"/>
              </w:rPr>
              <w:t xml:space="preserve"> </w:t>
            </w:r>
            <w:r w:rsidRPr="00687A1C">
              <w:t>556</w:t>
            </w:r>
          </w:p>
        </w:tc>
      </w:tr>
      <w:tr w:rsidR="00174AEA" w:rsidRPr="00687A1C" w:rsidTr="00491F1E">
        <w:tc>
          <w:tcPr>
            <w:tcW w:w="4770" w:type="dxa"/>
            <w:vAlign w:val="bottom"/>
          </w:tcPr>
          <w:p w:rsidR="00174AEA" w:rsidRPr="00687A1C" w:rsidRDefault="00174AEA" w:rsidP="008A3976">
            <w:pPr>
              <w:pStyle w:val="Tabletext"/>
            </w:pPr>
            <w:r w:rsidRPr="00687A1C">
              <w:t>Land remediation costs</w:t>
            </w:r>
          </w:p>
        </w:tc>
        <w:tc>
          <w:tcPr>
            <w:tcW w:w="990" w:type="dxa"/>
            <w:vAlign w:val="bottom"/>
          </w:tcPr>
          <w:p w:rsidR="00174AEA" w:rsidRPr="00687A1C" w:rsidRDefault="00174AEA" w:rsidP="008A3976">
            <w:pPr>
              <w:pStyle w:val="Tabletextcentred"/>
            </w:pPr>
            <w:r w:rsidRPr="00687A1C">
              <w:t>3.5</w:t>
            </w:r>
          </w:p>
        </w:tc>
        <w:tc>
          <w:tcPr>
            <w:tcW w:w="1187" w:type="dxa"/>
            <w:shd w:val="clear" w:color="auto" w:fill="E0E0E0"/>
          </w:tcPr>
          <w:p w:rsidR="00174AEA" w:rsidRPr="00687A1C" w:rsidRDefault="00174AEA" w:rsidP="00491F1E">
            <w:pPr>
              <w:pStyle w:val="Tabletextright"/>
            </w:pPr>
            <w:r w:rsidRPr="00687A1C">
              <w:t>620</w:t>
            </w:r>
          </w:p>
        </w:tc>
        <w:tc>
          <w:tcPr>
            <w:tcW w:w="1187" w:type="dxa"/>
          </w:tcPr>
          <w:p w:rsidR="00174AEA" w:rsidRPr="00687A1C" w:rsidRDefault="00174AEA" w:rsidP="00D8412D">
            <w:pPr>
              <w:pStyle w:val="Tabletextright"/>
            </w:pPr>
            <w:r w:rsidRPr="00687A1C">
              <w:t>66</w:t>
            </w:r>
            <w:r w:rsidR="00D8412D" w:rsidRPr="00687A1C">
              <w:rPr>
                <w:rFonts w:ascii="Calibri" w:hAnsi="Calibri" w:cs="Calibri"/>
              </w:rPr>
              <w:t xml:space="preserve"> </w:t>
            </w:r>
            <w:r w:rsidRPr="00687A1C">
              <w:t>338</w:t>
            </w:r>
          </w:p>
        </w:tc>
      </w:tr>
      <w:tr w:rsidR="00174AEA" w:rsidRPr="00687A1C" w:rsidTr="00491F1E">
        <w:tc>
          <w:tcPr>
            <w:tcW w:w="4770" w:type="dxa"/>
            <w:vAlign w:val="bottom"/>
          </w:tcPr>
          <w:p w:rsidR="00174AEA" w:rsidRPr="00687A1C" w:rsidRDefault="00174AEA" w:rsidP="008A3976">
            <w:pPr>
              <w:pStyle w:val="Tabletext"/>
            </w:pPr>
            <w:r w:rsidRPr="00687A1C">
              <w:t>Payments to Consolidated Fund</w:t>
            </w:r>
          </w:p>
        </w:tc>
        <w:tc>
          <w:tcPr>
            <w:tcW w:w="990" w:type="dxa"/>
            <w:vAlign w:val="bottom"/>
          </w:tcPr>
          <w:p w:rsidR="00174AEA" w:rsidRPr="00687A1C" w:rsidRDefault="00174AEA" w:rsidP="008A3976">
            <w:pPr>
              <w:pStyle w:val="Tabletextcentred"/>
            </w:pPr>
          </w:p>
        </w:tc>
        <w:tc>
          <w:tcPr>
            <w:tcW w:w="1187" w:type="dxa"/>
            <w:shd w:val="clear" w:color="auto" w:fill="E0E0E0"/>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090</w:t>
            </w:r>
          </w:p>
        </w:tc>
        <w:tc>
          <w:tcPr>
            <w:tcW w:w="1187" w:type="dxa"/>
          </w:tcPr>
          <w:p w:rsidR="00174AEA" w:rsidRPr="00687A1C" w:rsidRDefault="00174AEA" w:rsidP="00D8412D">
            <w:pPr>
              <w:pStyle w:val="Tabletextright"/>
            </w:pPr>
            <w:r w:rsidRPr="00687A1C">
              <w:t>10</w:t>
            </w:r>
            <w:r w:rsidR="00D8412D" w:rsidRPr="00687A1C">
              <w:rPr>
                <w:rFonts w:ascii="Calibri" w:hAnsi="Calibri" w:cs="Calibri"/>
              </w:rPr>
              <w:t xml:space="preserve"> </w:t>
            </w:r>
            <w:r w:rsidRPr="00687A1C">
              <w:t>999</w:t>
            </w:r>
          </w:p>
        </w:tc>
      </w:tr>
      <w:tr w:rsidR="00174AEA" w:rsidRPr="00687A1C" w:rsidTr="00491F1E">
        <w:tc>
          <w:tcPr>
            <w:tcW w:w="4770" w:type="dxa"/>
          </w:tcPr>
          <w:p w:rsidR="00174AEA" w:rsidRPr="00687A1C" w:rsidRDefault="00174AEA" w:rsidP="008A3976">
            <w:pPr>
              <w:pStyle w:val="Tabletextbold"/>
            </w:pPr>
            <w:r w:rsidRPr="00687A1C">
              <w:t>Total expenses from transactions</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D8412D">
            <w:pPr>
              <w:pStyle w:val="Tabletextrightbold"/>
            </w:pPr>
            <w:r w:rsidRPr="00687A1C">
              <w:t>355</w:t>
            </w:r>
            <w:r w:rsidR="00D8412D" w:rsidRPr="00687A1C">
              <w:rPr>
                <w:rFonts w:ascii="Calibri" w:hAnsi="Calibri" w:cs="Calibri"/>
              </w:rPr>
              <w:t xml:space="preserve"> </w:t>
            </w:r>
            <w:r w:rsidR="00AE48A5" w:rsidRPr="00687A1C">
              <w:t>988</w:t>
            </w:r>
          </w:p>
        </w:tc>
        <w:tc>
          <w:tcPr>
            <w:tcW w:w="1187" w:type="dxa"/>
          </w:tcPr>
          <w:p w:rsidR="00174AEA" w:rsidRPr="00687A1C" w:rsidRDefault="00174AEA" w:rsidP="00D8412D">
            <w:pPr>
              <w:pStyle w:val="Tabletextrightbold"/>
            </w:pPr>
            <w:r w:rsidRPr="00687A1C">
              <w:t>406</w:t>
            </w:r>
            <w:r w:rsidR="00D8412D" w:rsidRPr="00687A1C">
              <w:rPr>
                <w:rFonts w:ascii="Calibri" w:hAnsi="Calibri" w:cs="Calibri"/>
              </w:rPr>
              <w:t xml:space="preserve"> </w:t>
            </w:r>
            <w:r w:rsidRPr="00687A1C">
              <w:t>456</w:t>
            </w:r>
          </w:p>
        </w:tc>
      </w:tr>
      <w:tr w:rsidR="00174AEA" w:rsidRPr="00687A1C" w:rsidTr="00491F1E">
        <w:tc>
          <w:tcPr>
            <w:tcW w:w="4770"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rPr>
                <w:b/>
                <w:bCs/>
              </w:rPr>
            </w:pPr>
          </w:p>
        </w:tc>
        <w:tc>
          <w:tcPr>
            <w:tcW w:w="1187" w:type="dxa"/>
          </w:tcPr>
          <w:p w:rsidR="00174AEA" w:rsidRPr="00687A1C" w:rsidRDefault="00174AEA" w:rsidP="00491F1E">
            <w:pPr>
              <w:pStyle w:val="Tabletextright"/>
              <w:rPr>
                <w:bCs/>
              </w:rPr>
            </w:pPr>
          </w:p>
        </w:tc>
      </w:tr>
      <w:tr w:rsidR="00174AEA" w:rsidRPr="00687A1C" w:rsidTr="00491F1E">
        <w:tc>
          <w:tcPr>
            <w:tcW w:w="4770" w:type="dxa"/>
          </w:tcPr>
          <w:p w:rsidR="00174AEA" w:rsidRPr="00687A1C" w:rsidRDefault="00174AEA" w:rsidP="008A3976">
            <w:pPr>
              <w:pStyle w:val="Tabletextbold"/>
            </w:pPr>
            <w:r w:rsidRPr="00687A1C">
              <w:t>Net result from transactions</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D8412D">
            <w:pPr>
              <w:pStyle w:val="Tabletextrightbold"/>
            </w:pPr>
            <w:r w:rsidRPr="00687A1C">
              <w:t>1</w:t>
            </w:r>
            <w:r w:rsidR="00D8412D" w:rsidRPr="00687A1C">
              <w:rPr>
                <w:rFonts w:ascii="Calibri" w:hAnsi="Calibri" w:cs="Calibri"/>
              </w:rPr>
              <w:t xml:space="preserve"> </w:t>
            </w:r>
            <w:r w:rsidR="00AE48A5" w:rsidRPr="00687A1C">
              <w:t>427</w:t>
            </w:r>
          </w:p>
        </w:tc>
        <w:tc>
          <w:tcPr>
            <w:tcW w:w="1187"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174</w:t>
            </w:r>
          </w:p>
        </w:tc>
      </w:tr>
      <w:tr w:rsidR="00174AEA" w:rsidRPr="00687A1C" w:rsidTr="00491F1E">
        <w:tc>
          <w:tcPr>
            <w:tcW w:w="4770"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pPr>
          </w:p>
        </w:tc>
        <w:tc>
          <w:tcPr>
            <w:tcW w:w="1187" w:type="dxa"/>
          </w:tcPr>
          <w:p w:rsidR="00174AEA" w:rsidRPr="00687A1C" w:rsidRDefault="00174AEA" w:rsidP="00491F1E">
            <w:pPr>
              <w:pStyle w:val="Tabletextright"/>
            </w:pPr>
          </w:p>
        </w:tc>
      </w:tr>
      <w:tr w:rsidR="00174AEA" w:rsidRPr="00687A1C" w:rsidTr="00491F1E">
        <w:tc>
          <w:tcPr>
            <w:tcW w:w="4770" w:type="dxa"/>
          </w:tcPr>
          <w:p w:rsidR="00174AEA" w:rsidRPr="00687A1C" w:rsidRDefault="00174AEA" w:rsidP="008A3976">
            <w:pPr>
              <w:pStyle w:val="Tabletextbold"/>
            </w:pPr>
            <w:r w:rsidRPr="00687A1C">
              <w:t>Other economic flows included in net result</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pPr>
          </w:p>
        </w:tc>
        <w:tc>
          <w:tcPr>
            <w:tcW w:w="1187" w:type="dxa"/>
          </w:tcPr>
          <w:p w:rsidR="00174AEA" w:rsidRPr="00687A1C" w:rsidRDefault="00174AEA" w:rsidP="00491F1E">
            <w:pPr>
              <w:pStyle w:val="Tabletextright"/>
            </w:pPr>
          </w:p>
        </w:tc>
      </w:tr>
      <w:tr w:rsidR="00174AEA" w:rsidRPr="00687A1C" w:rsidTr="00491F1E">
        <w:tc>
          <w:tcPr>
            <w:tcW w:w="4770" w:type="dxa"/>
            <w:vAlign w:val="bottom"/>
          </w:tcPr>
          <w:p w:rsidR="00174AEA" w:rsidRPr="00687A1C" w:rsidRDefault="00174AEA" w:rsidP="008A3976">
            <w:pPr>
              <w:pStyle w:val="Tabletext"/>
            </w:pPr>
            <w:r w:rsidRPr="00687A1C">
              <w:t>Net gain on non</w:t>
            </w:r>
            <w:r w:rsidRPr="00687A1C">
              <w:noBreakHyphen/>
              <w:t>financial assets</w:t>
            </w:r>
          </w:p>
        </w:tc>
        <w:tc>
          <w:tcPr>
            <w:tcW w:w="990" w:type="dxa"/>
            <w:vAlign w:val="bottom"/>
          </w:tcPr>
          <w:p w:rsidR="00174AEA" w:rsidRPr="00687A1C" w:rsidRDefault="00174AEA" w:rsidP="008A3976">
            <w:pPr>
              <w:pStyle w:val="Tabletextcentred"/>
            </w:pPr>
            <w:r w:rsidRPr="00687A1C">
              <w:t>9.1</w:t>
            </w:r>
          </w:p>
        </w:tc>
        <w:tc>
          <w:tcPr>
            <w:tcW w:w="1187" w:type="dxa"/>
            <w:shd w:val="clear" w:color="auto" w:fill="E0E0E0"/>
          </w:tcPr>
          <w:p w:rsidR="00174AEA" w:rsidRPr="00687A1C" w:rsidRDefault="00174AEA" w:rsidP="00491F1E">
            <w:pPr>
              <w:pStyle w:val="Tabletextright"/>
            </w:pPr>
            <w:r w:rsidRPr="00687A1C">
              <w:t>78</w:t>
            </w:r>
          </w:p>
        </w:tc>
        <w:tc>
          <w:tcPr>
            <w:tcW w:w="1187" w:type="dxa"/>
          </w:tcPr>
          <w:p w:rsidR="00174AEA" w:rsidRPr="00687A1C" w:rsidRDefault="00174AEA" w:rsidP="00491F1E">
            <w:pPr>
              <w:pStyle w:val="Tabletextright"/>
            </w:pPr>
            <w:r w:rsidRPr="00687A1C">
              <w:t>43</w:t>
            </w:r>
          </w:p>
        </w:tc>
      </w:tr>
      <w:tr w:rsidR="00174AEA" w:rsidRPr="00687A1C" w:rsidTr="00491F1E">
        <w:tc>
          <w:tcPr>
            <w:tcW w:w="4770" w:type="dxa"/>
            <w:vAlign w:val="bottom"/>
          </w:tcPr>
          <w:p w:rsidR="00174AEA" w:rsidRPr="00687A1C" w:rsidRDefault="00174AEA" w:rsidP="008A3976">
            <w:pPr>
              <w:pStyle w:val="Tabletext"/>
            </w:pPr>
            <w:r w:rsidRPr="00687A1C">
              <w:t>Net (loss) on financial instruments</w:t>
            </w:r>
          </w:p>
        </w:tc>
        <w:tc>
          <w:tcPr>
            <w:tcW w:w="990" w:type="dxa"/>
            <w:vAlign w:val="bottom"/>
          </w:tcPr>
          <w:p w:rsidR="00174AEA" w:rsidRPr="00687A1C" w:rsidRDefault="00174AEA" w:rsidP="008A3976">
            <w:pPr>
              <w:pStyle w:val="Tabletextcentred"/>
            </w:pPr>
            <w:r w:rsidRPr="00687A1C">
              <w:t>9.1</w:t>
            </w:r>
          </w:p>
        </w:tc>
        <w:tc>
          <w:tcPr>
            <w:tcW w:w="1187" w:type="dxa"/>
            <w:shd w:val="clear" w:color="auto" w:fill="E0E0E0"/>
          </w:tcPr>
          <w:p w:rsidR="00174AEA" w:rsidRPr="00687A1C" w:rsidRDefault="00174AEA" w:rsidP="00491F1E">
            <w:pPr>
              <w:pStyle w:val="Tabletextright"/>
            </w:pPr>
            <w:r w:rsidRPr="00687A1C">
              <w:t>(8)</w:t>
            </w:r>
          </w:p>
        </w:tc>
        <w:tc>
          <w:tcPr>
            <w:tcW w:w="1187" w:type="dxa"/>
          </w:tcPr>
          <w:p w:rsidR="00174AEA" w:rsidRPr="00687A1C" w:rsidRDefault="00174AEA" w:rsidP="00491F1E">
            <w:pPr>
              <w:pStyle w:val="Tabletextright"/>
            </w:pPr>
            <w:r w:rsidRPr="00687A1C">
              <w:t>(3)</w:t>
            </w:r>
          </w:p>
        </w:tc>
      </w:tr>
      <w:tr w:rsidR="00174AEA" w:rsidRPr="00687A1C" w:rsidTr="00491F1E">
        <w:tc>
          <w:tcPr>
            <w:tcW w:w="4770" w:type="dxa"/>
            <w:vAlign w:val="bottom"/>
          </w:tcPr>
          <w:p w:rsidR="00174AEA" w:rsidRPr="00687A1C" w:rsidRDefault="00174AEA" w:rsidP="008A3976">
            <w:pPr>
              <w:pStyle w:val="Tabletext"/>
            </w:pPr>
            <w:r w:rsidRPr="00687A1C">
              <w:t>Net gain from revaluation of leave liabilities</w:t>
            </w:r>
          </w:p>
        </w:tc>
        <w:tc>
          <w:tcPr>
            <w:tcW w:w="990" w:type="dxa"/>
            <w:vAlign w:val="bottom"/>
          </w:tcPr>
          <w:p w:rsidR="00174AEA" w:rsidRPr="00687A1C" w:rsidRDefault="00174AEA" w:rsidP="008A3976">
            <w:pPr>
              <w:pStyle w:val="Tabletextcentred"/>
            </w:pPr>
            <w:r w:rsidRPr="00687A1C">
              <w:t>9.1</w:t>
            </w:r>
          </w:p>
        </w:tc>
        <w:tc>
          <w:tcPr>
            <w:tcW w:w="1187" w:type="dxa"/>
            <w:shd w:val="clear" w:color="auto" w:fill="E0E0E0"/>
          </w:tcPr>
          <w:p w:rsidR="00174AEA" w:rsidRPr="00687A1C" w:rsidRDefault="00174AEA" w:rsidP="00491F1E">
            <w:pPr>
              <w:pStyle w:val="Tabletextright"/>
            </w:pPr>
            <w:r w:rsidRPr="00687A1C">
              <w:t>50</w:t>
            </w:r>
          </w:p>
        </w:tc>
        <w:tc>
          <w:tcPr>
            <w:tcW w:w="1187" w:type="dxa"/>
          </w:tcPr>
          <w:p w:rsidR="00174AEA" w:rsidRPr="00687A1C" w:rsidRDefault="00174AEA" w:rsidP="00491F1E">
            <w:pPr>
              <w:pStyle w:val="Tabletextright"/>
            </w:pPr>
            <w:r w:rsidRPr="00687A1C">
              <w:t>826</w:t>
            </w:r>
          </w:p>
        </w:tc>
      </w:tr>
      <w:tr w:rsidR="00174AEA" w:rsidRPr="00687A1C" w:rsidTr="00491F1E">
        <w:tc>
          <w:tcPr>
            <w:tcW w:w="4770" w:type="dxa"/>
          </w:tcPr>
          <w:p w:rsidR="00174AEA" w:rsidRPr="00687A1C" w:rsidRDefault="00174AEA" w:rsidP="008A3976">
            <w:pPr>
              <w:pStyle w:val="Tabletextbold"/>
              <w:rPr>
                <w:bCs/>
              </w:rPr>
            </w:pPr>
            <w:r w:rsidRPr="00687A1C">
              <w:t>Total other economic flows included in net result</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rPr>
                <w:b/>
                <w:bCs/>
              </w:rPr>
            </w:pPr>
            <w:r w:rsidRPr="00687A1C">
              <w:rPr>
                <w:b/>
                <w:bCs/>
              </w:rPr>
              <w:t>120</w:t>
            </w:r>
          </w:p>
        </w:tc>
        <w:tc>
          <w:tcPr>
            <w:tcW w:w="1187" w:type="dxa"/>
          </w:tcPr>
          <w:p w:rsidR="00174AEA" w:rsidRPr="00687A1C" w:rsidRDefault="00174AEA" w:rsidP="00491F1E">
            <w:pPr>
              <w:pStyle w:val="Tabletextright"/>
              <w:rPr>
                <w:bCs/>
              </w:rPr>
            </w:pPr>
            <w:r w:rsidRPr="00687A1C">
              <w:rPr>
                <w:b/>
                <w:bCs/>
              </w:rPr>
              <w:t>866</w:t>
            </w:r>
          </w:p>
        </w:tc>
      </w:tr>
      <w:tr w:rsidR="00174AEA" w:rsidRPr="00687A1C" w:rsidTr="00491F1E">
        <w:tc>
          <w:tcPr>
            <w:tcW w:w="4770"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rPr>
                <w:b/>
                <w:bCs/>
              </w:rPr>
            </w:pPr>
          </w:p>
        </w:tc>
        <w:tc>
          <w:tcPr>
            <w:tcW w:w="1187" w:type="dxa"/>
          </w:tcPr>
          <w:p w:rsidR="00174AEA" w:rsidRPr="00687A1C" w:rsidRDefault="00174AEA" w:rsidP="00491F1E">
            <w:pPr>
              <w:pStyle w:val="Tabletextright"/>
              <w:rPr>
                <w:bCs/>
              </w:rPr>
            </w:pPr>
          </w:p>
        </w:tc>
      </w:tr>
      <w:tr w:rsidR="00174AEA" w:rsidRPr="00687A1C" w:rsidTr="00491F1E">
        <w:tc>
          <w:tcPr>
            <w:tcW w:w="4770" w:type="dxa"/>
          </w:tcPr>
          <w:p w:rsidR="00174AEA" w:rsidRPr="00687A1C" w:rsidRDefault="00174AEA" w:rsidP="008A3976">
            <w:pPr>
              <w:pStyle w:val="Tabletextbold"/>
            </w:pPr>
            <w:r w:rsidRPr="00687A1C">
              <w:t>Net result</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D8412D">
            <w:pPr>
              <w:pStyle w:val="Tabletextrightbold"/>
            </w:pPr>
            <w:r w:rsidRPr="00687A1C">
              <w:t>1</w:t>
            </w:r>
            <w:r w:rsidR="00D8412D" w:rsidRPr="00687A1C">
              <w:rPr>
                <w:rFonts w:ascii="Calibri" w:hAnsi="Calibri" w:cs="Calibri"/>
              </w:rPr>
              <w:t xml:space="preserve"> </w:t>
            </w:r>
            <w:r w:rsidR="00AE48A5" w:rsidRPr="00687A1C">
              <w:t>547</w:t>
            </w:r>
          </w:p>
        </w:tc>
        <w:tc>
          <w:tcPr>
            <w:tcW w:w="1187" w:type="dxa"/>
          </w:tcPr>
          <w:p w:rsidR="00174AEA" w:rsidRPr="00687A1C" w:rsidRDefault="00174AEA" w:rsidP="00D8412D">
            <w:pPr>
              <w:pStyle w:val="Tabletextrightbold"/>
            </w:pPr>
            <w:r w:rsidRPr="00687A1C">
              <w:t>5</w:t>
            </w:r>
            <w:r w:rsidR="00D8412D" w:rsidRPr="00687A1C">
              <w:rPr>
                <w:rFonts w:ascii="Calibri" w:hAnsi="Calibri" w:cs="Calibri"/>
              </w:rPr>
              <w:t xml:space="preserve"> </w:t>
            </w:r>
            <w:r w:rsidRPr="00687A1C">
              <w:t>040</w:t>
            </w:r>
          </w:p>
        </w:tc>
      </w:tr>
      <w:tr w:rsidR="00174AEA" w:rsidRPr="00687A1C" w:rsidTr="00491F1E">
        <w:tc>
          <w:tcPr>
            <w:tcW w:w="4770"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pPr>
          </w:p>
        </w:tc>
        <w:tc>
          <w:tcPr>
            <w:tcW w:w="1187" w:type="dxa"/>
          </w:tcPr>
          <w:p w:rsidR="00174AEA" w:rsidRPr="00687A1C" w:rsidRDefault="00174AEA" w:rsidP="00491F1E">
            <w:pPr>
              <w:pStyle w:val="Tabletextright"/>
            </w:pPr>
          </w:p>
        </w:tc>
      </w:tr>
      <w:tr w:rsidR="00174AEA" w:rsidRPr="00687A1C" w:rsidTr="00491F1E">
        <w:tc>
          <w:tcPr>
            <w:tcW w:w="4770" w:type="dxa"/>
          </w:tcPr>
          <w:p w:rsidR="00174AEA" w:rsidRPr="00687A1C" w:rsidRDefault="00174AEA" w:rsidP="008A3976">
            <w:pPr>
              <w:pStyle w:val="Tabletextbold"/>
            </w:pPr>
            <w:r w:rsidRPr="00687A1C">
              <w:t>Other economic flows – other comprehensive income</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rPr>
                <w:bCs/>
                <w:color w:val="000000"/>
              </w:rPr>
            </w:pPr>
          </w:p>
        </w:tc>
        <w:tc>
          <w:tcPr>
            <w:tcW w:w="1187" w:type="dxa"/>
          </w:tcPr>
          <w:p w:rsidR="00174AEA" w:rsidRPr="00687A1C" w:rsidRDefault="00174AEA" w:rsidP="00491F1E">
            <w:pPr>
              <w:pStyle w:val="Tabletextright"/>
              <w:rPr>
                <w:bCs/>
                <w:color w:val="000000"/>
              </w:rPr>
            </w:pPr>
          </w:p>
        </w:tc>
      </w:tr>
      <w:tr w:rsidR="00174AEA" w:rsidRPr="00687A1C" w:rsidTr="00491F1E">
        <w:tc>
          <w:tcPr>
            <w:tcW w:w="4770" w:type="dxa"/>
            <w:vAlign w:val="bottom"/>
          </w:tcPr>
          <w:p w:rsidR="00174AEA" w:rsidRPr="00687A1C" w:rsidRDefault="00174AEA" w:rsidP="008A3976">
            <w:pPr>
              <w:pStyle w:val="Tabletext"/>
            </w:pPr>
            <w:r w:rsidRPr="00687A1C">
              <w:t>Changes in physical asset revaluation surplus</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DE0CB9">
            <w:pPr>
              <w:pStyle w:val="Tabletextright"/>
            </w:pPr>
            <w:r w:rsidRPr="00687A1C">
              <w:t>–</w:t>
            </w:r>
          </w:p>
        </w:tc>
        <w:tc>
          <w:tcPr>
            <w:tcW w:w="1187" w:type="dxa"/>
          </w:tcPr>
          <w:p w:rsidR="00174AEA" w:rsidRPr="00687A1C" w:rsidRDefault="00174AEA" w:rsidP="00DE0CB9">
            <w:pPr>
              <w:pStyle w:val="Tabletextright"/>
            </w:pPr>
            <w:r w:rsidRPr="00687A1C">
              <w:t>250</w:t>
            </w:r>
            <w:r w:rsidR="00D8412D" w:rsidRPr="00687A1C">
              <w:rPr>
                <w:rFonts w:ascii="Calibri" w:hAnsi="Calibri" w:cs="Calibri"/>
              </w:rPr>
              <w:t xml:space="preserve"> </w:t>
            </w:r>
            <w:r w:rsidRPr="00687A1C">
              <w:t>292</w:t>
            </w:r>
          </w:p>
        </w:tc>
      </w:tr>
      <w:tr w:rsidR="00174AEA" w:rsidRPr="00687A1C" w:rsidTr="00491F1E">
        <w:tc>
          <w:tcPr>
            <w:tcW w:w="4770"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491F1E">
            <w:pPr>
              <w:pStyle w:val="Tabletextright"/>
              <w:rPr>
                <w:b/>
              </w:rPr>
            </w:pPr>
          </w:p>
        </w:tc>
        <w:tc>
          <w:tcPr>
            <w:tcW w:w="1187" w:type="dxa"/>
          </w:tcPr>
          <w:p w:rsidR="00174AEA" w:rsidRPr="00687A1C" w:rsidRDefault="00174AEA" w:rsidP="00491F1E">
            <w:pPr>
              <w:pStyle w:val="Tabletextright"/>
            </w:pPr>
          </w:p>
        </w:tc>
      </w:tr>
      <w:tr w:rsidR="00174AEA" w:rsidRPr="00687A1C" w:rsidTr="00491F1E">
        <w:tc>
          <w:tcPr>
            <w:tcW w:w="4770" w:type="dxa"/>
          </w:tcPr>
          <w:p w:rsidR="00174AEA" w:rsidRPr="00687A1C" w:rsidRDefault="00174AEA" w:rsidP="008A3976">
            <w:pPr>
              <w:pStyle w:val="Tabletextbold"/>
            </w:pPr>
            <w:r w:rsidRPr="00687A1C">
              <w:t>Comprehensive result</w:t>
            </w:r>
          </w:p>
        </w:tc>
        <w:tc>
          <w:tcPr>
            <w:tcW w:w="990" w:type="dxa"/>
          </w:tcPr>
          <w:p w:rsidR="00174AEA" w:rsidRPr="00687A1C" w:rsidRDefault="00174AEA" w:rsidP="008A3976">
            <w:pPr>
              <w:pStyle w:val="Tabletextcentred"/>
            </w:pPr>
          </w:p>
        </w:tc>
        <w:tc>
          <w:tcPr>
            <w:tcW w:w="1187" w:type="dxa"/>
            <w:shd w:val="clear" w:color="auto" w:fill="E0E0E0"/>
          </w:tcPr>
          <w:p w:rsidR="00174AEA" w:rsidRPr="00687A1C" w:rsidRDefault="00174AEA" w:rsidP="00D8412D">
            <w:pPr>
              <w:pStyle w:val="Tabletextrightbold"/>
            </w:pPr>
            <w:r w:rsidRPr="00687A1C">
              <w:t>1</w:t>
            </w:r>
            <w:r w:rsidR="00D8412D" w:rsidRPr="00687A1C">
              <w:rPr>
                <w:rFonts w:ascii="Calibri" w:hAnsi="Calibri" w:cs="Calibri"/>
              </w:rPr>
              <w:t xml:space="preserve"> </w:t>
            </w:r>
            <w:r w:rsidR="00AE48A5" w:rsidRPr="00687A1C">
              <w:t>547</w:t>
            </w:r>
          </w:p>
        </w:tc>
        <w:tc>
          <w:tcPr>
            <w:tcW w:w="1187" w:type="dxa"/>
          </w:tcPr>
          <w:p w:rsidR="00174AEA" w:rsidRPr="00687A1C" w:rsidRDefault="00174AEA" w:rsidP="00D8412D">
            <w:pPr>
              <w:pStyle w:val="Tabletextrightbold"/>
            </w:pPr>
            <w:r w:rsidRPr="00687A1C">
              <w:t>255</w:t>
            </w:r>
            <w:r w:rsidR="00D8412D" w:rsidRPr="00687A1C">
              <w:rPr>
                <w:rFonts w:ascii="Calibri" w:hAnsi="Calibri" w:cs="Calibri"/>
              </w:rPr>
              <w:t xml:space="preserve"> </w:t>
            </w:r>
            <w:r w:rsidRPr="00687A1C">
              <w:t>332</w:t>
            </w:r>
          </w:p>
        </w:tc>
      </w:tr>
    </w:tbl>
    <w:p w:rsidR="00174AEA" w:rsidRPr="00687A1C" w:rsidRDefault="00174AEA" w:rsidP="00174AEA">
      <w:pPr>
        <w:pStyle w:val="Notes"/>
      </w:pPr>
      <w:r w:rsidRPr="00687A1C">
        <w:t>The above comprehensive operating statement should be read in conjunction with the accompanying notes.</w:t>
      </w:r>
    </w:p>
    <w:p w:rsidR="00174AEA" w:rsidRPr="00687A1C" w:rsidRDefault="00174AEA" w:rsidP="00174AEA"/>
    <w:p w:rsidR="00174AEA" w:rsidRPr="00687A1C" w:rsidRDefault="00174AEA" w:rsidP="00174AEA">
      <w:pPr>
        <w:spacing w:before="0" w:after="0"/>
      </w:pPr>
      <w:r w:rsidRPr="00687A1C">
        <w:br w:type="page"/>
      </w:r>
    </w:p>
    <w:p w:rsidR="00174AEA" w:rsidRPr="00687A1C" w:rsidRDefault="00174AEA" w:rsidP="00174AEA">
      <w:pPr>
        <w:pStyle w:val="HeadingFin"/>
      </w:pPr>
      <w:bookmarkStart w:id="37" w:name="_Toc525026178"/>
      <w:r w:rsidRPr="00687A1C">
        <w:lastRenderedPageBreak/>
        <w:t>Balance sheet</w:t>
      </w:r>
      <w:bookmarkEnd w:id="37"/>
    </w:p>
    <w:p w:rsidR="00174AEA" w:rsidRPr="00687A1C" w:rsidRDefault="00174AEA" w:rsidP="00174AEA">
      <w:pPr>
        <w:pStyle w:val="Heading2"/>
        <w:spacing w:before="0"/>
      </w:pPr>
      <w:r w:rsidRPr="00687A1C">
        <w:t>as at 30 June 2018</w:t>
      </w:r>
    </w:p>
    <w:tbl>
      <w:tblPr>
        <w:tblW w:w="8208" w:type="dxa"/>
        <w:tblLayout w:type="fixed"/>
        <w:tblLook w:val="0000" w:firstRow="0" w:lastRow="0" w:firstColumn="0" w:lastColumn="0" w:noHBand="0" w:noVBand="0"/>
      </w:tblPr>
      <w:tblGrid>
        <w:gridCol w:w="4788"/>
        <w:gridCol w:w="990"/>
        <w:gridCol w:w="1170"/>
        <w:gridCol w:w="1260"/>
      </w:tblGrid>
      <w:tr w:rsidR="00174AEA" w:rsidRPr="00687A1C" w:rsidTr="008A3976">
        <w:trPr>
          <w:cantSplit/>
        </w:trPr>
        <w:tc>
          <w:tcPr>
            <w:tcW w:w="4788" w:type="dxa"/>
          </w:tcPr>
          <w:p w:rsidR="00174AEA" w:rsidRPr="00687A1C" w:rsidRDefault="00174AEA" w:rsidP="008A3976">
            <w:pPr>
              <w:pStyle w:val="Tabletext"/>
            </w:pPr>
          </w:p>
        </w:tc>
        <w:tc>
          <w:tcPr>
            <w:tcW w:w="990" w:type="dxa"/>
          </w:tcPr>
          <w:p w:rsidR="00174AEA" w:rsidRPr="00687A1C" w:rsidRDefault="00174AEA" w:rsidP="008A3976">
            <w:pPr>
              <w:pStyle w:val="Tabletextheadingleft"/>
            </w:pPr>
          </w:p>
        </w:tc>
        <w:tc>
          <w:tcPr>
            <w:tcW w:w="1170" w:type="dxa"/>
            <w:vAlign w:val="bottom"/>
          </w:tcPr>
          <w:p w:rsidR="00174AEA" w:rsidRPr="00687A1C" w:rsidRDefault="00174AEA" w:rsidP="008A3976">
            <w:pPr>
              <w:pStyle w:val="Tabletextheadingright"/>
            </w:pPr>
            <w:r w:rsidRPr="00687A1C">
              <w:t>2018</w:t>
            </w:r>
          </w:p>
        </w:tc>
        <w:tc>
          <w:tcPr>
            <w:tcW w:w="1260" w:type="dxa"/>
            <w:vAlign w:val="bottom"/>
          </w:tcPr>
          <w:p w:rsidR="00174AEA" w:rsidRPr="00687A1C" w:rsidRDefault="00174AEA" w:rsidP="008A3976">
            <w:pPr>
              <w:pStyle w:val="Tabletextheadingright"/>
            </w:pPr>
            <w:r w:rsidRPr="00687A1C">
              <w:t>2017</w:t>
            </w:r>
          </w:p>
        </w:tc>
      </w:tr>
      <w:tr w:rsidR="00174AEA" w:rsidRPr="00687A1C" w:rsidTr="008A3976">
        <w:trPr>
          <w:cantSplit/>
        </w:trPr>
        <w:tc>
          <w:tcPr>
            <w:tcW w:w="4788" w:type="dxa"/>
          </w:tcPr>
          <w:p w:rsidR="00174AEA" w:rsidRPr="00687A1C" w:rsidRDefault="00174AEA" w:rsidP="008A3976">
            <w:pPr>
              <w:pStyle w:val="Tabletext"/>
            </w:pPr>
          </w:p>
        </w:tc>
        <w:tc>
          <w:tcPr>
            <w:tcW w:w="990" w:type="dxa"/>
          </w:tcPr>
          <w:p w:rsidR="00174AEA" w:rsidRPr="00687A1C" w:rsidRDefault="00174AEA" w:rsidP="008A3976">
            <w:pPr>
              <w:pStyle w:val="Tabletextheadingcentred"/>
            </w:pPr>
            <w:r w:rsidRPr="00687A1C">
              <w:t>Notes</w:t>
            </w:r>
          </w:p>
        </w:tc>
        <w:tc>
          <w:tcPr>
            <w:tcW w:w="1170" w:type="dxa"/>
            <w:vAlign w:val="center"/>
          </w:tcPr>
          <w:p w:rsidR="00174AEA" w:rsidRPr="00687A1C" w:rsidRDefault="00174AEA" w:rsidP="008A3976">
            <w:pPr>
              <w:pStyle w:val="Tabletextheadingright"/>
              <w:rPr>
                <w:bCs/>
              </w:rPr>
            </w:pPr>
            <w:r w:rsidRPr="00687A1C">
              <w:rPr>
                <w:bCs/>
              </w:rPr>
              <w:t>$’000</w:t>
            </w:r>
          </w:p>
        </w:tc>
        <w:tc>
          <w:tcPr>
            <w:tcW w:w="1260" w:type="dxa"/>
            <w:vAlign w:val="center"/>
          </w:tcPr>
          <w:p w:rsidR="00174AEA" w:rsidRPr="00687A1C" w:rsidRDefault="00174AEA" w:rsidP="008A3976">
            <w:pPr>
              <w:pStyle w:val="Tabletextheadingright"/>
              <w:rPr>
                <w:bCs/>
              </w:rPr>
            </w:pPr>
            <w:r w:rsidRPr="00687A1C">
              <w:rPr>
                <w:bCs/>
              </w:rPr>
              <w:t>$’000</w:t>
            </w:r>
          </w:p>
        </w:tc>
      </w:tr>
      <w:tr w:rsidR="00174AEA" w:rsidRPr="00687A1C" w:rsidTr="00491F1E">
        <w:trPr>
          <w:cantSplit/>
        </w:trPr>
        <w:tc>
          <w:tcPr>
            <w:tcW w:w="4788" w:type="dxa"/>
          </w:tcPr>
          <w:p w:rsidR="00174AEA" w:rsidRPr="00687A1C" w:rsidRDefault="00174AEA" w:rsidP="008A3976">
            <w:pPr>
              <w:pStyle w:val="Tabletextbold"/>
            </w:pPr>
            <w:r w:rsidRPr="00687A1C">
              <w:t>Assets</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Del="00511BE6" w:rsidRDefault="00174AEA" w:rsidP="008A3976">
            <w:pPr>
              <w:pStyle w:val="Tabletextbold"/>
            </w:pPr>
            <w:r w:rsidRPr="00687A1C">
              <w:t>Financial assets</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
            </w:pPr>
            <w:r w:rsidRPr="00687A1C">
              <w:t>Cash and deposits</w:t>
            </w:r>
          </w:p>
        </w:tc>
        <w:tc>
          <w:tcPr>
            <w:tcW w:w="990" w:type="dxa"/>
            <w:vAlign w:val="center"/>
          </w:tcPr>
          <w:p w:rsidR="00174AEA" w:rsidRPr="00687A1C" w:rsidRDefault="00174AEA" w:rsidP="008A3976">
            <w:pPr>
              <w:pStyle w:val="Tabletextcentred"/>
            </w:pPr>
            <w:r w:rsidRPr="00687A1C">
              <w:t>7.2</w:t>
            </w:r>
          </w:p>
        </w:tc>
        <w:tc>
          <w:tcPr>
            <w:tcW w:w="1170" w:type="dxa"/>
            <w:shd w:val="clear" w:color="auto" w:fill="E0E0E0"/>
          </w:tcPr>
          <w:p w:rsidR="00174AEA" w:rsidRPr="00687A1C" w:rsidRDefault="00174AEA" w:rsidP="00D8412D">
            <w:pPr>
              <w:pStyle w:val="Tabletextright"/>
            </w:pPr>
            <w:r w:rsidRPr="00687A1C">
              <w:t>30</w:t>
            </w:r>
            <w:r w:rsidR="00D8412D" w:rsidRPr="00687A1C">
              <w:rPr>
                <w:rFonts w:ascii="Calibri" w:hAnsi="Calibri" w:cs="Calibri"/>
              </w:rPr>
              <w:t xml:space="preserve"> </w:t>
            </w:r>
            <w:r w:rsidRPr="00687A1C">
              <w:t>200</w:t>
            </w:r>
          </w:p>
        </w:tc>
        <w:tc>
          <w:tcPr>
            <w:tcW w:w="1260" w:type="dxa"/>
            <w:shd w:val="clear" w:color="auto" w:fill="auto"/>
          </w:tcPr>
          <w:p w:rsidR="00174AEA" w:rsidRPr="00687A1C" w:rsidRDefault="00174AEA" w:rsidP="00D8412D">
            <w:pPr>
              <w:pStyle w:val="Tabletextright"/>
            </w:pPr>
            <w:r w:rsidRPr="00687A1C">
              <w:t>32</w:t>
            </w:r>
            <w:r w:rsidR="00D8412D" w:rsidRPr="00687A1C">
              <w:rPr>
                <w:rFonts w:ascii="Calibri" w:hAnsi="Calibri" w:cs="Calibri"/>
              </w:rPr>
              <w:t xml:space="preserve"> </w:t>
            </w:r>
            <w:r w:rsidRPr="00687A1C">
              <w:t>294</w:t>
            </w:r>
          </w:p>
        </w:tc>
      </w:tr>
      <w:tr w:rsidR="00174AEA" w:rsidRPr="00687A1C" w:rsidTr="00491F1E">
        <w:trPr>
          <w:cantSplit/>
        </w:trPr>
        <w:tc>
          <w:tcPr>
            <w:tcW w:w="4788" w:type="dxa"/>
          </w:tcPr>
          <w:p w:rsidR="00174AEA" w:rsidRPr="00687A1C" w:rsidRDefault="00174AEA" w:rsidP="008A3976">
            <w:pPr>
              <w:pStyle w:val="Tabletext"/>
            </w:pPr>
            <w:r w:rsidRPr="00687A1C">
              <w:t>Receivables</w:t>
            </w:r>
          </w:p>
        </w:tc>
        <w:tc>
          <w:tcPr>
            <w:tcW w:w="990" w:type="dxa"/>
            <w:vAlign w:val="center"/>
          </w:tcPr>
          <w:p w:rsidR="00174AEA" w:rsidRPr="00687A1C" w:rsidRDefault="00174AEA" w:rsidP="008A3976">
            <w:pPr>
              <w:pStyle w:val="Tabletextcentred"/>
            </w:pPr>
            <w:r w:rsidRPr="00687A1C">
              <w:t>6.1</w:t>
            </w:r>
          </w:p>
        </w:tc>
        <w:tc>
          <w:tcPr>
            <w:tcW w:w="1170" w:type="dxa"/>
            <w:shd w:val="clear" w:color="auto" w:fill="E0E0E0"/>
          </w:tcPr>
          <w:p w:rsidR="00174AEA" w:rsidRPr="00687A1C" w:rsidRDefault="00AE48A5" w:rsidP="00AE48A5">
            <w:pPr>
              <w:pStyle w:val="Tabletextright"/>
            </w:pPr>
            <w:r w:rsidRPr="00687A1C">
              <w:t>301 060</w:t>
            </w:r>
          </w:p>
        </w:tc>
        <w:tc>
          <w:tcPr>
            <w:tcW w:w="1260" w:type="dxa"/>
            <w:shd w:val="clear" w:color="auto" w:fill="auto"/>
          </w:tcPr>
          <w:p w:rsidR="00174AEA" w:rsidRPr="00687A1C" w:rsidRDefault="00174AEA" w:rsidP="00D8412D">
            <w:pPr>
              <w:pStyle w:val="Tabletextright"/>
            </w:pPr>
            <w:r w:rsidRPr="00687A1C">
              <w:t>278</w:t>
            </w:r>
            <w:r w:rsidR="00D8412D" w:rsidRPr="00687A1C">
              <w:rPr>
                <w:rFonts w:ascii="Calibri" w:hAnsi="Calibri" w:cs="Calibri"/>
              </w:rPr>
              <w:t xml:space="preserve"> </w:t>
            </w:r>
            <w:r w:rsidRPr="00687A1C">
              <w:t>132</w:t>
            </w:r>
          </w:p>
        </w:tc>
      </w:tr>
      <w:tr w:rsidR="00174AEA" w:rsidRPr="00687A1C" w:rsidTr="00491F1E">
        <w:trPr>
          <w:cantSplit/>
        </w:trPr>
        <w:tc>
          <w:tcPr>
            <w:tcW w:w="4788" w:type="dxa"/>
          </w:tcPr>
          <w:p w:rsidR="00174AEA" w:rsidRPr="00687A1C" w:rsidRDefault="00174AEA" w:rsidP="008A3976">
            <w:pPr>
              <w:pStyle w:val="Tabletextbold"/>
            </w:pPr>
            <w:r w:rsidRPr="00687A1C">
              <w:t>Total financial assets</w:t>
            </w:r>
          </w:p>
        </w:tc>
        <w:tc>
          <w:tcPr>
            <w:tcW w:w="990" w:type="dxa"/>
            <w:vAlign w:val="center"/>
          </w:tcPr>
          <w:p w:rsidR="00174AEA" w:rsidRPr="00687A1C" w:rsidRDefault="00174AEA" w:rsidP="008A3976">
            <w:pPr>
              <w:pStyle w:val="Tabletextcentred"/>
            </w:pPr>
          </w:p>
        </w:tc>
        <w:tc>
          <w:tcPr>
            <w:tcW w:w="1170" w:type="dxa"/>
            <w:shd w:val="clear" w:color="auto" w:fill="E0E0E0"/>
          </w:tcPr>
          <w:p w:rsidR="00174AEA" w:rsidRPr="00687A1C" w:rsidRDefault="00AE48A5" w:rsidP="00491F1E">
            <w:pPr>
              <w:pStyle w:val="Tabletextrightbold"/>
            </w:pPr>
            <w:r w:rsidRPr="00687A1C">
              <w:t>331 260</w:t>
            </w:r>
          </w:p>
        </w:tc>
        <w:tc>
          <w:tcPr>
            <w:tcW w:w="1260" w:type="dxa"/>
            <w:shd w:val="clear" w:color="auto" w:fill="auto"/>
          </w:tcPr>
          <w:p w:rsidR="00174AEA" w:rsidRPr="00687A1C" w:rsidRDefault="00174AEA" w:rsidP="00D8412D">
            <w:pPr>
              <w:pStyle w:val="Tabletextrightbold"/>
            </w:pPr>
            <w:r w:rsidRPr="00687A1C">
              <w:t>310</w:t>
            </w:r>
            <w:r w:rsidR="00D8412D" w:rsidRPr="00687A1C">
              <w:rPr>
                <w:rFonts w:ascii="Calibri" w:hAnsi="Calibri" w:cs="Calibri"/>
              </w:rPr>
              <w:t xml:space="preserve"> </w:t>
            </w:r>
            <w:r w:rsidRPr="00687A1C">
              <w:t>426</w:t>
            </w:r>
          </w:p>
        </w:tc>
      </w:tr>
      <w:tr w:rsidR="00174AEA" w:rsidRPr="00687A1C" w:rsidTr="00491F1E">
        <w:trPr>
          <w:cantSplit/>
        </w:trPr>
        <w:tc>
          <w:tcPr>
            <w:tcW w:w="4788"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rPr>
                <w:b/>
              </w:rPr>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bold"/>
            </w:pPr>
            <w:r w:rsidRPr="00687A1C">
              <w:t>Non</w:t>
            </w:r>
            <w:r w:rsidRPr="00687A1C">
              <w:noBreakHyphen/>
              <w:t>financial assets</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rPr>
                <w:b/>
              </w:rPr>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
            </w:pPr>
            <w:r w:rsidRPr="00687A1C">
              <w:t>Prepayments</w:t>
            </w:r>
          </w:p>
        </w:tc>
        <w:tc>
          <w:tcPr>
            <w:tcW w:w="990" w:type="dxa"/>
            <w:vAlign w:val="center"/>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419</w:t>
            </w:r>
          </w:p>
        </w:tc>
        <w:tc>
          <w:tcPr>
            <w:tcW w:w="1260" w:type="dxa"/>
            <w:shd w:val="clear" w:color="auto" w:fill="auto"/>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974</w:t>
            </w:r>
          </w:p>
        </w:tc>
      </w:tr>
      <w:tr w:rsidR="00174AEA" w:rsidRPr="00687A1C" w:rsidTr="00491F1E">
        <w:trPr>
          <w:cantSplit/>
        </w:trPr>
        <w:tc>
          <w:tcPr>
            <w:tcW w:w="4788" w:type="dxa"/>
          </w:tcPr>
          <w:p w:rsidR="00174AEA" w:rsidRPr="00687A1C" w:rsidRDefault="00174AEA" w:rsidP="008A3976">
            <w:pPr>
              <w:pStyle w:val="Tabletext"/>
            </w:pPr>
            <w:r w:rsidRPr="00687A1C">
              <w:t>Non</w:t>
            </w:r>
            <w:r w:rsidRPr="00687A1C">
              <w:noBreakHyphen/>
              <w:t>financial assets classified as held for sale</w:t>
            </w:r>
          </w:p>
        </w:tc>
        <w:tc>
          <w:tcPr>
            <w:tcW w:w="990" w:type="dxa"/>
            <w:vAlign w:val="center"/>
          </w:tcPr>
          <w:p w:rsidR="00174AEA" w:rsidRPr="00687A1C" w:rsidRDefault="00174AEA" w:rsidP="008A3976">
            <w:pPr>
              <w:pStyle w:val="Tabletextcentred"/>
            </w:pPr>
            <w:r w:rsidRPr="00687A1C">
              <w:t>6.3</w:t>
            </w:r>
          </w:p>
        </w:tc>
        <w:tc>
          <w:tcPr>
            <w:tcW w:w="1170" w:type="dxa"/>
            <w:shd w:val="clear" w:color="auto" w:fill="E0E0E0"/>
          </w:tcPr>
          <w:p w:rsidR="00174AEA" w:rsidRPr="00687A1C" w:rsidRDefault="00174AEA" w:rsidP="00D8412D">
            <w:pPr>
              <w:pStyle w:val="Tabletextright"/>
            </w:pPr>
            <w:r w:rsidRPr="00687A1C">
              <w:t>11</w:t>
            </w:r>
            <w:r w:rsidR="00D8412D" w:rsidRPr="00687A1C">
              <w:rPr>
                <w:rFonts w:ascii="Calibri" w:hAnsi="Calibri" w:cs="Calibri"/>
              </w:rPr>
              <w:t xml:space="preserve"> </w:t>
            </w:r>
            <w:r w:rsidRPr="00687A1C">
              <w:t>681</w:t>
            </w:r>
          </w:p>
        </w:tc>
        <w:tc>
          <w:tcPr>
            <w:tcW w:w="1260" w:type="dxa"/>
            <w:shd w:val="clear" w:color="auto" w:fill="auto"/>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576</w:t>
            </w:r>
          </w:p>
        </w:tc>
      </w:tr>
      <w:tr w:rsidR="00174AEA" w:rsidRPr="00687A1C" w:rsidTr="00491F1E">
        <w:trPr>
          <w:cantSplit/>
        </w:trPr>
        <w:tc>
          <w:tcPr>
            <w:tcW w:w="4788" w:type="dxa"/>
          </w:tcPr>
          <w:p w:rsidR="00174AEA" w:rsidRPr="00687A1C" w:rsidRDefault="00174AEA" w:rsidP="008A3976">
            <w:pPr>
              <w:pStyle w:val="Tabletext"/>
            </w:pPr>
            <w:r w:rsidRPr="00687A1C">
              <w:t>Property, plant and equipment</w:t>
            </w:r>
          </w:p>
        </w:tc>
        <w:tc>
          <w:tcPr>
            <w:tcW w:w="990" w:type="dxa"/>
            <w:vAlign w:val="center"/>
          </w:tcPr>
          <w:p w:rsidR="00174AEA" w:rsidRPr="00687A1C" w:rsidRDefault="00174AEA" w:rsidP="008A3976">
            <w:pPr>
              <w:pStyle w:val="Tabletextcentred"/>
            </w:pPr>
            <w:r w:rsidRPr="00687A1C">
              <w:t>5.1</w:t>
            </w:r>
          </w:p>
        </w:tc>
        <w:tc>
          <w:tcPr>
            <w:tcW w:w="1170" w:type="dxa"/>
            <w:shd w:val="clear" w:color="auto" w:fill="E0E0E0"/>
          </w:tcPr>
          <w:p w:rsidR="00174AEA" w:rsidRPr="00687A1C" w:rsidRDefault="00174AEA" w:rsidP="00D8412D">
            <w:pPr>
              <w:pStyle w:val="Tabletextright"/>
            </w:pPr>
            <w:r w:rsidRPr="00687A1C">
              <w:t>792</w:t>
            </w:r>
            <w:r w:rsidR="00D8412D" w:rsidRPr="00687A1C">
              <w:rPr>
                <w:rFonts w:ascii="Calibri" w:hAnsi="Calibri" w:cs="Calibri"/>
              </w:rPr>
              <w:t xml:space="preserve"> </w:t>
            </w:r>
            <w:r w:rsidRPr="00687A1C">
              <w:t>0</w:t>
            </w:r>
            <w:r w:rsidR="00AE48A5" w:rsidRPr="00687A1C">
              <w:t>26</w:t>
            </w:r>
          </w:p>
        </w:tc>
        <w:tc>
          <w:tcPr>
            <w:tcW w:w="1260" w:type="dxa"/>
            <w:shd w:val="clear" w:color="auto" w:fill="auto"/>
          </w:tcPr>
          <w:p w:rsidR="00174AEA" w:rsidRPr="00687A1C" w:rsidRDefault="00174AEA" w:rsidP="00D8412D">
            <w:pPr>
              <w:pStyle w:val="Tabletextright"/>
            </w:pPr>
            <w:r w:rsidRPr="00687A1C">
              <w:t>798</w:t>
            </w:r>
            <w:r w:rsidR="00D8412D" w:rsidRPr="00687A1C">
              <w:rPr>
                <w:rFonts w:ascii="Calibri" w:hAnsi="Calibri" w:cs="Calibri"/>
              </w:rPr>
              <w:t xml:space="preserve"> </w:t>
            </w:r>
            <w:r w:rsidRPr="00687A1C">
              <w:t>817</w:t>
            </w:r>
          </w:p>
        </w:tc>
      </w:tr>
      <w:tr w:rsidR="00174AEA" w:rsidRPr="00687A1C" w:rsidTr="00491F1E">
        <w:trPr>
          <w:cantSplit/>
        </w:trPr>
        <w:tc>
          <w:tcPr>
            <w:tcW w:w="4788" w:type="dxa"/>
          </w:tcPr>
          <w:p w:rsidR="00174AEA" w:rsidRPr="00687A1C" w:rsidRDefault="00174AEA" w:rsidP="008A3976">
            <w:pPr>
              <w:pStyle w:val="Tabletext"/>
            </w:pPr>
            <w:r w:rsidRPr="00687A1C">
              <w:t>Intangible assets</w:t>
            </w:r>
          </w:p>
        </w:tc>
        <w:tc>
          <w:tcPr>
            <w:tcW w:w="990" w:type="dxa"/>
            <w:vAlign w:val="center"/>
          </w:tcPr>
          <w:p w:rsidR="00174AEA" w:rsidRPr="00687A1C" w:rsidRDefault="00174AEA" w:rsidP="008A3976">
            <w:pPr>
              <w:pStyle w:val="Tabletextcentred"/>
            </w:pPr>
            <w:r w:rsidRPr="00687A1C">
              <w:t>5.2</w:t>
            </w:r>
          </w:p>
        </w:tc>
        <w:tc>
          <w:tcPr>
            <w:tcW w:w="1170" w:type="dxa"/>
            <w:shd w:val="clear" w:color="auto" w:fill="E0E0E0"/>
          </w:tcPr>
          <w:p w:rsidR="00174AEA" w:rsidRPr="00687A1C" w:rsidRDefault="00174AEA" w:rsidP="00D8412D">
            <w:pPr>
              <w:pStyle w:val="Tabletextright"/>
            </w:pPr>
            <w:r w:rsidRPr="00687A1C">
              <w:t>14</w:t>
            </w:r>
            <w:r w:rsidR="00D8412D" w:rsidRPr="00687A1C">
              <w:rPr>
                <w:rFonts w:ascii="Calibri" w:hAnsi="Calibri" w:cs="Calibri"/>
              </w:rPr>
              <w:t xml:space="preserve"> </w:t>
            </w:r>
            <w:r w:rsidR="00AE48A5" w:rsidRPr="00687A1C">
              <w:t>277</w:t>
            </w:r>
          </w:p>
        </w:tc>
        <w:tc>
          <w:tcPr>
            <w:tcW w:w="1260" w:type="dxa"/>
            <w:shd w:val="clear" w:color="auto" w:fill="auto"/>
          </w:tcPr>
          <w:p w:rsidR="00174AEA" w:rsidRPr="00687A1C" w:rsidRDefault="00174AEA" w:rsidP="00D8412D">
            <w:pPr>
              <w:pStyle w:val="Tabletextright"/>
            </w:pPr>
            <w:r w:rsidRPr="00687A1C">
              <w:t>27</w:t>
            </w:r>
            <w:r w:rsidR="00D8412D" w:rsidRPr="00687A1C">
              <w:rPr>
                <w:rFonts w:ascii="Calibri" w:hAnsi="Calibri" w:cs="Calibri"/>
              </w:rPr>
              <w:t xml:space="preserve"> </w:t>
            </w:r>
            <w:r w:rsidRPr="00687A1C">
              <w:t>591</w:t>
            </w:r>
          </w:p>
        </w:tc>
      </w:tr>
      <w:tr w:rsidR="00174AEA" w:rsidRPr="00687A1C" w:rsidTr="00491F1E">
        <w:trPr>
          <w:cantSplit/>
        </w:trPr>
        <w:tc>
          <w:tcPr>
            <w:tcW w:w="4788" w:type="dxa"/>
          </w:tcPr>
          <w:p w:rsidR="00174AEA" w:rsidRPr="00687A1C" w:rsidRDefault="00174AEA" w:rsidP="008A3976">
            <w:pPr>
              <w:pStyle w:val="Tabletextbold"/>
            </w:pPr>
            <w:r w:rsidRPr="00687A1C">
              <w:t>Total non</w:t>
            </w:r>
            <w:r w:rsidRPr="00687A1C">
              <w:noBreakHyphen/>
              <w:t>financial assets</w:t>
            </w:r>
          </w:p>
        </w:tc>
        <w:tc>
          <w:tcPr>
            <w:tcW w:w="990" w:type="dxa"/>
            <w:vAlign w:val="center"/>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bold"/>
            </w:pPr>
            <w:r w:rsidRPr="00687A1C">
              <w:t>822</w:t>
            </w:r>
            <w:r w:rsidR="00D8412D" w:rsidRPr="00687A1C">
              <w:rPr>
                <w:rFonts w:ascii="Calibri" w:hAnsi="Calibri" w:cs="Calibri"/>
              </w:rPr>
              <w:t xml:space="preserve"> </w:t>
            </w:r>
            <w:r w:rsidR="00AE48A5" w:rsidRPr="00687A1C">
              <w:t>403</w:t>
            </w:r>
          </w:p>
        </w:tc>
        <w:tc>
          <w:tcPr>
            <w:tcW w:w="1260" w:type="dxa"/>
            <w:shd w:val="clear" w:color="auto" w:fill="auto"/>
          </w:tcPr>
          <w:p w:rsidR="00174AEA" w:rsidRPr="00687A1C" w:rsidRDefault="00174AEA" w:rsidP="00D8412D">
            <w:pPr>
              <w:pStyle w:val="Tabletextrightbold"/>
            </w:pPr>
            <w:r w:rsidRPr="00687A1C">
              <w:t>834</w:t>
            </w:r>
            <w:r w:rsidR="00D8412D" w:rsidRPr="00687A1C">
              <w:rPr>
                <w:rFonts w:ascii="Calibri" w:hAnsi="Calibri" w:cs="Calibri"/>
              </w:rPr>
              <w:t xml:space="preserve"> </w:t>
            </w:r>
            <w:r w:rsidRPr="00687A1C">
              <w:t>958</w:t>
            </w:r>
          </w:p>
        </w:tc>
      </w:tr>
      <w:tr w:rsidR="00174AEA" w:rsidRPr="00687A1C" w:rsidTr="00491F1E">
        <w:trPr>
          <w:cantSplit/>
        </w:trPr>
        <w:tc>
          <w:tcPr>
            <w:tcW w:w="4788" w:type="dxa"/>
          </w:tcPr>
          <w:p w:rsidR="00174AEA" w:rsidRPr="00687A1C" w:rsidRDefault="00174AEA" w:rsidP="008A3976">
            <w:pPr>
              <w:pStyle w:val="Tabletextbold"/>
            </w:pPr>
            <w:r w:rsidRPr="00687A1C">
              <w:t>Total assets</w:t>
            </w:r>
          </w:p>
        </w:tc>
        <w:tc>
          <w:tcPr>
            <w:tcW w:w="990" w:type="dxa"/>
            <w:vAlign w:val="center"/>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bold"/>
            </w:pPr>
            <w:r w:rsidRPr="00687A1C">
              <w:t>1</w:t>
            </w:r>
            <w:r w:rsidR="00D8412D" w:rsidRPr="00687A1C">
              <w:rPr>
                <w:rFonts w:ascii="Calibri" w:hAnsi="Calibri" w:cs="Calibri"/>
              </w:rPr>
              <w:t xml:space="preserve"> </w:t>
            </w:r>
            <w:r w:rsidR="00AE48A5" w:rsidRPr="00687A1C">
              <w:t>153 663</w:t>
            </w:r>
          </w:p>
        </w:tc>
        <w:tc>
          <w:tcPr>
            <w:tcW w:w="1260" w:type="dxa"/>
            <w:shd w:val="clear" w:color="auto" w:fill="auto"/>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145</w:t>
            </w:r>
            <w:r w:rsidR="00D8412D" w:rsidRPr="00687A1C">
              <w:rPr>
                <w:rFonts w:ascii="Calibri" w:hAnsi="Calibri" w:cs="Calibri"/>
              </w:rPr>
              <w:t xml:space="preserve"> </w:t>
            </w:r>
            <w:r w:rsidRPr="00687A1C">
              <w:t>384</w:t>
            </w:r>
          </w:p>
        </w:tc>
      </w:tr>
      <w:tr w:rsidR="00174AEA" w:rsidRPr="00687A1C" w:rsidTr="00491F1E">
        <w:trPr>
          <w:cantSplit/>
        </w:trPr>
        <w:tc>
          <w:tcPr>
            <w:tcW w:w="4788"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rPr>
                <w:b/>
              </w:rPr>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bold"/>
            </w:pPr>
            <w:r w:rsidRPr="00687A1C">
              <w:t>Liabilities</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rPr>
                <w:b/>
              </w:rPr>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
            </w:pPr>
            <w:r w:rsidRPr="00687A1C">
              <w:t>Payables</w:t>
            </w:r>
          </w:p>
        </w:tc>
        <w:tc>
          <w:tcPr>
            <w:tcW w:w="990" w:type="dxa"/>
            <w:vAlign w:val="center"/>
          </w:tcPr>
          <w:p w:rsidR="00174AEA" w:rsidRPr="00687A1C" w:rsidRDefault="00174AEA" w:rsidP="008A3976">
            <w:pPr>
              <w:pStyle w:val="Tabletextcentred"/>
            </w:pPr>
            <w:r w:rsidRPr="00687A1C">
              <w:t>6.2</w:t>
            </w:r>
          </w:p>
        </w:tc>
        <w:tc>
          <w:tcPr>
            <w:tcW w:w="1170" w:type="dxa"/>
            <w:shd w:val="clear" w:color="auto" w:fill="E0E0E0"/>
          </w:tcPr>
          <w:p w:rsidR="00174AEA" w:rsidRPr="00687A1C" w:rsidRDefault="00AE48A5" w:rsidP="00491F1E">
            <w:pPr>
              <w:pStyle w:val="Tabletextright"/>
            </w:pPr>
            <w:r w:rsidRPr="00687A1C">
              <w:t>52 847</w:t>
            </w:r>
          </w:p>
        </w:tc>
        <w:tc>
          <w:tcPr>
            <w:tcW w:w="1260" w:type="dxa"/>
            <w:shd w:val="clear" w:color="auto" w:fill="auto"/>
          </w:tcPr>
          <w:p w:rsidR="00174AEA" w:rsidRPr="00687A1C" w:rsidRDefault="00174AEA" w:rsidP="00D8412D">
            <w:pPr>
              <w:pStyle w:val="Tabletextright"/>
            </w:pPr>
            <w:r w:rsidRPr="00687A1C">
              <w:t>48</w:t>
            </w:r>
            <w:r w:rsidR="00D8412D" w:rsidRPr="00687A1C">
              <w:rPr>
                <w:rFonts w:ascii="Calibri" w:hAnsi="Calibri" w:cs="Calibri"/>
              </w:rPr>
              <w:t xml:space="preserve"> </w:t>
            </w:r>
            <w:r w:rsidRPr="00687A1C">
              <w:t>100</w:t>
            </w:r>
          </w:p>
        </w:tc>
      </w:tr>
      <w:tr w:rsidR="00174AEA" w:rsidRPr="00687A1C" w:rsidTr="00491F1E">
        <w:trPr>
          <w:cantSplit/>
        </w:trPr>
        <w:tc>
          <w:tcPr>
            <w:tcW w:w="4788" w:type="dxa"/>
          </w:tcPr>
          <w:p w:rsidR="00174AEA" w:rsidRPr="00687A1C" w:rsidRDefault="00174AEA" w:rsidP="008A3976">
            <w:pPr>
              <w:pStyle w:val="Tabletext"/>
            </w:pPr>
            <w:r w:rsidRPr="00687A1C">
              <w:t>Employee related provisions</w:t>
            </w:r>
          </w:p>
        </w:tc>
        <w:tc>
          <w:tcPr>
            <w:tcW w:w="990" w:type="dxa"/>
            <w:vAlign w:val="center"/>
          </w:tcPr>
          <w:p w:rsidR="00174AEA" w:rsidRPr="00687A1C" w:rsidRDefault="00174AEA" w:rsidP="008A3976">
            <w:pPr>
              <w:pStyle w:val="Tabletextcentred"/>
            </w:pPr>
            <w:r w:rsidRPr="00687A1C">
              <w:t>3.1.2</w:t>
            </w:r>
          </w:p>
        </w:tc>
        <w:tc>
          <w:tcPr>
            <w:tcW w:w="1170" w:type="dxa"/>
            <w:shd w:val="clear" w:color="auto" w:fill="E0E0E0"/>
          </w:tcPr>
          <w:p w:rsidR="00174AEA" w:rsidRPr="00687A1C" w:rsidRDefault="00174AEA" w:rsidP="00D8412D">
            <w:pPr>
              <w:pStyle w:val="Tabletextright"/>
            </w:pPr>
            <w:r w:rsidRPr="00687A1C">
              <w:t>40</w:t>
            </w:r>
            <w:r w:rsidR="00D8412D" w:rsidRPr="00687A1C">
              <w:rPr>
                <w:rFonts w:ascii="Calibri" w:hAnsi="Calibri" w:cs="Calibri"/>
              </w:rPr>
              <w:t xml:space="preserve"> </w:t>
            </w:r>
            <w:r w:rsidR="00AE48A5" w:rsidRPr="00687A1C">
              <w:t>187</w:t>
            </w:r>
          </w:p>
        </w:tc>
        <w:tc>
          <w:tcPr>
            <w:tcW w:w="1260" w:type="dxa"/>
            <w:shd w:val="clear" w:color="auto" w:fill="auto"/>
          </w:tcPr>
          <w:p w:rsidR="00174AEA" w:rsidRPr="00687A1C" w:rsidRDefault="00174AEA" w:rsidP="00D8412D">
            <w:pPr>
              <w:pStyle w:val="Tabletextright"/>
            </w:pPr>
            <w:r w:rsidRPr="00687A1C">
              <w:t>37</w:t>
            </w:r>
            <w:r w:rsidR="00D8412D" w:rsidRPr="00687A1C">
              <w:rPr>
                <w:rFonts w:ascii="Calibri" w:hAnsi="Calibri" w:cs="Calibri"/>
              </w:rPr>
              <w:t xml:space="preserve"> </w:t>
            </w:r>
            <w:r w:rsidRPr="00687A1C">
              <w:t>900</w:t>
            </w:r>
          </w:p>
        </w:tc>
      </w:tr>
      <w:tr w:rsidR="00174AEA" w:rsidRPr="00687A1C" w:rsidTr="00491F1E">
        <w:trPr>
          <w:cantSplit/>
        </w:trPr>
        <w:tc>
          <w:tcPr>
            <w:tcW w:w="4788" w:type="dxa"/>
          </w:tcPr>
          <w:p w:rsidR="00174AEA" w:rsidRPr="00687A1C" w:rsidRDefault="00174AEA" w:rsidP="008A3976">
            <w:pPr>
              <w:pStyle w:val="Tabletext"/>
            </w:pPr>
            <w:r w:rsidRPr="00687A1C">
              <w:t>Provision for land remediation</w:t>
            </w:r>
          </w:p>
        </w:tc>
        <w:tc>
          <w:tcPr>
            <w:tcW w:w="990" w:type="dxa"/>
            <w:vAlign w:val="center"/>
          </w:tcPr>
          <w:p w:rsidR="00174AEA" w:rsidRPr="00687A1C" w:rsidRDefault="00174AEA" w:rsidP="008A3976">
            <w:pPr>
              <w:pStyle w:val="Tabletextcentred"/>
            </w:pPr>
            <w:r w:rsidRPr="00687A1C">
              <w:t>3.5</w:t>
            </w:r>
          </w:p>
        </w:tc>
        <w:tc>
          <w:tcPr>
            <w:tcW w:w="1170" w:type="dxa"/>
            <w:shd w:val="clear" w:color="auto" w:fill="E0E0E0"/>
          </w:tcPr>
          <w:p w:rsidR="00174AEA" w:rsidRPr="00687A1C" w:rsidDel="00993F23" w:rsidRDefault="00174AEA" w:rsidP="00D8412D">
            <w:pPr>
              <w:pStyle w:val="Tabletextright"/>
            </w:pPr>
            <w:r w:rsidRPr="00687A1C">
              <w:t>65</w:t>
            </w:r>
            <w:r w:rsidR="00D8412D" w:rsidRPr="00687A1C">
              <w:rPr>
                <w:rFonts w:ascii="Calibri" w:hAnsi="Calibri" w:cs="Calibri"/>
              </w:rPr>
              <w:t xml:space="preserve"> </w:t>
            </w:r>
            <w:r w:rsidR="00AE48A5" w:rsidRPr="00687A1C">
              <w:t>000</w:t>
            </w:r>
          </w:p>
        </w:tc>
        <w:tc>
          <w:tcPr>
            <w:tcW w:w="1260" w:type="dxa"/>
            <w:shd w:val="clear" w:color="auto" w:fill="auto"/>
          </w:tcPr>
          <w:p w:rsidR="00174AEA" w:rsidRPr="00687A1C" w:rsidRDefault="00174AEA" w:rsidP="00D8412D">
            <w:pPr>
              <w:pStyle w:val="Tabletextright"/>
            </w:pPr>
            <w:r w:rsidRPr="00687A1C">
              <w:t>65</w:t>
            </w:r>
            <w:r w:rsidR="00D8412D" w:rsidRPr="00687A1C">
              <w:rPr>
                <w:rFonts w:ascii="Calibri" w:hAnsi="Calibri" w:cs="Calibri"/>
              </w:rPr>
              <w:t xml:space="preserve"> </w:t>
            </w:r>
            <w:r w:rsidRPr="00687A1C">
              <w:t>000</w:t>
            </w:r>
          </w:p>
        </w:tc>
      </w:tr>
      <w:tr w:rsidR="00174AEA" w:rsidRPr="00687A1C" w:rsidTr="00491F1E">
        <w:trPr>
          <w:cantSplit/>
        </w:trPr>
        <w:tc>
          <w:tcPr>
            <w:tcW w:w="4788" w:type="dxa"/>
          </w:tcPr>
          <w:p w:rsidR="00174AEA" w:rsidRPr="00687A1C" w:rsidRDefault="00174AEA" w:rsidP="008A3976">
            <w:pPr>
              <w:pStyle w:val="Tabletext"/>
            </w:pPr>
            <w:r w:rsidRPr="00687A1C">
              <w:t>Unearned income</w:t>
            </w:r>
          </w:p>
        </w:tc>
        <w:tc>
          <w:tcPr>
            <w:tcW w:w="990" w:type="dxa"/>
            <w:vAlign w:val="center"/>
          </w:tcPr>
          <w:p w:rsidR="00174AEA" w:rsidRPr="00687A1C" w:rsidRDefault="00174AEA" w:rsidP="008A3976">
            <w:pPr>
              <w:pStyle w:val="Tabletextcentred"/>
            </w:pPr>
            <w:r w:rsidRPr="00687A1C">
              <w:t>6.4</w:t>
            </w:r>
          </w:p>
        </w:tc>
        <w:tc>
          <w:tcPr>
            <w:tcW w:w="1170" w:type="dxa"/>
            <w:shd w:val="clear" w:color="auto" w:fill="E0E0E0"/>
          </w:tcPr>
          <w:p w:rsidR="00174AEA" w:rsidRPr="00687A1C" w:rsidRDefault="00AE48A5" w:rsidP="00AE48A5">
            <w:pPr>
              <w:pStyle w:val="Tabletextright"/>
            </w:pPr>
            <w:r w:rsidRPr="00687A1C">
              <w:t>3 340</w:t>
            </w:r>
          </w:p>
        </w:tc>
        <w:tc>
          <w:tcPr>
            <w:tcW w:w="1260" w:type="dxa"/>
            <w:shd w:val="clear" w:color="auto" w:fill="auto"/>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997</w:t>
            </w:r>
          </w:p>
        </w:tc>
      </w:tr>
      <w:tr w:rsidR="00174AEA" w:rsidRPr="00687A1C" w:rsidTr="00491F1E">
        <w:trPr>
          <w:cantSplit/>
        </w:trPr>
        <w:tc>
          <w:tcPr>
            <w:tcW w:w="4788" w:type="dxa"/>
          </w:tcPr>
          <w:p w:rsidR="00174AEA" w:rsidRPr="00687A1C" w:rsidRDefault="00174AEA" w:rsidP="008A3976">
            <w:pPr>
              <w:pStyle w:val="Tabletext"/>
            </w:pPr>
            <w:r w:rsidRPr="00687A1C">
              <w:t>Borrowings</w:t>
            </w:r>
          </w:p>
        </w:tc>
        <w:tc>
          <w:tcPr>
            <w:tcW w:w="990" w:type="dxa"/>
            <w:vAlign w:val="center"/>
          </w:tcPr>
          <w:p w:rsidR="00174AEA" w:rsidRPr="00687A1C" w:rsidRDefault="00174AEA" w:rsidP="008A3976">
            <w:pPr>
              <w:pStyle w:val="Tabletextcentred"/>
            </w:pPr>
            <w:r w:rsidRPr="00687A1C">
              <w:t>7.1</w:t>
            </w:r>
          </w:p>
        </w:tc>
        <w:tc>
          <w:tcPr>
            <w:tcW w:w="1170" w:type="dxa"/>
            <w:shd w:val="clear" w:color="auto" w:fill="E0E0E0"/>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732</w:t>
            </w:r>
          </w:p>
        </w:tc>
        <w:tc>
          <w:tcPr>
            <w:tcW w:w="1260" w:type="dxa"/>
            <w:shd w:val="clear" w:color="auto" w:fill="auto"/>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765</w:t>
            </w:r>
          </w:p>
        </w:tc>
      </w:tr>
      <w:tr w:rsidR="00174AEA" w:rsidRPr="00687A1C" w:rsidTr="00491F1E">
        <w:trPr>
          <w:cantSplit/>
        </w:trPr>
        <w:tc>
          <w:tcPr>
            <w:tcW w:w="4788" w:type="dxa"/>
          </w:tcPr>
          <w:p w:rsidR="00174AEA" w:rsidRPr="00687A1C" w:rsidRDefault="00174AEA" w:rsidP="008A3976">
            <w:pPr>
              <w:pStyle w:val="Tabletextbold"/>
            </w:pPr>
            <w:r w:rsidRPr="00687A1C">
              <w:t>Total liabilities</w:t>
            </w:r>
          </w:p>
        </w:tc>
        <w:tc>
          <w:tcPr>
            <w:tcW w:w="990" w:type="dxa"/>
            <w:vAlign w:val="center"/>
          </w:tcPr>
          <w:p w:rsidR="00174AEA" w:rsidRPr="00687A1C" w:rsidRDefault="00174AEA" w:rsidP="008A3976">
            <w:pPr>
              <w:pStyle w:val="Tabletextcentred"/>
            </w:pPr>
          </w:p>
        </w:tc>
        <w:tc>
          <w:tcPr>
            <w:tcW w:w="1170" w:type="dxa"/>
            <w:shd w:val="clear" w:color="auto" w:fill="E0E0E0"/>
          </w:tcPr>
          <w:p w:rsidR="00174AEA" w:rsidRPr="00687A1C" w:rsidRDefault="00AE48A5" w:rsidP="00491F1E">
            <w:pPr>
              <w:pStyle w:val="Tabletextrightbold"/>
            </w:pPr>
            <w:r w:rsidRPr="00687A1C">
              <w:t>166 106</w:t>
            </w:r>
          </w:p>
        </w:tc>
        <w:tc>
          <w:tcPr>
            <w:tcW w:w="1260" w:type="dxa"/>
            <w:shd w:val="clear" w:color="auto" w:fill="auto"/>
          </w:tcPr>
          <w:p w:rsidR="00174AEA" w:rsidRPr="00687A1C" w:rsidRDefault="00174AEA" w:rsidP="00D8412D">
            <w:pPr>
              <w:pStyle w:val="Tabletextrightbold"/>
            </w:pPr>
            <w:r w:rsidRPr="00687A1C">
              <w:t>158</w:t>
            </w:r>
            <w:r w:rsidR="00D8412D" w:rsidRPr="00687A1C">
              <w:rPr>
                <w:rFonts w:ascii="Calibri" w:hAnsi="Calibri" w:cs="Calibri"/>
              </w:rPr>
              <w:t xml:space="preserve"> </w:t>
            </w:r>
            <w:r w:rsidRPr="00687A1C">
              <w:t>762</w:t>
            </w:r>
          </w:p>
        </w:tc>
      </w:tr>
      <w:tr w:rsidR="00174AEA" w:rsidRPr="00687A1C" w:rsidTr="00491F1E">
        <w:trPr>
          <w:cantSplit/>
        </w:trPr>
        <w:tc>
          <w:tcPr>
            <w:tcW w:w="4788"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rPr>
                <w:b/>
              </w:rPr>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bold"/>
            </w:pPr>
            <w:r w:rsidRPr="00687A1C">
              <w:t>Net assets</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bold"/>
            </w:pPr>
            <w:r w:rsidRPr="00687A1C">
              <w:t>987</w:t>
            </w:r>
            <w:r w:rsidR="00D8412D" w:rsidRPr="00687A1C">
              <w:rPr>
                <w:rFonts w:ascii="Calibri" w:hAnsi="Calibri" w:cs="Calibri"/>
              </w:rPr>
              <w:t xml:space="preserve"> </w:t>
            </w:r>
            <w:r w:rsidR="00AE48A5" w:rsidRPr="00687A1C">
              <w:t>557</w:t>
            </w:r>
          </w:p>
        </w:tc>
        <w:tc>
          <w:tcPr>
            <w:tcW w:w="1260" w:type="dxa"/>
            <w:shd w:val="clear" w:color="auto" w:fill="auto"/>
          </w:tcPr>
          <w:p w:rsidR="00174AEA" w:rsidRPr="00687A1C" w:rsidRDefault="00174AEA" w:rsidP="00D8412D">
            <w:pPr>
              <w:pStyle w:val="Tabletextrightbold"/>
            </w:pPr>
            <w:r w:rsidRPr="00687A1C">
              <w:t>986</w:t>
            </w:r>
            <w:r w:rsidR="00D8412D" w:rsidRPr="00687A1C">
              <w:rPr>
                <w:rFonts w:ascii="Calibri" w:hAnsi="Calibri" w:cs="Calibri"/>
              </w:rPr>
              <w:t xml:space="preserve"> </w:t>
            </w:r>
            <w:r w:rsidRPr="00687A1C">
              <w:t>622</w:t>
            </w:r>
          </w:p>
        </w:tc>
      </w:tr>
      <w:tr w:rsidR="00174AEA" w:rsidRPr="00687A1C" w:rsidTr="00491F1E">
        <w:trPr>
          <w:cantSplit/>
        </w:trPr>
        <w:tc>
          <w:tcPr>
            <w:tcW w:w="4788" w:type="dxa"/>
          </w:tcPr>
          <w:p w:rsidR="00174AEA" w:rsidRPr="00687A1C" w:rsidRDefault="00174AEA" w:rsidP="008A3976">
            <w:pPr>
              <w:pStyle w:val="Tabletext"/>
            </w:pP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rPr>
                <w:b/>
              </w:rPr>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bold"/>
            </w:pPr>
            <w:r w:rsidRPr="00687A1C">
              <w:t>Equity</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491F1E">
            <w:pPr>
              <w:pStyle w:val="Tabletextright"/>
              <w:rPr>
                <w:b/>
              </w:rPr>
            </w:pPr>
          </w:p>
        </w:tc>
        <w:tc>
          <w:tcPr>
            <w:tcW w:w="1260" w:type="dxa"/>
            <w:shd w:val="clear" w:color="auto" w:fill="auto"/>
          </w:tcPr>
          <w:p w:rsidR="00174AEA" w:rsidRPr="00687A1C" w:rsidRDefault="00174AEA" w:rsidP="00491F1E">
            <w:pPr>
              <w:pStyle w:val="Tabletextright"/>
            </w:pPr>
          </w:p>
        </w:tc>
      </w:tr>
      <w:tr w:rsidR="00174AEA" w:rsidRPr="00687A1C" w:rsidTr="00491F1E">
        <w:trPr>
          <w:cantSplit/>
        </w:trPr>
        <w:tc>
          <w:tcPr>
            <w:tcW w:w="4788" w:type="dxa"/>
          </w:tcPr>
          <w:p w:rsidR="00174AEA" w:rsidRPr="00687A1C" w:rsidRDefault="00174AEA" w:rsidP="008A3976">
            <w:pPr>
              <w:pStyle w:val="Tabletext"/>
            </w:pPr>
            <w:r w:rsidRPr="00687A1C">
              <w:t>Contributed capital</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
            </w:pPr>
            <w:r w:rsidRPr="00687A1C">
              <w:t>235</w:t>
            </w:r>
            <w:r w:rsidR="00D8412D" w:rsidRPr="00687A1C">
              <w:rPr>
                <w:rFonts w:ascii="Calibri" w:hAnsi="Calibri" w:cs="Calibri"/>
              </w:rPr>
              <w:t xml:space="preserve"> </w:t>
            </w:r>
            <w:r w:rsidRPr="00687A1C">
              <w:t>574</w:t>
            </w:r>
          </w:p>
        </w:tc>
        <w:tc>
          <w:tcPr>
            <w:tcW w:w="1260" w:type="dxa"/>
            <w:shd w:val="clear" w:color="auto" w:fill="auto"/>
          </w:tcPr>
          <w:p w:rsidR="00174AEA" w:rsidRPr="00687A1C" w:rsidRDefault="00174AEA" w:rsidP="00D8412D">
            <w:pPr>
              <w:pStyle w:val="Tabletextright"/>
            </w:pPr>
            <w:r w:rsidRPr="00687A1C">
              <w:t>236</w:t>
            </w:r>
            <w:r w:rsidR="00D8412D" w:rsidRPr="00687A1C">
              <w:rPr>
                <w:rFonts w:ascii="Calibri" w:hAnsi="Calibri" w:cs="Calibri"/>
              </w:rPr>
              <w:t xml:space="preserve"> </w:t>
            </w:r>
            <w:r w:rsidRPr="00687A1C">
              <w:t>186</w:t>
            </w:r>
          </w:p>
        </w:tc>
      </w:tr>
      <w:tr w:rsidR="00174AEA" w:rsidRPr="00687A1C" w:rsidTr="00491F1E">
        <w:trPr>
          <w:cantSplit/>
        </w:trPr>
        <w:tc>
          <w:tcPr>
            <w:tcW w:w="4788" w:type="dxa"/>
          </w:tcPr>
          <w:p w:rsidR="00174AEA" w:rsidRPr="00687A1C" w:rsidRDefault="00174AEA" w:rsidP="008A3976">
            <w:pPr>
              <w:pStyle w:val="Tabletext"/>
            </w:pPr>
            <w:r w:rsidRPr="00687A1C">
              <w:t>Asset revaluation surplus</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
            </w:pPr>
            <w:r w:rsidRPr="00687A1C">
              <w:t>559</w:t>
            </w:r>
            <w:r w:rsidR="00D8412D" w:rsidRPr="00687A1C">
              <w:rPr>
                <w:rFonts w:ascii="Calibri" w:hAnsi="Calibri" w:cs="Calibri"/>
              </w:rPr>
              <w:t xml:space="preserve"> </w:t>
            </w:r>
            <w:r w:rsidRPr="00687A1C">
              <w:t>518</w:t>
            </w:r>
          </w:p>
        </w:tc>
        <w:tc>
          <w:tcPr>
            <w:tcW w:w="1260" w:type="dxa"/>
            <w:shd w:val="clear" w:color="auto" w:fill="auto"/>
          </w:tcPr>
          <w:p w:rsidR="00174AEA" w:rsidRPr="00687A1C" w:rsidRDefault="00174AEA" w:rsidP="00D8412D">
            <w:pPr>
              <w:pStyle w:val="Tabletextright"/>
            </w:pPr>
            <w:r w:rsidRPr="00687A1C">
              <w:t>559</w:t>
            </w:r>
            <w:r w:rsidR="00D8412D" w:rsidRPr="00687A1C">
              <w:rPr>
                <w:rFonts w:ascii="Calibri" w:hAnsi="Calibri" w:cs="Calibri"/>
              </w:rPr>
              <w:t xml:space="preserve"> </w:t>
            </w:r>
            <w:r w:rsidRPr="00687A1C">
              <w:t>518</w:t>
            </w:r>
          </w:p>
        </w:tc>
      </w:tr>
      <w:tr w:rsidR="00174AEA" w:rsidRPr="00687A1C" w:rsidTr="00491F1E">
        <w:trPr>
          <w:cantSplit/>
        </w:trPr>
        <w:tc>
          <w:tcPr>
            <w:tcW w:w="4788" w:type="dxa"/>
          </w:tcPr>
          <w:p w:rsidR="00174AEA" w:rsidRPr="00687A1C" w:rsidRDefault="00174AEA" w:rsidP="008A3976">
            <w:pPr>
              <w:pStyle w:val="Tabletext"/>
            </w:pPr>
            <w:r w:rsidRPr="00687A1C">
              <w:t>Accumulated surplus</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
            </w:pPr>
            <w:r w:rsidRPr="00687A1C">
              <w:t>192</w:t>
            </w:r>
            <w:r w:rsidR="00D8412D" w:rsidRPr="00687A1C">
              <w:rPr>
                <w:rFonts w:ascii="Calibri" w:hAnsi="Calibri" w:cs="Calibri"/>
              </w:rPr>
              <w:t xml:space="preserve"> </w:t>
            </w:r>
            <w:r w:rsidR="00AE48A5" w:rsidRPr="00687A1C">
              <w:t>465</w:t>
            </w:r>
          </w:p>
        </w:tc>
        <w:tc>
          <w:tcPr>
            <w:tcW w:w="1260" w:type="dxa"/>
            <w:shd w:val="clear" w:color="auto" w:fill="auto"/>
          </w:tcPr>
          <w:p w:rsidR="00174AEA" w:rsidRPr="00687A1C" w:rsidRDefault="00174AEA" w:rsidP="00D8412D">
            <w:pPr>
              <w:pStyle w:val="Tabletextright"/>
            </w:pPr>
            <w:r w:rsidRPr="00687A1C">
              <w:t>190</w:t>
            </w:r>
            <w:r w:rsidR="00D8412D" w:rsidRPr="00687A1C">
              <w:rPr>
                <w:rFonts w:ascii="Calibri" w:hAnsi="Calibri" w:cs="Calibri"/>
              </w:rPr>
              <w:t xml:space="preserve"> </w:t>
            </w:r>
            <w:r w:rsidRPr="00687A1C">
              <w:t>918</w:t>
            </w:r>
          </w:p>
        </w:tc>
      </w:tr>
      <w:tr w:rsidR="00174AEA" w:rsidRPr="00687A1C" w:rsidTr="00491F1E">
        <w:trPr>
          <w:cantSplit/>
        </w:trPr>
        <w:tc>
          <w:tcPr>
            <w:tcW w:w="4788" w:type="dxa"/>
          </w:tcPr>
          <w:p w:rsidR="00174AEA" w:rsidRPr="00687A1C" w:rsidRDefault="00174AEA" w:rsidP="008A3976">
            <w:pPr>
              <w:pStyle w:val="Tabletextbold"/>
            </w:pPr>
            <w:r w:rsidRPr="00687A1C">
              <w:t>Total equity</w:t>
            </w:r>
          </w:p>
        </w:tc>
        <w:tc>
          <w:tcPr>
            <w:tcW w:w="990" w:type="dxa"/>
          </w:tcPr>
          <w:p w:rsidR="00174AEA" w:rsidRPr="00687A1C" w:rsidRDefault="00174AEA" w:rsidP="008A3976">
            <w:pPr>
              <w:pStyle w:val="Tabletextcentred"/>
            </w:pPr>
          </w:p>
        </w:tc>
        <w:tc>
          <w:tcPr>
            <w:tcW w:w="1170" w:type="dxa"/>
            <w:shd w:val="clear" w:color="auto" w:fill="E0E0E0"/>
          </w:tcPr>
          <w:p w:rsidR="00174AEA" w:rsidRPr="00687A1C" w:rsidRDefault="00174AEA" w:rsidP="00D8412D">
            <w:pPr>
              <w:pStyle w:val="Tabletextrightbold"/>
            </w:pPr>
            <w:r w:rsidRPr="00687A1C">
              <w:t>987</w:t>
            </w:r>
            <w:r w:rsidR="00D8412D" w:rsidRPr="00687A1C">
              <w:rPr>
                <w:rFonts w:ascii="Calibri" w:hAnsi="Calibri" w:cs="Calibri"/>
              </w:rPr>
              <w:t xml:space="preserve"> </w:t>
            </w:r>
            <w:r w:rsidR="00AE48A5" w:rsidRPr="00687A1C">
              <w:t>557</w:t>
            </w:r>
          </w:p>
        </w:tc>
        <w:tc>
          <w:tcPr>
            <w:tcW w:w="1260" w:type="dxa"/>
            <w:shd w:val="clear" w:color="auto" w:fill="auto"/>
          </w:tcPr>
          <w:p w:rsidR="00174AEA" w:rsidRPr="00687A1C" w:rsidRDefault="00174AEA" w:rsidP="00D8412D">
            <w:pPr>
              <w:pStyle w:val="Tabletextrightbold"/>
            </w:pPr>
            <w:r w:rsidRPr="00687A1C">
              <w:t>986</w:t>
            </w:r>
            <w:r w:rsidR="00D8412D" w:rsidRPr="00687A1C">
              <w:rPr>
                <w:rFonts w:ascii="Calibri" w:hAnsi="Calibri" w:cs="Calibri"/>
              </w:rPr>
              <w:t xml:space="preserve"> </w:t>
            </w:r>
            <w:r w:rsidRPr="00687A1C">
              <w:t>622</w:t>
            </w:r>
          </w:p>
        </w:tc>
      </w:tr>
    </w:tbl>
    <w:p w:rsidR="00174AEA" w:rsidRPr="00687A1C" w:rsidRDefault="00174AEA" w:rsidP="00174AEA">
      <w:pPr>
        <w:pStyle w:val="Notes"/>
      </w:pPr>
      <w:r w:rsidRPr="00687A1C">
        <w:t>The above balance sheet should be read in conjunction with the accompanying notes.</w:t>
      </w:r>
    </w:p>
    <w:p w:rsidR="00174AEA" w:rsidRPr="00687A1C" w:rsidRDefault="00174AEA" w:rsidP="00174AEA"/>
    <w:p w:rsidR="00174AEA" w:rsidRPr="00687A1C" w:rsidRDefault="00174AEA" w:rsidP="00174AEA"/>
    <w:p w:rsidR="00174AEA" w:rsidRPr="00687A1C" w:rsidRDefault="00174AEA" w:rsidP="00174AEA">
      <w:pPr>
        <w:spacing w:before="0" w:after="0"/>
        <w:rPr>
          <w:rFonts w:cstheme="minorHAnsi"/>
          <w:b/>
          <w:color w:val="4C4C4C"/>
          <w:sz w:val="44"/>
          <w:szCs w:val="48"/>
        </w:rPr>
      </w:pPr>
      <w:bookmarkStart w:id="38" w:name="_Toc303670543"/>
      <w:bookmarkStart w:id="39" w:name="_Toc335740842"/>
      <w:r w:rsidRPr="00687A1C">
        <w:rPr>
          <w:rFonts w:cstheme="minorHAnsi"/>
        </w:rPr>
        <w:br w:type="page"/>
      </w:r>
    </w:p>
    <w:p w:rsidR="00174AEA" w:rsidRPr="00687A1C" w:rsidRDefault="00174AEA" w:rsidP="00174AEA">
      <w:pPr>
        <w:pStyle w:val="HeadingFin"/>
      </w:pPr>
      <w:bookmarkStart w:id="40" w:name="_Toc525026179"/>
      <w:r w:rsidRPr="00687A1C">
        <w:lastRenderedPageBreak/>
        <w:t>Statement of changes in equity</w:t>
      </w:r>
      <w:bookmarkEnd w:id="38"/>
      <w:bookmarkEnd w:id="39"/>
      <w:bookmarkEnd w:id="40"/>
    </w:p>
    <w:p w:rsidR="00174AEA" w:rsidRPr="00687A1C" w:rsidRDefault="00174AEA" w:rsidP="00174AEA">
      <w:pPr>
        <w:pStyle w:val="Heading2"/>
        <w:spacing w:before="0"/>
      </w:pPr>
      <w:r w:rsidRPr="00687A1C">
        <w:t>for the year ended 30 June 2018</w:t>
      </w:r>
    </w:p>
    <w:tbl>
      <w:tblPr>
        <w:tblW w:w="0" w:type="auto"/>
        <w:tblLayout w:type="fixed"/>
        <w:tblLook w:val="01E0" w:firstRow="1" w:lastRow="1" w:firstColumn="1" w:lastColumn="1" w:noHBand="0" w:noVBand="0"/>
      </w:tblPr>
      <w:tblGrid>
        <w:gridCol w:w="3528"/>
        <w:gridCol w:w="876"/>
        <w:gridCol w:w="1284"/>
        <w:gridCol w:w="1260"/>
        <w:gridCol w:w="1362"/>
        <w:gridCol w:w="1176"/>
      </w:tblGrid>
      <w:tr w:rsidR="00174AEA" w:rsidRPr="00687A1C" w:rsidTr="008A3976">
        <w:tc>
          <w:tcPr>
            <w:tcW w:w="3528" w:type="dxa"/>
            <w:shd w:val="clear" w:color="auto" w:fill="auto"/>
          </w:tcPr>
          <w:p w:rsidR="00174AEA" w:rsidRPr="00687A1C" w:rsidRDefault="00174AEA" w:rsidP="008A3976">
            <w:pPr>
              <w:pStyle w:val="Tabletext"/>
            </w:pPr>
          </w:p>
        </w:tc>
        <w:tc>
          <w:tcPr>
            <w:tcW w:w="876" w:type="dxa"/>
            <w:shd w:val="clear" w:color="auto" w:fill="auto"/>
          </w:tcPr>
          <w:p w:rsidR="00174AEA" w:rsidRPr="00687A1C" w:rsidRDefault="00174AEA" w:rsidP="008A3976">
            <w:pPr>
              <w:pStyle w:val="Tabletextheadingcentred"/>
            </w:pPr>
          </w:p>
        </w:tc>
        <w:tc>
          <w:tcPr>
            <w:tcW w:w="1284" w:type="dxa"/>
            <w:shd w:val="clear" w:color="auto" w:fill="auto"/>
            <w:vAlign w:val="bottom"/>
          </w:tcPr>
          <w:p w:rsidR="00174AEA" w:rsidRPr="00687A1C" w:rsidRDefault="00174AEA" w:rsidP="008A3976">
            <w:pPr>
              <w:pStyle w:val="Tabletextheadingright"/>
            </w:pPr>
            <w:r w:rsidRPr="00687A1C">
              <w:t>Contributed capital</w:t>
            </w:r>
          </w:p>
        </w:tc>
        <w:tc>
          <w:tcPr>
            <w:tcW w:w="1260" w:type="dxa"/>
            <w:shd w:val="clear" w:color="auto" w:fill="auto"/>
            <w:vAlign w:val="bottom"/>
          </w:tcPr>
          <w:p w:rsidR="00174AEA" w:rsidRPr="00687A1C" w:rsidRDefault="00174AEA" w:rsidP="008A3976">
            <w:pPr>
              <w:pStyle w:val="Tabletextheadingright"/>
            </w:pPr>
            <w:r w:rsidRPr="00687A1C">
              <w:t>Asset revaluation surplus</w:t>
            </w:r>
          </w:p>
        </w:tc>
        <w:tc>
          <w:tcPr>
            <w:tcW w:w="1362" w:type="dxa"/>
            <w:shd w:val="clear" w:color="auto" w:fill="auto"/>
            <w:vAlign w:val="bottom"/>
          </w:tcPr>
          <w:p w:rsidR="00174AEA" w:rsidRPr="00687A1C" w:rsidRDefault="00174AEA" w:rsidP="008A3976">
            <w:pPr>
              <w:pStyle w:val="Tabletextheadingright"/>
            </w:pPr>
            <w:r w:rsidRPr="00687A1C">
              <w:t>Accumulated surplus</w:t>
            </w:r>
          </w:p>
        </w:tc>
        <w:tc>
          <w:tcPr>
            <w:tcW w:w="1176" w:type="dxa"/>
            <w:shd w:val="clear" w:color="auto" w:fill="auto"/>
            <w:vAlign w:val="bottom"/>
          </w:tcPr>
          <w:p w:rsidR="00174AEA" w:rsidRPr="00687A1C" w:rsidRDefault="00174AEA" w:rsidP="008A3976">
            <w:pPr>
              <w:pStyle w:val="Tabletextheadingright"/>
            </w:pPr>
            <w:r w:rsidRPr="00687A1C">
              <w:t>Total</w:t>
            </w:r>
          </w:p>
        </w:tc>
      </w:tr>
      <w:tr w:rsidR="00174AEA" w:rsidRPr="00687A1C" w:rsidTr="008A3976">
        <w:tc>
          <w:tcPr>
            <w:tcW w:w="3528" w:type="dxa"/>
            <w:shd w:val="clear" w:color="auto" w:fill="auto"/>
          </w:tcPr>
          <w:p w:rsidR="00174AEA" w:rsidRPr="00687A1C" w:rsidRDefault="00174AEA" w:rsidP="008A3976">
            <w:pPr>
              <w:pStyle w:val="Tabletext"/>
            </w:pPr>
          </w:p>
        </w:tc>
        <w:tc>
          <w:tcPr>
            <w:tcW w:w="876" w:type="dxa"/>
            <w:shd w:val="clear" w:color="auto" w:fill="auto"/>
          </w:tcPr>
          <w:p w:rsidR="00174AEA" w:rsidRPr="00687A1C" w:rsidRDefault="00174AEA" w:rsidP="008A3976">
            <w:pPr>
              <w:pStyle w:val="Tabletextheadingcentred"/>
            </w:pPr>
            <w:r w:rsidRPr="00687A1C">
              <w:t>Notes</w:t>
            </w:r>
          </w:p>
        </w:tc>
        <w:tc>
          <w:tcPr>
            <w:tcW w:w="1284" w:type="dxa"/>
            <w:shd w:val="clear" w:color="auto" w:fill="auto"/>
          </w:tcPr>
          <w:p w:rsidR="00174AEA" w:rsidRPr="00687A1C" w:rsidRDefault="00174AEA" w:rsidP="008A3976">
            <w:pPr>
              <w:pStyle w:val="Tabletextheadingright"/>
            </w:pPr>
            <w:r w:rsidRPr="00687A1C">
              <w:t>$’000</w:t>
            </w:r>
          </w:p>
        </w:tc>
        <w:tc>
          <w:tcPr>
            <w:tcW w:w="1260" w:type="dxa"/>
            <w:shd w:val="clear" w:color="auto" w:fill="auto"/>
          </w:tcPr>
          <w:p w:rsidR="00174AEA" w:rsidRPr="00687A1C" w:rsidRDefault="00174AEA" w:rsidP="008A3976">
            <w:pPr>
              <w:pStyle w:val="Tabletextheadingright"/>
            </w:pPr>
            <w:r w:rsidRPr="00687A1C">
              <w:t>$’000</w:t>
            </w:r>
          </w:p>
        </w:tc>
        <w:tc>
          <w:tcPr>
            <w:tcW w:w="1362" w:type="dxa"/>
            <w:shd w:val="clear" w:color="auto" w:fill="auto"/>
          </w:tcPr>
          <w:p w:rsidR="00174AEA" w:rsidRPr="00687A1C" w:rsidRDefault="00174AEA" w:rsidP="008A3976">
            <w:pPr>
              <w:pStyle w:val="Tabletextheadingright"/>
            </w:pPr>
            <w:r w:rsidRPr="00687A1C">
              <w:t>$’000</w:t>
            </w:r>
          </w:p>
        </w:tc>
        <w:tc>
          <w:tcPr>
            <w:tcW w:w="1176" w:type="dxa"/>
            <w:shd w:val="clear" w:color="auto" w:fill="auto"/>
          </w:tcPr>
          <w:p w:rsidR="00174AEA" w:rsidRPr="00687A1C" w:rsidRDefault="00174AEA" w:rsidP="008A3976">
            <w:pPr>
              <w:pStyle w:val="Tabletextheadingright"/>
            </w:pPr>
            <w:r w:rsidRPr="00687A1C">
              <w:t>$’000</w:t>
            </w:r>
          </w:p>
        </w:tc>
      </w:tr>
      <w:tr w:rsidR="00174AEA" w:rsidRPr="00687A1C" w:rsidTr="00491F1E">
        <w:tc>
          <w:tcPr>
            <w:tcW w:w="3528" w:type="dxa"/>
            <w:shd w:val="clear" w:color="auto" w:fill="auto"/>
          </w:tcPr>
          <w:p w:rsidR="00174AEA" w:rsidRPr="00687A1C" w:rsidRDefault="00174AEA" w:rsidP="008A3976">
            <w:pPr>
              <w:pStyle w:val="Tabletext"/>
            </w:pPr>
          </w:p>
        </w:tc>
        <w:tc>
          <w:tcPr>
            <w:tcW w:w="876" w:type="dxa"/>
            <w:shd w:val="clear" w:color="auto" w:fill="auto"/>
          </w:tcPr>
          <w:p w:rsidR="00174AEA" w:rsidRPr="00687A1C" w:rsidRDefault="00174AEA" w:rsidP="008A3976">
            <w:pPr>
              <w:pStyle w:val="Tabletextcentred"/>
            </w:pPr>
          </w:p>
        </w:tc>
        <w:tc>
          <w:tcPr>
            <w:tcW w:w="1284" w:type="dxa"/>
            <w:shd w:val="clear" w:color="auto" w:fill="E0E0E0"/>
          </w:tcPr>
          <w:p w:rsidR="00174AEA" w:rsidRPr="00687A1C" w:rsidRDefault="00174AEA" w:rsidP="00491F1E">
            <w:pPr>
              <w:pStyle w:val="Tabletextright"/>
            </w:pPr>
          </w:p>
        </w:tc>
        <w:tc>
          <w:tcPr>
            <w:tcW w:w="1260" w:type="dxa"/>
            <w:shd w:val="clear" w:color="auto" w:fill="auto"/>
          </w:tcPr>
          <w:p w:rsidR="00174AEA" w:rsidRPr="00687A1C" w:rsidRDefault="00174AEA" w:rsidP="00491F1E">
            <w:pPr>
              <w:pStyle w:val="Tabletextright"/>
            </w:pPr>
          </w:p>
        </w:tc>
        <w:tc>
          <w:tcPr>
            <w:tcW w:w="1362" w:type="dxa"/>
            <w:shd w:val="clear" w:color="auto" w:fill="E0E0E0"/>
          </w:tcPr>
          <w:p w:rsidR="00174AEA" w:rsidRPr="00687A1C" w:rsidRDefault="00174AEA" w:rsidP="00491F1E">
            <w:pPr>
              <w:pStyle w:val="Tabletextright"/>
            </w:pPr>
          </w:p>
        </w:tc>
        <w:tc>
          <w:tcPr>
            <w:tcW w:w="1176" w:type="dxa"/>
            <w:shd w:val="clear" w:color="auto" w:fill="auto"/>
          </w:tcPr>
          <w:p w:rsidR="00174AEA" w:rsidRPr="00687A1C" w:rsidRDefault="00174AEA" w:rsidP="00491F1E">
            <w:pPr>
              <w:pStyle w:val="Tabletextright"/>
            </w:pPr>
          </w:p>
        </w:tc>
      </w:tr>
      <w:tr w:rsidR="00174AEA" w:rsidRPr="00687A1C" w:rsidTr="00491F1E">
        <w:tc>
          <w:tcPr>
            <w:tcW w:w="3528" w:type="dxa"/>
            <w:shd w:val="clear" w:color="auto" w:fill="auto"/>
            <w:vAlign w:val="bottom"/>
          </w:tcPr>
          <w:p w:rsidR="00174AEA" w:rsidRPr="00687A1C" w:rsidRDefault="005F6801" w:rsidP="008A3976">
            <w:pPr>
              <w:pStyle w:val="Tabletext"/>
            </w:pPr>
            <w:r w:rsidRPr="00687A1C">
              <w:t>Balance at 1 July 2016</w:t>
            </w:r>
          </w:p>
        </w:tc>
        <w:tc>
          <w:tcPr>
            <w:tcW w:w="876" w:type="dxa"/>
            <w:shd w:val="clear" w:color="auto" w:fill="auto"/>
            <w:vAlign w:val="bottom"/>
          </w:tcPr>
          <w:p w:rsidR="00174AEA" w:rsidRPr="00687A1C" w:rsidRDefault="00174AEA" w:rsidP="008A3976">
            <w:pPr>
              <w:pStyle w:val="Tabletextcentred"/>
            </w:pPr>
          </w:p>
        </w:tc>
        <w:tc>
          <w:tcPr>
            <w:tcW w:w="1284" w:type="dxa"/>
            <w:shd w:val="clear" w:color="auto" w:fill="E0E0E0"/>
          </w:tcPr>
          <w:p w:rsidR="00174AEA" w:rsidRPr="00687A1C" w:rsidRDefault="00174AEA" w:rsidP="00D8412D">
            <w:pPr>
              <w:pStyle w:val="Tabletextright"/>
            </w:pPr>
            <w:r w:rsidRPr="00687A1C">
              <w:t>236</w:t>
            </w:r>
            <w:r w:rsidR="00D8412D" w:rsidRPr="00687A1C">
              <w:rPr>
                <w:rFonts w:ascii="Calibri" w:hAnsi="Calibri" w:cs="Calibri"/>
              </w:rPr>
              <w:t xml:space="preserve"> </w:t>
            </w:r>
            <w:r w:rsidRPr="00687A1C">
              <w:t>237</w:t>
            </w:r>
          </w:p>
        </w:tc>
        <w:tc>
          <w:tcPr>
            <w:tcW w:w="1260" w:type="dxa"/>
            <w:shd w:val="clear" w:color="auto" w:fill="auto"/>
          </w:tcPr>
          <w:p w:rsidR="00174AEA" w:rsidRPr="00687A1C" w:rsidRDefault="00174AEA" w:rsidP="00D8412D">
            <w:pPr>
              <w:pStyle w:val="Tabletextright"/>
            </w:pPr>
            <w:r w:rsidRPr="00687A1C">
              <w:t>309</w:t>
            </w:r>
            <w:r w:rsidR="00D8412D" w:rsidRPr="00687A1C">
              <w:rPr>
                <w:rFonts w:ascii="Calibri" w:hAnsi="Calibri" w:cs="Calibri"/>
              </w:rPr>
              <w:t xml:space="preserve"> </w:t>
            </w:r>
            <w:r w:rsidRPr="00687A1C">
              <w:t>226</w:t>
            </w:r>
          </w:p>
        </w:tc>
        <w:tc>
          <w:tcPr>
            <w:tcW w:w="1362" w:type="dxa"/>
            <w:shd w:val="clear" w:color="auto" w:fill="E0E0E0"/>
          </w:tcPr>
          <w:p w:rsidR="00174AEA" w:rsidRPr="00687A1C" w:rsidRDefault="00174AEA" w:rsidP="00D8412D">
            <w:pPr>
              <w:pStyle w:val="Tabletextright"/>
            </w:pPr>
            <w:r w:rsidRPr="00687A1C">
              <w:t>185</w:t>
            </w:r>
            <w:r w:rsidR="00D8412D" w:rsidRPr="00687A1C">
              <w:rPr>
                <w:rFonts w:ascii="Calibri" w:hAnsi="Calibri" w:cs="Calibri"/>
              </w:rPr>
              <w:t xml:space="preserve"> </w:t>
            </w:r>
            <w:r w:rsidRPr="00687A1C">
              <w:t>878</w:t>
            </w:r>
          </w:p>
        </w:tc>
        <w:tc>
          <w:tcPr>
            <w:tcW w:w="1176" w:type="dxa"/>
            <w:shd w:val="clear" w:color="auto" w:fill="auto"/>
          </w:tcPr>
          <w:p w:rsidR="00174AEA" w:rsidRPr="00687A1C" w:rsidRDefault="00174AEA" w:rsidP="00D8412D">
            <w:pPr>
              <w:pStyle w:val="Tabletextright"/>
            </w:pPr>
            <w:r w:rsidRPr="00687A1C">
              <w:t>731</w:t>
            </w:r>
            <w:r w:rsidR="00D8412D" w:rsidRPr="00687A1C">
              <w:rPr>
                <w:rFonts w:ascii="Calibri" w:hAnsi="Calibri" w:cs="Calibri"/>
              </w:rPr>
              <w:t xml:space="preserve"> </w:t>
            </w:r>
            <w:r w:rsidRPr="00687A1C">
              <w:t>341</w:t>
            </w:r>
          </w:p>
        </w:tc>
      </w:tr>
      <w:tr w:rsidR="00174AEA" w:rsidRPr="00687A1C" w:rsidTr="00491F1E">
        <w:tc>
          <w:tcPr>
            <w:tcW w:w="3528" w:type="dxa"/>
            <w:shd w:val="clear" w:color="auto" w:fill="auto"/>
            <w:vAlign w:val="bottom"/>
          </w:tcPr>
          <w:p w:rsidR="00174AEA" w:rsidRPr="00687A1C" w:rsidRDefault="00174AEA" w:rsidP="008A3976">
            <w:pPr>
              <w:pStyle w:val="Tabletext"/>
              <w:rPr>
                <w:bCs/>
              </w:rPr>
            </w:pPr>
            <w:r w:rsidRPr="00687A1C">
              <w:rPr>
                <w:bCs/>
              </w:rPr>
              <w:t>Return of capital</w:t>
            </w:r>
          </w:p>
        </w:tc>
        <w:tc>
          <w:tcPr>
            <w:tcW w:w="876" w:type="dxa"/>
            <w:shd w:val="clear" w:color="auto" w:fill="auto"/>
            <w:vAlign w:val="bottom"/>
          </w:tcPr>
          <w:p w:rsidR="00174AEA" w:rsidRPr="00687A1C" w:rsidRDefault="00174AEA" w:rsidP="008A3976">
            <w:pPr>
              <w:pStyle w:val="Tabletextcentred"/>
            </w:pPr>
            <w:r w:rsidRPr="00687A1C">
              <w:t>5.1.2</w:t>
            </w:r>
          </w:p>
        </w:tc>
        <w:tc>
          <w:tcPr>
            <w:tcW w:w="1284" w:type="dxa"/>
            <w:shd w:val="clear" w:color="auto" w:fill="E0E0E0"/>
          </w:tcPr>
          <w:p w:rsidR="00174AEA" w:rsidRPr="00687A1C" w:rsidRDefault="00174AEA" w:rsidP="00491F1E">
            <w:pPr>
              <w:pStyle w:val="Tabletextright"/>
            </w:pPr>
            <w:r w:rsidRPr="00687A1C">
              <w:t>(51)</w:t>
            </w:r>
          </w:p>
        </w:tc>
        <w:tc>
          <w:tcPr>
            <w:tcW w:w="1260" w:type="dxa"/>
            <w:shd w:val="clear" w:color="auto" w:fill="auto"/>
          </w:tcPr>
          <w:p w:rsidR="00174AEA" w:rsidRPr="00687A1C" w:rsidRDefault="00174AEA" w:rsidP="00491F1E">
            <w:pPr>
              <w:pStyle w:val="Tabletextright"/>
            </w:pPr>
            <w:r w:rsidRPr="00687A1C">
              <w:t>–</w:t>
            </w:r>
          </w:p>
        </w:tc>
        <w:tc>
          <w:tcPr>
            <w:tcW w:w="1362" w:type="dxa"/>
            <w:shd w:val="clear" w:color="auto" w:fill="E0E0E0"/>
          </w:tcPr>
          <w:p w:rsidR="00174AEA" w:rsidRPr="00687A1C" w:rsidRDefault="00174AEA" w:rsidP="00491F1E">
            <w:pPr>
              <w:pStyle w:val="Tabletextright"/>
            </w:pPr>
            <w:r w:rsidRPr="00687A1C">
              <w:t>–</w:t>
            </w:r>
          </w:p>
        </w:tc>
        <w:tc>
          <w:tcPr>
            <w:tcW w:w="1176" w:type="dxa"/>
            <w:shd w:val="clear" w:color="auto" w:fill="auto"/>
          </w:tcPr>
          <w:p w:rsidR="00174AEA" w:rsidRPr="00687A1C" w:rsidRDefault="00174AEA" w:rsidP="00491F1E">
            <w:pPr>
              <w:pStyle w:val="Tabletextright"/>
            </w:pPr>
            <w:r w:rsidRPr="00687A1C">
              <w:t>(51)</w:t>
            </w:r>
          </w:p>
        </w:tc>
      </w:tr>
      <w:tr w:rsidR="00174AEA" w:rsidRPr="00687A1C" w:rsidTr="00491F1E">
        <w:tc>
          <w:tcPr>
            <w:tcW w:w="3528" w:type="dxa"/>
            <w:shd w:val="clear" w:color="auto" w:fill="auto"/>
            <w:vAlign w:val="bottom"/>
          </w:tcPr>
          <w:p w:rsidR="00174AEA" w:rsidRPr="00687A1C" w:rsidRDefault="00174AEA" w:rsidP="008A3976">
            <w:pPr>
              <w:pStyle w:val="Tabletext"/>
              <w:rPr>
                <w:bCs/>
              </w:rPr>
            </w:pPr>
            <w:r w:rsidRPr="00687A1C">
              <w:rPr>
                <w:bCs/>
              </w:rPr>
              <w:t>Revaluation increment (net)</w:t>
            </w:r>
          </w:p>
        </w:tc>
        <w:tc>
          <w:tcPr>
            <w:tcW w:w="876" w:type="dxa"/>
            <w:shd w:val="clear" w:color="auto" w:fill="auto"/>
            <w:vAlign w:val="bottom"/>
          </w:tcPr>
          <w:p w:rsidR="00174AEA" w:rsidRPr="00687A1C" w:rsidRDefault="00174AEA" w:rsidP="008A3976">
            <w:pPr>
              <w:pStyle w:val="Tabletextcentred"/>
            </w:pPr>
            <w:r w:rsidRPr="00687A1C">
              <w:t>5.1.2</w:t>
            </w:r>
          </w:p>
        </w:tc>
        <w:tc>
          <w:tcPr>
            <w:tcW w:w="1284" w:type="dxa"/>
            <w:shd w:val="clear" w:color="auto" w:fill="E0E0E0"/>
          </w:tcPr>
          <w:p w:rsidR="00174AEA" w:rsidRPr="00687A1C" w:rsidRDefault="00174AEA" w:rsidP="00491F1E">
            <w:pPr>
              <w:pStyle w:val="Tabletextright"/>
            </w:pPr>
            <w:r w:rsidRPr="00687A1C">
              <w:t>–</w:t>
            </w:r>
          </w:p>
        </w:tc>
        <w:tc>
          <w:tcPr>
            <w:tcW w:w="1260" w:type="dxa"/>
            <w:shd w:val="clear" w:color="auto" w:fill="auto"/>
          </w:tcPr>
          <w:p w:rsidR="00174AEA" w:rsidRPr="00687A1C" w:rsidRDefault="00174AEA" w:rsidP="00D8412D">
            <w:pPr>
              <w:pStyle w:val="Tabletextright"/>
            </w:pPr>
            <w:r w:rsidRPr="00687A1C">
              <w:t>250</w:t>
            </w:r>
            <w:r w:rsidR="00D8412D" w:rsidRPr="00687A1C">
              <w:rPr>
                <w:rFonts w:ascii="Calibri" w:hAnsi="Calibri" w:cs="Calibri"/>
              </w:rPr>
              <w:t xml:space="preserve"> </w:t>
            </w:r>
            <w:r w:rsidRPr="00687A1C">
              <w:t>292</w:t>
            </w:r>
          </w:p>
        </w:tc>
        <w:tc>
          <w:tcPr>
            <w:tcW w:w="1362" w:type="dxa"/>
            <w:shd w:val="clear" w:color="auto" w:fill="E0E0E0"/>
          </w:tcPr>
          <w:p w:rsidR="00174AEA" w:rsidRPr="00687A1C" w:rsidRDefault="00270A70" w:rsidP="00491F1E">
            <w:pPr>
              <w:pStyle w:val="Tabletextright"/>
            </w:pPr>
            <w:r w:rsidRPr="00687A1C">
              <w:t>–</w:t>
            </w:r>
          </w:p>
        </w:tc>
        <w:tc>
          <w:tcPr>
            <w:tcW w:w="1176" w:type="dxa"/>
            <w:shd w:val="clear" w:color="auto" w:fill="auto"/>
          </w:tcPr>
          <w:p w:rsidR="00174AEA" w:rsidRPr="00687A1C" w:rsidRDefault="00174AEA" w:rsidP="00D8412D">
            <w:pPr>
              <w:pStyle w:val="Tabletextright"/>
            </w:pPr>
            <w:r w:rsidRPr="00687A1C">
              <w:t>250</w:t>
            </w:r>
            <w:r w:rsidR="00D8412D" w:rsidRPr="00687A1C">
              <w:rPr>
                <w:rFonts w:ascii="Calibri" w:hAnsi="Calibri" w:cs="Calibri"/>
              </w:rPr>
              <w:t xml:space="preserve"> </w:t>
            </w:r>
            <w:r w:rsidRPr="00687A1C">
              <w:t>292</w:t>
            </w:r>
          </w:p>
        </w:tc>
      </w:tr>
      <w:tr w:rsidR="00174AEA" w:rsidRPr="00687A1C" w:rsidTr="00491F1E">
        <w:tc>
          <w:tcPr>
            <w:tcW w:w="3528" w:type="dxa"/>
            <w:shd w:val="clear" w:color="auto" w:fill="auto"/>
            <w:vAlign w:val="bottom"/>
          </w:tcPr>
          <w:p w:rsidR="00174AEA" w:rsidRPr="00687A1C" w:rsidRDefault="005F6801" w:rsidP="008A3976">
            <w:pPr>
              <w:pStyle w:val="Tabletext"/>
              <w:rPr>
                <w:bCs/>
              </w:rPr>
            </w:pPr>
            <w:r w:rsidRPr="00687A1C">
              <w:rPr>
                <w:bCs/>
              </w:rPr>
              <w:t>Net result for the year</w:t>
            </w:r>
          </w:p>
        </w:tc>
        <w:tc>
          <w:tcPr>
            <w:tcW w:w="876" w:type="dxa"/>
            <w:shd w:val="clear" w:color="auto" w:fill="auto"/>
            <w:vAlign w:val="bottom"/>
          </w:tcPr>
          <w:p w:rsidR="00174AEA" w:rsidRPr="00687A1C" w:rsidRDefault="00174AEA" w:rsidP="008A3976">
            <w:pPr>
              <w:pStyle w:val="Tabletextcentred"/>
            </w:pPr>
          </w:p>
        </w:tc>
        <w:tc>
          <w:tcPr>
            <w:tcW w:w="1284" w:type="dxa"/>
            <w:shd w:val="clear" w:color="auto" w:fill="E0E0E0"/>
          </w:tcPr>
          <w:p w:rsidR="00174AEA" w:rsidRPr="00687A1C" w:rsidRDefault="00174AEA" w:rsidP="00491F1E">
            <w:pPr>
              <w:pStyle w:val="Tabletextright"/>
            </w:pPr>
            <w:r w:rsidRPr="00687A1C">
              <w:t>–</w:t>
            </w:r>
          </w:p>
        </w:tc>
        <w:tc>
          <w:tcPr>
            <w:tcW w:w="1260" w:type="dxa"/>
            <w:shd w:val="clear" w:color="auto" w:fill="auto"/>
          </w:tcPr>
          <w:p w:rsidR="00174AEA" w:rsidRPr="00687A1C" w:rsidRDefault="00174AEA" w:rsidP="00491F1E">
            <w:pPr>
              <w:pStyle w:val="Tabletextright"/>
            </w:pPr>
            <w:r w:rsidRPr="00687A1C">
              <w:t>–</w:t>
            </w:r>
          </w:p>
        </w:tc>
        <w:tc>
          <w:tcPr>
            <w:tcW w:w="1362" w:type="dxa"/>
            <w:shd w:val="clear" w:color="auto" w:fill="E0E0E0"/>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040</w:t>
            </w:r>
          </w:p>
        </w:tc>
        <w:tc>
          <w:tcPr>
            <w:tcW w:w="1176" w:type="dxa"/>
            <w:shd w:val="clear" w:color="auto" w:fill="auto"/>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040</w:t>
            </w:r>
          </w:p>
        </w:tc>
      </w:tr>
      <w:tr w:rsidR="00174AEA" w:rsidRPr="00687A1C" w:rsidTr="00491F1E">
        <w:tc>
          <w:tcPr>
            <w:tcW w:w="3528" w:type="dxa"/>
            <w:shd w:val="clear" w:color="auto" w:fill="auto"/>
            <w:vAlign w:val="bottom"/>
          </w:tcPr>
          <w:p w:rsidR="00174AEA" w:rsidRPr="00687A1C" w:rsidRDefault="005F6801" w:rsidP="008A3976">
            <w:pPr>
              <w:pStyle w:val="Tabletextbold"/>
            </w:pPr>
            <w:r w:rsidRPr="00687A1C">
              <w:t>Balance at 30 June 2017</w:t>
            </w:r>
          </w:p>
        </w:tc>
        <w:tc>
          <w:tcPr>
            <w:tcW w:w="876" w:type="dxa"/>
            <w:shd w:val="clear" w:color="auto" w:fill="auto"/>
            <w:vAlign w:val="bottom"/>
          </w:tcPr>
          <w:p w:rsidR="00174AEA" w:rsidRPr="00687A1C" w:rsidRDefault="00174AEA" w:rsidP="008A3976">
            <w:pPr>
              <w:pStyle w:val="Tabletextcentred"/>
            </w:pPr>
          </w:p>
        </w:tc>
        <w:tc>
          <w:tcPr>
            <w:tcW w:w="1284" w:type="dxa"/>
            <w:shd w:val="clear" w:color="auto" w:fill="E0E0E0"/>
          </w:tcPr>
          <w:p w:rsidR="00174AEA" w:rsidRPr="00687A1C" w:rsidRDefault="00174AEA" w:rsidP="00D8412D">
            <w:pPr>
              <w:pStyle w:val="Tabletextrightbold"/>
            </w:pPr>
            <w:r w:rsidRPr="00687A1C">
              <w:t>236</w:t>
            </w:r>
            <w:r w:rsidR="00D8412D" w:rsidRPr="00687A1C">
              <w:rPr>
                <w:rFonts w:ascii="Calibri" w:hAnsi="Calibri" w:cs="Calibri"/>
              </w:rPr>
              <w:t xml:space="preserve"> </w:t>
            </w:r>
            <w:r w:rsidRPr="00687A1C">
              <w:t>186</w:t>
            </w:r>
          </w:p>
        </w:tc>
        <w:tc>
          <w:tcPr>
            <w:tcW w:w="1260" w:type="dxa"/>
            <w:shd w:val="clear" w:color="auto" w:fill="auto"/>
          </w:tcPr>
          <w:p w:rsidR="00174AEA" w:rsidRPr="00687A1C" w:rsidRDefault="00174AEA" w:rsidP="00D8412D">
            <w:pPr>
              <w:pStyle w:val="Tabletextrightbold"/>
            </w:pPr>
            <w:r w:rsidRPr="00687A1C">
              <w:t>559</w:t>
            </w:r>
            <w:r w:rsidR="00D8412D" w:rsidRPr="00687A1C">
              <w:rPr>
                <w:rFonts w:ascii="Calibri" w:hAnsi="Calibri" w:cs="Calibri"/>
              </w:rPr>
              <w:t xml:space="preserve"> </w:t>
            </w:r>
            <w:r w:rsidRPr="00687A1C">
              <w:t>518</w:t>
            </w:r>
          </w:p>
        </w:tc>
        <w:tc>
          <w:tcPr>
            <w:tcW w:w="1362" w:type="dxa"/>
            <w:shd w:val="clear" w:color="auto" w:fill="E0E0E0"/>
          </w:tcPr>
          <w:p w:rsidR="00174AEA" w:rsidRPr="00687A1C" w:rsidRDefault="00174AEA" w:rsidP="00D8412D">
            <w:pPr>
              <w:pStyle w:val="Tabletextrightbold"/>
            </w:pPr>
            <w:r w:rsidRPr="00687A1C">
              <w:t>190</w:t>
            </w:r>
            <w:r w:rsidR="00D8412D" w:rsidRPr="00687A1C">
              <w:rPr>
                <w:rFonts w:ascii="Calibri" w:hAnsi="Calibri" w:cs="Calibri"/>
              </w:rPr>
              <w:t xml:space="preserve"> </w:t>
            </w:r>
            <w:r w:rsidRPr="00687A1C">
              <w:t>918</w:t>
            </w:r>
          </w:p>
        </w:tc>
        <w:tc>
          <w:tcPr>
            <w:tcW w:w="1176" w:type="dxa"/>
            <w:shd w:val="clear" w:color="auto" w:fill="auto"/>
          </w:tcPr>
          <w:p w:rsidR="00174AEA" w:rsidRPr="00687A1C" w:rsidRDefault="00174AEA" w:rsidP="00D8412D">
            <w:pPr>
              <w:pStyle w:val="Tabletextrightbold"/>
            </w:pPr>
            <w:r w:rsidRPr="00687A1C">
              <w:t>986</w:t>
            </w:r>
            <w:r w:rsidR="00D8412D" w:rsidRPr="00687A1C">
              <w:rPr>
                <w:rFonts w:ascii="Calibri" w:hAnsi="Calibri" w:cs="Calibri"/>
              </w:rPr>
              <w:t xml:space="preserve"> </w:t>
            </w:r>
            <w:r w:rsidRPr="00687A1C">
              <w:t>622</w:t>
            </w:r>
          </w:p>
        </w:tc>
      </w:tr>
      <w:tr w:rsidR="00174AEA" w:rsidRPr="00687A1C" w:rsidTr="00491F1E">
        <w:tc>
          <w:tcPr>
            <w:tcW w:w="3528" w:type="dxa"/>
            <w:shd w:val="clear" w:color="auto" w:fill="auto"/>
          </w:tcPr>
          <w:p w:rsidR="00174AEA" w:rsidRPr="00687A1C" w:rsidRDefault="00174AEA" w:rsidP="008A3976">
            <w:pPr>
              <w:pStyle w:val="Tabletext"/>
            </w:pPr>
          </w:p>
        </w:tc>
        <w:tc>
          <w:tcPr>
            <w:tcW w:w="876" w:type="dxa"/>
            <w:shd w:val="clear" w:color="auto" w:fill="auto"/>
            <w:vAlign w:val="bottom"/>
          </w:tcPr>
          <w:p w:rsidR="00174AEA" w:rsidRPr="00687A1C" w:rsidDel="001D1BB4" w:rsidRDefault="00174AEA" w:rsidP="008A3976">
            <w:pPr>
              <w:pStyle w:val="Tabletextcentred"/>
            </w:pPr>
          </w:p>
        </w:tc>
        <w:tc>
          <w:tcPr>
            <w:tcW w:w="1284" w:type="dxa"/>
            <w:shd w:val="clear" w:color="auto" w:fill="E0E0E0"/>
          </w:tcPr>
          <w:p w:rsidR="00174AEA" w:rsidRPr="00687A1C" w:rsidRDefault="00174AEA" w:rsidP="00491F1E">
            <w:pPr>
              <w:pStyle w:val="Tabletextright"/>
            </w:pPr>
          </w:p>
        </w:tc>
        <w:tc>
          <w:tcPr>
            <w:tcW w:w="1260" w:type="dxa"/>
            <w:shd w:val="clear" w:color="auto" w:fill="auto"/>
          </w:tcPr>
          <w:p w:rsidR="00174AEA" w:rsidRPr="00687A1C" w:rsidRDefault="00174AEA" w:rsidP="00491F1E">
            <w:pPr>
              <w:pStyle w:val="Tabletextright"/>
            </w:pPr>
          </w:p>
        </w:tc>
        <w:tc>
          <w:tcPr>
            <w:tcW w:w="1362" w:type="dxa"/>
            <w:shd w:val="clear" w:color="auto" w:fill="E0E0E0"/>
          </w:tcPr>
          <w:p w:rsidR="00174AEA" w:rsidRPr="00687A1C" w:rsidRDefault="00174AEA" w:rsidP="00491F1E">
            <w:pPr>
              <w:pStyle w:val="Tabletextright"/>
            </w:pPr>
          </w:p>
        </w:tc>
        <w:tc>
          <w:tcPr>
            <w:tcW w:w="1176" w:type="dxa"/>
            <w:shd w:val="clear" w:color="auto" w:fill="auto"/>
          </w:tcPr>
          <w:p w:rsidR="00174AEA" w:rsidRPr="00687A1C" w:rsidRDefault="00174AEA" w:rsidP="00491F1E">
            <w:pPr>
              <w:pStyle w:val="Tabletextright"/>
            </w:pPr>
          </w:p>
        </w:tc>
      </w:tr>
      <w:tr w:rsidR="00174AEA" w:rsidRPr="00687A1C" w:rsidTr="00AE48A5">
        <w:tc>
          <w:tcPr>
            <w:tcW w:w="3528" w:type="dxa"/>
            <w:shd w:val="clear" w:color="auto" w:fill="auto"/>
            <w:vAlign w:val="bottom"/>
          </w:tcPr>
          <w:p w:rsidR="00174AEA" w:rsidRPr="00687A1C" w:rsidDel="001D1BB4" w:rsidRDefault="00174AEA" w:rsidP="008A3976">
            <w:pPr>
              <w:pStyle w:val="Tabletext"/>
            </w:pPr>
            <w:r w:rsidRPr="00687A1C">
              <w:t>Capital appropriations</w:t>
            </w:r>
            <w:r w:rsidR="00491F1E" w:rsidRPr="00687A1C">
              <w:t xml:space="preserve"> – </w:t>
            </w:r>
            <w:r w:rsidRPr="00687A1C">
              <w:t>additions to net asset base appropriation</w:t>
            </w:r>
          </w:p>
        </w:tc>
        <w:tc>
          <w:tcPr>
            <w:tcW w:w="876" w:type="dxa"/>
            <w:shd w:val="clear" w:color="auto" w:fill="auto"/>
          </w:tcPr>
          <w:p w:rsidR="00174AEA" w:rsidRPr="00687A1C" w:rsidRDefault="00AE48A5" w:rsidP="00AE48A5">
            <w:pPr>
              <w:pStyle w:val="Tabletextcentred"/>
            </w:pPr>
            <w:r w:rsidRPr="00687A1C">
              <w:t>7.3</w:t>
            </w:r>
          </w:p>
        </w:tc>
        <w:tc>
          <w:tcPr>
            <w:tcW w:w="1284" w:type="dxa"/>
            <w:shd w:val="clear" w:color="auto" w:fill="E0E0E0"/>
          </w:tcPr>
          <w:p w:rsidR="00174AEA" w:rsidRPr="00687A1C" w:rsidDel="001D1BB4" w:rsidRDefault="00174AEA" w:rsidP="00D8412D">
            <w:pPr>
              <w:pStyle w:val="Tabletextright"/>
            </w:pPr>
            <w:r w:rsidRPr="00687A1C">
              <w:t>50</w:t>
            </w:r>
            <w:r w:rsidR="00D8412D" w:rsidRPr="00687A1C">
              <w:rPr>
                <w:rFonts w:ascii="Calibri" w:hAnsi="Calibri" w:cs="Calibri"/>
              </w:rPr>
              <w:t xml:space="preserve"> </w:t>
            </w:r>
            <w:r w:rsidRPr="00687A1C">
              <w:t>000</w:t>
            </w:r>
          </w:p>
        </w:tc>
        <w:tc>
          <w:tcPr>
            <w:tcW w:w="1260" w:type="dxa"/>
            <w:shd w:val="clear" w:color="auto" w:fill="auto"/>
          </w:tcPr>
          <w:p w:rsidR="00174AEA" w:rsidRPr="00687A1C" w:rsidDel="001D1BB4" w:rsidRDefault="00174AEA" w:rsidP="00491F1E">
            <w:pPr>
              <w:pStyle w:val="Tabletextright"/>
            </w:pPr>
            <w:r w:rsidRPr="00687A1C">
              <w:t>–</w:t>
            </w:r>
          </w:p>
        </w:tc>
        <w:tc>
          <w:tcPr>
            <w:tcW w:w="1362" w:type="dxa"/>
            <w:shd w:val="clear" w:color="auto" w:fill="E0E0E0"/>
          </w:tcPr>
          <w:p w:rsidR="00174AEA" w:rsidRPr="00687A1C" w:rsidDel="001D1BB4" w:rsidRDefault="00174AEA" w:rsidP="00491F1E">
            <w:pPr>
              <w:pStyle w:val="Tabletextright"/>
            </w:pPr>
            <w:r w:rsidRPr="00687A1C">
              <w:t>–</w:t>
            </w:r>
          </w:p>
        </w:tc>
        <w:tc>
          <w:tcPr>
            <w:tcW w:w="1176" w:type="dxa"/>
            <w:shd w:val="clear" w:color="auto" w:fill="auto"/>
          </w:tcPr>
          <w:p w:rsidR="00174AEA" w:rsidRPr="00687A1C" w:rsidDel="001D1BB4" w:rsidRDefault="00174AEA" w:rsidP="00D8412D">
            <w:pPr>
              <w:pStyle w:val="Tabletextright"/>
            </w:pPr>
            <w:r w:rsidRPr="00687A1C">
              <w:t>50</w:t>
            </w:r>
            <w:r w:rsidR="00D8412D" w:rsidRPr="00687A1C">
              <w:rPr>
                <w:rFonts w:ascii="Calibri" w:hAnsi="Calibri" w:cs="Calibri"/>
              </w:rPr>
              <w:t xml:space="preserve"> </w:t>
            </w:r>
            <w:r w:rsidRPr="00687A1C">
              <w:t>000</w:t>
            </w:r>
          </w:p>
        </w:tc>
      </w:tr>
      <w:tr w:rsidR="00174AEA" w:rsidRPr="00687A1C" w:rsidTr="00AE48A5">
        <w:tc>
          <w:tcPr>
            <w:tcW w:w="3528" w:type="dxa"/>
            <w:shd w:val="clear" w:color="auto" w:fill="auto"/>
            <w:vAlign w:val="bottom"/>
          </w:tcPr>
          <w:p w:rsidR="00174AEA" w:rsidRPr="00687A1C" w:rsidRDefault="00DE0CB9" w:rsidP="00DE0CB9">
            <w:pPr>
              <w:pStyle w:val="Tabletext"/>
            </w:pPr>
            <w:r w:rsidRPr="00687A1C">
              <w:t xml:space="preserve">Capital </w:t>
            </w:r>
            <w:r w:rsidR="00174AEA" w:rsidRPr="00687A1C">
              <w:t xml:space="preserve">transfers to </w:t>
            </w:r>
            <w:r w:rsidRPr="00687A1C">
              <w:t>administered trusts</w:t>
            </w:r>
          </w:p>
        </w:tc>
        <w:tc>
          <w:tcPr>
            <w:tcW w:w="876" w:type="dxa"/>
            <w:shd w:val="clear" w:color="auto" w:fill="auto"/>
          </w:tcPr>
          <w:p w:rsidR="00174AEA" w:rsidRPr="00687A1C" w:rsidRDefault="00AE48A5" w:rsidP="00AE48A5">
            <w:pPr>
              <w:pStyle w:val="Tabletextcentred"/>
            </w:pPr>
            <w:r w:rsidRPr="00687A1C">
              <w:t>7.3</w:t>
            </w:r>
          </w:p>
        </w:tc>
        <w:tc>
          <w:tcPr>
            <w:tcW w:w="1284" w:type="dxa"/>
            <w:shd w:val="clear" w:color="auto" w:fill="E0E0E0"/>
          </w:tcPr>
          <w:p w:rsidR="00174AEA" w:rsidRPr="00687A1C" w:rsidRDefault="00174AEA" w:rsidP="00D8412D">
            <w:pPr>
              <w:pStyle w:val="Tabletextright"/>
            </w:pPr>
            <w:r w:rsidRPr="00687A1C">
              <w:t>(50</w:t>
            </w:r>
            <w:r w:rsidR="00D8412D" w:rsidRPr="00687A1C">
              <w:rPr>
                <w:rFonts w:ascii="Calibri" w:hAnsi="Calibri" w:cs="Calibri"/>
              </w:rPr>
              <w:t xml:space="preserve"> </w:t>
            </w:r>
            <w:r w:rsidRPr="00687A1C">
              <w:t>000)</w:t>
            </w:r>
          </w:p>
        </w:tc>
        <w:tc>
          <w:tcPr>
            <w:tcW w:w="1260" w:type="dxa"/>
            <w:shd w:val="clear" w:color="auto" w:fill="auto"/>
          </w:tcPr>
          <w:p w:rsidR="00174AEA" w:rsidRPr="00687A1C" w:rsidRDefault="00174AEA" w:rsidP="00491F1E">
            <w:pPr>
              <w:pStyle w:val="Tabletextright"/>
            </w:pPr>
            <w:r w:rsidRPr="00687A1C">
              <w:t>–</w:t>
            </w:r>
          </w:p>
        </w:tc>
        <w:tc>
          <w:tcPr>
            <w:tcW w:w="1362" w:type="dxa"/>
            <w:shd w:val="clear" w:color="auto" w:fill="E0E0E0"/>
          </w:tcPr>
          <w:p w:rsidR="00174AEA" w:rsidRPr="00687A1C" w:rsidRDefault="00174AEA" w:rsidP="00491F1E">
            <w:pPr>
              <w:pStyle w:val="Tabletextright"/>
            </w:pPr>
            <w:r w:rsidRPr="00687A1C">
              <w:t>–</w:t>
            </w:r>
          </w:p>
        </w:tc>
        <w:tc>
          <w:tcPr>
            <w:tcW w:w="1176" w:type="dxa"/>
            <w:shd w:val="clear" w:color="auto" w:fill="auto"/>
          </w:tcPr>
          <w:p w:rsidR="00174AEA" w:rsidRPr="00687A1C" w:rsidRDefault="00174AEA" w:rsidP="00D8412D">
            <w:pPr>
              <w:pStyle w:val="Tabletextright"/>
            </w:pPr>
            <w:r w:rsidRPr="00687A1C">
              <w:t>(50</w:t>
            </w:r>
            <w:r w:rsidR="00D8412D" w:rsidRPr="00687A1C">
              <w:rPr>
                <w:rFonts w:ascii="Calibri" w:hAnsi="Calibri" w:cs="Calibri"/>
              </w:rPr>
              <w:t xml:space="preserve"> </w:t>
            </w:r>
            <w:r w:rsidRPr="00687A1C">
              <w:t>000)</w:t>
            </w:r>
          </w:p>
        </w:tc>
      </w:tr>
      <w:tr w:rsidR="00174AEA" w:rsidRPr="00687A1C" w:rsidTr="00AE48A5">
        <w:tc>
          <w:tcPr>
            <w:tcW w:w="3528" w:type="dxa"/>
            <w:shd w:val="clear" w:color="auto" w:fill="auto"/>
            <w:vAlign w:val="bottom"/>
          </w:tcPr>
          <w:p w:rsidR="00174AEA" w:rsidRPr="00687A1C" w:rsidRDefault="00174AEA" w:rsidP="008A3976">
            <w:pPr>
              <w:pStyle w:val="Tabletext"/>
            </w:pPr>
            <w:r w:rsidRPr="00687A1C">
              <w:t>Return of capital</w:t>
            </w:r>
          </w:p>
        </w:tc>
        <w:tc>
          <w:tcPr>
            <w:tcW w:w="876" w:type="dxa"/>
            <w:shd w:val="clear" w:color="auto" w:fill="auto"/>
          </w:tcPr>
          <w:p w:rsidR="00174AEA" w:rsidRPr="00687A1C" w:rsidRDefault="00AE48A5" w:rsidP="00AE48A5">
            <w:pPr>
              <w:pStyle w:val="Tabletextcentred"/>
            </w:pPr>
            <w:r w:rsidRPr="00687A1C">
              <w:t>5.1.2</w:t>
            </w:r>
          </w:p>
        </w:tc>
        <w:tc>
          <w:tcPr>
            <w:tcW w:w="1284" w:type="dxa"/>
            <w:shd w:val="clear" w:color="auto" w:fill="E0E0E0"/>
          </w:tcPr>
          <w:p w:rsidR="00174AEA" w:rsidRPr="00687A1C" w:rsidRDefault="00174AEA" w:rsidP="00491F1E">
            <w:pPr>
              <w:pStyle w:val="Tabletextright"/>
            </w:pPr>
            <w:r w:rsidRPr="00687A1C">
              <w:t>(612)</w:t>
            </w:r>
          </w:p>
        </w:tc>
        <w:tc>
          <w:tcPr>
            <w:tcW w:w="1260" w:type="dxa"/>
            <w:shd w:val="clear" w:color="auto" w:fill="auto"/>
          </w:tcPr>
          <w:p w:rsidR="00174AEA" w:rsidRPr="00687A1C" w:rsidRDefault="00174AEA" w:rsidP="00491F1E">
            <w:pPr>
              <w:pStyle w:val="Tabletextright"/>
            </w:pPr>
            <w:r w:rsidRPr="00687A1C">
              <w:t>–</w:t>
            </w:r>
          </w:p>
        </w:tc>
        <w:tc>
          <w:tcPr>
            <w:tcW w:w="1362" w:type="dxa"/>
            <w:shd w:val="clear" w:color="auto" w:fill="E0E0E0"/>
          </w:tcPr>
          <w:p w:rsidR="00174AEA" w:rsidRPr="00687A1C" w:rsidDel="00940222" w:rsidRDefault="00174AEA" w:rsidP="00491F1E">
            <w:pPr>
              <w:pStyle w:val="Tabletextright"/>
            </w:pPr>
            <w:r w:rsidRPr="00687A1C">
              <w:t>–</w:t>
            </w:r>
          </w:p>
        </w:tc>
        <w:tc>
          <w:tcPr>
            <w:tcW w:w="1176" w:type="dxa"/>
            <w:shd w:val="clear" w:color="auto" w:fill="auto"/>
          </w:tcPr>
          <w:p w:rsidR="00174AEA" w:rsidRPr="00687A1C" w:rsidDel="00940222" w:rsidRDefault="00174AEA" w:rsidP="00491F1E">
            <w:pPr>
              <w:pStyle w:val="Tabletextright"/>
            </w:pPr>
            <w:r w:rsidRPr="00687A1C">
              <w:t>(612)</w:t>
            </w:r>
          </w:p>
        </w:tc>
      </w:tr>
      <w:tr w:rsidR="00174AEA" w:rsidRPr="00687A1C" w:rsidTr="00AE48A5">
        <w:tc>
          <w:tcPr>
            <w:tcW w:w="3528" w:type="dxa"/>
            <w:shd w:val="clear" w:color="auto" w:fill="auto"/>
          </w:tcPr>
          <w:p w:rsidR="00174AEA" w:rsidRPr="00687A1C" w:rsidRDefault="00174AEA" w:rsidP="008A3976">
            <w:pPr>
              <w:pStyle w:val="Tabletext"/>
            </w:pPr>
            <w:r w:rsidRPr="00687A1C">
              <w:t>Net result for the year</w:t>
            </w:r>
          </w:p>
        </w:tc>
        <w:tc>
          <w:tcPr>
            <w:tcW w:w="876" w:type="dxa"/>
            <w:shd w:val="clear" w:color="auto" w:fill="auto"/>
          </w:tcPr>
          <w:p w:rsidR="00174AEA" w:rsidRPr="00687A1C" w:rsidRDefault="00174AEA" w:rsidP="00AE48A5">
            <w:pPr>
              <w:pStyle w:val="Tabletextcentred"/>
            </w:pPr>
          </w:p>
        </w:tc>
        <w:tc>
          <w:tcPr>
            <w:tcW w:w="1284" w:type="dxa"/>
            <w:shd w:val="clear" w:color="auto" w:fill="E0E0E0"/>
          </w:tcPr>
          <w:p w:rsidR="00174AEA" w:rsidRPr="00687A1C" w:rsidRDefault="00174AEA" w:rsidP="00491F1E">
            <w:pPr>
              <w:pStyle w:val="Tabletextright"/>
            </w:pPr>
            <w:r w:rsidRPr="00687A1C">
              <w:t>–</w:t>
            </w:r>
          </w:p>
        </w:tc>
        <w:tc>
          <w:tcPr>
            <w:tcW w:w="1260" w:type="dxa"/>
            <w:shd w:val="clear" w:color="auto" w:fill="auto"/>
          </w:tcPr>
          <w:p w:rsidR="00174AEA" w:rsidRPr="00687A1C" w:rsidRDefault="00174AEA" w:rsidP="00491F1E">
            <w:pPr>
              <w:pStyle w:val="Tabletextright"/>
            </w:pPr>
            <w:r w:rsidRPr="00687A1C">
              <w:t>–</w:t>
            </w:r>
          </w:p>
        </w:tc>
        <w:tc>
          <w:tcPr>
            <w:tcW w:w="1362" w:type="dxa"/>
            <w:shd w:val="clear" w:color="auto" w:fill="E0E0E0"/>
          </w:tcPr>
          <w:p w:rsidR="00174AEA" w:rsidRPr="00687A1C" w:rsidRDefault="00174AEA" w:rsidP="00D8412D">
            <w:pPr>
              <w:pStyle w:val="Tabletextright"/>
            </w:pPr>
            <w:r w:rsidRPr="00687A1C">
              <w:t>1</w:t>
            </w:r>
            <w:r w:rsidR="00D8412D" w:rsidRPr="00687A1C">
              <w:rPr>
                <w:rFonts w:ascii="Calibri" w:hAnsi="Calibri" w:cs="Calibri"/>
              </w:rPr>
              <w:t xml:space="preserve"> </w:t>
            </w:r>
            <w:r w:rsidR="00AE48A5" w:rsidRPr="00687A1C">
              <w:t>547</w:t>
            </w:r>
          </w:p>
        </w:tc>
        <w:tc>
          <w:tcPr>
            <w:tcW w:w="1176" w:type="dxa"/>
            <w:shd w:val="clear" w:color="auto" w:fill="auto"/>
          </w:tcPr>
          <w:p w:rsidR="00174AEA" w:rsidRPr="00687A1C" w:rsidRDefault="00174AEA" w:rsidP="00D8412D">
            <w:pPr>
              <w:pStyle w:val="Tabletextright"/>
            </w:pPr>
            <w:r w:rsidRPr="00687A1C">
              <w:t>1</w:t>
            </w:r>
            <w:r w:rsidR="00D8412D" w:rsidRPr="00687A1C">
              <w:rPr>
                <w:rFonts w:ascii="Calibri" w:hAnsi="Calibri" w:cs="Calibri"/>
              </w:rPr>
              <w:t xml:space="preserve"> </w:t>
            </w:r>
            <w:r w:rsidR="00AE48A5" w:rsidRPr="00687A1C">
              <w:t>547</w:t>
            </w:r>
          </w:p>
        </w:tc>
      </w:tr>
      <w:tr w:rsidR="00174AEA" w:rsidRPr="00687A1C" w:rsidTr="00AE48A5">
        <w:tc>
          <w:tcPr>
            <w:tcW w:w="3528" w:type="dxa"/>
            <w:shd w:val="clear" w:color="auto" w:fill="auto"/>
          </w:tcPr>
          <w:p w:rsidR="00174AEA" w:rsidRPr="00687A1C" w:rsidRDefault="00174AEA" w:rsidP="008A3976">
            <w:pPr>
              <w:pStyle w:val="Tabletextbold"/>
            </w:pPr>
            <w:r w:rsidRPr="00687A1C">
              <w:t>Balance at 30 June 2018</w:t>
            </w:r>
          </w:p>
        </w:tc>
        <w:tc>
          <w:tcPr>
            <w:tcW w:w="876" w:type="dxa"/>
            <w:shd w:val="clear" w:color="auto" w:fill="auto"/>
          </w:tcPr>
          <w:p w:rsidR="00174AEA" w:rsidRPr="00687A1C" w:rsidRDefault="00174AEA" w:rsidP="00AE48A5">
            <w:pPr>
              <w:pStyle w:val="Tabletextcentred"/>
            </w:pPr>
          </w:p>
        </w:tc>
        <w:tc>
          <w:tcPr>
            <w:tcW w:w="1284" w:type="dxa"/>
            <w:shd w:val="clear" w:color="auto" w:fill="E0E0E0"/>
          </w:tcPr>
          <w:p w:rsidR="00174AEA" w:rsidRPr="00687A1C" w:rsidRDefault="00174AEA" w:rsidP="00D8412D">
            <w:pPr>
              <w:pStyle w:val="Tabletextrightbold"/>
            </w:pPr>
            <w:r w:rsidRPr="00687A1C">
              <w:t>235</w:t>
            </w:r>
            <w:r w:rsidR="00D8412D" w:rsidRPr="00687A1C">
              <w:rPr>
                <w:rFonts w:ascii="Calibri" w:hAnsi="Calibri" w:cs="Calibri"/>
              </w:rPr>
              <w:t xml:space="preserve"> </w:t>
            </w:r>
            <w:r w:rsidRPr="00687A1C">
              <w:t>574</w:t>
            </w:r>
          </w:p>
        </w:tc>
        <w:tc>
          <w:tcPr>
            <w:tcW w:w="1260" w:type="dxa"/>
            <w:shd w:val="clear" w:color="auto" w:fill="auto"/>
          </w:tcPr>
          <w:p w:rsidR="00174AEA" w:rsidRPr="00687A1C" w:rsidRDefault="00174AEA" w:rsidP="00D8412D">
            <w:pPr>
              <w:pStyle w:val="Tabletextrightbold"/>
            </w:pPr>
            <w:r w:rsidRPr="00687A1C">
              <w:t>559</w:t>
            </w:r>
            <w:r w:rsidR="00D8412D" w:rsidRPr="00687A1C">
              <w:rPr>
                <w:rFonts w:ascii="Calibri" w:hAnsi="Calibri" w:cs="Calibri"/>
              </w:rPr>
              <w:t xml:space="preserve"> </w:t>
            </w:r>
            <w:r w:rsidRPr="00687A1C">
              <w:t>518</w:t>
            </w:r>
          </w:p>
        </w:tc>
        <w:tc>
          <w:tcPr>
            <w:tcW w:w="1362" w:type="dxa"/>
            <w:shd w:val="clear" w:color="auto" w:fill="E0E0E0"/>
          </w:tcPr>
          <w:p w:rsidR="00174AEA" w:rsidRPr="00687A1C" w:rsidRDefault="00174AEA" w:rsidP="00D8412D">
            <w:pPr>
              <w:pStyle w:val="Tabletextrightbold"/>
            </w:pPr>
            <w:r w:rsidRPr="00687A1C">
              <w:t>192</w:t>
            </w:r>
            <w:r w:rsidR="00D8412D" w:rsidRPr="00687A1C">
              <w:rPr>
                <w:rFonts w:ascii="Calibri" w:hAnsi="Calibri" w:cs="Calibri"/>
              </w:rPr>
              <w:t xml:space="preserve"> </w:t>
            </w:r>
            <w:r w:rsidR="00AE48A5" w:rsidRPr="00687A1C">
              <w:t>465</w:t>
            </w:r>
          </w:p>
        </w:tc>
        <w:tc>
          <w:tcPr>
            <w:tcW w:w="1176" w:type="dxa"/>
            <w:shd w:val="clear" w:color="auto" w:fill="auto"/>
          </w:tcPr>
          <w:p w:rsidR="00174AEA" w:rsidRPr="00687A1C" w:rsidRDefault="00174AEA" w:rsidP="00D8412D">
            <w:pPr>
              <w:pStyle w:val="Tabletextrightbold"/>
            </w:pPr>
            <w:r w:rsidRPr="00687A1C">
              <w:t>987</w:t>
            </w:r>
            <w:r w:rsidR="00D8412D" w:rsidRPr="00687A1C">
              <w:rPr>
                <w:rFonts w:ascii="Calibri" w:hAnsi="Calibri" w:cs="Calibri"/>
              </w:rPr>
              <w:t xml:space="preserve"> </w:t>
            </w:r>
            <w:r w:rsidR="00AE48A5" w:rsidRPr="00687A1C">
              <w:t>557</w:t>
            </w:r>
          </w:p>
        </w:tc>
      </w:tr>
    </w:tbl>
    <w:p w:rsidR="00174AEA" w:rsidRPr="00687A1C" w:rsidRDefault="00174AEA" w:rsidP="00174AEA">
      <w:pPr>
        <w:pStyle w:val="Spacer"/>
      </w:pPr>
    </w:p>
    <w:p w:rsidR="00174AEA" w:rsidRPr="00687A1C" w:rsidRDefault="00174AEA" w:rsidP="00174AEA">
      <w:pPr>
        <w:pStyle w:val="Notes"/>
      </w:pPr>
      <w:r w:rsidRPr="00687A1C">
        <w:t>The above statement of changes in equity should be read in conjunction with the accompanying notes.</w:t>
      </w:r>
    </w:p>
    <w:p w:rsidR="00174AEA" w:rsidRPr="00687A1C" w:rsidRDefault="00174AEA" w:rsidP="00174AEA"/>
    <w:p w:rsidR="00174AEA" w:rsidRPr="00687A1C" w:rsidRDefault="00174AEA" w:rsidP="00174AEA"/>
    <w:p w:rsidR="00174AEA" w:rsidRPr="00687A1C" w:rsidRDefault="00174AEA" w:rsidP="00174AEA">
      <w:pPr>
        <w:spacing w:before="0" w:after="0"/>
        <w:rPr>
          <w:rFonts w:cstheme="minorHAnsi"/>
          <w:b/>
          <w:color w:val="4C4C4C"/>
          <w:sz w:val="44"/>
          <w:szCs w:val="48"/>
        </w:rPr>
      </w:pPr>
      <w:bookmarkStart w:id="41" w:name="_Toc303670544"/>
      <w:bookmarkStart w:id="42" w:name="_Toc335740843"/>
      <w:r w:rsidRPr="00687A1C">
        <w:rPr>
          <w:rFonts w:cstheme="minorHAnsi"/>
        </w:rPr>
        <w:br w:type="page"/>
      </w:r>
    </w:p>
    <w:p w:rsidR="00174AEA" w:rsidRPr="00687A1C" w:rsidRDefault="00174AEA" w:rsidP="00174AEA">
      <w:pPr>
        <w:pStyle w:val="HeadingFin"/>
      </w:pPr>
      <w:bookmarkStart w:id="43" w:name="_Toc525026180"/>
      <w:bookmarkStart w:id="44" w:name="CashflowStatement"/>
      <w:r w:rsidRPr="00687A1C">
        <w:lastRenderedPageBreak/>
        <w:t>Cash flow statement</w:t>
      </w:r>
      <w:bookmarkEnd w:id="41"/>
      <w:bookmarkEnd w:id="42"/>
      <w:bookmarkEnd w:id="43"/>
    </w:p>
    <w:bookmarkEnd w:id="44"/>
    <w:p w:rsidR="00174AEA" w:rsidRPr="00687A1C" w:rsidRDefault="00174AEA" w:rsidP="00174AEA">
      <w:pPr>
        <w:pStyle w:val="Heading2"/>
        <w:spacing w:before="0"/>
      </w:pPr>
      <w:r w:rsidRPr="00687A1C">
        <w:t>for the year ended 30 June 2018</w:t>
      </w:r>
    </w:p>
    <w:tbl>
      <w:tblPr>
        <w:tblW w:w="8118" w:type="dxa"/>
        <w:tblLayout w:type="fixed"/>
        <w:tblLook w:val="0000" w:firstRow="0" w:lastRow="0" w:firstColumn="0" w:lastColumn="0" w:noHBand="0" w:noVBand="0"/>
      </w:tblPr>
      <w:tblGrid>
        <w:gridCol w:w="4788"/>
        <w:gridCol w:w="850"/>
        <w:gridCol w:w="1240"/>
        <w:gridCol w:w="1240"/>
      </w:tblGrid>
      <w:tr w:rsidR="00174AEA" w:rsidRPr="00687A1C" w:rsidTr="008A3976">
        <w:tc>
          <w:tcPr>
            <w:tcW w:w="4788" w:type="dxa"/>
          </w:tcPr>
          <w:p w:rsidR="00174AEA" w:rsidRPr="00687A1C" w:rsidRDefault="00174AEA" w:rsidP="008A3976">
            <w:pPr>
              <w:pStyle w:val="Tabletext"/>
            </w:pPr>
          </w:p>
        </w:tc>
        <w:tc>
          <w:tcPr>
            <w:tcW w:w="850" w:type="dxa"/>
          </w:tcPr>
          <w:p w:rsidR="00174AEA" w:rsidRPr="00687A1C" w:rsidRDefault="00174AEA" w:rsidP="008A3976">
            <w:pPr>
              <w:pStyle w:val="Tabletextheadingcentred"/>
            </w:pPr>
          </w:p>
        </w:tc>
        <w:tc>
          <w:tcPr>
            <w:tcW w:w="1240" w:type="dxa"/>
            <w:shd w:val="clear" w:color="auto" w:fill="auto"/>
            <w:vAlign w:val="bottom"/>
          </w:tcPr>
          <w:p w:rsidR="00174AEA" w:rsidRPr="00687A1C" w:rsidRDefault="00174AEA" w:rsidP="008A3976">
            <w:pPr>
              <w:pStyle w:val="Tabletextheadingright"/>
            </w:pPr>
            <w:r w:rsidRPr="00687A1C">
              <w:t>2018</w:t>
            </w:r>
          </w:p>
        </w:tc>
        <w:tc>
          <w:tcPr>
            <w:tcW w:w="1240" w:type="dxa"/>
            <w:shd w:val="clear" w:color="auto" w:fill="auto"/>
            <w:vAlign w:val="bottom"/>
          </w:tcPr>
          <w:p w:rsidR="00174AEA" w:rsidRPr="00687A1C" w:rsidRDefault="00174AEA" w:rsidP="008A3976">
            <w:pPr>
              <w:pStyle w:val="Tabletextheadingright"/>
            </w:pPr>
            <w:r w:rsidRPr="00687A1C">
              <w:t>2017</w:t>
            </w:r>
          </w:p>
        </w:tc>
      </w:tr>
      <w:tr w:rsidR="00174AEA" w:rsidRPr="00687A1C" w:rsidTr="008A3976">
        <w:tc>
          <w:tcPr>
            <w:tcW w:w="4788" w:type="dxa"/>
          </w:tcPr>
          <w:p w:rsidR="00174AEA" w:rsidRPr="00687A1C" w:rsidRDefault="00174AEA" w:rsidP="008A3976">
            <w:pPr>
              <w:pStyle w:val="Tabletext"/>
            </w:pPr>
          </w:p>
        </w:tc>
        <w:tc>
          <w:tcPr>
            <w:tcW w:w="850" w:type="dxa"/>
          </w:tcPr>
          <w:p w:rsidR="00174AEA" w:rsidRPr="00687A1C" w:rsidRDefault="00174AEA" w:rsidP="008A3976">
            <w:pPr>
              <w:pStyle w:val="Tabletextheadingcentred"/>
            </w:pPr>
            <w:r w:rsidRPr="00687A1C">
              <w:t>Notes</w:t>
            </w:r>
          </w:p>
        </w:tc>
        <w:tc>
          <w:tcPr>
            <w:tcW w:w="1240" w:type="dxa"/>
            <w:shd w:val="clear" w:color="auto" w:fill="auto"/>
          </w:tcPr>
          <w:p w:rsidR="00174AEA" w:rsidRPr="00687A1C" w:rsidRDefault="00174AEA" w:rsidP="008A3976">
            <w:pPr>
              <w:pStyle w:val="Tabletextheadingright"/>
            </w:pPr>
            <w:r w:rsidRPr="00687A1C">
              <w:t>$’000</w:t>
            </w:r>
          </w:p>
        </w:tc>
        <w:tc>
          <w:tcPr>
            <w:tcW w:w="1240" w:type="dxa"/>
            <w:shd w:val="clear" w:color="auto" w:fill="auto"/>
          </w:tcPr>
          <w:p w:rsidR="00174AEA" w:rsidRPr="00687A1C" w:rsidRDefault="00174AEA" w:rsidP="008A3976">
            <w:pPr>
              <w:pStyle w:val="Tabletextheadingright"/>
            </w:pPr>
            <w:r w:rsidRPr="00687A1C">
              <w:t>$’000</w:t>
            </w:r>
          </w:p>
        </w:tc>
      </w:tr>
      <w:tr w:rsidR="00174AEA" w:rsidRPr="00687A1C" w:rsidTr="008A3976">
        <w:tc>
          <w:tcPr>
            <w:tcW w:w="4788" w:type="dxa"/>
          </w:tcPr>
          <w:p w:rsidR="00174AEA" w:rsidRPr="00687A1C" w:rsidRDefault="00174AEA" w:rsidP="008A3976">
            <w:pPr>
              <w:pStyle w:val="Tabletextbold"/>
            </w:pPr>
            <w:r w:rsidRPr="00687A1C">
              <w:t>Cash flows from operating activities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pPr>
          </w:p>
        </w:tc>
        <w:tc>
          <w:tcPr>
            <w:tcW w:w="1240" w:type="dxa"/>
            <w:shd w:val="clear" w:color="auto" w:fill="auto"/>
            <w:vAlign w:val="bottom"/>
          </w:tcPr>
          <w:p w:rsidR="00174AEA" w:rsidRPr="00687A1C" w:rsidRDefault="00174AEA" w:rsidP="008A3976">
            <w:pPr>
              <w:pStyle w:val="Tabletextright"/>
            </w:pPr>
          </w:p>
        </w:tc>
      </w:tr>
      <w:tr w:rsidR="00174AEA" w:rsidRPr="00687A1C" w:rsidTr="008A3976">
        <w:tc>
          <w:tcPr>
            <w:tcW w:w="4788" w:type="dxa"/>
          </w:tcPr>
          <w:p w:rsidR="00174AEA" w:rsidRPr="00687A1C" w:rsidRDefault="00174AEA" w:rsidP="008A3976">
            <w:pPr>
              <w:pStyle w:val="Tabletext"/>
            </w:pPr>
            <w:r w:rsidRPr="00687A1C">
              <w:t>Receipts from government</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AE48A5" w:rsidP="008A3976">
            <w:pPr>
              <w:pStyle w:val="Tabletextright"/>
              <w:rPr>
                <w:bCs/>
              </w:rPr>
            </w:pPr>
            <w:r w:rsidRPr="00687A1C">
              <w:rPr>
                <w:bCs/>
              </w:rPr>
              <w:t>318 715</w:t>
            </w:r>
          </w:p>
        </w:tc>
        <w:tc>
          <w:tcPr>
            <w:tcW w:w="1240" w:type="dxa"/>
            <w:shd w:val="clear" w:color="auto" w:fill="auto"/>
            <w:vAlign w:val="bottom"/>
          </w:tcPr>
          <w:p w:rsidR="00174AEA" w:rsidRPr="00687A1C" w:rsidRDefault="00174AEA" w:rsidP="00D8412D">
            <w:pPr>
              <w:pStyle w:val="Tabletextright"/>
            </w:pPr>
            <w:r w:rsidRPr="00687A1C">
              <w:rPr>
                <w:bCs/>
              </w:rPr>
              <w:t>325</w:t>
            </w:r>
            <w:r w:rsidR="00D8412D" w:rsidRPr="00687A1C">
              <w:rPr>
                <w:bCs/>
              </w:rPr>
              <w:t xml:space="preserve"> </w:t>
            </w:r>
            <w:r w:rsidRPr="00687A1C">
              <w:rPr>
                <w:bCs/>
              </w:rPr>
              <w:t>266</w:t>
            </w:r>
          </w:p>
        </w:tc>
      </w:tr>
      <w:tr w:rsidR="00174AEA" w:rsidRPr="00687A1C" w:rsidTr="008A3976">
        <w:tc>
          <w:tcPr>
            <w:tcW w:w="4788" w:type="dxa"/>
          </w:tcPr>
          <w:p w:rsidR="00174AEA" w:rsidRPr="00687A1C" w:rsidRDefault="00174AEA" w:rsidP="008A3976">
            <w:pPr>
              <w:pStyle w:val="Tabletext"/>
            </w:pPr>
            <w:r w:rsidRPr="00687A1C">
              <w:t>Receipts from other entities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AE48A5" w:rsidP="008A3976">
            <w:pPr>
              <w:pStyle w:val="Tabletextright"/>
              <w:rPr>
                <w:bCs/>
              </w:rPr>
            </w:pPr>
            <w:r w:rsidRPr="00687A1C">
              <w:rPr>
                <w:bCs/>
              </w:rPr>
              <w:t>46 177</w:t>
            </w:r>
          </w:p>
        </w:tc>
        <w:tc>
          <w:tcPr>
            <w:tcW w:w="1240" w:type="dxa"/>
            <w:shd w:val="clear" w:color="auto" w:fill="auto"/>
            <w:vAlign w:val="bottom"/>
          </w:tcPr>
          <w:p w:rsidR="00174AEA" w:rsidRPr="00687A1C" w:rsidRDefault="00174AEA" w:rsidP="00D8412D">
            <w:pPr>
              <w:pStyle w:val="Tabletextright"/>
            </w:pPr>
            <w:r w:rsidRPr="00687A1C">
              <w:rPr>
                <w:bCs/>
              </w:rPr>
              <w:t>38</w:t>
            </w:r>
            <w:r w:rsidR="00D8412D" w:rsidRPr="00687A1C">
              <w:rPr>
                <w:bCs/>
              </w:rPr>
              <w:t xml:space="preserve"> </w:t>
            </w:r>
            <w:r w:rsidRPr="00687A1C">
              <w:rPr>
                <w:bCs/>
              </w:rPr>
              <w:t>284</w:t>
            </w:r>
          </w:p>
        </w:tc>
      </w:tr>
      <w:tr w:rsidR="00174AEA" w:rsidRPr="00687A1C" w:rsidTr="008A3976">
        <w:trPr>
          <w:trHeight w:val="230"/>
        </w:trPr>
        <w:tc>
          <w:tcPr>
            <w:tcW w:w="4788" w:type="dxa"/>
          </w:tcPr>
          <w:p w:rsidR="00174AEA" w:rsidRPr="00687A1C" w:rsidRDefault="00174AEA" w:rsidP="008A3976">
            <w:pPr>
              <w:pStyle w:val="Tabletext"/>
            </w:pPr>
            <w:r w:rsidRPr="00687A1C">
              <w:t>Goods and services tax recovered from the ATO</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17</w:t>
            </w:r>
            <w:r w:rsidR="00D8412D" w:rsidRPr="00687A1C">
              <w:rPr>
                <w:bCs/>
              </w:rPr>
              <w:t xml:space="preserve"> </w:t>
            </w:r>
            <w:r w:rsidRPr="00687A1C">
              <w:rPr>
                <w:bCs/>
              </w:rPr>
              <w:t xml:space="preserve">411 </w:t>
            </w:r>
          </w:p>
        </w:tc>
        <w:tc>
          <w:tcPr>
            <w:tcW w:w="1240" w:type="dxa"/>
            <w:shd w:val="clear" w:color="auto" w:fill="auto"/>
            <w:vAlign w:val="bottom"/>
          </w:tcPr>
          <w:p w:rsidR="00174AEA" w:rsidRPr="00687A1C" w:rsidRDefault="00174AEA" w:rsidP="00D8412D">
            <w:pPr>
              <w:pStyle w:val="Tabletextright"/>
            </w:pPr>
            <w:r w:rsidRPr="00687A1C">
              <w:rPr>
                <w:bCs/>
              </w:rPr>
              <w:t>30</w:t>
            </w:r>
            <w:r w:rsidR="00D8412D" w:rsidRPr="00687A1C">
              <w:rPr>
                <w:bCs/>
              </w:rPr>
              <w:t xml:space="preserve"> </w:t>
            </w:r>
            <w:r w:rsidRPr="00687A1C">
              <w:rPr>
                <w:bCs/>
              </w:rPr>
              <w:t>895</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AE48A5" w:rsidP="008A3976">
            <w:pPr>
              <w:pStyle w:val="Tabletextrightbold"/>
            </w:pPr>
            <w:r w:rsidRPr="00687A1C">
              <w:t>382 303</w:t>
            </w:r>
          </w:p>
        </w:tc>
        <w:tc>
          <w:tcPr>
            <w:tcW w:w="1240" w:type="dxa"/>
            <w:shd w:val="clear" w:color="auto" w:fill="auto"/>
            <w:vAlign w:val="bottom"/>
          </w:tcPr>
          <w:p w:rsidR="00174AEA" w:rsidRPr="00687A1C" w:rsidRDefault="00174AEA" w:rsidP="00D8412D">
            <w:pPr>
              <w:pStyle w:val="Tabletextrightbold"/>
            </w:pPr>
            <w:r w:rsidRPr="00687A1C">
              <w:t>394</w:t>
            </w:r>
            <w:r w:rsidR="00D8412D" w:rsidRPr="00687A1C">
              <w:rPr>
                <w:rFonts w:ascii="Calibri" w:hAnsi="Calibri" w:cs="Calibri"/>
              </w:rPr>
              <w:t xml:space="preserve"> </w:t>
            </w:r>
            <w:r w:rsidRPr="00687A1C">
              <w:t>445</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
            </w:pPr>
            <w:r w:rsidRPr="00687A1C">
              <w:t>Payments to suppliers and employees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r w:rsidRPr="00687A1C">
              <w:rPr>
                <w:bCs/>
              </w:rPr>
              <w:t>(</w:t>
            </w:r>
            <w:r w:rsidR="00AE48A5" w:rsidRPr="00687A1C">
              <w:rPr>
                <w:bCs/>
              </w:rPr>
              <w:t>307 756</w:t>
            </w:r>
            <w:r w:rsidRPr="00687A1C">
              <w:rPr>
                <w:bCs/>
              </w:rPr>
              <w:t>)</w:t>
            </w:r>
          </w:p>
        </w:tc>
        <w:tc>
          <w:tcPr>
            <w:tcW w:w="1240" w:type="dxa"/>
            <w:shd w:val="clear" w:color="auto" w:fill="auto"/>
            <w:vAlign w:val="bottom"/>
          </w:tcPr>
          <w:p w:rsidR="00174AEA" w:rsidRPr="00687A1C" w:rsidRDefault="00174AEA" w:rsidP="00D8412D">
            <w:pPr>
              <w:pStyle w:val="Tabletextright"/>
            </w:pPr>
            <w:r w:rsidRPr="00687A1C">
              <w:rPr>
                <w:bCs/>
              </w:rPr>
              <w:t>(308</w:t>
            </w:r>
            <w:r w:rsidR="00D8412D" w:rsidRPr="00687A1C">
              <w:rPr>
                <w:bCs/>
              </w:rPr>
              <w:t xml:space="preserve"> </w:t>
            </w:r>
            <w:r w:rsidRPr="00687A1C">
              <w:rPr>
                <w:bCs/>
              </w:rPr>
              <w:t>865)</w:t>
            </w:r>
          </w:p>
        </w:tc>
      </w:tr>
      <w:tr w:rsidR="00174AEA" w:rsidRPr="00687A1C" w:rsidTr="008A3976">
        <w:tc>
          <w:tcPr>
            <w:tcW w:w="4788" w:type="dxa"/>
          </w:tcPr>
          <w:p w:rsidR="00174AEA" w:rsidRPr="00687A1C" w:rsidRDefault="00174AEA" w:rsidP="008A3976">
            <w:pPr>
              <w:pStyle w:val="Tabletext"/>
            </w:pPr>
            <w:r w:rsidRPr="00687A1C">
              <w:t>Grants paid</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(31</w:t>
            </w:r>
            <w:r w:rsidR="00D8412D" w:rsidRPr="00687A1C">
              <w:rPr>
                <w:bCs/>
              </w:rPr>
              <w:t xml:space="preserve"> </w:t>
            </w:r>
            <w:r w:rsidRPr="00687A1C">
              <w:rPr>
                <w:bCs/>
              </w:rPr>
              <w:t>184)</w:t>
            </w:r>
          </w:p>
        </w:tc>
        <w:tc>
          <w:tcPr>
            <w:tcW w:w="1240" w:type="dxa"/>
            <w:shd w:val="clear" w:color="auto" w:fill="auto"/>
            <w:vAlign w:val="bottom"/>
          </w:tcPr>
          <w:p w:rsidR="00174AEA" w:rsidRPr="00687A1C" w:rsidRDefault="00174AEA" w:rsidP="00D8412D">
            <w:pPr>
              <w:pStyle w:val="Tabletextright"/>
            </w:pPr>
            <w:r w:rsidRPr="00687A1C">
              <w:rPr>
                <w:bCs/>
              </w:rPr>
              <w:t>(34</w:t>
            </w:r>
            <w:r w:rsidR="00D8412D" w:rsidRPr="00687A1C">
              <w:rPr>
                <w:bCs/>
              </w:rPr>
              <w:t xml:space="preserve"> </w:t>
            </w:r>
            <w:r w:rsidRPr="00687A1C">
              <w:rPr>
                <w:bCs/>
              </w:rPr>
              <w:t>346)</w:t>
            </w:r>
          </w:p>
        </w:tc>
      </w:tr>
      <w:tr w:rsidR="00174AEA" w:rsidRPr="00687A1C" w:rsidTr="008A3976">
        <w:tc>
          <w:tcPr>
            <w:tcW w:w="4788" w:type="dxa"/>
          </w:tcPr>
          <w:p w:rsidR="00174AEA" w:rsidRPr="00687A1C" w:rsidRDefault="00174AEA" w:rsidP="008A3976">
            <w:pPr>
              <w:pStyle w:val="Tabletext"/>
            </w:pPr>
            <w:r w:rsidRPr="00687A1C">
              <w:t>Capital asset charge paid</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(21</w:t>
            </w:r>
            <w:r w:rsidR="00D8412D" w:rsidRPr="00687A1C">
              <w:rPr>
                <w:bCs/>
              </w:rPr>
              <w:t xml:space="preserve"> </w:t>
            </w:r>
            <w:r w:rsidRPr="00687A1C">
              <w:rPr>
                <w:bCs/>
              </w:rPr>
              <w:t>998)</w:t>
            </w:r>
          </w:p>
        </w:tc>
        <w:tc>
          <w:tcPr>
            <w:tcW w:w="1240" w:type="dxa"/>
            <w:shd w:val="clear" w:color="auto" w:fill="auto"/>
            <w:vAlign w:val="bottom"/>
          </w:tcPr>
          <w:p w:rsidR="00174AEA" w:rsidRPr="00687A1C" w:rsidRDefault="00174AEA" w:rsidP="00D8412D">
            <w:pPr>
              <w:pStyle w:val="Tabletextright"/>
            </w:pPr>
            <w:r w:rsidRPr="00687A1C">
              <w:rPr>
                <w:bCs/>
              </w:rPr>
              <w:t>(21</w:t>
            </w:r>
            <w:r w:rsidR="00D8412D" w:rsidRPr="00687A1C">
              <w:rPr>
                <w:bCs/>
              </w:rPr>
              <w:t xml:space="preserve"> </w:t>
            </w:r>
            <w:r w:rsidRPr="00687A1C">
              <w:rPr>
                <w:bCs/>
              </w:rPr>
              <w:t>815)</w:t>
            </w:r>
          </w:p>
        </w:tc>
      </w:tr>
      <w:tr w:rsidR="00174AEA" w:rsidRPr="00687A1C" w:rsidTr="008A3976">
        <w:tc>
          <w:tcPr>
            <w:tcW w:w="4788" w:type="dxa"/>
          </w:tcPr>
          <w:p w:rsidR="00174AEA" w:rsidRPr="00687A1C" w:rsidRDefault="00174AEA" w:rsidP="008A3976">
            <w:pPr>
              <w:pStyle w:val="Tabletext"/>
            </w:pPr>
            <w:r w:rsidRPr="00687A1C">
              <w:t>Interest and other finance costs paid</w:t>
            </w:r>
          </w:p>
        </w:tc>
        <w:tc>
          <w:tcPr>
            <w:tcW w:w="850" w:type="dxa"/>
            <w:vAlign w:val="bottom"/>
          </w:tcPr>
          <w:p w:rsidR="00174AEA" w:rsidRPr="00687A1C" w:rsidRDefault="00AE48A5" w:rsidP="008A3976">
            <w:pPr>
              <w:pStyle w:val="Tabletextcentred"/>
            </w:pPr>
            <w:r w:rsidRPr="00687A1C">
              <w:t>8.1.1</w:t>
            </w:r>
          </w:p>
        </w:tc>
        <w:tc>
          <w:tcPr>
            <w:tcW w:w="1240" w:type="dxa"/>
            <w:shd w:val="clear" w:color="auto" w:fill="E0E0E0"/>
            <w:vAlign w:val="bottom"/>
          </w:tcPr>
          <w:p w:rsidR="00174AEA" w:rsidRPr="00687A1C" w:rsidRDefault="00174AEA" w:rsidP="008A3976">
            <w:pPr>
              <w:pStyle w:val="Tabletextright"/>
              <w:rPr>
                <w:bCs/>
              </w:rPr>
            </w:pPr>
            <w:r w:rsidRPr="00687A1C">
              <w:rPr>
                <w:bCs/>
              </w:rPr>
              <w:t>(86)</w:t>
            </w:r>
          </w:p>
        </w:tc>
        <w:tc>
          <w:tcPr>
            <w:tcW w:w="1240" w:type="dxa"/>
            <w:shd w:val="clear" w:color="auto" w:fill="auto"/>
            <w:vAlign w:val="bottom"/>
          </w:tcPr>
          <w:p w:rsidR="00174AEA" w:rsidRPr="00687A1C" w:rsidRDefault="00174AEA" w:rsidP="008A3976">
            <w:pPr>
              <w:pStyle w:val="Tabletextright"/>
              <w:rPr>
                <w:bCs/>
              </w:rPr>
            </w:pPr>
            <w:r w:rsidRPr="00687A1C">
              <w:rPr>
                <w:bCs/>
              </w:rPr>
              <w:t>(50)</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bold"/>
            </w:pPr>
            <w:r w:rsidRPr="00687A1C">
              <w:t>(</w:t>
            </w:r>
            <w:r w:rsidR="00AE48A5" w:rsidRPr="00687A1C">
              <w:t>361 024</w:t>
            </w:r>
            <w:r w:rsidRPr="00687A1C">
              <w:t>)</w:t>
            </w:r>
          </w:p>
        </w:tc>
        <w:tc>
          <w:tcPr>
            <w:tcW w:w="1240" w:type="dxa"/>
            <w:shd w:val="clear" w:color="auto" w:fill="auto"/>
            <w:vAlign w:val="bottom"/>
          </w:tcPr>
          <w:p w:rsidR="00174AEA" w:rsidRPr="00687A1C" w:rsidRDefault="00174AEA" w:rsidP="00D8412D">
            <w:pPr>
              <w:pStyle w:val="Tabletextrightbold"/>
            </w:pPr>
            <w:r w:rsidRPr="00687A1C">
              <w:t>(365</w:t>
            </w:r>
            <w:r w:rsidR="00D8412D" w:rsidRPr="00687A1C">
              <w:rPr>
                <w:rFonts w:ascii="Calibri" w:hAnsi="Calibri" w:cs="Calibri"/>
              </w:rPr>
              <w:t xml:space="preserve"> </w:t>
            </w:r>
            <w:r w:rsidRPr="00687A1C">
              <w:t>076)</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bold"/>
              <w:rPr>
                <w:i/>
                <w:iCs/>
              </w:rPr>
            </w:pPr>
            <w:r w:rsidRPr="00687A1C">
              <w:t>Net cash flows from operating activities</w:t>
            </w:r>
          </w:p>
        </w:tc>
        <w:tc>
          <w:tcPr>
            <w:tcW w:w="850" w:type="dxa"/>
            <w:vAlign w:val="bottom"/>
          </w:tcPr>
          <w:p w:rsidR="00174AEA" w:rsidRPr="00687A1C" w:rsidRDefault="00174AEA" w:rsidP="008A3976">
            <w:pPr>
              <w:pStyle w:val="Tabletextcentred"/>
            </w:pPr>
            <w:r w:rsidRPr="00687A1C">
              <w:t>7.2.1</w:t>
            </w:r>
          </w:p>
        </w:tc>
        <w:tc>
          <w:tcPr>
            <w:tcW w:w="1240" w:type="dxa"/>
            <w:shd w:val="clear" w:color="auto" w:fill="E0E0E0"/>
            <w:vAlign w:val="bottom"/>
          </w:tcPr>
          <w:p w:rsidR="00174AEA" w:rsidRPr="00687A1C" w:rsidRDefault="00174AEA" w:rsidP="00D8412D">
            <w:pPr>
              <w:pStyle w:val="Tabletextrightbold"/>
            </w:pPr>
            <w:r w:rsidRPr="00687A1C">
              <w:t>21</w:t>
            </w:r>
            <w:r w:rsidR="00D8412D" w:rsidRPr="00687A1C">
              <w:rPr>
                <w:rFonts w:ascii="Calibri" w:hAnsi="Calibri" w:cs="Calibri"/>
              </w:rPr>
              <w:t xml:space="preserve"> </w:t>
            </w:r>
            <w:r w:rsidR="00AE48A5" w:rsidRPr="00687A1C">
              <w:t>279</w:t>
            </w:r>
            <w:r w:rsidRPr="00687A1C">
              <w:t xml:space="preserve"> </w:t>
            </w:r>
          </w:p>
        </w:tc>
        <w:tc>
          <w:tcPr>
            <w:tcW w:w="1240" w:type="dxa"/>
            <w:shd w:val="clear" w:color="auto" w:fill="auto"/>
            <w:vAlign w:val="bottom"/>
          </w:tcPr>
          <w:p w:rsidR="00174AEA" w:rsidRPr="00687A1C" w:rsidRDefault="00174AEA" w:rsidP="00D8412D">
            <w:pPr>
              <w:pStyle w:val="Tabletextrightbold"/>
            </w:pPr>
            <w:r w:rsidRPr="00687A1C">
              <w:t>29</w:t>
            </w:r>
            <w:r w:rsidR="00D8412D" w:rsidRPr="00687A1C">
              <w:rPr>
                <w:rFonts w:ascii="Calibri" w:hAnsi="Calibri" w:cs="Calibri"/>
              </w:rPr>
              <w:t xml:space="preserve"> </w:t>
            </w:r>
            <w:r w:rsidRPr="00687A1C">
              <w:t>369</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bold"/>
            </w:pPr>
            <w:r w:rsidRPr="00687A1C">
              <w:t>Cash flows from investing activities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
            </w:pPr>
            <w:r w:rsidRPr="00687A1C">
              <w:t>Payments for property, plant and equipment</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(12</w:t>
            </w:r>
            <w:r w:rsidR="00D8412D" w:rsidRPr="00687A1C">
              <w:rPr>
                <w:bCs/>
              </w:rPr>
              <w:t xml:space="preserve"> </w:t>
            </w:r>
            <w:r w:rsidR="00AE48A5" w:rsidRPr="00687A1C">
              <w:rPr>
                <w:bCs/>
              </w:rPr>
              <w:t>726</w:t>
            </w:r>
            <w:r w:rsidRPr="00687A1C">
              <w:rPr>
                <w:bCs/>
              </w:rPr>
              <w:t>)</w:t>
            </w:r>
          </w:p>
        </w:tc>
        <w:tc>
          <w:tcPr>
            <w:tcW w:w="1240" w:type="dxa"/>
            <w:shd w:val="clear" w:color="auto" w:fill="auto"/>
            <w:vAlign w:val="bottom"/>
          </w:tcPr>
          <w:p w:rsidR="00174AEA" w:rsidRPr="00687A1C" w:rsidRDefault="00174AEA" w:rsidP="00D8412D">
            <w:pPr>
              <w:pStyle w:val="Tabletextright"/>
            </w:pPr>
            <w:r w:rsidRPr="00687A1C">
              <w:rPr>
                <w:bCs/>
              </w:rPr>
              <w:t>(8</w:t>
            </w:r>
            <w:r w:rsidR="00D8412D" w:rsidRPr="00687A1C">
              <w:rPr>
                <w:bCs/>
              </w:rPr>
              <w:t xml:space="preserve"> </w:t>
            </w:r>
            <w:r w:rsidRPr="00687A1C">
              <w:rPr>
                <w:bCs/>
              </w:rPr>
              <w:t>285)</w:t>
            </w:r>
          </w:p>
        </w:tc>
      </w:tr>
      <w:tr w:rsidR="00174AEA" w:rsidRPr="00687A1C" w:rsidTr="008A3976">
        <w:tc>
          <w:tcPr>
            <w:tcW w:w="4788" w:type="dxa"/>
          </w:tcPr>
          <w:p w:rsidR="00174AEA" w:rsidRPr="00687A1C" w:rsidRDefault="00174AEA" w:rsidP="008A3976">
            <w:pPr>
              <w:pStyle w:val="Tabletext"/>
            </w:pPr>
            <w:r w:rsidRPr="00687A1C">
              <w:t>Proceeds from sale of property, plant and equipment</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r w:rsidRPr="00687A1C">
              <w:rPr>
                <w:bCs/>
              </w:rPr>
              <w:t xml:space="preserve">804 </w:t>
            </w:r>
          </w:p>
        </w:tc>
        <w:tc>
          <w:tcPr>
            <w:tcW w:w="1240" w:type="dxa"/>
            <w:shd w:val="clear" w:color="auto" w:fill="auto"/>
            <w:vAlign w:val="bottom"/>
          </w:tcPr>
          <w:p w:rsidR="00174AEA" w:rsidRPr="00687A1C" w:rsidRDefault="00174AEA" w:rsidP="00D8412D">
            <w:pPr>
              <w:pStyle w:val="Tabletextright"/>
            </w:pPr>
            <w:r w:rsidRPr="00687A1C">
              <w:rPr>
                <w:bCs/>
              </w:rPr>
              <w:t>1</w:t>
            </w:r>
            <w:r w:rsidR="00D8412D" w:rsidRPr="00687A1C">
              <w:rPr>
                <w:bCs/>
              </w:rPr>
              <w:t xml:space="preserve"> </w:t>
            </w:r>
            <w:r w:rsidRPr="00687A1C">
              <w:rPr>
                <w:bCs/>
              </w:rPr>
              <w:t>400</w:t>
            </w:r>
          </w:p>
        </w:tc>
      </w:tr>
      <w:tr w:rsidR="00174AEA" w:rsidRPr="00687A1C" w:rsidTr="008A3976">
        <w:tc>
          <w:tcPr>
            <w:tcW w:w="4788" w:type="dxa"/>
          </w:tcPr>
          <w:p w:rsidR="00174AEA" w:rsidRPr="00687A1C" w:rsidRDefault="00174AEA" w:rsidP="008A3976">
            <w:pPr>
              <w:pStyle w:val="Tabletext"/>
            </w:pPr>
            <w:r w:rsidRPr="00687A1C">
              <w:t>Payments for intangible assets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(9</w:t>
            </w:r>
            <w:r w:rsidR="00D8412D" w:rsidRPr="00687A1C">
              <w:rPr>
                <w:bCs/>
              </w:rPr>
              <w:t xml:space="preserve"> </w:t>
            </w:r>
            <w:r w:rsidRPr="00687A1C">
              <w:rPr>
                <w:bCs/>
              </w:rPr>
              <w:t>192)</w:t>
            </w:r>
          </w:p>
        </w:tc>
        <w:tc>
          <w:tcPr>
            <w:tcW w:w="1240" w:type="dxa"/>
            <w:shd w:val="clear" w:color="auto" w:fill="auto"/>
            <w:vAlign w:val="bottom"/>
          </w:tcPr>
          <w:p w:rsidR="00174AEA" w:rsidRPr="00687A1C" w:rsidRDefault="00174AEA" w:rsidP="00D8412D">
            <w:pPr>
              <w:pStyle w:val="Tabletextright"/>
            </w:pPr>
            <w:r w:rsidRPr="00687A1C">
              <w:rPr>
                <w:bCs/>
              </w:rPr>
              <w:t>(21</w:t>
            </w:r>
            <w:r w:rsidR="00D8412D" w:rsidRPr="00687A1C">
              <w:rPr>
                <w:bCs/>
              </w:rPr>
              <w:t xml:space="preserve"> </w:t>
            </w:r>
            <w:r w:rsidRPr="00687A1C">
              <w:rPr>
                <w:bCs/>
              </w:rPr>
              <w:t>274)</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bold"/>
              <w:rPr>
                <w:i/>
                <w:iCs/>
              </w:rPr>
            </w:pPr>
            <w:r w:rsidRPr="00687A1C">
              <w:t>Net cash flows used in investing activities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bold"/>
            </w:pPr>
            <w:r w:rsidRPr="00687A1C">
              <w:t>(21</w:t>
            </w:r>
            <w:r w:rsidR="00D8412D" w:rsidRPr="00687A1C">
              <w:rPr>
                <w:rFonts w:ascii="Calibri" w:hAnsi="Calibri" w:cs="Calibri"/>
              </w:rPr>
              <w:t xml:space="preserve"> </w:t>
            </w:r>
            <w:r w:rsidR="00AE48A5" w:rsidRPr="00687A1C">
              <w:t>114</w:t>
            </w:r>
            <w:r w:rsidRPr="00687A1C">
              <w:t>)</w:t>
            </w:r>
          </w:p>
        </w:tc>
        <w:tc>
          <w:tcPr>
            <w:tcW w:w="1240" w:type="dxa"/>
            <w:shd w:val="clear" w:color="auto" w:fill="auto"/>
            <w:vAlign w:val="bottom"/>
          </w:tcPr>
          <w:p w:rsidR="00174AEA" w:rsidRPr="00687A1C" w:rsidRDefault="00174AEA" w:rsidP="00D8412D">
            <w:pPr>
              <w:pStyle w:val="Tabletextrightbold"/>
            </w:pPr>
            <w:r w:rsidRPr="00687A1C">
              <w:t>(28</w:t>
            </w:r>
            <w:r w:rsidR="00D8412D" w:rsidRPr="00687A1C">
              <w:rPr>
                <w:rFonts w:ascii="Calibri" w:hAnsi="Calibri" w:cs="Calibri"/>
              </w:rPr>
              <w:t xml:space="preserve"> </w:t>
            </w:r>
            <w:r w:rsidRPr="00687A1C">
              <w:t>159)</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bold"/>
            </w:pPr>
            <w:r w:rsidRPr="00687A1C">
              <w:t>Cash flows from financing activities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vAlign w:val="bottom"/>
          </w:tcPr>
          <w:p w:rsidR="00174AEA" w:rsidRPr="00687A1C" w:rsidRDefault="00174AEA" w:rsidP="008A3976">
            <w:pPr>
              <w:pStyle w:val="Tabletext"/>
            </w:pPr>
            <w:r w:rsidRPr="00687A1C">
              <w:t xml:space="preserve">Owner </w:t>
            </w:r>
            <w:r w:rsidR="00B24721" w:rsidRPr="00687A1C">
              <w:t xml:space="preserve">contributions </w:t>
            </w:r>
            <w:r w:rsidRPr="00687A1C">
              <w:t>by State Government</w:t>
            </w:r>
          </w:p>
        </w:tc>
        <w:tc>
          <w:tcPr>
            <w:tcW w:w="850" w:type="dxa"/>
            <w:vAlign w:val="bottom"/>
          </w:tcPr>
          <w:p w:rsidR="00174AEA" w:rsidRPr="00687A1C" w:rsidRDefault="00AE48A5" w:rsidP="008A3976">
            <w:pPr>
              <w:pStyle w:val="Tabletextcentred"/>
            </w:pPr>
            <w:r w:rsidRPr="00687A1C">
              <w:t>7.3</w:t>
            </w:r>
          </w:p>
        </w:tc>
        <w:tc>
          <w:tcPr>
            <w:tcW w:w="1240" w:type="dxa"/>
            <w:shd w:val="clear" w:color="auto" w:fill="E0E0E0"/>
            <w:vAlign w:val="bottom"/>
          </w:tcPr>
          <w:p w:rsidR="00174AEA" w:rsidRPr="00687A1C" w:rsidRDefault="00174AEA" w:rsidP="00D8412D">
            <w:pPr>
              <w:pStyle w:val="Tabletextright"/>
            </w:pPr>
            <w:r w:rsidRPr="00687A1C">
              <w:rPr>
                <w:bCs/>
              </w:rPr>
              <w:t>50</w:t>
            </w:r>
            <w:r w:rsidR="00D8412D" w:rsidRPr="00687A1C">
              <w:rPr>
                <w:bCs/>
              </w:rPr>
              <w:t xml:space="preserve"> </w:t>
            </w:r>
            <w:r w:rsidRPr="00687A1C">
              <w:rPr>
                <w:bCs/>
              </w:rPr>
              <w:t xml:space="preserve">000 </w:t>
            </w:r>
          </w:p>
        </w:tc>
        <w:tc>
          <w:tcPr>
            <w:tcW w:w="1240" w:type="dxa"/>
            <w:shd w:val="clear" w:color="auto" w:fill="auto"/>
            <w:vAlign w:val="bottom"/>
          </w:tcPr>
          <w:p w:rsidR="00174AEA" w:rsidRPr="00687A1C" w:rsidRDefault="00174AEA" w:rsidP="008A3976">
            <w:pPr>
              <w:pStyle w:val="Tabletextright"/>
              <w:rPr>
                <w:bCs/>
              </w:rPr>
            </w:pPr>
            <w:r w:rsidRPr="00687A1C">
              <w:rPr>
                <w:bCs/>
              </w:rPr>
              <w:t>-</w:t>
            </w:r>
          </w:p>
        </w:tc>
      </w:tr>
      <w:tr w:rsidR="00174AEA" w:rsidRPr="00687A1C" w:rsidTr="008A3976">
        <w:tc>
          <w:tcPr>
            <w:tcW w:w="4788" w:type="dxa"/>
            <w:vAlign w:val="bottom"/>
          </w:tcPr>
          <w:p w:rsidR="00174AEA" w:rsidRPr="00687A1C" w:rsidRDefault="00174AEA" w:rsidP="00DE0CB9">
            <w:pPr>
              <w:pStyle w:val="Tabletext"/>
            </w:pPr>
            <w:r w:rsidRPr="00687A1C">
              <w:t xml:space="preserve">Capital </w:t>
            </w:r>
            <w:r w:rsidR="00DE0CB9" w:rsidRPr="00687A1C">
              <w:t xml:space="preserve">transfers </w:t>
            </w:r>
            <w:r w:rsidRPr="00687A1C">
              <w:t xml:space="preserve">to </w:t>
            </w:r>
            <w:r w:rsidR="00DE0CB9" w:rsidRPr="00687A1C">
              <w:t>administered trusts</w:t>
            </w:r>
          </w:p>
        </w:tc>
        <w:tc>
          <w:tcPr>
            <w:tcW w:w="850" w:type="dxa"/>
            <w:vAlign w:val="bottom"/>
          </w:tcPr>
          <w:p w:rsidR="00174AEA" w:rsidRPr="00687A1C" w:rsidRDefault="00AE48A5" w:rsidP="008A3976">
            <w:pPr>
              <w:pStyle w:val="Tabletextcentred"/>
            </w:pPr>
            <w:r w:rsidRPr="00687A1C">
              <w:t>7.3</w:t>
            </w:r>
          </w:p>
        </w:tc>
        <w:tc>
          <w:tcPr>
            <w:tcW w:w="1240" w:type="dxa"/>
            <w:shd w:val="clear" w:color="auto" w:fill="E0E0E0"/>
            <w:vAlign w:val="bottom"/>
          </w:tcPr>
          <w:p w:rsidR="00174AEA" w:rsidRPr="00687A1C" w:rsidRDefault="00174AEA" w:rsidP="00D8412D">
            <w:pPr>
              <w:pStyle w:val="Tabletextright"/>
            </w:pPr>
            <w:r w:rsidRPr="00687A1C">
              <w:rPr>
                <w:bCs/>
              </w:rPr>
              <w:t>(50</w:t>
            </w:r>
            <w:r w:rsidR="00D8412D" w:rsidRPr="00687A1C">
              <w:rPr>
                <w:bCs/>
              </w:rPr>
              <w:t xml:space="preserve"> </w:t>
            </w:r>
            <w:r w:rsidRPr="00687A1C">
              <w:rPr>
                <w:bCs/>
              </w:rPr>
              <w:t>000)</w:t>
            </w:r>
          </w:p>
        </w:tc>
        <w:tc>
          <w:tcPr>
            <w:tcW w:w="1240" w:type="dxa"/>
            <w:shd w:val="clear" w:color="auto" w:fill="auto"/>
            <w:vAlign w:val="bottom"/>
          </w:tcPr>
          <w:p w:rsidR="00174AEA" w:rsidRPr="00687A1C" w:rsidRDefault="00174AEA" w:rsidP="008A3976">
            <w:pPr>
              <w:pStyle w:val="Tabletextright"/>
              <w:rPr>
                <w:bCs/>
              </w:rPr>
            </w:pPr>
            <w:r w:rsidRPr="00687A1C">
              <w:rPr>
                <w:bCs/>
              </w:rPr>
              <w:t>-</w:t>
            </w:r>
          </w:p>
        </w:tc>
      </w:tr>
      <w:tr w:rsidR="00174AEA" w:rsidRPr="00687A1C" w:rsidTr="008A3976">
        <w:tc>
          <w:tcPr>
            <w:tcW w:w="4788" w:type="dxa"/>
            <w:vAlign w:val="bottom"/>
          </w:tcPr>
          <w:p w:rsidR="00174AEA" w:rsidRPr="00687A1C" w:rsidRDefault="00174AEA" w:rsidP="008A3976">
            <w:pPr>
              <w:pStyle w:val="Tabletext"/>
            </w:pPr>
            <w:r w:rsidRPr="00687A1C">
              <w:t>Repayment of finance lease liabilities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(1</w:t>
            </w:r>
            <w:r w:rsidR="00D8412D" w:rsidRPr="00687A1C">
              <w:rPr>
                <w:bCs/>
              </w:rPr>
              <w:t xml:space="preserve"> </w:t>
            </w:r>
            <w:r w:rsidRPr="00687A1C">
              <w:rPr>
                <w:bCs/>
              </w:rPr>
              <w:t>829)</w:t>
            </w:r>
          </w:p>
        </w:tc>
        <w:tc>
          <w:tcPr>
            <w:tcW w:w="1240" w:type="dxa"/>
            <w:shd w:val="clear" w:color="auto" w:fill="auto"/>
            <w:vAlign w:val="bottom"/>
          </w:tcPr>
          <w:p w:rsidR="00174AEA" w:rsidRPr="00687A1C" w:rsidRDefault="00174AEA" w:rsidP="00D8412D">
            <w:pPr>
              <w:pStyle w:val="Tabletextright"/>
            </w:pPr>
            <w:r w:rsidRPr="00687A1C">
              <w:rPr>
                <w:bCs/>
              </w:rPr>
              <w:t>(2</w:t>
            </w:r>
            <w:r w:rsidR="00D8412D" w:rsidRPr="00687A1C">
              <w:rPr>
                <w:bCs/>
              </w:rPr>
              <w:t xml:space="preserve"> </w:t>
            </w:r>
            <w:r w:rsidRPr="00687A1C">
              <w:rPr>
                <w:bCs/>
              </w:rPr>
              <w:t>446)</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bold"/>
            </w:pPr>
            <w:r w:rsidRPr="00687A1C">
              <w:t>Net cash flows used in financing activities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829)</w:t>
            </w:r>
          </w:p>
        </w:tc>
        <w:tc>
          <w:tcPr>
            <w:tcW w:w="1240" w:type="dxa"/>
            <w:shd w:val="clear" w:color="auto" w:fill="auto"/>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446)</w:t>
            </w:r>
            <w:r w:rsidRPr="00687A1C" w:rsidDel="004E1940">
              <w:t xml:space="preserve"> </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AE48A5">
            <w:pPr>
              <w:pStyle w:val="Tabletextbold"/>
            </w:pPr>
            <w:r w:rsidRPr="00687A1C">
              <w:t xml:space="preserve">Net </w:t>
            </w:r>
            <w:r w:rsidR="00AE48A5" w:rsidRPr="00687A1C">
              <w:t>decrease</w:t>
            </w:r>
            <w:r w:rsidRPr="00687A1C">
              <w:t xml:space="preserve"> in cash and cash equivalents</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(1</w:t>
            </w:r>
            <w:r w:rsidR="00D8412D" w:rsidRPr="00687A1C">
              <w:rPr>
                <w:bCs/>
              </w:rPr>
              <w:t xml:space="preserve"> </w:t>
            </w:r>
            <w:r w:rsidRPr="00687A1C">
              <w:rPr>
                <w:bCs/>
              </w:rPr>
              <w:t>664)</w:t>
            </w:r>
          </w:p>
        </w:tc>
        <w:tc>
          <w:tcPr>
            <w:tcW w:w="1240" w:type="dxa"/>
            <w:shd w:val="clear" w:color="auto" w:fill="auto"/>
            <w:vAlign w:val="bottom"/>
          </w:tcPr>
          <w:p w:rsidR="00174AEA" w:rsidRPr="00687A1C" w:rsidRDefault="00174AEA" w:rsidP="00D8412D">
            <w:pPr>
              <w:pStyle w:val="Tabletextright"/>
            </w:pPr>
            <w:r w:rsidRPr="00687A1C">
              <w:rPr>
                <w:bCs/>
              </w:rPr>
              <w:t>(1</w:t>
            </w:r>
            <w:r w:rsidR="00D8412D" w:rsidRPr="00687A1C">
              <w:rPr>
                <w:bCs/>
              </w:rPr>
              <w:t xml:space="preserve"> </w:t>
            </w:r>
            <w:r w:rsidRPr="00687A1C">
              <w:rPr>
                <w:bCs/>
              </w:rPr>
              <w:t>236)</w:t>
            </w:r>
          </w:p>
        </w:tc>
      </w:tr>
      <w:tr w:rsidR="00174AEA" w:rsidRPr="00687A1C" w:rsidTr="008A3976">
        <w:tc>
          <w:tcPr>
            <w:tcW w:w="4788" w:type="dxa"/>
          </w:tcPr>
          <w:p w:rsidR="00174AEA" w:rsidRPr="00687A1C" w:rsidRDefault="00174AEA" w:rsidP="008A3976">
            <w:pPr>
              <w:pStyle w:val="Tabletext"/>
            </w:pPr>
            <w:r w:rsidRPr="00687A1C">
              <w:t>Cash and cash equivalents at the start of the year</w:t>
            </w: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D8412D">
            <w:pPr>
              <w:pStyle w:val="Tabletextright"/>
            </w:pPr>
            <w:r w:rsidRPr="00687A1C">
              <w:rPr>
                <w:bCs/>
              </w:rPr>
              <w:t>31</w:t>
            </w:r>
            <w:r w:rsidR="00D8412D" w:rsidRPr="00687A1C">
              <w:rPr>
                <w:bCs/>
              </w:rPr>
              <w:t xml:space="preserve"> </w:t>
            </w:r>
            <w:r w:rsidRPr="00687A1C">
              <w:rPr>
                <w:bCs/>
              </w:rPr>
              <w:t xml:space="preserve">765 </w:t>
            </w:r>
          </w:p>
        </w:tc>
        <w:tc>
          <w:tcPr>
            <w:tcW w:w="1240" w:type="dxa"/>
            <w:shd w:val="clear" w:color="auto" w:fill="auto"/>
            <w:vAlign w:val="bottom"/>
          </w:tcPr>
          <w:p w:rsidR="00174AEA" w:rsidRPr="00687A1C" w:rsidRDefault="00174AEA" w:rsidP="00D8412D">
            <w:pPr>
              <w:pStyle w:val="Tabletextright"/>
            </w:pPr>
            <w:r w:rsidRPr="00687A1C">
              <w:rPr>
                <w:bCs/>
              </w:rPr>
              <w:t>33</w:t>
            </w:r>
            <w:r w:rsidR="00D8412D" w:rsidRPr="00687A1C">
              <w:rPr>
                <w:bCs/>
              </w:rPr>
              <w:t xml:space="preserve"> </w:t>
            </w:r>
            <w:r w:rsidRPr="00687A1C">
              <w:rPr>
                <w:bCs/>
              </w:rPr>
              <w:t>001</w:t>
            </w:r>
          </w:p>
        </w:tc>
      </w:tr>
      <w:tr w:rsidR="00174AEA" w:rsidRPr="00687A1C" w:rsidTr="008A3976">
        <w:tc>
          <w:tcPr>
            <w:tcW w:w="4788" w:type="dxa"/>
          </w:tcPr>
          <w:p w:rsidR="00174AEA" w:rsidRPr="00687A1C" w:rsidRDefault="00174AEA" w:rsidP="008A3976">
            <w:pPr>
              <w:pStyle w:val="Tabletext"/>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rPr>
                <w:bCs/>
              </w:rPr>
            </w:pPr>
          </w:p>
        </w:tc>
        <w:tc>
          <w:tcPr>
            <w:tcW w:w="1240" w:type="dxa"/>
            <w:shd w:val="clear" w:color="auto" w:fill="auto"/>
            <w:vAlign w:val="bottom"/>
          </w:tcPr>
          <w:p w:rsidR="00174AEA" w:rsidRPr="00687A1C" w:rsidRDefault="00174AEA" w:rsidP="008A3976">
            <w:pPr>
              <w:pStyle w:val="Tabletextright"/>
              <w:rPr>
                <w:bCs/>
              </w:rPr>
            </w:pPr>
          </w:p>
        </w:tc>
      </w:tr>
      <w:tr w:rsidR="00174AEA" w:rsidRPr="00687A1C" w:rsidTr="008A3976">
        <w:tc>
          <w:tcPr>
            <w:tcW w:w="4788" w:type="dxa"/>
          </w:tcPr>
          <w:p w:rsidR="00174AEA" w:rsidRPr="00687A1C" w:rsidRDefault="00174AEA" w:rsidP="008A3976">
            <w:pPr>
              <w:pStyle w:val="Tabletextbold"/>
            </w:pPr>
            <w:r w:rsidRPr="00687A1C">
              <w:t>Cash and cash equivalents at the end of the year</w:t>
            </w:r>
          </w:p>
        </w:tc>
        <w:tc>
          <w:tcPr>
            <w:tcW w:w="850" w:type="dxa"/>
            <w:vAlign w:val="bottom"/>
          </w:tcPr>
          <w:p w:rsidR="00174AEA" w:rsidRPr="00687A1C" w:rsidRDefault="00174AEA" w:rsidP="008A3976">
            <w:pPr>
              <w:pStyle w:val="Tabletextcentred"/>
            </w:pPr>
            <w:r w:rsidRPr="00687A1C">
              <w:t>7.2</w:t>
            </w:r>
          </w:p>
        </w:tc>
        <w:tc>
          <w:tcPr>
            <w:tcW w:w="1240" w:type="dxa"/>
            <w:shd w:val="clear" w:color="auto" w:fill="E0E0E0"/>
            <w:vAlign w:val="bottom"/>
          </w:tcPr>
          <w:p w:rsidR="00174AEA" w:rsidRPr="00687A1C" w:rsidRDefault="00174AEA" w:rsidP="00D8412D">
            <w:pPr>
              <w:pStyle w:val="Tabletextrightbold"/>
            </w:pPr>
            <w:r w:rsidRPr="00687A1C">
              <w:t>30</w:t>
            </w:r>
            <w:r w:rsidR="00D8412D" w:rsidRPr="00687A1C">
              <w:rPr>
                <w:rFonts w:ascii="Calibri" w:hAnsi="Calibri" w:cs="Calibri"/>
              </w:rPr>
              <w:t xml:space="preserve"> </w:t>
            </w:r>
            <w:r w:rsidRPr="00687A1C">
              <w:t xml:space="preserve">101 </w:t>
            </w:r>
          </w:p>
        </w:tc>
        <w:tc>
          <w:tcPr>
            <w:tcW w:w="1240" w:type="dxa"/>
            <w:shd w:val="clear" w:color="auto" w:fill="auto"/>
            <w:vAlign w:val="bottom"/>
          </w:tcPr>
          <w:p w:rsidR="00174AEA" w:rsidRPr="00687A1C" w:rsidRDefault="00174AEA" w:rsidP="00D8412D">
            <w:pPr>
              <w:pStyle w:val="Tabletextrightbold"/>
            </w:pPr>
            <w:r w:rsidRPr="00687A1C">
              <w:t>31</w:t>
            </w:r>
            <w:r w:rsidR="00D8412D" w:rsidRPr="00687A1C">
              <w:rPr>
                <w:rFonts w:ascii="Calibri" w:hAnsi="Calibri" w:cs="Calibri"/>
              </w:rPr>
              <w:t xml:space="preserve"> </w:t>
            </w:r>
            <w:r w:rsidRPr="00687A1C">
              <w:t>765</w:t>
            </w:r>
          </w:p>
        </w:tc>
      </w:tr>
      <w:tr w:rsidR="00174AEA" w:rsidRPr="00687A1C" w:rsidTr="008A3976">
        <w:tc>
          <w:tcPr>
            <w:tcW w:w="4788" w:type="dxa"/>
          </w:tcPr>
          <w:p w:rsidR="00174AEA" w:rsidRPr="00687A1C" w:rsidRDefault="00174AEA" w:rsidP="008A3976">
            <w:pPr>
              <w:pStyle w:val="Tabletextbold"/>
            </w:pPr>
          </w:p>
        </w:tc>
        <w:tc>
          <w:tcPr>
            <w:tcW w:w="850" w:type="dxa"/>
            <w:vAlign w:val="bottom"/>
          </w:tcPr>
          <w:p w:rsidR="00174AEA" w:rsidRPr="00687A1C" w:rsidRDefault="00174AEA" w:rsidP="008A3976">
            <w:pPr>
              <w:pStyle w:val="Tabletextcentred"/>
            </w:pPr>
          </w:p>
        </w:tc>
        <w:tc>
          <w:tcPr>
            <w:tcW w:w="1240" w:type="dxa"/>
            <w:shd w:val="clear" w:color="auto" w:fill="E0E0E0"/>
            <w:vAlign w:val="bottom"/>
          </w:tcPr>
          <w:p w:rsidR="00174AEA" w:rsidRPr="00687A1C" w:rsidRDefault="00174AEA" w:rsidP="008A3976">
            <w:pPr>
              <w:pStyle w:val="Tabletextright"/>
            </w:pPr>
          </w:p>
        </w:tc>
        <w:tc>
          <w:tcPr>
            <w:tcW w:w="1240" w:type="dxa"/>
            <w:shd w:val="clear" w:color="auto" w:fill="auto"/>
            <w:vAlign w:val="bottom"/>
          </w:tcPr>
          <w:p w:rsidR="00174AEA" w:rsidRPr="00687A1C" w:rsidRDefault="00174AEA" w:rsidP="008A3976">
            <w:pPr>
              <w:pStyle w:val="Tabletextright"/>
            </w:pPr>
          </w:p>
        </w:tc>
      </w:tr>
      <w:tr w:rsidR="00174AEA" w:rsidRPr="00687A1C" w:rsidTr="008A3976">
        <w:tc>
          <w:tcPr>
            <w:tcW w:w="4788" w:type="dxa"/>
          </w:tcPr>
          <w:p w:rsidR="00174AEA" w:rsidRPr="00687A1C" w:rsidRDefault="00174AEA" w:rsidP="008A3976">
            <w:pPr>
              <w:pStyle w:val="Tabletext"/>
            </w:pPr>
            <w:r w:rsidRPr="00687A1C">
              <w:t>Non</w:t>
            </w:r>
            <w:r w:rsidRPr="00687A1C">
              <w:noBreakHyphen/>
              <w:t>cash financing and investing activities</w:t>
            </w:r>
          </w:p>
        </w:tc>
        <w:tc>
          <w:tcPr>
            <w:tcW w:w="850" w:type="dxa"/>
            <w:vAlign w:val="bottom"/>
          </w:tcPr>
          <w:p w:rsidR="00174AEA" w:rsidRPr="00687A1C" w:rsidRDefault="00174AEA" w:rsidP="008A3976">
            <w:pPr>
              <w:pStyle w:val="Tabletextcentred"/>
            </w:pPr>
            <w:r w:rsidRPr="00687A1C">
              <w:t>7.2.2</w:t>
            </w:r>
          </w:p>
        </w:tc>
        <w:tc>
          <w:tcPr>
            <w:tcW w:w="1240" w:type="dxa"/>
            <w:shd w:val="clear" w:color="auto" w:fill="E0E0E0"/>
            <w:vAlign w:val="bottom"/>
          </w:tcPr>
          <w:p w:rsidR="00174AEA" w:rsidRPr="00687A1C" w:rsidRDefault="00174AEA" w:rsidP="008A3976">
            <w:pPr>
              <w:pStyle w:val="Tabletextright"/>
            </w:pPr>
          </w:p>
        </w:tc>
        <w:tc>
          <w:tcPr>
            <w:tcW w:w="1240" w:type="dxa"/>
            <w:shd w:val="clear" w:color="auto" w:fill="auto"/>
            <w:vAlign w:val="bottom"/>
          </w:tcPr>
          <w:p w:rsidR="00174AEA" w:rsidRPr="00687A1C" w:rsidRDefault="00174AEA" w:rsidP="008A3976">
            <w:pPr>
              <w:pStyle w:val="Tabletextright"/>
            </w:pPr>
          </w:p>
        </w:tc>
      </w:tr>
    </w:tbl>
    <w:p w:rsidR="00174AEA" w:rsidRPr="00687A1C" w:rsidRDefault="00174AEA" w:rsidP="00174AEA">
      <w:pPr>
        <w:pStyle w:val="Spacer"/>
      </w:pPr>
    </w:p>
    <w:p w:rsidR="00174AEA" w:rsidRPr="00687A1C" w:rsidRDefault="00174AEA" w:rsidP="00174AEA">
      <w:pPr>
        <w:pStyle w:val="Notes"/>
      </w:pPr>
      <w:r w:rsidRPr="00687A1C">
        <w:t>The above cash flow statement should be read in conjunction with the accompanying notes.</w:t>
      </w:r>
    </w:p>
    <w:p w:rsidR="00174AEA" w:rsidRPr="00687A1C" w:rsidRDefault="00174AEA" w:rsidP="00174AEA">
      <w:pPr>
        <w:spacing w:before="0" w:after="0"/>
      </w:pPr>
    </w:p>
    <w:p w:rsidR="00174AEA" w:rsidRPr="00687A1C" w:rsidRDefault="00174AEA" w:rsidP="00174AEA">
      <w:pPr>
        <w:pStyle w:val="Heading1numbered"/>
        <w:numPr>
          <w:ilvl w:val="0"/>
          <w:numId w:val="8"/>
        </w:numPr>
        <w:sectPr w:rsidR="00174AEA" w:rsidRPr="00687A1C" w:rsidSect="00C12C77">
          <w:footerReference w:type="even" r:id="rId29"/>
          <w:footerReference w:type="default" r:id="rId30"/>
          <w:pgSz w:w="11909" w:h="16834" w:code="9"/>
          <w:pgMar w:top="1728" w:right="1152" w:bottom="1152" w:left="1152" w:header="720" w:footer="288" w:gutter="0"/>
          <w:cols w:space="720"/>
          <w:noEndnote/>
        </w:sectPr>
      </w:pPr>
    </w:p>
    <w:p w:rsidR="00174AEA" w:rsidRPr="00687A1C" w:rsidRDefault="00174AEA" w:rsidP="00174AEA">
      <w:pPr>
        <w:pStyle w:val="Heading1numbered"/>
        <w:numPr>
          <w:ilvl w:val="0"/>
          <w:numId w:val="8"/>
        </w:numPr>
      </w:pPr>
      <w:bookmarkStart w:id="45" w:name="_Toc525026181"/>
      <w:r w:rsidRPr="00687A1C">
        <w:lastRenderedPageBreak/>
        <w:t>About this report</w:t>
      </w:r>
      <w:bookmarkEnd w:id="45"/>
    </w:p>
    <w:p w:rsidR="00174AEA" w:rsidRPr="00687A1C" w:rsidRDefault="00174AEA" w:rsidP="00174AEA">
      <w:pPr>
        <w:sectPr w:rsidR="00174AEA" w:rsidRPr="00687A1C" w:rsidSect="00C12C77">
          <w:headerReference w:type="default" r:id="rId31"/>
          <w:pgSz w:w="11909" w:h="16834" w:code="9"/>
          <w:pgMar w:top="1728" w:right="1152" w:bottom="1152" w:left="1152" w:header="720" w:footer="288" w:gutter="0"/>
          <w:cols w:space="720"/>
          <w:noEndnote/>
        </w:sectPr>
      </w:pPr>
    </w:p>
    <w:p w:rsidR="00174AEA" w:rsidRPr="00687A1C" w:rsidRDefault="00174AEA" w:rsidP="00174AEA">
      <w:r w:rsidRPr="00687A1C">
        <w:t xml:space="preserve">The Department of Treasury and Finance (the Department) is a government department of the State of Victoria, established pursuant to an order made by the Premier under the </w:t>
      </w:r>
      <w:r w:rsidRPr="00687A1C">
        <w:rPr>
          <w:i/>
        </w:rPr>
        <w:t>Administrative Arrangements Act 1983</w:t>
      </w:r>
      <w:r w:rsidRPr="00687A1C">
        <w:t>. It is an administrative agency acting on behalf of the Crown.</w:t>
      </w:r>
    </w:p>
    <w:p w:rsidR="00174AEA" w:rsidRPr="00687A1C" w:rsidRDefault="00174AEA" w:rsidP="00174AEA">
      <w:pPr>
        <w:ind w:left="2160" w:hanging="2160"/>
      </w:pPr>
      <w:r w:rsidRPr="00687A1C">
        <w:t>Its principal address is:</w:t>
      </w:r>
      <w:r w:rsidRPr="00687A1C">
        <w:tab/>
        <w:t>1 Treasury Place</w:t>
      </w:r>
      <w:r w:rsidRPr="00687A1C">
        <w:br/>
        <w:t>Melbourne VIC 3002</w:t>
      </w:r>
    </w:p>
    <w:p w:rsidR="00174AEA" w:rsidRPr="00687A1C" w:rsidRDefault="00174AEA" w:rsidP="00174AEA">
      <w:r w:rsidRPr="00687A1C">
        <w:rPr>
          <w:lang w:eastAsia="en-US"/>
        </w:rPr>
        <w:t>A description of the nature of its operations and its principal activities is included in th</w:t>
      </w:r>
      <w:r w:rsidRPr="00687A1C">
        <w:t xml:space="preserve">e ‘Report of operations’ which does not form part of these financial statements. </w:t>
      </w:r>
    </w:p>
    <w:p w:rsidR="00174AEA" w:rsidRPr="00687A1C" w:rsidRDefault="00174AEA" w:rsidP="00174AEA">
      <w:pPr>
        <w:pStyle w:val="Heading2"/>
      </w:pPr>
      <w:r w:rsidRPr="00687A1C">
        <w:t>Basis of preparation</w:t>
      </w:r>
    </w:p>
    <w:p w:rsidR="00174AEA" w:rsidRPr="00687A1C" w:rsidRDefault="00174AEA" w:rsidP="00174AEA">
      <w:r w:rsidRPr="00687A1C">
        <w:t xml:space="preserve">The financial statements are presented in Australian dollars and the historical cost convention is used unless a different measurement basis is specifically disclosed in the note associated with the item measured on a different basis. </w:t>
      </w:r>
    </w:p>
    <w:p w:rsidR="00174AEA" w:rsidRPr="00687A1C" w:rsidRDefault="00174AEA" w:rsidP="00174AEA">
      <w:r w:rsidRPr="00687A1C">
        <w:t>The accrual basis of accounting has been applied in the preparation of these financial statements, whereby assets, liabilities, equity, income and expenses are recognised in the reporting period to which they relate, regardless of when cash is received or paid.</w:t>
      </w:r>
    </w:p>
    <w:p w:rsidR="00174AEA" w:rsidRPr="00687A1C" w:rsidRDefault="00174AEA" w:rsidP="00174AEA">
      <w:r w:rsidRPr="00687A1C">
        <w:t>Consistent with the requirements of AASB</w:t>
      </w:r>
      <w:r w:rsidRPr="00687A1C">
        <w:rPr>
          <w:rFonts w:ascii="Calibri" w:hAnsi="Calibri" w:cs="Calibri"/>
        </w:rPr>
        <w:t> </w:t>
      </w:r>
      <w:r w:rsidRPr="00687A1C">
        <w:t xml:space="preserve">1004 </w:t>
      </w:r>
      <w:r w:rsidRPr="00687A1C">
        <w:rPr>
          <w:i/>
          <w:iCs/>
        </w:rPr>
        <w:t>Contributions</w:t>
      </w:r>
      <w:r w:rsidRPr="00687A1C">
        <w:t>, contributions by owners (that is, contributed capital and its repayment) are treated as equity transactions and, therefore, do not form part of the income and expenses of the Department.</w:t>
      </w:r>
    </w:p>
    <w:p w:rsidR="00174AEA" w:rsidRPr="00687A1C" w:rsidRDefault="00174AEA" w:rsidP="00174AEA">
      <w:r w:rsidRPr="00687A1C">
        <w:t>Additions to net assets which have been designated as contributions by owners are recognised as contributed capital. Other transfers that are in the nature of contributions to or distributions by owners have also been designated as contributions by owners.</w:t>
      </w:r>
    </w:p>
    <w:p w:rsidR="00174AEA" w:rsidRPr="00687A1C" w:rsidRDefault="00174AEA" w:rsidP="00174AEA">
      <w:r w:rsidRPr="00687A1C">
        <w:t>Transfers of net assets arising from administrative restructurings are treated as distributions to or contributions by owners. Transfers of net liabilities arising from administrative restructurings are treated as distributions to owners.</w:t>
      </w:r>
    </w:p>
    <w:p w:rsidR="00174AEA" w:rsidRPr="00687A1C" w:rsidRDefault="00174AEA" w:rsidP="00174AEA">
      <w:r w:rsidRPr="00687A1C">
        <w:t>Judgements, estimates and assumptions are required to be made about carrying values of assets and liabilities that are not readily apparent from other sources.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rsidR="00174AEA" w:rsidRPr="00687A1C" w:rsidRDefault="00F21189" w:rsidP="00174AEA">
      <w:r>
        <w:br w:type="column"/>
      </w:r>
      <w:r w:rsidR="00174AEA" w:rsidRPr="00687A1C">
        <w:t xml:space="preserve">Revisions to accounting estimates are recognised in the period in which the estimate is revised and also in future periods that are affected by the revision. Judgements and assumptions made by management in the application of Australian Accounting Standards (AASs) that have significant effects on the financial statements and estimates are disclosed in the notes under the heading: ‘Judgement required’. </w:t>
      </w:r>
    </w:p>
    <w:p w:rsidR="00174AEA" w:rsidRPr="00687A1C" w:rsidRDefault="00174AEA" w:rsidP="00174AEA">
      <w:r w:rsidRPr="00687A1C">
        <w:t xml:space="preserve">These financial statements cover the Department as an individual reporting entity and include all the controlled activities of the Department. The Essential Services Commission and </w:t>
      </w:r>
      <w:r w:rsidR="0027531A" w:rsidRPr="00687A1C">
        <w:t>Cenitex</w:t>
      </w:r>
      <w:r w:rsidRPr="00687A1C">
        <w:t>, which are part of the Department’s portfolio, prepare separate annual financial statements and are not included in the Department’s financial statements.</w:t>
      </w:r>
    </w:p>
    <w:p w:rsidR="00174AEA" w:rsidRPr="00687A1C" w:rsidRDefault="00174AEA" w:rsidP="00174AEA">
      <w:r w:rsidRPr="00687A1C">
        <w:t xml:space="preserve">Pursuant to section 53(1)(b) of the </w:t>
      </w:r>
      <w:r w:rsidRPr="00687A1C">
        <w:rPr>
          <w:i/>
        </w:rPr>
        <w:t xml:space="preserve">Financial Management Act 1994 </w:t>
      </w:r>
      <w:r w:rsidRPr="00687A1C">
        <w:t>(FMA), the results of the Registrar of Housing Agencies and the Victorian Government Purchasing Board are reported in aggregate as part of the Department’s financial statements. These entities are not controlled by the Department.</w:t>
      </w:r>
    </w:p>
    <w:p w:rsidR="00174AEA" w:rsidRPr="00687A1C" w:rsidRDefault="00174AEA" w:rsidP="00174AEA">
      <w:r w:rsidRPr="00687A1C">
        <w:t>Amounts in the financial statements have been rounded to the nearest thousand dollars, unless otherwise stated.</w:t>
      </w:r>
    </w:p>
    <w:p w:rsidR="00AE48A5" w:rsidRPr="00687A1C" w:rsidRDefault="00AE48A5" w:rsidP="00AE48A5">
      <w:pPr>
        <w:pStyle w:val="Heading2"/>
      </w:pPr>
      <w:r w:rsidRPr="00687A1C">
        <w:t>Comparative information</w:t>
      </w:r>
    </w:p>
    <w:p w:rsidR="00AE48A5" w:rsidRPr="00687A1C" w:rsidRDefault="00AE48A5" w:rsidP="00AE48A5">
      <w:r w:rsidRPr="00687A1C">
        <w:t xml:space="preserve">During the year the Department reviewed its classification of controlled and administered items in the financial statements to provide more relevant information about the Department’s operations and the functions administered on behalf of the State. Comparative amounts have been restated as described in </w:t>
      </w:r>
      <w:r w:rsidR="00B24721" w:rsidRPr="00687A1C">
        <w:t xml:space="preserve">note </w:t>
      </w:r>
      <w:r w:rsidRPr="00687A1C">
        <w:t>7.3.1.</w:t>
      </w:r>
    </w:p>
    <w:p w:rsidR="009A26DD" w:rsidRPr="00687A1C" w:rsidRDefault="009A26DD" w:rsidP="00AE48A5">
      <w:pPr>
        <w:pStyle w:val="Heading2"/>
      </w:pPr>
      <w:bookmarkStart w:id="46" w:name="_Ref492632034"/>
      <w:r w:rsidRPr="00687A1C">
        <w:t>Compliance information</w:t>
      </w:r>
      <w:bookmarkEnd w:id="46"/>
    </w:p>
    <w:p w:rsidR="00174AEA" w:rsidRPr="00687A1C" w:rsidRDefault="00174AEA" w:rsidP="00174AEA">
      <w:r w:rsidRPr="00687A1C">
        <w:t xml:space="preserve">These general purpose financial statements have been prepared in accordance with the FMA and applicable AASs including Interpretations, issued by the Australian Accounting Standards Board (AASB). In particular, they are presented in a manner consistent with the requirements of AASB 1049 </w:t>
      </w:r>
      <w:r w:rsidRPr="00687A1C">
        <w:rPr>
          <w:i/>
        </w:rPr>
        <w:t>Whole of Government and General Government Sector Financial Reporting</w:t>
      </w:r>
      <w:r w:rsidRPr="00687A1C">
        <w:t>. Where relevant, those AASs paragraphs applicable to not-for-profit entities have been applied.</w:t>
      </w:r>
    </w:p>
    <w:p w:rsidR="00174AEA" w:rsidRPr="00687A1C" w:rsidRDefault="00174AEA" w:rsidP="00174AEA">
      <w:r w:rsidRPr="00687A1C">
        <w:t>Accounting policies are selected and applied in a manner which ensures that the resulting financial information satisfies the concepts of relevance and reliability, thereby ensuring that the substance of the underlying transactions or other events are reported.</w:t>
      </w:r>
    </w:p>
    <w:p w:rsidR="00174AEA" w:rsidRPr="00687A1C" w:rsidRDefault="00174AEA" w:rsidP="00174AEA">
      <w:pPr>
        <w:spacing w:before="0" w:after="0"/>
      </w:pPr>
    </w:p>
    <w:p w:rsidR="00174AEA" w:rsidRPr="00687A1C" w:rsidRDefault="00174AEA" w:rsidP="00174AEA">
      <w:pPr>
        <w:pStyle w:val="Heading1numbered"/>
        <w:sectPr w:rsidR="00174AEA" w:rsidRPr="00687A1C" w:rsidSect="00263930">
          <w:headerReference w:type="even" r:id="rId32"/>
          <w:headerReference w:type="default" r:id="rId33"/>
          <w:type w:val="continuous"/>
          <w:pgSz w:w="11909" w:h="16834" w:code="9"/>
          <w:pgMar w:top="1728" w:right="1152" w:bottom="1152" w:left="1152" w:header="720" w:footer="288" w:gutter="0"/>
          <w:cols w:num="2" w:space="720"/>
          <w:noEndnote/>
        </w:sectPr>
      </w:pPr>
    </w:p>
    <w:p w:rsidR="00174AEA" w:rsidRPr="00687A1C" w:rsidRDefault="00174AEA" w:rsidP="00174AEA">
      <w:pPr>
        <w:pStyle w:val="Heading1numbered"/>
      </w:pPr>
      <w:bookmarkStart w:id="47" w:name="_Toc525026182"/>
      <w:r w:rsidRPr="00687A1C">
        <w:lastRenderedPageBreak/>
        <w:t>Funding delivery of our services</w:t>
      </w:r>
      <w:bookmarkEnd w:id="47"/>
    </w:p>
    <w:p w:rsidR="00174AEA" w:rsidRPr="00687A1C" w:rsidRDefault="00174AEA" w:rsidP="00174AEA">
      <w:pPr>
        <w:sectPr w:rsidR="00174AEA" w:rsidRPr="00687A1C" w:rsidSect="0099284A">
          <w:headerReference w:type="even" r:id="rId34"/>
          <w:headerReference w:type="default" r:id="rId35"/>
          <w:pgSz w:w="11909" w:h="16834" w:code="9"/>
          <w:pgMar w:top="1728" w:right="1152" w:bottom="1152" w:left="1152" w:header="720" w:footer="288" w:gutter="0"/>
          <w:cols w:space="720"/>
          <w:noEndnote/>
        </w:sectPr>
      </w:pPr>
    </w:p>
    <w:p w:rsidR="00174AEA" w:rsidRPr="00687A1C" w:rsidRDefault="00174AEA" w:rsidP="00174AEA">
      <w:pPr>
        <w:pStyle w:val="Heading4"/>
      </w:pPr>
      <w:bookmarkStart w:id="48" w:name="Section_02"/>
      <w:r w:rsidRPr="00687A1C">
        <w:t>Introduction</w:t>
      </w:r>
    </w:p>
    <w:p w:rsidR="00174AEA" w:rsidRPr="00687A1C" w:rsidRDefault="00174AEA" w:rsidP="00174AEA">
      <w:r w:rsidRPr="00687A1C">
        <w:rPr>
          <w:color w:val="000000"/>
        </w:rPr>
        <w:t xml:space="preserve">The Department’s overall objective is to </w:t>
      </w:r>
      <w:r w:rsidRPr="00687A1C">
        <w:t>pursue its mission of providing leadership in economic, financial and resource management. This leadership focus is reflected in the Department’s long-term operational objectives, which guide its policy directions:</w:t>
      </w:r>
    </w:p>
    <w:p w:rsidR="00174AEA" w:rsidRPr="00687A1C" w:rsidRDefault="00174AEA" w:rsidP="00174AEA">
      <w:pPr>
        <w:pStyle w:val="Bullet"/>
      </w:pPr>
      <w:r w:rsidRPr="00687A1C">
        <w:t>optimise Victoria's fiscal resources;</w:t>
      </w:r>
    </w:p>
    <w:p w:rsidR="00174AEA" w:rsidRPr="00687A1C" w:rsidRDefault="00174AEA" w:rsidP="00174AEA">
      <w:pPr>
        <w:pStyle w:val="Bullet"/>
      </w:pPr>
      <w:r w:rsidRPr="00687A1C">
        <w:t>strengthen Victoria's economic performance;</w:t>
      </w:r>
    </w:p>
    <w:p w:rsidR="00174AEA" w:rsidRPr="00687A1C" w:rsidRDefault="00174AEA" w:rsidP="00174AEA">
      <w:pPr>
        <w:pStyle w:val="Bullet"/>
      </w:pPr>
      <w:r w:rsidRPr="00687A1C">
        <w:t>improve how Government manages its balance sheet, commercial activities and public sector infrastructure; and</w:t>
      </w:r>
    </w:p>
    <w:p w:rsidR="00174AEA" w:rsidRPr="00687A1C" w:rsidRDefault="00174AEA" w:rsidP="00174AEA">
      <w:pPr>
        <w:pStyle w:val="Bullet"/>
      </w:pPr>
      <w:r w:rsidRPr="00687A1C">
        <w:t>deliver efficient whole of government common services.</w:t>
      </w:r>
    </w:p>
    <w:p w:rsidR="00174AEA" w:rsidRPr="00687A1C" w:rsidRDefault="00174AEA" w:rsidP="00174AEA">
      <w:r w:rsidRPr="00687A1C">
        <w:t xml:space="preserve">To enable the Department to fulfil its objectives and provide outputs as described in </w:t>
      </w:r>
      <w:r w:rsidR="00DE0CB9" w:rsidRPr="00687A1C">
        <w:t xml:space="preserve">note </w:t>
      </w:r>
      <w:r w:rsidRPr="00687A1C">
        <w:t>4.1.1, it receives income (predominantly funded by accrual-based Parliamentary appropriations for the provision of outputs).</w:t>
      </w:r>
    </w:p>
    <w:p w:rsidR="00174AEA" w:rsidRPr="00687A1C" w:rsidRDefault="00174AEA" w:rsidP="00174AEA">
      <w:pPr>
        <w:pStyle w:val="Heading4"/>
      </w:pPr>
      <w:r w:rsidRPr="00687A1C">
        <w:br w:type="column"/>
      </w:r>
      <w:r w:rsidRPr="00687A1C">
        <w:t>Structure</w:t>
      </w:r>
    </w:p>
    <w:p w:rsidR="00F97BB9" w:rsidRDefault="00174AEA">
      <w:pPr>
        <w:pStyle w:val="TOC5"/>
        <w:rPr>
          <w:noProof/>
          <w:color w:val="auto"/>
          <w:sz w:val="22"/>
        </w:rPr>
      </w:pPr>
      <w:r w:rsidRPr="00687A1C">
        <w:fldChar w:fldCharType="begin"/>
      </w:r>
      <w:r w:rsidRPr="00687A1C">
        <w:instrText xml:space="preserve"> TOC \h \z \t "Heading 2 numbered,5" \b Section_02 </w:instrText>
      </w:r>
      <w:r w:rsidRPr="00687A1C">
        <w:fldChar w:fldCharType="separate"/>
      </w:r>
      <w:hyperlink w:anchor="_Toc525026223" w:history="1">
        <w:r w:rsidR="00F97BB9" w:rsidRPr="001803B3">
          <w:rPr>
            <w:rStyle w:val="Hyperlink"/>
            <w:noProof/>
          </w:rPr>
          <w:t>2.1</w:t>
        </w:r>
        <w:r w:rsidR="00F97BB9">
          <w:rPr>
            <w:noProof/>
            <w:color w:val="auto"/>
            <w:sz w:val="22"/>
          </w:rPr>
          <w:tab/>
        </w:r>
        <w:r w:rsidR="00F97BB9" w:rsidRPr="001803B3">
          <w:rPr>
            <w:rStyle w:val="Hyperlink"/>
            <w:noProof/>
          </w:rPr>
          <w:t>Summary of income that funds the delivery of our services</w:t>
        </w:r>
        <w:r w:rsidR="00F97BB9">
          <w:rPr>
            <w:noProof/>
            <w:webHidden/>
          </w:rPr>
          <w:tab/>
        </w:r>
        <w:r w:rsidR="00F97BB9">
          <w:rPr>
            <w:noProof/>
            <w:webHidden/>
          </w:rPr>
          <w:fldChar w:fldCharType="begin"/>
        </w:r>
        <w:r w:rsidR="00F97BB9">
          <w:rPr>
            <w:noProof/>
            <w:webHidden/>
          </w:rPr>
          <w:instrText xml:space="preserve"> PAGEREF _Toc525026223 \h </w:instrText>
        </w:r>
        <w:r w:rsidR="00F97BB9">
          <w:rPr>
            <w:noProof/>
            <w:webHidden/>
          </w:rPr>
        </w:r>
        <w:r w:rsidR="00F97BB9">
          <w:rPr>
            <w:noProof/>
            <w:webHidden/>
          </w:rPr>
          <w:fldChar w:fldCharType="separate"/>
        </w:r>
        <w:r w:rsidR="00BE5F15">
          <w:rPr>
            <w:noProof/>
            <w:webHidden/>
          </w:rPr>
          <w:t>47</w:t>
        </w:r>
        <w:r w:rsidR="00F97BB9">
          <w:rPr>
            <w:noProof/>
            <w:webHidden/>
          </w:rPr>
          <w:fldChar w:fldCharType="end"/>
        </w:r>
      </w:hyperlink>
    </w:p>
    <w:p w:rsidR="00F97BB9" w:rsidRDefault="00EC4CFD">
      <w:pPr>
        <w:pStyle w:val="TOC5"/>
        <w:rPr>
          <w:noProof/>
          <w:color w:val="auto"/>
          <w:sz w:val="22"/>
        </w:rPr>
      </w:pPr>
      <w:hyperlink w:anchor="_Toc525026224" w:history="1">
        <w:r w:rsidR="00F97BB9" w:rsidRPr="001803B3">
          <w:rPr>
            <w:rStyle w:val="Hyperlink"/>
            <w:noProof/>
          </w:rPr>
          <w:t>2.2</w:t>
        </w:r>
        <w:r w:rsidR="00F97BB9">
          <w:rPr>
            <w:noProof/>
            <w:color w:val="auto"/>
            <w:sz w:val="22"/>
          </w:rPr>
          <w:tab/>
        </w:r>
        <w:r w:rsidR="00F97BB9" w:rsidRPr="001803B3">
          <w:rPr>
            <w:rStyle w:val="Hyperlink"/>
            <w:noProof/>
          </w:rPr>
          <w:t>Appropriations</w:t>
        </w:r>
        <w:r w:rsidR="00F97BB9">
          <w:rPr>
            <w:noProof/>
            <w:webHidden/>
          </w:rPr>
          <w:tab/>
        </w:r>
        <w:r w:rsidR="00F97BB9">
          <w:rPr>
            <w:noProof/>
            <w:webHidden/>
          </w:rPr>
          <w:fldChar w:fldCharType="begin"/>
        </w:r>
        <w:r w:rsidR="00F97BB9">
          <w:rPr>
            <w:noProof/>
            <w:webHidden/>
          </w:rPr>
          <w:instrText xml:space="preserve"> PAGEREF _Toc525026224 \h </w:instrText>
        </w:r>
        <w:r w:rsidR="00F97BB9">
          <w:rPr>
            <w:noProof/>
            <w:webHidden/>
          </w:rPr>
        </w:r>
        <w:r w:rsidR="00F97BB9">
          <w:rPr>
            <w:noProof/>
            <w:webHidden/>
          </w:rPr>
          <w:fldChar w:fldCharType="separate"/>
        </w:r>
        <w:r w:rsidR="00BE5F15">
          <w:rPr>
            <w:noProof/>
            <w:webHidden/>
          </w:rPr>
          <w:t>47</w:t>
        </w:r>
        <w:r w:rsidR="00F97BB9">
          <w:rPr>
            <w:noProof/>
            <w:webHidden/>
          </w:rPr>
          <w:fldChar w:fldCharType="end"/>
        </w:r>
      </w:hyperlink>
    </w:p>
    <w:p w:rsidR="00F97BB9" w:rsidRDefault="00EC4CFD">
      <w:pPr>
        <w:pStyle w:val="TOC5"/>
        <w:rPr>
          <w:noProof/>
          <w:color w:val="auto"/>
          <w:sz w:val="22"/>
        </w:rPr>
      </w:pPr>
      <w:hyperlink w:anchor="_Toc525026225" w:history="1">
        <w:r w:rsidR="00F97BB9" w:rsidRPr="001803B3">
          <w:rPr>
            <w:rStyle w:val="Hyperlink"/>
            <w:noProof/>
          </w:rPr>
          <w:t>2.3</w:t>
        </w:r>
        <w:r w:rsidR="00F97BB9">
          <w:rPr>
            <w:noProof/>
            <w:color w:val="auto"/>
            <w:sz w:val="22"/>
          </w:rPr>
          <w:tab/>
        </w:r>
        <w:r w:rsidR="00F97BB9" w:rsidRPr="001803B3">
          <w:rPr>
            <w:rStyle w:val="Hyperlink"/>
            <w:noProof/>
          </w:rPr>
          <w:t>Summary of compliance with annual Parliamentary appropriations</w:t>
        </w:r>
        <w:r w:rsidR="00F97BB9">
          <w:rPr>
            <w:noProof/>
            <w:webHidden/>
          </w:rPr>
          <w:tab/>
        </w:r>
        <w:r w:rsidR="00F97BB9">
          <w:rPr>
            <w:noProof/>
            <w:webHidden/>
          </w:rPr>
          <w:fldChar w:fldCharType="begin"/>
        </w:r>
        <w:r w:rsidR="00F97BB9">
          <w:rPr>
            <w:noProof/>
            <w:webHidden/>
          </w:rPr>
          <w:instrText xml:space="preserve"> PAGEREF _Toc525026225 \h </w:instrText>
        </w:r>
        <w:r w:rsidR="00F97BB9">
          <w:rPr>
            <w:noProof/>
            <w:webHidden/>
          </w:rPr>
        </w:r>
        <w:r w:rsidR="00F97BB9">
          <w:rPr>
            <w:noProof/>
            <w:webHidden/>
          </w:rPr>
          <w:fldChar w:fldCharType="separate"/>
        </w:r>
        <w:r w:rsidR="00BE5F15">
          <w:rPr>
            <w:noProof/>
            <w:webHidden/>
          </w:rPr>
          <w:t>48</w:t>
        </w:r>
        <w:r w:rsidR="00F97BB9">
          <w:rPr>
            <w:noProof/>
            <w:webHidden/>
          </w:rPr>
          <w:fldChar w:fldCharType="end"/>
        </w:r>
      </w:hyperlink>
    </w:p>
    <w:p w:rsidR="00F97BB9" w:rsidRDefault="00EC4CFD">
      <w:pPr>
        <w:pStyle w:val="TOC5"/>
        <w:rPr>
          <w:noProof/>
          <w:color w:val="auto"/>
          <w:sz w:val="22"/>
        </w:rPr>
      </w:pPr>
      <w:hyperlink w:anchor="_Toc525026226" w:history="1">
        <w:r w:rsidR="00F97BB9" w:rsidRPr="001803B3">
          <w:rPr>
            <w:rStyle w:val="Hyperlink"/>
            <w:noProof/>
          </w:rPr>
          <w:t>2.4</w:t>
        </w:r>
        <w:r w:rsidR="00F97BB9">
          <w:rPr>
            <w:noProof/>
            <w:color w:val="auto"/>
            <w:sz w:val="22"/>
          </w:rPr>
          <w:tab/>
        </w:r>
        <w:r w:rsidR="00F97BB9" w:rsidRPr="001803B3">
          <w:rPr>
            <w:rStyle w:val="Hyperlink"/>
            <w:noProof/>
          </w:rPr>
          <w:t>Annotated income agreements</w:t>
        </w:r>
        <w:r w:rsidR="00F97BB9">
          <w:rPr>
            <w:noProof/>
            <w:webHidden/>
          </w:rPr>
          <w:tab/>
        </w:r>
        <w:r w:rsidR="00F97BB9">
          <w:rPr>
            <w:noProof/>
            <w:webHidden/>
          </w:rPr>
          <w:fldChar w:fldCharType="begin"/>
        </w:r>
        <w:r w:rsidR="00F97BB9">
          <w:rPr>
            <w:noProof/>
            <w:webHidden/>
          </w:rPr>
          <w:instrText xml:space="preserve"> PAGEREF _Toc525026226 \h </w:instrText>
        </w:r>
        <w:r w:rsidR="00F97BB9">
          <w:rPr>
            <w:noProof/>
            <w:webHidden/>
          </w:rPr>
        </w:r>
        <w:r w:rsidR="00F97BB9">
          <w:rPr>
            <w:noProof/>
            <w:webHidden/>
          </w:rPr>
          <w:fldChar w:fldCharType="separate"/>
        </w:r>
        <w:r w:rsidR="00BE5F15">
          <w:rPr>
            <w:noProof/>
            <w:webHidden/>
          </w:rPr>
          <w:t>49</w:t>
        </w:r>
        <w:r w:rsidR="00F97BB9">
          <w:rPr>
            <w:noProof/>
            <w:webHidden/>
          </w:rPr>
          <w:fldChar w:fldCharType="end"/>
        </w:r>
      </w:hyperlink>
    </w:p>
    <w:p w:rsidR="00F97BB9" w:rsidRDefault="00EC4CFD">
      <w:pPr>
        <w:pStyle w:val="TOC5"/>
        <w:rPr>
          <w:noProof/>
          <w:color w:val="auto"/>
          <w:sz w:val="22"/>
        </w:rPr>
      </w:pPr>
      <w:hyperlink w:anchor="_Toc525026227" w:history="1">
        <w:r w:rsidR="00F97BB9" w:rsidRPr="001803B3">
          <w:rPr>
            <w:rStyle w:val="Hyperlink"/>
            <w:noProof/>
          </w:rPr>
          <w:t>2.5</w:t>
        </w:r>
        <w:r w:rsidR="00F97BB9">
          <w:rPr>
            <w:noProof/>
            <w:color w:val="auto"/>
            <w:sz w:val="22"/>
          </w:rPr>
          <w:tab/>
        </w:r>
        <w:r w:rsidR="00F97BB9" w:rsidRPr="001803B3">
          <w:rPr>
            <w:rStyle w:val="Hyperlink"/>
            <w:noProof/>
          </w:rPr>
          <w:t>Other income</w:t>
        </w:r>
        <w:r w:rsidR="00F97BB9">
          <w:rPr>
            <w:noProof/>
            <w:webHidden/>
          </w:rPr>
          <w:tab/>
        </w:r>
        <w:r w:rsidR="00F97BB9">
          <w:rPr>
            <w:noProof/>
            <w:webHidden/>
          </w:rPr>
          <w:fldChar w:fldCharType="begin"/>
        </w:r>
        <w:r w:rsidR="00F97BB9">
          <w:rPr>
            <w:noProof/>
            <w:webHidden/>
          </w:rPr>
          <w:instrText xml:space="preserve"> PAGEREF _Toc525026227 \h </w:instrText>
        </w:r>
        <w:r w:rsidR="00F97BB9">
          <w:rPr>
            <w:noProof/>
            <w:webHidden/>
          </w:rPr>
        </w:r>
        <w:r w:rsidR="00F97BB9">
          <w:rPr>
            <w:noProof/>
            <w:webHidden/>
          </w:rPr>
          <w:fldChar w:fldCharType="separate"/>
        </w:r>
        <w:r w:rsidR="00BE5F15">
          <w:rPr>
            <w:noProof/>
            <w:webHidden/>
          </w:rPr>
          <w:t>50</w:t>
        </w:r>
        <w:r w:rsidR="00F97BB9">
          <w:rPr>
            <w:noProof/>
            <w:webHidden/>
          </w:rPr>
          <w:fldChar w:fldCharType="end"/>
        </w:r>
      </w:hyperlink>
    </w:p>
    <w:p w:rsidR="00174AEA" w:rsidRPr="00687A1C" w:rsidRDefault="00174AEA" w:rsidP="00174AEA">
      <w:r w:rsidRPr="00687A1C">
        <w:rPr>
          <w:b/>
          <w:spacing w:val="-2"/>
          <w:szCs w:val="19"/>
        </w:rPr>
        <w:fldChar w:fldCharType="end"/>
      </w:r>
    </w:p>
    <w:p w:rsidR="00174AEA" w:rsidRPr="00687A1C" w:rsidRDefault="00174AEA" w:rsidP="00174AEA">
      <w:pPr>
        <w:sectPr w:rsidR="00174AEA" w:rsidRPr="00687A1C" w:rsidSect="00263930">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49" w:name="_Toc525026183"/>
      <w:bookmarkStart w:id="50" w:name="_Toc525026223"/>
      <w:r w:rsidRPr="00687A1C">
        <w:t>Summary of income that funds the delivery of our services</w:t>
      </w:r>
      <w:bookmarkEnd w:id="49"/>
      <w:bookmarkEnd w:id="50"/>
    </w:p>
    <w:tbl>
      <w:tblPr>
        <w:tblStyle w:val="AnnualReportfinancialtable"/>
        <w:tblW w:w="8195" w:type="dxa"/>
        <w:tblLayout w:type="fixed"/>
        <w:tblLook w:val="0080" w:firstRow="0" w:lastRow="0" w:firstColumn="1" w:lastColumn="0" w:noHBand="0" w:noVBand="0"/>
      </w:tblPr>
      <w:tblGrid>
        <w:gridCol w:w="4819"/>
        <w:gridCol w:w="732"/>
        <w:gridCol w:w="1322"/>
        <w:gridCol w:w="1322"/>
      </w:tblGrid>
      <w:tr w:rsidR="00174AEA" w:rsidRPr="00687A1C" w:rsidTr="008A3976">
        <w:trPr>
          <w:cantSplit/>
        </w:trPr>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rsidR="00174AEA" w:rsidRPr="00687A1C" w:rsidRDefault="00174AEA" w:rsidP="008A3976">
            <w:pPr>
              <w:pStyle w:val="Tabletext"/>
              <w:rPr>
                <w:b/>
                <w:i/>
              </w:rPr>
            </w:pPr>
          </w:p>
        </w:tc>
        <w:tc>
          <w:tcPr>
            <w:cnfStyle w:val="000010000000" w:firstRow="0" w:lastRow="0" w:firstColumn="0" w:lastColumn="0" w:oddVBand="1" w:evenVBand="0" w:oddHBand="0" w:evenHBand="0" w:firstRowFirstColumn="0" w:firstRowLastColumn="0" w:lastRowFirstColumn="0" w:lastRowLastColumn="0"/>
            <w:tcW w:w="732" w:type="dxa"/>
            <w:shd w:val="clear" w:color="auto" w:fill="auto"/>
            <w:vAlign w:val="bottom"/>
          </w:tcPr>
          <w:p w:rsidR="00174AEA" w:rsidRPr="00687A1C" w:rsidRDefault="00174AEA" w:rsidP="008A3976">
            <w:pPr>
              <w:pStyle w:val="Tabletextheadingcentred"/>
            </w:pPr>
          </w:p>
        </w:tc>
        <w:tc>
          <w:tcPr>
            <w:cnfStyle w:val="000001000000" w:firstRow="0" w:lastRow="0" w:firstColumn="0" w:lastColumn="0" w:oddVBand="0" w:evenVBand="1" w:oddHBand="0" w:evenHBand="0" w:firstRowFirstColumn="0" w:firstRowLastColumn="0" w:lastRowFirstColumn="0" w:lastRowLastColumn="0"/>
            <w:tcW w:w="1322" w:type="dxa"/>
            <w:shd w:val="clear" w:color="auto" w:fill="auto"/>
            <w:vAlign w:val="bottom"/>
          </w:tcPr>
          <w:p w:rsidR="00174AEA" w:rsidRPr="00687A1C" w:rsidRDefault="00174AEA" w:rsidP="008A3976">
            <w:pPr>
              <w:pStyle w:val="Tabletextheadingright"/>
            </w:pPr>
            <w:r w:rsidRPr="00687A1C">
              <w:t>2018</w:t>
            </w:r>
          </w:p>
        </w:tc>
        <w:tc>
          <w:tcPr>
            <w:cnfStyle w:val="000010000000" w:firstRow="0" w:lastRow="0" w:firstColumn="0" w:lastColumn="0" w:oddVBand="1" w:evenVBand="0" w:oddHBand="0" w:evenHBand="0" w:firstRowFirstColumn="0" w:firstRowLastColumn="0" w:lastRowFirstColumn="0" w:lastRowLastColumn="0"/>
            <w:tcW w:w="1322" w:type="dxa"/>
            <w:shd w:val="clear" w:color="auto" w:fill="auto"/>
            <w:vAlign w:val="bottom"/>
          </w:tcPr>
          <w:p w:rsidR="00174AEA" w:rsidRPr="00687A1C" w:rsidRDefault="00174AEA" w:rsidP="008A3976">
            <w:pPr>
              <w:pStyle w:val="Tabletextheadingright"/>
            </w:pPr>
            <w:r w:rsidRPr="00687A1C">
              <w:t>2017</w:t>
            </w:r>
          </w:p>
        </w:tc>
      </w:tr>
      <w:tr w:rsidR="00174AEA" w:rsidRPr="00687A1C" w:rsidTr="008A3976">
        <w:trPr>
          <w:cantSplit/>
        </w:trPr>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rsidR="00174AEA" w:rsidRPr="00687A1C" w:rsidRDefault="00174AEA" w:rsidP="008A3976">
            <w:pPr>
              <w:pStyle w:val="Tabletext"/>
              <w:rPr>
                <w:b/>
                <w:i/>
              </w:rPr>
            </w:pPr>
          </w:p>
        </w:tc>
        <w:tc>
          <w:tcPr>
            <w:cnfStyle w:val="000010000000" w:firstRow="0" w:lastRow="0" w:firstColumn="0" w:lastColumn="0" w:oddVBand="1" w:evenVBand="0" w:oddHBand="0" w:evenHBand="0" w:firstRowFirstColumn="0" w:firstRowLastColumn="0" w:lastRowFirstColumn="0" w:lastRowLastColumn="0"/>
            <w:tcW w:w="732" w:type="dxa"/>
            <w:shd w:val="clear" w:color="auto" w:fill="auto"/>
            <w:vAlign w:val="bottom"/>
          </w:tcPr>
          <w:p w:rsidR="00174AEA" w:rsidRPr="00687A1C" w:rsidRDefault="00174AEA" w:rsidP="008A3976">
            <w:pPr>
              <w:pStyle w:val="Tabletextheadingcentred"/>
            </w:pPr>
            <w:r w:rsidRPr="00687A1C">
              <w:t>Notes</w:t>
            </w:r>
          </w:p>
        </w:tc>
        <w:tc>
          <w:tcPr>
            <w:cnfStyle w:val="000001000000" w:firstRow="0" w:lastRow="0" w:firstColumn="0" w:lastColumn="0" w:oddVBand="0" w:evenVBand="1" w:oddHBand="0" w:evenHBand="0" w:firstRowFirstColumn="0" w:firstRowLastColumn="0" w:lastRowFirstColumn="0" w:lastRowLastColumn="0"/>
            <w:tcW w:w="1322" w:type="dxa"/>
            <w:shd w:val="clear" w:color="auto" w:fill="auto"/>
            <w:vAlign w:val="bottom"/>
          </w:tcPr>
          <w:p w:rsidR="00174AEA" w:rsidRPr="00687A1C" w:rsidRDefault="00174AEA" w:rsidP="008A3976">
            <w:pPr>
              <w:pStyle w:val="Tabletextheadingright"/>
            </w:pPr>
            <w:r w:rsidRPr="00687A1C">
              <w:t>$’000</w:t>
            </w:r>
          </w:p>
        </w:tc>
        <w:tc>
          <w:tcPr>
            <w:cnfStyle w:val="000010000000" w:firstRow="0" w:lastRow="0" w:firstColumn="0" w:lastColumn="0" w:oddVBand="1" w:evenVBand="0" w:oddHBand="0" w:evenHBand="0" w:firstRowFirstColumn="0" w:firstRowLastColumn="0" w:lastRowFirstColumn="0" w:lastRowLastColumn="0"/>
            <w:tcW w:w="1322" w:type="dxa"/>
            <w:shd w:val="clear" w:color="auto" w:fill="auto"/>
            <w:vAlign w:val="bottom"/>
          </w:tcPr>
          <w:p w:rsidR="00174AEA" w:rsidRPr="00687A1C" w:rsidRDefault="00174AEA" w:rsidP="008A3976">
            <w:pPr>
              <w:pStyle w:val="Tabletextheadingright"/>
            </w:pPr>
            <w:r w:rsidRPr="00687A1C">
              <w:t>$’000</w:t>
            </w:r>
          </w:p>
        </w:tc>
      </w:tr>
      <w:tr w:rsidR="00174AEA" w:rsidRPr="00687A1C" w:rsidTr="008A3976">
        <w:trPr>
          <w:cantSplit/>
        </w:trPr>
        <w:tc>
          <w:tcPr>
            <w:cnfStyle w:val="001000000000" w:firstRow="0" w:lastRow="0" w:firstColumn="1" w:lastColumn="0" w:oddVBand="0" w:evenVBand="0" w:oddHBand="0" w:evenHBand="0" w:firstRowFirstColumn="0" w:firstRowLastColumn="0" w:lastRowFirstColumn="0" w:lastRowLastColumn="0"/>
            <w:tcW w:w="4819" w:type="dxa"/>
          </w:tcPr>
          <w:p w:rsidR="00174AEA" w:rsidRPr="00687A1C" w:rsidRDefault="00174AEA" w:rsidP="008A3976">
            <w:pPr>
              <w:pStyle w:val="Tabletextbold"/>
              <w:rPr>
                <w:i/>
                <w:caps/>
              </w:rPr>
            </w:pPr>
            <w:r w:rsidRPr="00687A1C">
              <w:t>Income from transactions</w:t>
            </w:r>
          </w:p>
        </w:tc>
        <w:tc>
          <w:tcPr>
            <w:cnfStyle w:val="000010000000" w:firstRow="0" w:lastRow="0" w:firstColumn="0" w:lastColumn="0" w:oddVBand="1" w:evenVBand="0" w:oddHBand="0" w:evenHBand="0" w:firstRowFirstColumn="0" w:firstRowLastColumn="0" w:lastRowFirstColumn="0" w:lastRowLastColumn="0"/>
            <w:tcW w:w="732" w:type="dxa"/>
          </w:tcPr>
          <w:p w:rsidR="00174AEA" w:rsidRPr="00687A1C" w:rsidRDefault="00174AEA" w:rsidP="008A3976">
            <w:pPr>
              <w:pStyle w:val="Tabletextcentred"/>
            </w:pPr>
          </w:p>
        </w:tc>
        <w:tc>
          <w:tcPr>
            <w:cnfStyle w:val="000001000000" w:firstRow="0" w:lastRow="0" w:firstColumn="0" w:lastColumn="0" w:oddVBand="0" w:evenVBand="1" w:oddHBand="0" w:evenHBand="0" w:firstRowFirstColumn="0" w:firstRowLastColumn="0" w:lastRowFirstColumn="0" w:lastRowLastColumn="0"/>
            <w:tcW w:w="1322" w:type="dxa"/>
          </w:tcPr>
          <w:p w:rsidR="00174AEA" w:rsidRPr="00687A1C" w:rsidRDefault="00174AEA" w:rsidP="008A3976">
            <w:pPr>
              <w:pStyle w:val="Tabletextright"/>
              <w:rPr>
                <w:b/>
              </w:rPr>
            </w:pPr>
          </w:p>
        </w:tc>
        <w:tc>
          <w:tcPr>
            <w:cnfStyle w:val="000010000000" w:firstRow="0" w:lastRow="0" w:firstColumn="0" w:lastColumn="0" w:oddVBand="1" w:evenVBand="0" w:oddHBand="0" w:evenHBand="0" w:firstRowFirstColumn="0" w:firstRowLastColumn="0" w:lastRowFirstColumn="0" w:lastRowLastColumn="0"/>
            <w:tcW w:w="1322" w:type="dxa"/>
          </w:tcPr>
          <w:p w:rsidR="00174AEA" w:rsidRPr="00687A1C" w:rsidRDefault="00174AEA" w:rsidP="008A3976">
            <w:pPr>
              <w:pStyle w:val="Tabletextright"/>
            </w:pPr>
          </w:p>
        </w:tc>
      </w:tr>
      <w:tr w:rsidR="00174AEA" w:rsidRPr="00687A1C" w:rsidTr="008A3976">
        <w:trPr>
          <w:cantSplit/>
        </w:trPr>
        <w:tc>
          <w:tcPr>
            <w:cnfStyle w:val="001000000000" w:firstRow="0" w:lastRow="0" w:firstColumn="1" w:lastColumn="0" w:oddVBand="0" w:evenVBand="0" w:oddHBand="0" w:evenHBand="0" w:firstRowFirstColumn="0" w:firstRowLastColumn="0" w:lastRowFirstColumn="0" w:lastRowLastColumn="0"/>
            <w:tcW w:w="4819" w:type="dxa"/>
          </w:tcPr>
          <w:p w:rsidR="00174AEA" w:rsidRPr="00687A1C" w:rsidRDefault="00174AEA" w:rsidP="008A3976">
            <w:pPr>
              <w:pStyle w:val="Tabletext"/>
              <w:rPr>
                <w:b/>
              </w:rPr>
            </w:pPr>
          </w:p>
        </w:tc>
        <w:tc>
          <w:tcPr>
            <w:cnfStyle w:val="000010000000" w:firstRow="0" w:lastRow="0" w:firstColumn="0" w:lastColumn="0" w:oddVBand="1" w:evenVBand="0" w:oddHBand="0" w:evenHBand="0" w:firstRowFirstColumn="0" w:firstRowLastColumn="0" w:lastRowFirstColumn="0" w:lastRowLastColumn="0"/>
            <w:tcW w:w="732" w:type="dxa"/>
          </w:tcPr>
          <w:p w:rsidR="00174AEA" w:rsidRPr="00687A1C" w:rsidRDefault="00174AEA" w:rsidP="008A3976">
            <w:pPr>
              <w:pStyle w:val="Tabletextcentred"/>
            </w:pPr>
          </w:p>
        </w:tc>
        <w:tc>
          <w:tcPr>
            <w:cnfStyle w:val="000001000000" w:firstRow="0" w:lastRow="0" w:firstColumn="0" w:lastColumn="0" w:oddVBand="0" w:evenVBand="1" w:oddHBand="0" w:evenHBand="0" w:firstRowFirstColumn="0" w:firstRowLastColumn="0" w:lastRowFirstColumn="0" w:lastRowLastColumn="0"/>
            <w:tcW w:w="1322" w:type="dxa"/>
          </w:tcPr>
          <w:p w:rsidR="00174AEA" w:rsidRPr="00687A1C" w:rsidRDefault="00174AEA" w:rsidP="008A3976">
            <w:pPr>
              <w:pStyle w:val="Tabletextright"/>
              <w:rPr>
                <w:b/>
              </w:rPr>
            </w:pPr>
          </w:p>
        </w:tc>
        <w:tc>
          <w:tcPr>
            <w:cnfStyle w:val="000010000000" w:firstRow="0" w:lastRow="0" w:firstColumn="0" w:lastColumn="0" w:oddVBand="1" w:evenVBand="0" w:oddHBand="0" w:evenHBand="0" w:firstRowFirstColumn="0" w:firstRowLastColumn="0" w:lastRowFirstColumn="0" w:lastRowLastColumn="0"/>
            <w:tcW w:w="1322" w:type="dxa"/>
          </w:tcPr>
          <w:p w:rsidR="00174AEA" w:rsidRPr="00687A1C" w:rsidRDefault="00174AEA" w:rsidP="008A3976">
            <w:pPr>
              <w:pStyle w:val="Tabletextright"/>
            </w:pPr>
          </w:p>
        </w:tc>
      </w:tr>
      <w:tr w:rsidR="00174AEA" w:rsidRPr="00687A1C" w:rsidTr="008A3976">
        <w:trPr>
          <w:cantSplit/>
        </w:trPr>
        <w:tc>
          <w:tcPr>
            <w:cnfStyle w:val="001000000000" w:firstRow="0" w:lastRow="0" w:firstColumn="1" w:lastColumn="0" w:oddVBand="0" w:evenVBand="0" w:oddHBand="0" w:evenHBand="0" w:firstRowFirstColumn="0" w:firstRowLastColumn="0" w:lastRowFirstColumn="0" w:lastRowLastColumn="0"/>
            <w:tcW w:w="4819" w:type="dxa"/>
          </w:tcPr>
          <w:p w:rsidR="00174AEA" w:rsidRPr="00687A1C" w:rsidRDefault="00174AEA" w:rsidP="008A3976">
            <w:pPr>
              <w:pStyle w:val="Tabletext"/>
              <w:rPr>
                <w:b/>
              </w:rPr>
            </w:pPr>
            <w:r w:rsidRPr="00687A1C">
              <w:t>Output appropriations</w:t>
            </w:r>
          </w:p>
        </w:tc>
        <w:tc>
          <w:tcPr>
            <w:cnfStyle w:val="000010000000" w:firstRow="0" w:lastRow="0" w:firstColumn="0" w:lastColumn="0" w:oddVBand="1" w:evenVBand="0" w:oddHBand="0" w:evenHBand="0" w:firstRowFirstColumn="0" w:firstRowLastColumn="0" w:lastRowFirstColumn="0" w:lastRowLastColumn="0"/>
            <w:tcW w:w="732" w:type="dxa"/>
            <w:vAlign w:val="bottom"/>
          </w:tcPr>
          <w:p w:rsidR="00174AEA" w:rsidRPr="00687A1C" w:rsidRDefault="00174AEA" w:rsidP="008A3976">
            <w:pPr>
              <w:pStyle w:val="Tabletextcentred"/>
            </w:pPr>
            <w:r w:rsidRPr="00687A1C">
              <w:t>2.3</w:t>
            </w:r>
          </w:p>
        </w:tc>
        <w:tc>
          <w:tcPr>
            <w:cnfStyle w:val="000001000000" w:firstRow="0" w:lastRow="0" w:firstColumn="0" w:lastColumn="0" w:oddVBand="0" w:evenVBand="1" w:oddHBand="0" w:evenHBand="0" w:firstRowFirstColumn="0" w:firstRowLastColumn="0" w:lastRowFirstColumn="0" w:lastRowLastColumn="0"/>
            <w:tcW w:w="1322" w:type="dxa"/>
            <w:vAlign w:val="bottom"/>
          </w:tcPr>
          <w:p w:rsidR="00174AEA" w:rsidRPr="00687A1C" w:rsidRDefault="00174AEA" w:rsidP="00D8412D">
            <w:pPr>
              <w:pStyle w:val="Tabletextright"/>
            </w:pPr>
            <w:r w:rsidRPr="00687A1C">
              <w:t>299</w:t>
            </w:r>
            <w:r w:rsidR="00D8412D" w:rsidRPr="00687A1C">
              <w:t xml:space="preserve"> </w:t>
            </w:r>
            <w:r w:rsidRPr="00687A1C">
              <w:t>794</w:t>
            </w:r>
          </w:p>
        </w:tc>
        <w:tc>
          <w:tcPr>
            <w:cnfStyle w:val="000010000000" w:firstRow="0" w:lastRow="0" w:firstColumn="0" w:lastColumn="0" w:oddVBand="1" w:evenVBand="0" w:oddHBand="0" w:evenHBand="0" w:firstRowFirstColumn="0" w:firstRowLastColumn="0" w:lastRowFirstColumn="0" w:lastRowLastColumn="0"/>
            <w:tcW w:w="1322" w:type="dxa"/>
            <w:vAlign w:val="bottom"/>
          </w:tcPr>
          <w:p w:rsidR="00174AEA" w:rsidRPr="00687A1C" w:rsidRDefault="00174AEA" w:rsidP="00D8412D">
            <w:pPr>
              <w:pStyle w:val="Tabletextright"/>
            </w:pPr>
            <w:r w:rsidRPr="00687A1C">
              <w:t>353</w:t>
            </w:r>
            <w:r w:rsidR="00D8412D" w:rsidRPr="00687A1C">
              <w:t xml:space="preserve"> </w:t>
            </w:r>
            <w:r w:rsidRPr="00687A1C">
              <w:t>213</w:t>
            </w:r>
          </w:p>
        </w:tc>
      </w:tr>
      <w:tr w:rsidR="00174AEA" w:rsidRPr="00687A1C" w:rsidTr="008A3976">
        <w:trPr>
          <w:cantSplit/>
        </w:trPr>
        <w:tc>
          <w:tcPr>
            <w:cnfStyle w:val="001000000000" w:firstRow="0" w:lastRow="0" w:firstColumn="1" w:lastColumn="0" w:oddVBand="0" w:evenVBand="0" w:oddHBand="0" w:evenHBand="0" w:firstRowFirstColumn="0" w:firstRowLastColumn="0" w:lastRowFirstColumn="0" w:lastRowLastColumn="0"/>
            <w:tcW w:w="4819" w:type="dxa"/>
          </w:tcPr>
          <w:p w:rsidR="00174AEA" w:rsidRPr="00687A1C" w:rsidRDefault="00174AEA" w:rsidP="008A3976">
            <w:pPr>
              <w:pStyle w:val="Tabletext"/>
            </w:pPr>
            <w:r w:rsidRPr="00687A1C">
              <w:t>Other income</w:t>
            </w:r>
          </w:p>
        </w:tc>
        <w:tc>
          <w:tcPr>
            <w:cnfStyle w:val="000010000000" w:firstRow="0" w:lastRow="0" w:firstColumn="0" w:lastColumn="0" w:oddVBand="1" w:evenVBand="0" w:oddHBand="0" w:evenHBand="0" w:firstRowFirstColumn="0" w:firstRowLastColumn="0" w:lastRowFirstColumn="0" w:lastRowLastColumn="0"/>
            <w:tcW w:w="732" w:type="dxa"/>
            <w:vAlign w:val="bottom"/>
          </w:tcPr>
          <w:p w:rsidR="00174AEA" w:rsidRPr="00687A1C" w:rsidRDefault="00174AEA" w:rsidP="008A3976">
            <w:pPr>
              <w:pStyle w:val="Tabletextcentred"/>
            </w:pPr>
            <w:r w:rsidRPr="00687A1C">
              <w:t>2.5</w:t>
            </w:r>
          </w:p>
        </w:tc>
        <w:tc>
          <w:tcPr>
            <w:cnfStyle w:val="000001000000" w:firstRow="0" w:lastRow="0" w:firstColumn="0" w:lastColumn="0" w:oddVBand="0" w:evenVBand="1" w:oddHBand="0" w:evenHBand="0" w:firstRowFirstColumn="0" w:firstRowLastColumn="0" w:lastRowFirstColumn="0" w:lastRowLastColumn="0"/>
            <w:tcW w:w="1322" w:type="dxa"/>
            <w:vAlign w:val="bottom"/>
          </w:tcPr>
          <w:p w:rsidR="00174AEA" w:rsidRPr="00687A1C" w:rsidRDefault="00174AEA" w:rsidP="00D8412D">
            <w:pPr>
              <w:pStyle w:val="Tabletextright"/>
            </w:pPr>
            <w:r w:rsidRPr="00687A1C">
              <w:t>57</w:t>
            </w:r>
            <w:r w:rsidR="00D8412D" w:rsidRPr="00687A1C">
              <w:t xml:space="preserve"> </w:t>
            </w:r>
            <w:r w:rsidRPr="00687A1C">
              <w:t>621</w:t>
            </w:r>
          </w:p>
        </w:tc>
        <w:tc>
          <w:tcPr>
            <w:cnfStyle w:val="000010000000" w:firstRow="0" w:lastRow="0" w:firstColumn="0" w:lastColumn="0" w:oddVBand="1" w:evenVBand="0" w:oddHBand="0" w:evenHBand="0" w:firstRowFirstColumn="0" w:firstRowLastColumn="0" w:lastRowFirstColumn="0" w:lastRowLastColumn="0"/>
            <w:tcW w:w="1322" w:type="dxa"/>
            <w:vAlign w:val="bottom"/>
          </w:tcPr>
          <w:p w:rsidR="00174AEA" w:rsidRPr="00687A1C" w:rsidRDefault="00174AEA" w:rsidP="00D8412D">
            <w:pPr>
              <w:pStyle w:val="Tabletextright"/>
            </w:pPr>
            <w:r w:rsidRPr="00687A1C">
              <w:t>57</w:t>
            </w:r>
            <w:r w:rsidR="00D8412D" w:rsidRPr="00687A1C">
              <w:t xml:space="preserve"> </w:t>
            </w:r>
            <w:r w:rsidRPr="00687A1C">
              <w:t>417</w:t>
            </w:r>
          </w:p>
        </w:tc>
      </w:tr>
      <w:tr w:rsidR="00174AEA" w:rsidRPr="00687A1C" w:rsidTr="008A3976">
        <w:trPr>
          <w:cantSplit/>
        </w:trPr>
        <w:tc>
          <w:tcPr>
            <w:cnfStyle w:val="001000000000" w:firstRow="0" w:lastRow="0" w:firstColumn="1" w:lastColumn="0" w:oddVBand="0" w:evenVBand="0" w:oddHBand="0" w:evenHBand="0" w:firstRowFirstColumn="0" w:firstRowLastColumn="0" w:lastRowFirstColumn="0" w:lastRowLastColumn="0"/>
            <w:tcW w:w="4819" w:type="dxa"/>
          </w:tcPr>
          <w:p w:rsidR="00174AEA" w:rsidRPr="00687A1C" w:rsidRDefault="00174AEA" w:rsidP="008A3976">
            <w:pPr>
              <w:pStyle w:val="Tabletextbold"/>
              <w:rPr>
                <w:i/>
                <w:caps/>
              </w:rPr>
            </w:pPr>
            <w:r w:rsidRPr="00687A1C">
              <w:t>Total income from transactions</w:t>
            </w:r>
          </w:p>
        </w:tc>
        <w:tc>
          <w:tcPr>
            <w:cnfStyle w:val="000010000000" w:firstRow="0" w:lastRow="0" w:firstColumn="0" w:lastColumn="0" w:oddVBand="1" w:evenVBand="0" w:oddHBand="0" w:evenHBand="0" w:firstRowFirstColumn="0" w:firstRowLastColumn="0" w:lastRowFirstColumn="0" w:lastRowLastColumn="0"/>
            <w:tcW w:w="732" w:type="dxa"/>
          </w:tcPr>
          <w:p w:rsidR="00174AEA" w:rsidRPr="00687A1C" w:rsidRDefault="00174AEA" w:rsidP="008A3976">
            <w:pPr>
              <w:pStyle w:val="Tabletextcentred"/>
            </w:pPr>
          </w:p>
        </w:tc>
        <w:tc>
          <w:tcPr>
            <w:cnfStyle w:val="000001000000" w:firstRow="0" w:lastRow="0" w:firstColumn="0" w:lastColumn="0" w:oddVBand="0" w:evenVBand="1" w:oddHBand="0" w:evenHBand="0" w:firstRowFirstColumn="0" w:firstRowLastColumn="0" w:lastRowFirstColumn="0" w:lastRowLastColumn="0"/>
            <w:tcW w:w="1322" w:type="dxa"/>
            <w:vAlign w:val="bottom"/>
          </w:tcPr>
          <w:p w:rsidR="00174AEA" w:rsidRPr="00687A1C" w:rsidRDefault="00174AEA" w:rsidP="00D8412D">
            <w:pPr>
              <w:pStyle w:val="Tabletextright"/>
            </w:pPr>
            <w:r w:rsidRPr="00687A1C">
              <w:rPr>
                <w:b/>
              </w:rPr>
              <w:t>357</w:t>
            </w:r>
            <w:r w:rsidR="00D8412D" w:rsidRPr="00687A1C">
              <w:rPr>
                <w:b/>
              </w:rPr>
              <w:t xml:space="preserve"> </w:t>
            </w:r>
            <w:r w:rsidRPr="00687A1C">
              <w:rPr>
                <w:b/>
              </w:rPr>
              <w:t>415</w:t>
            </w:r>
          </w:p>
        </w:tc>
        <w:tc>
          <w:tcPr>
            <w:cnfStyle w:val="000010000000" w:firstRow="0" w:lastRow="0" w:firstColumn="0" w:lastColumn="0" w:oddVBand="1" w:evenVBand="0" w:oddHBand="0" w:evenHBand="0" w:firstRowFirstColumn="0" w:firstRowLastColumn="0" w:lastRowFirstColumn="0" w:lastRowLastColumn="0"/>
            <w:tcW w:w="1322" w:type="dxa"/>
            <w:vAlign w:val="bottom"/>
          </w:tcPr>
          <w:p w:rsidR="00174AEA" w:rsidRPr="00687A1C" w:rsidRDefault="00174AEA" w:rsidP="00D8412D">
            <w:pPr>
              <w:pStyle w:val="Tabletextright"/>
            </w:pPr>
            <w:r w:rsidRPr="00687A1C">
              <w:rPr>
                <w:b/>
              </w:rPr>
              <w:t>410</w:t>
            </w:r>
            <w:r w:rsidR="00D8412D" w:rsidRPr="00687A1C">
              <w:rPr>
                <w:b/>
              </w:rPr>
              <w:t xml:space="preserve"> </w:t>
            </w:r>
            <w:r w:rsidRPr="00687A1C">
              <w:rPr>
                <w:b/>
              </w:rPr>
              <w:t>630</w:t>
            </w:r>
          </w:p>
        </w:tc>
      </w:tr>
    </w:tbl>
    <w:p w:rsidR="00174AEA" w:rsidRPr="00687A1C" w:rsidRDefault="00174AEA" w:rsidP="00174AEA">
      <w:pPr>
        <w:pStyle w:val="Spacer"/>
      </w:pPr>
    </w:p>
    <w:p w:rsidR="00174AEA" w:rsidRPr="00687A1C" w:rsidRDefault="00174AEA" w:rsidP="00174AEA">
      <w:r w:rsidRPr="00687A1C">
        <w:t>Income is recognised to the extent that it is probable that the economic benefits will flow to the Department and the income can be reliably measured. Amounts disclosed as income are, where applicable, net of duties and taxes.</w:t>
      </w:r>
    </w:p>
    <w:p w:rsidR="00174AEA" w:rsidRPr="00687A1C" w:rsidRDefault="00174AEA" w:rsidP="00174AEA"/>
    <w:p w:rsidR="00174AEA" w:rsidRPr="00687A1C" w:rsidRDefault="00174AEA" w:rsidP="00174AEA">
      <w:pPr>
        <w:pStyle w:val="Spacer"/>
      </w:pPr>
    </w:p>
    <w:p w:rsidR="00174AEA" w:rsidRPr="00687A1C" w:rsidRDefault="00174AEA" w:rsidP="00174AEA">
      <w:pPr>
        <w:sectPr w:rsidR="00174AEA" w:rsidRPr="00687A1C" w:rsidSect="00CC0734">
          <w:type w:val="continuous"/>
          <w:pgSz w:w="11909" w:h="16834" w:code="9"/>
          <w:pgMar w:top="1728" w:right="1152" w:bottom="1152" w:left="1152" w:header="720" w:footer="288" w:gutter="0"/>
          <w:cols w:space="720"/>
          <w:noEndnote/>
        </w:sectPr>
      </w:pPr>
    </w:p>
    <w:p w:rsidR="00174AEA" w:rsidRPr="00687A1C" w:rsidRDefault="00174AEA" w:rsidP="00174AEA">
      <w:pPr>
        <w:pStyle w:val="Heading2numbered"/>
      </w:pPr>
      <w:bookmarkStart w:id="51" w:name="_Toc525026184"/>
      <w:bookmarkStart w:id="52" w:name="_Toc525026224"/>
      <w:r w:rsidRPr="00687A1C">
        <w:t>Appropriations</w:t>
      </w:r>
      <w:bookmarkEnd w:id="51"/>
      <w:bookmarkEnd w:id="52"/>
    </w:p>
    <w:p w:rsidR="00174AEA" w:rsidRPr="00687A1C" w:rsidRDefault="00174AEA" w:rsidP="00174AEA">
      <w:r w:rsidRPr="00687A1C">
        <w:t>Once annual Parliamentary appropriations are applied by the Treasurer, they become controlled by the Department and are recognised as income when applied to the purposes defined under the relevant Appropriations Act.</w:t>
      </w:r>
    </w:p>
    <w:p w:rsidR="00174AEA" w:rsidRPr="00687A1C" w:rsidRDefault="00174AEA" w:rsidP="00174AEA">
      <w:pPr>
        <w:pStyle w:val="Heading4"/>
      </w:pPr>
      <w:r w:rsidRPr="00687A1C">
        <w:br w:type="column"/>
      </w:r>
      <w:r w:rsidRPr="00687A1C">
        <w:t>Output appropriations</w:t>
      </w:r>
    </w:p>
    <w:p w:rsidR="00174AEA" w:rsidRPr="00687A1C" w:rsidRDefault="00174AEA" w:rsidP="00174AEA">
      <w:r w:rsidRPr="00687A1C">
        <w:t>Income from the outputs the Department provides to the Government is recognised when those outputs have been delivered and the relevant Minister has certified delivery of those outputs in accordance with specified performance criteria.</w:t>
      </w:r>
    </w:p>
    <w:p w:rsidR="00174AEA" w:rsidRPr="00687A1C" w:rsidRDefault="00174AEA" w:rsidP="00174AEA"/>
    <w:p w:rsidR="00174AEA" w:rsidRPr="00687A1C" w:rsidRDefault="00174AEA" w:rsidP="00174AEA">
      <w:pPr>
        <w:sectPr w:rsidR="00174AEA" w:rsidRPr="00687A1C" w:rsidSect="00263930">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53" w:name="_Ref492632334"/>
      <w:bookmarkStart w:id="54" w:name="_Toc525026185"/>
      <w:bookmarkStart w:id="55" w:name="_Toc525026225"/>
      <w:r w:rsidRPr="00687A1C">
        <w:lastRenderedPageBreak/>
        <w:t>Summary of compliance with annual Parliamentary appropriations</w:t>
      </w:r>
      <w:bookmarkEnd w:id="53"/>
      <w:bookmarkEnd w:id="54"/>
      <w:bookmarkEnd w:id="55"/>
    </w:p>
    <w:p w:rsidR="00174AEA" w:rsidRPr="00687A1C" w:rsidRDefault="00174AEA" w:rsidP="00174AEA">
      <w:r w:rsidRPr="00687A1C">
        <w:t>The following table discloses the details of the various Parliamentary appropriations received by the Department during the year. In accordance with accrual output-based management procedures, ‘provision of outputs’ and ‘additions to net assets’ are disclosed as ‘controlled’ activities of the Department. Administered transactions are those that are undertaken on behalf of the State, and over which the Department has no control or discretion.</w:t>
      </w:r>
    </w:p>
    <w:p w:rsidR="00174AEA" w:rsidRPr="00687A1C" w:rsidRDefault="00174AEA" w:rsidP="00174AEA"/>
    <w:tbl>
      <w:tblPr>
        <w:tblW w:w="0" w:type="auto"/>
        <w:tblLayout w:type="fixed"/>
        <w:tblCellMar>
          <w:left w:w="58" w:type="dxa"/>
          <w:right w:w="58" w:type="dxa"/>
        </w:tblCellMar>
        <w:tblLook w:val="0000" w:firstRow="0" w:lastRow="0" w:firstColumn="0" w:lastColumn="0" w:noHBand="0" w:noVBand="0"/>
      </w:tblPr>
      <w:tblGrid>
        <w:gridCol w:w="3600"/>
        <w:gridCol w:w="1332"/>
        <w:gridCol w:w="1260"/>
        <w:gridCol w:w="180"/>
        <w:gridCol w:w="30"/>
        <w:gridCol w:w="990"/>
        <w:gridCol w:w="1020"/>
        <w:gridCol w:w="1020"/>
        <w:gridCol w:w="1170"/>
        <w:gridCol w:w="1260"/>
        <w:gridCol w:w="1170"/>
      </w:tblGrid>
      <w:tr w:rsidR="00B24721" w:rsidRPr="00687A1C" w:rsidTr="00B24721">
        <w:trPr>
          <w:trHeight w:val="270"/>
        </w:trPr>
        <w:tc>
          <w:tcPr>
            <w:tcW w:w="3600" w:type="dxa"/>
          </w:tcPr>
          <w:p w:rsidR="00B24721" w:rsidRPr="00687A1C" w:rsidRDefault="00B24721" w:rsidP="008A3976">
            <w:pPr>
              <w:pStyle w:val="Tabletextbold"/>
              <w:rPr>
                <w:sz w:val="14"/>
                <w:szCs w:val="14"/>
              </w:rPr>
            </w:pPr>
          </w:p>
        </w:tc>
        <w:tc>
          <w:tcPr>
            <w:tcW w:w="2592" w:type="dxa"/>
            <w:gridSpan w:val="2"/>
            <w:shd w:val="clear" w:color="auto" w:fill="DDDDDD"/>
            <w:vAlign w:val="bottom"/>
          </w:tcPr>
          <w:p w:rsidR="00B24721" w:rsidRPr="00687A1C" w:rsidRDefault="00B24721" w:rsidP="008A3976">
            <w:pPr>
              <w:pStyle w:val="Tabletextheadingcentred"/>
              <w:rPr>
                <w:sz w:val="14"/>
                <w:szCs w:val="14"/>
              </w:rPr>
            </w:pPr>
            <w:r w:rsidRPr="00687A1C">
              <w:t>Appropriation Act</w:t>
            </w:r>
          </w:p>
        </w:tc>
        <w:tc>
          <w:tcPr>
            <w:tcW w:w="210" w:type="dxa"/>
            <w:gridSpan w:val="2"/>
          </w:tcPr>
          <w:p w:rsidR="00B24721" w:rsidRPr="00687A1C" w:rsidRDefault="00B24721" w:rsidP="008A3976">
            <w:pPr>
              <w:pStyle w:val="Tabletextheadingright"/>
              <w:rPr>
                <w:sz w:val="14"/>
                <w:szCs w:val="14"/>
              </w:rPr>
            </w:pPr>
          </w:p>
        </w:tc>
        <w:tc>
          <w:tcPr>
            <w:tcW w:w="3030" w:type="dxa"/>
            <w:gridSpan w:val="3"/>
            <w:shd w:val="clear" w:color="auto" w:fill="DDDDDD"/>
            <w:vAlign w:val="bottom"/>
          </w:tcPr>
          <w:p w:rsidR="00B24721" w:rsidRPr="00687A1C" w:rsidRDefault="00B24721" w:rsidP="008A3976">
            <w:pPr>
              <w:pStyle w:val="Tabletextheadingcentred"/>
            </w:pPr>
            <w:r w:rsidRPr="00687A1C">
              <w:rPr>
                <w:i/>
              </w:rPr>
              <w:t>Financial Management Act</w:t>
            </w:r>
            <w:r w:rsidRPr="00687A1C">
              <w:rPr>
                <w:rFonts w:ascii="Calibri" w:hAnsi="Calibri" w:cs="Calibri"/>
                <w:i/>
              </w:rPr>
              <w:t> </w:t>
            </w:r>
            <w:r w:rsidRPr="00687A1C">
              <w:rPr>
                <w:i/>
              </w:rPr>
              <w:t>1994</w:t>
            </w:r>
          </w:p>
        </w:tc>
        <w:tc>
          <w:tcPr>
            <w:tcW w:w="1170" w:type="dxa"/>
            <w:vAlign w:val="bottom"/>
          </w:tcPr>
          <w:p w:rsidR="00B24721" w:rsidRPr="00687A1C" w:rsidRDefault="00B24721" w:rsidP="008A3976">
            <w:pPr>
              <w:pStyle w:val="Tabletextheadingright"/>
              <w:rPr>
                <w:sz w:val="14"/>
                <w:szCs w:val="14"/>
              </w:rPr>
            </w:pPr>
          </w:p>
        </w:tc>
        <w:tc>
          <w:tcPr>
            <w:tcW w:w="1260" w:type="dxa"/>
            <w:vAlign w:val="bottom"/>
          </w:tcPr>
          <w:p w:rsidR="00B24721" w:rsidRPr="00687A1C" w:rsidRDefault="00B24721" w:rsidP="008A3976">
            <w:pPr>
              <w:pStyle w:val="Tabletextheadingright"/>
              <w:rPr>
                <w:sz w:val="14"/>
                <w:szCs w:val="14"/>
              </w:rPr>
            </w:pPr>
          </w:p>
        </w:tc>
        <w:tc>
          <w:tcPr>
            <w:tcW w:w="1170" w:type="dxa"/>
            <w:vAlign w:val="bottom"/>
          </w:tcPr>
          <w:p w:rsidR="00B24721" w:rsidRPr="00687A1C" w:rsidRDefault="00B24721" w:rsidP="008A3976">
            <w:pPr>
              <w:pStyle w:val="Tabletextheadingright"/>
              <w:rPr>
                <w:sz w:val="14"/>
                <w:szCs w:val="14"/>
              </w:rPr>
            </w:pPr>
          </w:p>
        </w:tc>
      </w:tr>
      <w:tr w:rsidR="00B24721" w:rsidRPr="00687A1C" w:rsidTr="00B24721">
        <w:trPr>
          <w:trHeight w:val="270"/>
        </w:trPr>
        <w:tc>
          <w:tcPr>
            <w:tcW w:w="3600" w:type="dxa"/>
          </w:tcPr>
          <w:p w:rsidR="00B24721" w:rsidRPr="00687A1C" w:rsidRDefault="00B24721" w:rsidP="008A3976">
            <w:pPr>
              <w:pStyle w:val="Tabletextbold"/>
              <w:rPr>
                <w:sz w:val="14"/>
                <w:szCs w:val="14"/>
              </w:rPr>
            </w:pPr>
          </w:p>
        </w:tc>
        <w:tc>
          <w:tcPr>
            <w:tcW w:w="1332" w:type="dxa"/>
            <w:vAlign w:val="bottom"/>
          </w:tcPr>
          <w:p w:rsidR="00B24721" w:rsidRPr="00687A1C" w:rsidRDefault="00B24721" w:rsidP="008A3976">
            <w:pPr>
              <w:pStyle w:val="Tabletextheadingright"/>
              <w:rPr>
                <w:sz w:val="14"/>
                <w:szCs w:val="14"/>
              </w:rPr>
            </w:pPr>
            <w:r w:rsidRPr="00687A1C">
              <w:rPr>
                <w:sz w:val="14"/>
                <w:szCs w:val="14"/>
              </w:rPr>
              <w:t xml:space="preserve">Annual appropriations – </w:t>
            </w:r>
            <w:r w:rsidRPr="00687A1C">
              <w:rPr>
                <w:sz w:val="14"/>
                <w:szCs w:val="14"/>
              </w:rPr>
              <w:br/>
              <w:t>as published</w:t>
            </w:r>
          </w:p>
        </w:tc>
        <w:tc>
          <w:tcPr>
            <w:tcW w:w="1260" w:type="dxa"/>
            <w:vAlign w:val="bottom"/>
          </w:tcPr>
          <w:p w:rsidR="00B24721" w:rsidRPr="00687A1C" w:rsidRDefault="00B24721" w:rsidP="00B24721">
            <w:pPr>
              <w:pStyle w:val="Tabletextheadingright"/>
              <w:rPr>
                <w:sz w:val="14"/>
                <w:szCs w:val="14"/>
              </w:rPr>
            </w:pPr>
            <w:r w:rsidRPr="00687A1C">
              <w:rPr>
                <w:sz w:val="14"/>
                <w:szCs w:val="14"/>
              </w:rPr>
              <w:t xml:space="preserve">Advance from </w:t>
            </w:r>
            <w:r w:rsidRPr="00687A1C">
              <w:rPr>
                <w:sz w:val="14"/>
                <w:szCs w:val="14"/>
              </w:rPr>
              <w:br/>
              <w:t>Treasurer</w:t>
            </w:r>
          </w:p>
        </w:tc>
        <w:tc>
          <w:tcPr>
            <w:tcW w:w="180" w:type="dxa"/>
          </w:tcPr>
          <w:p w:rsidR="00B24721" w:rsidRPr="00687A1C" w:rsidRDefault="00B24721" w:rsidP="008A3976">
            <w:pPr>
              <w:pStyle w:val="Tabletextheadingright"/>
              <w:rPr>
                <w:sz w:val="14"/>
                <w:szCs w:val="14"/>
              </w:rPr>
            </w:pPr>
          </w:p>
        </w:tc>
        <w:tc>
          <w:tcPr>
            <w:tcW w:w="1020" w:type="dxa"/>
            <w:gridSpan w:val="2"/>
            <w:vAlign w:val="bottom"/>
          </w:tcPr>
          <w:p w:rsidR="00B24721" w:rsidRPr="00687A1C" w:rsidRDefault="00B24721" w:rsidP="008A3976">
            <w:pPr>
              <w:pStyle w:val="Tabletextheadingright"/>
              <w:rPr>
                <w:sz w:val="14"/>
                <w:szCs w:val="14"/>
              </w:rPr>
            </w:pPr>
            <w:r w:rsidRPr="00687A1C">
              <w:rPr>
                <w:sz w:val="14"/>
                <w:szCs w:val="14"/>
              </w:rPr>
              <w:t>Section 29</w:t>
            </w:r>
          </w:p>
        </w:tc>
        <w:tc>
          <w:tcPr>
            <w:tcW w:w="1020" w:type="dxa"/>
            <w:vAlign w:val="bottom"/>
          </w:tcPr>
          <w:p w:rsidR="00B24721" w:rsidRPr="00687A1C" w:rsidRDefault="00B24721" w:rsidP="008A3976">
            <w:pPr>
              <w:pStyle w:val="Tabletextheadingright"/>
              <w:rPr>
                <w:sz w:val="14"/>
                <w:szCs w:val="14"/>
              </w:rPr>
            </w:pPr>
            <w:r w:rsidRPr="00687A1C">
              <w:rPr>
                <w:sz w:val="14"/>
                <w:szCs w:val="14"/>
              </w:rPr>
              <w:t>Section 30</w:t>
            </w:r>
          </w:p>
        </w:tc>
        <w:tc>
          <w:tcPr>
            <w:tcW w:w="1020" w:type="dxa"/>
            <w:vAlign w:val="bottom"/>
          </w:tcPr>
          <w:p w:rsidR="00B24721" w:rsidRPr="00687A1C" w:rsidRDefault="00B24721" w:rsidP="008A3976">
            <w:pPr>
              <w:pStyle w:val="Tabletextheadingright"/>
              <w:rPr>
                <w:sz w:val="14"/>
                <w:szCs w:val="14"/>
              </w:rPr>
            </w:pPr>
            <w:r w:rsidRPr="00687A1C">
              <w:rPr>
                <w:sz w:val="14"/>
                <w:szCs w:val="14"/>
              </w:rPr>
              <w:t>Section 32</w:t>
            </w:r>
          </w:p>
        </w:tc>
        <w:tc>
          <w:tcPr>
            <w:tcW w:w="1170" w:type="dxa"/>
            <w:vAlign w:val="bottom"/>
          </w:tcPr>
          <w:p w:rsidR="00B24721" w:rsidRPr="00687A1C" w:rsidRDefault="00B24721" w:rsidP="008A3976">
            <w:pPr>
              <w:pStyle w:val="Tabletextheadingright"/>
              <w:rPr>
                <w:sz w:val="14"/>
                <w:szCs w:val="14"/>
              </w:rPr>
            </w:pPr>
            <w:r w:rsidRPr="00687A1C">
              <w:rPr>
                <w:sz w:val="14"/>
                <w:szCs w:val="14"/>
              </w:rPr>
              <w:t xml:space="preserve">Total </w:t>
            </w:r>
            <w:r w:rsidRPr="00687A1C">
              <w:rPr>
                <w:sz w:val="14"/>
                <w:szCs w:val="14"/>
              </w:rPr>
              <w:br/>
              <w:t>Parliamentary authority</w:t>
            </w:r>
          </w:p>
        </w:tc>
        <w:tc>
          <w:tcPr>
            <w:tcW w:w="1260" w:type="dxa"/>
            <w:vAlign w:val="bottom"/>
          </w:tcPr>
          <w:p w:rsidR="00B24721" w:rsidRPr="00687A1C" w:rsidRDefault="00B24721" w:rsidP="008A3976">
            <w:pPr>
              <w:pStyle w:val="Tabletextheadingright"/>
              <w:rPr>
                <w:sz w:val="14"/>
                <w:szCs w:val="14"/>
              </w:rPr>
            </w:pPr>
            <w:r w:rsidRPr="00687A1C">
              <w:rPr>
                <w:sz w:val="14"/>
                <w:szCs w:val="14"/>
              </w:rPr>
              <w:t>Appropriations applied</w:t>
            </w:r>
          </w:p>
        </w:tc>
        <w:tc>
          <w:tcPr>
            <w:tcW w:w="1170" w:type="dxa"/>
            <w:vAlign w:val="bottom"/>
          </w:tcPr>
          <w:p w:rsidR="00B24721" w:rsidRPr="00687A1C" w:rsidRDefault="00B24721" w:rsidP="008A3976">
            <w:pPr>
              <w:pStyle w:val="Tabletextheadingright"/>
              <w:rPr>
                <w:sz w:val="14"/>
                <w:szCs w:val="14"/>
              </w:rPr>
            </w:pPr>
            <w:r w:rsidRPr="00687A1C">
              <w:rPr>
                <w:sz w:val="14"/>
                <w:szCs w:val="14"/>
              </w:rPr>
              <w:t>Variance</w:t>
            </w:r>
          </w:p>
        </w:tc>
      </w:tr>
      <w:tr w:rsidR="00B24721" w:rsidRPr="00687A1C" w:rsidTr="00B24721">
        <w:trPr>
          <w:trHeight w:val="270"/>
        </w:trPr>
        <w:tc>
          <w:tcPr>
            <w:tcW w:w="3600" w:type="dxa"/>
          </w:tcPr>
          <w:p w:rsidR="00B24721" w:rsidRPr="00687A1C" w:rsidRDefault="00B24721" w:rsidP="008A3976">
            <w:pPr>
              <w:pStyle w:val="Tabletextbold"/>
              <w:rPr>
                <w:sz w:val="14"/>
                <w:szCs w:val="14"/>
              </w:rPr>
            </w:pPr>
          </w:p>
        </w:tc>
        <w:tc>
          <w:tcPr>
            <w:tcW w:w="1332" w:type="dxa"/>
            <w:vAlign w:val="bottom"/>
          </w:tcPr>
          <w:p w:rsidR="00B24721" w:rsidRPr="00687A1C" w:rsidRDefault="00B24721" w:rsidP="008A3976">
            <w:pPr>
              <w:pStyle w:val="Tabletextheadingright"/>
              <w:rPr>
                <w:sz w:val="14"/>
                <w:szCs w:val="14"/>
              </w:rPr>
            </w:pPr>
            <w:r w:rsidRPr="00687A1C">
              <w:rPr>
                <w:sz w:val="14"/>
                <w:szCs w:val="14"/>
              </w:rPr>
              <w:t>$’000</w:t>
            </w:r>
          </w:p>
        </w:tc>
        <w:tc>
          <w:tcPr>
            <w:tcW w:w="1260" w:type="dxa"/>
          </w:tcPr>
          <w:p w:rsidR="00B24721" w:rsidRPr="00687A1C" w:rsidRDefault="00B24721" w:rsidP="00B24721">
            <w:pPr>
              <w:pStyle w:val="Tabletextheadingright"/>
              <w:rPr>
                <w:sz w:val="14"/>
                <w:szCs w:val="14"/>
              </w:rPr>
            </w:pPr>
            <w:r w:rsidRPr="00687A1C">
              <w:rPr>
                <w:sz w:val="14"/>
                <w:szCs w:val="14"/>
              </w:rPr>
              <w:t>$’000</w:t>
            </w:r>
          </w:p>
        </w:tc>
        <w:tc>
          <w:tcPr>
            <w:tcW w:w="180" w:type="dxa"/>
          </w:tcPr>
          <w:p w:rsidR="00B24721" w:rsidRPr="00687A1C" w:rsidRDefault="00B24721" w:rsidP="008A3976">
            <w:pPr>
              <w:pStyle w:val="Tabletextheadingright"/>
              <w:rPr>
                <w:sz w:val="14"/>
                <w:szCs w:val="14"/>
              </w:rPr>
            </w:pPr>
          </w:p>
        </w:tc>
        <w:tc>
          <w:tcPr>
            <w:tcW w:w="1020" w:type="dxa"/>
            <w:gridSpan w:val="2"/>
          </w:tcPr>
          <w:p w:rsidR="00B24721" w:rsidRPr="00687A1C" w:rsidRDefault="00B24721" w:rsidP="008A3976">
            <w:pPr>
              <w:pStyle w:val="Tabletextheadingright"/>
              <w:rPr>
                <w:sz w:val="14"/>
                <w:szCs w:val="14"/>
              </w:rPr>
            </w:pPr>
            <w:r w:rsidRPr="00687A1C">
              <w:rPr>
                <w:sz w:val="14"/>
                <w:szCs w:val="14"/>
              </w:rPr>
              <w:t>$’000</w:t>
            </w:r>
          </w:p>
        </w:tc>
        <w:tc>
          <w:tcPr>
            <w:tcW w:w="1020" w:type="dxa"/>
          </w:tcPr>
          <w:p w:rsidR="00B24721" w:rsidRPr="00687A1C" w:rsidRDefault="00B24721" w:rsidP="008A3976">
            <w:pPr>
              <w:pStyle w:val="Tabletextheadingright"/>
              <w:rPr>
                <w:sz w:val="14"/>
                <w:szCs w:val="14"/>
              </w:rPr>
            </w:pPr>
            <w:r w:rsidRPr="00687A1C">
              <w:rPr>
                <w:sz w:val="14"/>
                <w:szCs w:val="14"/>
              </w:rPr>
              <w:t>$’000</w:t>
            </w:r>
          </w:p>
        </w:tc>
        <w:tc>
          <w:tcPr>
            <w:tcW w:w="1020" w:type="dxa"/>
          </w:tcPr>
          <w:p w:rsidR="00B24721" w:rsidRPr="00687A1C" w:rsidRDefault="00B24721" w:rsidP="008A3976">
            <w:pPr>
              <w:pStyle w:val="Tabletextheadingright"/>
              <w:rPr>
                <w:sz w:val="14"/>
                <w:szCs w:val="14"/>
              </w:rPr>
            </w:pPr>
            <w:r w:rsidRPr="00687A1C">
              <w:rPr>
                <w:sz w:val="14"/>
                <w:szCs w:val="14"/>
              </w:rPr>
              <w:t>$’000</w:t>
            </w:r>
          </w:p>
        </w:tc>
        <w:tc>
          <w:tcPr>
            <w:tcW w:w="1170" w:type="dxa"/>
          </w:tcPr>
          <w:p w:rsidR="00B24721" w:rsidRPr="00687A1C" w:rsidRDefault="00B24721" w:rsidP="008A3976">
            <w:pPr>
              <w:pStyle w:val="Tabletextheadingright"/>
              <w:rPr>
                <w:sz w:val="14"/>
                <w:szCs w:val="14"/>
              </w:rPr>
            </w:pPr>
            <w:r w:rsidRPr="00687A1C">
              <w:rPr>
                <w:sz w:val="14"/>
                <w:szCs w:val="14"/>
              </w:rPr>
              <w:t>$’000</w:t>
            </w:r>
          </w:p>
        </w:tc>
        <w:tc>
          <w:tcPr>
            <w:tcW w:w="1260" w:type="dxa"/>
          </w:tcPr>
          <w:p w:rsidR="00B24721" w:rsidRPr="00687A1C" w:rsidRDefault="00B24721" w:rsidP="008A3976">
            <w:pPr>
              <w:pStyle w:val="Tabletextheadingright"/>
              <w:rPr>
                <w:sz w:val="14"/>
                <w:szCs w:val="14"/>
              </w:rPr>
            </w:pPr>
            <w:r w:rsidRPr="00687A1C">
              <w:rPr>
                <w:sz w:val="14"/>
                <w:szCs w:val="14"/>
              </w:rPr>
              <w:t>$’000</w:t>
            </w:r>
          </w:p>
        </w:tc>
        <w:tc>
          <w:tcPr>
            <w:tcW w:w="1170" w:type="dxa"/>
          </w:tcPr>
          <w:p w:rsidR="00B24721" w:rsidRPr="00687A1C" w:rsidRDefault="00B24721" w:rsidP="008A3976">
            <w:pPr>
              <w:pStyle w:val="Tabletextheadingright"/>
              <w:rPr>
                <w:sz w:val="14"/>
                <w:szCs w:val="14"/>
              </w:rPr>
            </w:pPr>
            <w:r w:rsidRPr="00687A1C">
              <w:rPr>
                <w:sz w:val="14"/>
                <w:szCs w:val="14"/>
              </w:rPr>
              <w:t>$’000</w:t>
            </w:r>
          </w:p>
        </w:tc>
      </w:tr>
      <w:tr w:rsidR="00B24721" w:rsidRPr="00687A1C" w:rsidTr="00B24721">
        <w:trPr>
          <w:trHeight w:val="270"/>
        </w:trPr>
        <w:tc>
          <w:tcPr>
            <w:tcW w:w="3600" w:type="dxa"/>
          </w:tcPr>
          <w:p w:rsidR="00B24721" w:rsidRPr="00687A1C" w:rsidRDefault="00B24721" w:rsidP="008A3976">
            <w:pPr>
              <w:pStyle w:val="Tabletextbold"/>
            </w:pPr>
            <w:r w:rsidRPr="00687A1C">
              <w:t>2018</w:t>
            </w:r>
          </w:p>
        </w:tc>
        <w:tc>
          <w:tcPr>
            <w:tcW w:w="1332" w:type="dxa"/>
            <w:shd w:val="clear" w:color="auto" w:fill="DDDDDD"/>
          </w:tcPr>
          <w:p w:rsidR="00B24721" w:rsidRPr="00687A1C" w:rsidRDefault="00B24721" w:rsidP="001A289B">
            <w:pPr>
              <w:pStyle w:val="Tabletextright"/>
            </w:pPr>
          </w:p>
        </w:tc>
        <w:tc>
          <w:tcPr>
            <w:tcW w:w="1260" w:type="dxa"/>
          </w:tcPr>
          <w:p w:rsidR="00B24721" w:rsidRPr="00687A1C" w:rsidRDefault="00B24721" w:rsidP="001A289B">
            <w:pPr>
              <w:pStyle w:val="Tabletextright"/>
            </w:pPr>
          </w:p>
        </w:tc>
        <w:tc>
          <w:tcPr>
            <w:tcW w:w="180" w:type="dxa"/>
          </w:tcPr>
          <w:p w:rsidR="00B24721" w:rsidRPr="00687A1C" w:rsidRDefault="00B24721" w:rsidP="001A289B">
            <w:pPr>
              <w:pStyle w:val="Tabletextright"/>
            </w:pPr>
          </w:p>
        </w:tc>
        <w:tc>
          <w:tcPr>
            <w:tcW w:w="1020" w:type="dxa"/>
            <w:gridSpan w:val="2"/>
          </w:tcPr>
          <w:p w:rsidR="00B24721" w:rsidRPr="00687A1C" w:rsidRDefault="00B24721" w:rsidP="001A289B">
            <w:pPr>
              <w:pStyle w:val="Tabletextright"/>
            </w:pPr>
          </w:p>
        </w:tc>
        <w:tc>
          <w:tcPr>
            <w:tcW w:w="1020" w:type="dxa"/>
            <w:shd w:val="clear" w:color="auto" w:fill="DDDDDD"/>
          </w:tcPr>
          <w:p w:rsidR="00B24721" w:rsidRPr="00687A1C" w:rsidRDefault="00B24721" w:rsidP="001A289B">
            <w:pPr>
              <w:pStyle w:val="Tabletextright"/>
            </w:pPr>
          </w:p>
        </w:tc>
        <w:tc>
          <w:tcPr>
            <w:tcW w:w="1020" w:type="dxa"/>
          </w:tcPr>
          <w:p w:rsidR="00B24721" w:rsidRPr="00687A1C" w:rsidRDefault="00B24721" w:rsidP="001A289B">
            <w:pPr>
              <w:pStyle w:val="Tabletextright"/>
            </w:pPr>
          </w:p>
        </w:tc>
        <w:tc>
          <w:tcPr>
            <w:tcW w:w="1170" w:type="dxa"/>
            <w:shd w:val="clear" w:color="auto" w:fill="DDDDDD"/>
          </w:tcPr>
          <w:p w:rsidR="00B24721" w:rsidRPr="00687A1C" w:rsidRDefault="00B24721" w:rsidP="001A289B">
            <w:pPr>
              <w:pStyle w:val="Tabletextright"/>
            </w:pPr>
          </w:p>
        </w:tc>
        <w:tc>
          <w:tcPr>
            <w:tcW w:w="1260" w:type="dxa"/>
          </w:tcPr>
          <w:p w:rsidR="00B24721" w:rsidRPr="00687A1C" w:rsidRDefault="00B24721" w:rsidP="001A289B">
            <w:pPr>
              <w:pStyle w:val="Tabletextright"/>
            </w:pPr>
          </w:p>
        </w:tc>
        <w:tc>
          <w:tcPr>
            <w:tcW w:w="1170" w:type="dxa"/>
            <w:shd w:val="clear" w:color="auto" w:fill="DDDDDD"/>
          </w:tcPr>
          <w:p w:rsidR="00B24721" w:rsidRPr="00687A1C" w:rsidRDefault="00B24721" w:rsidP="001A289B">
            <w:pPr>
              <w:pStyle w:val="Tabletextright"/>
            </w:pPr>
          </w:p>
        </w:tc>
      </w:tr>
      <w:tr w:rsidR="00B24721" w:rsidRPr="00687A1C" w:rsidTr="00B24721">
        <w:trPr>
          <w:trHeight w:val="165"/>
        </w:trPr>
        <w:tc>
          <w:tcPr>
            <w:tcW w:w="3600" w:type="dxa"/>
          </w:tcPr>
          <w:p w:rsidR="00B24721" w:rsidRPr="00687A1C" w:rsidRDefault="00B24721" w:rsidP="008A3976">
            <w:pPr>
              <w:pStyle w:val="Tabletextbold"/>
            </w:pPr>
            <w:r w:rsidRPr="00687A1C">
              <w:t>Controlled</w:t>
            </w:r>
          </w:p>
        </w:tc>
        <w:tc>
          <w:tcPr>
            <w:tcW w:w="1332" w:type="dxa"/>
            <w:shd w:val="clear" w:color="auto" w:fill="DDDDDD"/>
          </w:tcPr>
          <w:p w:rsidR="00B24721" w:rsidRPr="00687A1C" w:rsidRDefault="00B24721" w:rsidP="001A289B">
            <w:pPr>
              <w:pStyle w:val="Tabletextright"/>
            </w:pPr>
          </w:p>
        </w:tc>
        <w:tc>
          <w:tcPr>
            <w:tcW w:w="1260" w:type="dxa"/>
          </w:tcPr>
          <w:p w:rsidR="00B24721" w:rsidRPr="00687A1C" w:rsidRDefault="00B24721" w:rsidP="001A289B">
            <w:pPr>
              <w:pStyle w:val="Tabletextright"/>
              <w:rPr>
                <w:b/>
              </w:rPr>
            </w:pPr>
          </w:p>
        </w:tc>
        <w:tc>
          <w:tcPr>
            <w:tcW w:w="180" w:type="dxa"/>
          </w:tcPr>
          <w:p w:rsidR="00B24721" w:rsidRPr="00687A1C" w:rsidRDefault="00B24721" w:rsidP="001A289B">
            <w:pPr>
              <w:pStyle w:val="Tabletextright"/>
            </w:pPr>
          </w:p>
        </w:tc>
        <w:tc>
          <w:tcPr>
            <w:tcW w:w="1020" w:type="dxa"/>
            <w:gridSpan w:val="2"/>
          </w:tcPr>
          <w:p w:rsidR="00B24721" w:rsidRPr="00687A1C" w:rsidRDefault="00B24721" w:rsidP="001A289B">
            <w:pPr>
              <w:pStyle w:val="Tabletextright"/>
            </w:pPr>
          </w:p>
        </w:tc>
        <w:tc>
          <w:tcPr>
            <w:tcW w:w="1020" w:type="dxa"/>
            <w:shd w:val="clear" w:color="auto" w:fill="DDDDDD"/>
          </w:tcPr>
          <w:p w:rsidR="00B24721" w:rsidRPr="00687A1C" w:rsidRDefault="00B24721" w:rsidP="001A289B">
            <w:pPr>
              <w:pStyle w:val="Tabletextright"/>
            </w:pPr>
          </w:p>
        </w:tc>
        <w:tc>
          <w:tcPr>
            <w:tcW w:w="1020" w:type="dxa"/>
          </w:tcPr>
          <w:p w:rsidR="00B24721" w:rsidRPr="00687A1C" w:rsidRDefault="00B24721" w:rsidP="001A289B">
            <w:pPr>
              <w:pStyle w:val="Tabletextright"/>
            </w:pPr>
          </w:p>
        </w:tc>
        <w:tc>
          <w:tcPr>
            <w:tcW w:w="1170" w:type="dxa"/>
            <w:shd w:val="clear" w:color="auto" w:fill="DDDDDD"/>
          </w:tcPr>
          <w:p w:rsidR="00B24721" w:rsidRPr="00687A1C" w:rsidRDefault="00B24721" w:rsidP="001A289B">
            <w:pPr>
              <w:pStyle w:val="Tabletextright"/>
            </w:pPr>
          </w:p>
        </w:tc>
        <w:tc>
          <w:tcPr>
            <w:tcW w:w="1260" w:type="dxa"/>
          </w:tcPr>
          <w:p w:rsidR="00B24721" w:rsidRPr="00687A1C" w:rsidRDefault="00B24721" w:rsidP="001A289B">
            <w:pPr>
              <w:pStyle w:val="Tabletextright"/>
            </w:pPr>
          </w:p>
        </w:tc>
        <w:tc>
          <w:tcPr>
            <w:tcW w:w="1170" w:type="dxa"/>
            <w:shd w:val="clear" w:color="auto" w:fill="DDDDDD"/>
          </w:tcPr>
          <w:p w:rsidR="00B24721" w:rsidRPr="00687A1C" w:rsidRDefault="00B24721" w:rsidP="001A289B">
            <w:pPr>
              <w:pStyle w:val="Tabletextright"/>
            </w:pPr>
          </w:p>
        </w:tc>
      </w:tr>
      <w:tr w:rsidR="001A289B" w:rsidRPr="00687A1C" w:rsidTr="00182947">
        <w:trPr>
          <w:trHeight w:val="165"/>
        </w:trPr>
        <w:tc>
          <w:tcPr>
            <w:tcW w:w="3600" w:type="dxa"/>
          </w:tcPr>
          <w:p w:rsidR="001A289B" w:rsidRPr="00687A1C" w:rsidRDefault="001A289B" w:rsidP="008A3976">
            <w:pPr>
              <w:pStyle w:val="Tabletext"/>
            </w:pPr>
            <w:r w:rsidRPr="00687A1C">
              <w:t>Provision of outputs</w:t>
            </w:r>
          </w:p>
        </w:tc>
        <w:tc>
          <w:tcPr>
            <w:tcW w:w="1332" w:type="dxa"/>
            <w:shd w:val="clear" w:color="auto" w:fill="DDDDDD"/>
          </w:tcPr>
          <w:p w:rsidR="001A289B" w:rsidRPr="00687A1C" w:rsidRDefault="001A289B" w:rsidP="001A289B">
            <w:pPr>
              <w:pStyle w:val="Tabletextright"/>
            </w:pPr>
            <w:r w:rsidRPr="00687A1C">
              <w:t xml:space="preserve">286 857 </w:t>
            </w:r>
          </w:p>
        </w:tc>
        <w:tc>
          <w:tcPr>
            <w:tcW w:w="1260" w:type="dxa"/>
          </w:tcPr>
          <w:p w:rsidR="001A289B" w:rsidRPr="00687A1C" w:rsidRDefault="001A289B" w:rsidP="001A289B">
            <w:pPr>
              <w:pStyle w:val="Tabletextright"/>
              <w:rPr>
                <w:bCs/>
              </w:rPr>
            </w:pPr>
            <w:r w:rsidRPr="00687A1C">
              <w:rPr>
                <w:bCs/>
              </w:rPr>
              <w:t>13 764</w:t>
            </w: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D8412D">
            <w:pPr>
              <w:pStyle w:val="Tabletextright"/>
            </w:pPr>
            <w:r w:rsidRPr="00687A1C">
              <w:t>8</w:t>
            </w:r>
            <w:r w:rsidR="00D8412D" w:rsidRPr="00687A1C">
              <w:rPr>
                <w:rFonts w:ascii="Calibri" w:hAnsi="Calibri" w:cs="Calibri"/>
              </w:rPr>
              <w:t xml:space="preserve"> </w:t>
            </w:r>
            <w:r w:rsidRPr="00687A1C">
              <w:t>353</w:t>
            </w:r>
          </w:p>
        </w:tc>
        <w:tc>
          <w:tcPr>
            <w:tcW w:w="1020" w:type="dxa"/>
            <w:shd w:val="clear" w:color="auto" w:fill="DDDDDD"/>
            <w:vAlign w:val="bottom"/>
          </w:tcPr>
          <w:p w:rsidR="001A289B" w:rsidRPr="00687A1C" w:rsidRDefault="001A289B" w:rsidP="00D8412D">
            <w:pPr>
              <w:pStyle w:val="Tabletextright"/>
            </w:pPr>
            <w:r w:rsidRPr="00687A1C">
              <w:t xml:space="preserve"> (1</w:t>
            </w:r>
            <w:r w:rsidR="00D8412D" w:rsidRPr="00687A1C">
              <w:rPr>
                <w:rFonts w:ascii="Calibri" w:hAnsi="Calibri" w:cs="Calibri"/>
              </w:rPr>
              <w:t xml:space="preserve"> </w:t>
            </w:r>
            <w:r w:rsidRPr="00687A1C">
              <w:t>000)</w:t>
            </w:r>
          </w:p>
        </w:tc>
        <w:tc>
          <w:tcPr>
            <w:tcW w:w="1020" w:type="dxa"/>
            <w:vAlign w:val="bottom"/>
          </w:tcPr>
          <w:p w:rsidR="001A289B" w:rsidRPr="00687A1C" w:rsidRDefault="001A289B" w:rsidP="001A289B">
            <w:pPr>
              <w:pStyle w:val="Tabletextright"/>
            </w:pPr>
            <w:r w:rsidRPr="00687A1C">
              <w:t>3 822</w:t>
            </w:r>
          </w:p>
        </w:tc>
        <w:tc>
          <w:tcPr>
            <w:tcW w:w="1170" w:type="dxa"/>
            <w:shd w:val="clear" w:color="auto" w:fill="DDDDDD"/>
          </w:tcPr>
          <w:p w:rsidR="001A289B" w:rsidRPr="00687A1C" w:rsidRDefault="001A289B" w:rsidP="001A289B">
            <w:pPr>
              <w:pStyle w:val="Tabletextright"/>
              <w:rPr>
                <w:bCs/>
              </w:rPr>
            </w:pPr>
            <w:r w:rsidRPr="00687A1C">
              <w:rPr>
                <w:bCs/>
              </w:rPr>
              <w:t>311 796</w:t>
            </w:r>
          </w:p>
        </w:tc>
        <w:tc>
          <w:tcPr>
            <w:tcW w:w="1260" w:type="dxa"/>
          </w:tcPr>
          <w:p w:rsidR="001A289B" w:rsidRPr="00687A1C" w:rsidRDefault="001A289B" w:rsidP="001A289B">
            <w:pPr>
              <w:pStyle w:val="Tabletextright"/>
              <w:rPr>
                <w:bCs/>
              </w:rPr>
            </w:pPr>
            <w:r w:rsidRPr="00687A1C">
              <w:rPr>
                <w:bCs/>
              </w:rPr>
              <w:t>299 794</w:t>
            </w:r>
          </w:p>
        </w:tc>
        <w:tc>
          <w:tcPr>
            <w:tcW w:w="1170" w:type="dxa"/>
            <w:shd w:val="clear" w:color="auto" w:fill="DDDDDD"/>
          </w:tcPr>
          <w:p w:rsidR="001A289B" w:rsidRPr="00687A1C" w:rsidRDefault="001A289B" w:rsidP="001A289B">
            <w:pPr>
              <w:pStyle w:val="Tabletextright"/>
              <w:rPr>
                <w:bCs/>
              </w:rPr>
            </w:pPr>
            <w:r w:rsidRPr="00687A1C">
              <w:rPr>
                <w:bCs/>
              </w:rPr>
              <w:t>12 002</w:t>
            </w:r>
          </w:p>
        </w:tc>
      </w:tr>
      <w:tr w:rsidR="001A289B" w:rsidRPr="00687A1C" w:rsidTr="00182947">
        <w:trPr>
          <w:trHeight w:val="297"/>
        </w:trPr>
        <w:tc>
          <w:tcPr>
            <w:tcW w:w="3600" w:type="dxa"/>
          </w:tcPr>
          <w:p w:rsidR="001A289B" w:rsidRPr="00687A1C" w:rsidRDefault="001A289B" w:rsidP="008A3976">
            <w:pPr>
              <w:pStyle w:val="Tabletext"/>
            </w:pPr>
            <w:r w:rsidRPr="00687A1C">
              <w:t>Additions to net assets</w:t>
            </w:r>
          </w:p>
        </w:tc>
        <w:tc>
          <w:tcPr>
            <w:tcW w:w="1332" w:type="dxa"/>
            <w:shd w:val="clear" w:color="auto" w:fill="DDDDDD"/>
          </w:tcPr>
          <w:p w:rsidR="001A289B" w:rsidRPr="00687A1C" w:rsidRDefault="001A289B" w:rsidP="001A289B">
            <w:pPr>
              <w:pStyle w:val="Tabletextright"/>
            </w:pPr>
            <w:r w:rsidRPr="00687A1C">
              <w:t xml:space="preserve">52 590 </w:t>
            </w:r>
          </w:p>
        </w:tc>
        <w:tc>
          <w:tcPr>
            <w:tcW w:w="1260" w:type="dxa"/>
          </w:tcPr>
          <w:p w:rsidR="001A289B" w:rsidRPr="00687A1C" w:rsidRDefault="001A289B" w:rsidP="001A289B">
            <w:pPr>
              <w:pStyle w:val="Tabletextright"/>
              <w:rPr>
                <w:bCs/>
              </w:rPr>
            </w:pP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r w:rsidRPr="00687A1C">
              <w:t>–</w:t>
            </w:r>
          </w:p>
        </w:tc>
        <w:tc>
          <w:tcPr>
            <w:tcW w:w="1020" w:type="dxa"/>
            <w:shd w:val="clear" w:color="auto" w:fill="DDDDDD"/>
            <w:vAlign w:val="bottom"/>
          </w:tcPr>
          <w:p w:rsidR="001A289B" w:rsidRPr="00687A1C" w:rsidRDefault="001A289B" w:rsidP="00D8412D">
            <w:pPr>
              <w:pStyle w:val="Tabletextright"/>
            </w:pPr>
            <w:r w:rsidRPr="00687A1C">
              <w:t>1</w:t>
            </w:r>
            <w:r w:rsidR="00D8412D" w:rsidRPr="00687A1C">
              <w:rPr>
                <w:rFonts w:ascii="Calibri" w:hAnsi="Calibri" w:cs="Calibri"/>
              </w:rPr>
              <w:t xml:space="preserve"> </w:t>
            </w:r>
            <w:r w:rsidRPr="00687A1C">
              <w:t>000</w:t>
            </w:r>
          </w:p>
        </w:tc>
        <w:tc>
          <w:tcPr>
            <w:tcW w:w="1020" w:type="dxa"/>
            <w:vAlign w:val="bottom"/>
          </w:tcPr>
          <w:p w:rsidR="001A289B" w:rsidRPr="00687A1C" w:rsidRDefault="001A289B" w:rsidP="001A289B">
            <w:pPr>
              <w:pStyle w:val="Tabletextright"/>
            </w:pPr>
            <w:r w:rsidRPr="00687A1C">
              <w:t>–</w:t>
            </w:r>
          </w:p>
        </w:tc>
        <w:tc>
          <w:tcPr>
            <w:tcW w:w="1170" w:type="dxa"/>
            <w:shd w:val="clear" w:color="auto" w:fill="DDDDDD"/>
          </w:tcPr>
          <w:p w:rsidR="001A289B" w:rsidRPr="00687A1C" w:rsidRDefault="001A289B" w:rsidP="001A289B">
            <w:pPr>
              <w:pStyle w:val="Tabletextright"/>
              <w:rPr>
                <w:bCs/>
              </w:rPr>
            </w:pPr>
            <w:r w:rsidRPr="00687A1C">
              <w:rPr>
                <w:bCs/>
              </w:rPr>
              <w:t>53 590</w:t>
            </w:r>
          </w:p>
        </w:tc>
        <w:tc>
          <w:tcPr>
            <w:tcW w:w="1260" w:type="dxa"/>
          </w:tcPr>
          <w:p w:rsidR="001A289B" w:rsidRPr="00687A1C" w:rsidRDefault="001A289B" w:rsidP="001A289B">
            <w:pPr>
              <w:pStyle w:val="Tabletextright"/>
              <w:rPr>
                <w:bCs/>
              </w:rPr>
            </w:pPr>
            <w:r w:rsidRPr="00687A1C">
              <w:rPr>
                <w:bCs/>
              </w:rPr>
              <w:t>50 000</w:t>
            </w:r>
          </w:p>
        </w:tc>
        <w:tc>
          <w:tcPr>
            <w:tcW w:w="1170" w:type="dxa"/>
            <w:shd w:val="clear" w:color="auto" w:fill="DDDDDD"/>
          </w:tcPr>
          <w:p w:rsidR="001A289B" w:rsidRPr="00687A1C" w:rsidRDefault="001A289B" w:rsidP="001A289B">
            <w:pPr>
              <w:pStyle w:val="Tabletextright"/>
              <w:rPr>
                <w:bCs/>
              </w:rPr>
            </w:pPr>
            <w:r w:rsidRPr="00687A1C">
              <w:rPr>
                <w:bCs/>
              </w:rPr>
              <w:t>3 590</w:t>
            </w:r>
          </w:p>
        </w:tc>
      </w:tr>
      <w:tr w:rsidR="001A289B" w:rsidRPr="00687A1C" w:rsidTr="00182947">
        <w:trPr>
          <w:trHeight w:val="165"/>
        </w:trPr>
        <w:tc>
          <w:tcPr>
            <w:tcW w:w="3600" w:type="dxa"/>
          </w:tcPr>
          <w:p w:rsidR="001A289B" w:rsidRPr="00687A1C" w:rsidRDefault="001A289B" w:rsidP="008A3976">
            <w:pPr>
              <w:pStyle w:val="Tabletext"/>
              <w:rPr>
                <w:sz w:val="8"/>
              </w:rPr>
            </w:pPr>
          </w:p>
        </w:tc>
        <w:tc>
          <w:tcPr>
            <w:tcW w:w="1332" w:type="dxa"/>
            <w:shd w:val="clear" w:color="auto" w:fill="DDDDDD"/>
            <w:vAlign w:val="bottom"/>
          </w:tcPr>
          <w:p w:rsidR="001A289B" w:rsidRPr="00687A1C" w:rsidRDefault="001A289B" w:rsidP="001A289B">
            <w:pPr>
              <w:pStyle w:val="Tabletextright"/>
            </w:pPr>
          </w:p>
        </w:tc>
        <w:tc>
          <w:tcPr>
            <w:tcW w:w="1260" w:type="dxa"/>
          </w:tcPr>
          <w:p w:rsidR="001A289B" w:rsidRPr="00687A1C" w:rsidRDefault="001A289B" w:rsidP="001A289B">
            <w:pPr>
              <w:pStyle w:val="Tabletextright"/>
              <w:rPr>
                <w:bCs/>
              </w:rPr>
            </w:pP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p>
        </w:tc>
        <w:tc>
          <w:tcPr>
            <w:tcW w:w="1020" w:type="dxa"/>
            <w:shd w:val="clear" w:color="auto" w:fill="DDDDDD"/>
            <w:vAlign w:val="bottom"/>
          </w:tcPr>
          <w:p w:rsidR="001A289B" w:rsidRPr="00687A1C" w:rsidRDefault="001A289B" w:rsidP="001A289B">
            <w:pPr>
              <w:pStyle w:val="Tabletextright"/>
            </w:pPr>
          </w:p>
        </w:tc>
        <w:tc>
          <w:tcPr>
            <w:tcW w:w="1020" w:type="dxa"/>
            <w:vAlign w:val="bottom"/>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rPr>
                <w:bCs/>
              </w:rPr>
            </w:pPr>
          </w:p>
        </w:tc>
        <w:tc>
          <w:tcPr>
            <w:tcW w:w="1260" w:type="dxa"/>
          </w:tcPr>
          <w:p w:rsidR="001A289B" w:rsidRPr="00687A1C" w:rsidRDefault="001A289B" w:rsidP="001A289B">
            <w:pPr>
              <w:pStyle w:val="Tabletextright"/>
              <w:rPr>
                <w:bCs/>
              </w:rPr>
            </w:pPr>
          </w:p>
        </w:tc>
        <w:tc>
          <w:tcPr>
            <w:tcW w:w="1170" w:type="dxa"/>
            <w:shd w:val="clear" w:color="auto" w:fill="DDDDDD"/>
          </w:tcPr>
          <w:p w:rsidR="001A289B" w:rsidRPr="00687A1C" w:rsidRDefault="001A289B" w:rsidP="001A289B">
            <w:pPr>
              <w:pStyle w:val="Tabletextright"/>
              <w:rPr>
                <w:bCs/>
              </w:rPr>
            </w:pPr>
          </w:p>
        </w:tc>
      </w:tr>
      <w:tr w:rsidR="001A289B" w:rsidRPr="00687A1C" w:rsidTr="00182947">
        <w:trPr>
          <w:trHeight w:val="165"/>
        </w:trPr>
        <w:tc>
          <w:tcPr>
            <w:tcW w:w="3600" w:type="dxa"/>
          </w:tcPr>
          <w:p w:rsidR="001A289B" w:rsidRPr="00687A1C" w:rsidRDefault="001A289B" w:rsidP="008A3976">
            <w:pPr>
              <w:pStyle w:val="Tabletextbold"/>
            </w:pPr>
            <w:r w:rsidRPr="00687A1C">
              <w:t>Administered</w:t>
            </w:r>
          </w:p>
        </w:tc>
        <w:tc>
          <w:tcPr>
            <w:tcW w:w="1332" w:type="dxa"/>
            <w:shd w:val="clear" w:color="auto" w:fill="DDDDDD"/>
            <w:vAlign w:val="bottom"/>
          </w:tcPr>
          <w:p w:rsidR="001A289B" w:rsidRPr="00687A1C" w:rsidRDefault="001A289B" w:rsidP="001A289B">
            <w:pPr>
              <w:pStyle w:val="Tabletextright"/>
            </w:pPr>
          </w:p>
        </w:tc>
        <w:tc>
          <w:tcPr>
            <w:tcW w:w="1260" w:type="dxa"/>
          </w:tcPr>
          <w:p w:rsidR="001A289B" w:rsidRPr="00687A1C" w:rsidRDefault="001A289B" w:rsidP="001A289B">
            <w:pPr>
              <w:pStyle w:val="Tabletextright"/>
              <w:rPr>
                <w:bCs/>
              </w:rPr>
            </w:pP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p>
        </w:tc>
        <w:tc>
          <w:tcPr>
            <w:tcW w:w="1020" w:type="dxa"/>
            <w:shd w:val="clear" w:color="auto" w:fill="DDDDDD"/>
            <w:vAlign w:val="bottom"/>
          </w:tcPr>
          <w:p w:rsidR="001A289B" w:rsidRPr="00687A1C" w:rsidRDefault="001A289B" w:rsidP="001A289B">
            <w:pPr>
              <w:pStyle w:val="Tabletextright"/>
            </w:pPr>
          </w:p>
        </w:tc>
        <w:tc>
          <w:tcPr>
            <w:tcW w:w="1020" w:type="dxa"/>
            <w:vAlign w:val="bottom"/>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rPr>
                <w:bCs/>
              </w:rPr>
            </w:pPr>
          </w:p>
        </w:tc>
        <w:tc>
          <w:tcPr>
            <w:tcW w:w="1260" w:type="dxa"/>
          </w:tcPr>
          <w:p w:rsidR="001A289B" w:rsidRPr="00687A1C" w:rsidRDefault="001A289B" w:rsidP="001A289B">
            <w:pPr>
              <w:pStyle w:val="Tabletextright"/>
              <w:rPr>
                <w:bCs/>
              </w:rPr>
            </w:pPr>
          </w:p>
        </w:tc>
        <w:tc>
          <w:tcPr>
            <w:tcW w:w="1170" w:type="dxa"/>
            <w:shd w:val="clear" w:color="auto" w:fill="DDDDDD"/>
          </w:tcPr>
          <w:p w:rsidR="001A289B" w:rsidRPr="00687A1C" w:rsidRDefault="001A289B" w:rsidP="001A289B">
            <w:pPr>
              <w:pStyle w:val="Tabletextright"/>
              <w:rPr>
                <w:bCs/>
              </w:rPr>
            </w:pPr>
          </w:p>
        </w:tc>
      </w:tr>
      <w:tr w:rsidR="001A289B" w:rsidRPr="00687A1C" w:rsidTr="00182947">
        <w:trPr>
          <w:trHeight w:val="165"/>
        </w:trPr>
        <w:tc>
          <w:tcPr>
            <w:tcW w:w="3600" w:type="dxa"/>
          </w:tcPr>
          <w:p w:rsidR="001A289B" w:rsidRPr="00687A1C" w:rsidRDefault="001A289B" w:rsidP="008A3976">
            <w:pPr>
              <w:pStyle w:val="Tabletext"/>
            </w:pPr>
            <w:r w:rsidRPr="00687A1C">
              <w:t>Payments made on behalf of the State</w:t>
            </w:r>
          </w:p>
        </w:tc>
        <w:tc>
          <w:tcPr>
            <w:tcW w:w="1332" w:type="dxa"/>
            <w:shd w:val="clear" w:color="auto" w:fill="DDDDDD"/>
          </w:tcPr>
          <w:p w:rsidR="001A289B" w:rsidRPr="00687A1C" w:rsidRDefault="001A289B" w:rsidP="001A289B">
            <w:pPr>
              <w:pStyle w:val="Tabletextright"/>
              <w:rPr>
                <w:bCs/>
              </w:rPr>
            </w:pPr>
            <w:r w:rsidRPr="00687A1C">
              <w:rPr>
                <w:bCs/>
              </w:rPr>
              <w:t>5 434 337</w:t>
            </w:r>
          </w:p>
        </w:tc>
        <w:tc>
          <w:tcPr>
            <w:tcW w:w="1260" w:type="dxa"/>
          </w:tcPr>
          <w:p w:rsidR="001A289B" w:rsidRPr="00687A1C" w:rsidRDefault="001A289B" w:rsidP="001A289B">
            <w:pPr>
              <w:pStyle w:val="Tabletextright"/>
              <w:rPr>
                <w:bCs/>
              </w:rPr>
            </w:pPr>
            <w:r w:rsidRPr="00687A1C">
              <w:rPr>
                <w:bCs/>
              </w:rPr>
              <w:t>33 855</w:t>
            </w: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r w:rsidRPr="00687A1C">
              <w:t>–</w:t>
            </w:r>
          </w:p>
        </w:tc>
        <w:tc>
          <w:tcPr>
            <w:tcW w:w="1020" w:type="dxa"/>
            <w:shd w:val="clear" w:color="auto" w:fill="DDDDDD"/>
            <w:vAlign w:val="bottom"/>
          </w:tcPr>
          <w:p w:rsidR="001A289B" w:rsidRPr="00687A1C" w:rsidRDefault="001A289B" w:rsidP="001A289B">
            <w:pPr>
              <w:pStyle w:val="Tabletextright"/>
            </w:pPr>
            <w:r w:rsidRPr="00687A1C">
              <w:t>–</w:t>
            </w:r>
          </w:p>
        </w:tc>
        <w:tc>
          <w:tcPr>
            <w:tcW w:w="1020" w:type="dxa"/>
            <w:vAlign w:val="bottom"/>
          </w:tcPr>
          <w:p w:rsidR="001A289B" w:rsidRPr="00687A1C" w:rsidRDefault="001A289B" w:rsidP="001A289B">
            <w:pPr>
              <w:pStyle w:val="Tabletextright"/>
            </w:pPr>
            <w:r w:rsidRPr="00687A1C">
              <w:t>–</w:t>
            </w:r>
          </w:p>
        </w:tc>
        <w:tc>
          <w:tcPr>
            <w:tcW w:w="1170" w:type="dxa"/>
            <w:shd w:val="clear" w:color="auto" w:fill="DDDDDD"/>
          </w:tcPr>
          <w:p w:rsidR="001A289B" w:rsidRPr="00687A1C" w:rsidRDefault="001A289B" w:rsidP="001A289B">
            <w:pPr>
              <w:pStyle w:val="Tabletextright"/>
              <w:rPr>
                <w:bCs/>
              </w:rPr>
            </w:pPr>
            <w:r w:rsidRPr="00687A1C">
              <w:rPr>
                <w:bCs/>
              </w:rPr>
              <w:t>5 468 192</w:t>
            </w:r>
          </w:p>
        </w:tc>
        <w:tc>
          <w:tcPr>
            <w:tcW w:w="1260" w:type="dxa"/>
          </w:tcPr>
          <w:p w:rsidR="001A289B" w:rsidRPr="00687A1C" w:rsidRDefault="001A289B" w:rsidP="001A289B">
            <w:pPr>
              <w:pStyle w:val="Tabletextright"/>
              <w:rPr>
                <w:bCs/>
              </w:rPr>
            </w:pPr>
            <w:r w:rsidRPr="00687A1C">
              <w:rPr>
                <w:bCs/>
              </w:rPr>
              <w:t xml:space="preserve">5 395 686 </w:t>
            </w:r>
          </w:p>
        </w:tc>
        <w:tc>
          <w:tcPr>
            <w:tcW w:w="1170" w:type="dxa"/>
            <w:shd w:val="clear" w:color="auto" w:fill="DDDDDD"/>
          </w:tcPr>
          <w:p w:rsidR="001A289B" w:rsidRPr="00687A1C" w:rsidRDefault="001A289B" w:rsidP="001A289B">
            <w:pPr>
              <w:pStyle w:val="Tabletextright"/>
              <w:rPr>
                <w:bCs/>
              </w:rPr>
            </w:pPr>
            <w:r w:rsidRPr="00687A1C">
              <w:rPr>
                <w:bCs/>
              </w:rPr>
              <w:t>72 506</w:t>
            </w:r>
          </w:p>
        </w:tc>
      </w:tr>
      <w:tr w:rsidR="001A289B" w:rsidRPr="00687A1C" w:rsidTr="00182947">
        <w:trPr>
          <w:trHeight w:val="180"/>
        </w:trPr>
        <w:tc>
          <w:tcPr>
            <w:tcW w:w="3600" w:type="dxa"/>
          </w:tcPr>
          <w:p w:rsidR="001A289B" w:rsidRPr="00687A1C" w:rsidRDefault="001A289B" w:rsidP="008A3976">
            <w:pPr>
              <w:pStyle w:val="Tabletextbold"/>
            </w:pPr>
            <w:r w:rsidRPr="00687A1C">
              <w:t>2018 total</w:t>
            </w:r>
          </w:p>
        </w:tc>
        <w:tc>
          <w:tcPr>
            <w:tcW w:w="1332" w:type="dxa"/>
            <w:shd w:val="clear" w:color="auto" w:fill="DDDDDD"/>
          </w:tcPr>
          <w:p w:rsidR="001A289B" w:rsidRPr="00687A1C" w:rsidRDefault="001A289B" w:rsidP="001A289B">
            <w:pPr>
              <w:pStyle w:val="Tabletextrightbold"/>
            </w:pPr>
            <w:r w:rsidRPr="00687A1C">
              <w:t>5 773 784</w:t>
            </w:r>
          </w:p>
        </w:tc>
        <w:tc>
          <w:tcPr>
            <w:tcW w:w="1260" w:type="dxa"/>
          </w:tcPr>
          <w:p w:rsidR="001A289B" w:rsidRPr="00687A1C" w:rsidRDefault="001A289B" w:rsidP="001A289B">
            <w:pPr>
              <w:pStyle w:val="Tabletextrightbold"/>
            </w:pPr>
            <w:r w:rsidRPr="00687A1C">
              <w:t>47 619</w:t>
            </w:r>
          </w:p>
        </w:tc>
        <w:tc>
          <w:tcPr>
            <w:tcW w:w="180" w:type="dxa"/>
          </w:tcPr>
          <w:p w:rsidR="001A289B" w:rsidRPr="00687A1C" w:rsidRDefault="001A289B" w:rsidP="001A289B">
            <w:pPr>
              <w:pStyle w:val="Tabletextrightbold"/>
            </w:pPr>
          </w:p>
        </w:tc>
        <w:tc>
          <w:tcPr>
            <w:tcW w:w="1020" w:type="dxa"/>
            <w:gridSpan w:val="2"/>
            <w:vAlign w:val="bottom"/>
          </w:tcPr>
          <w:p w:rsidR="001A289B" w:rsidRPr="00687A1C" w:rsidRDefault="001A289B" w:rsidP="00D8412D">
            <w:pPr>
              <w:pStyle w:val="Tabletextrightbold"/>
            </w:pPr>
            <w:r w:rsidRPr="00687A1C">
              <w:t>8</w:t>
            </w:r>
            <w:r w:rsidR="00D8412D" w:rsidRPr="00687A1C">
              <w:rPr>
                <w:rFonts w:ascii="Calibri" w:hAnsi="Calibri" w:cs="Calibri"/>
              </w:rPr>
              <w:t xml:space="preserve"> </w:t>
            </w:r>
            <w:r w:rsidRPr="00687A1C">
              <w:t>353</w:t>
            </w:r>
          </w:p>
        </w:tc>
        <w:tc>
          <w:tcPr>
            <w:tcW w:w="1020" w:type="dxa"/>
            <w:shd w:val="clear" w:color="auto" w:fill="DDDDDD"/>
            <w:vAlign w:val="bottom"/>
          </w:tcPr>
          <w:p w:rsidR="001A289B" w:rsidRPr="00687A1C" w:rsidRDefault="001A289B" w:rsidP="001A289B">
            <w:pPr>
              <w:pStyle w:val="Tabletextrightbold"/>
            </w:pPr>
            <w:r w:rsidRPr="00687A1C">
              <w:t>–</w:t>
            </w:r>
          </w:p>
        </w:tc>
        <w:tc>
          <w:tcPr>
            <w:tcW w:w="1020" w:type="dxa"/>
            <w:vAlign w:val="bottom"/>
          </w:tcPr>
          <w:p w:rsidR="001A289B" w:rsidRPr="00687A1C" w:rsidRDefault="001A289B" w:rsidP="001A289B">
            <w:pPr>
              <w:pStyle w:val="Tabletextrightbold"/>
            </w:pPr>
            <w:r w:rsidRPr="00687A1C">
              <w:t>3 822</w:t>
            </w:r>
          </w:p>
        </w:tc>
        <w:tc>
          <w:tcPr>
            <w:tcW w:w="1170" w:type="dxa"/>
            <w:shd w:val="clear" w:color="auto" w:fill="DDDDDD"/>
          </w:tcPr>
          <w:p w:rsidR="001A289B" w:rsidRPr="00687A1C" w:rsidRDefault="001A289B" w:rsidP="001A289B">
            <w:pPr>
              <w:pStyle w:val="Tabletextrightbold"/>
            </w:pPr>
            <w:r w:rsidRPr="00687A1C">
              <w:t>5 833 578</w:t>
            </w:r>
          </w:p>
        </w:tc>
        <w:tc>
          <w:tcPr>
            <w:tcW w:w="1260" w:type="dxa"/>
          </w:tcPr>
          <w:p w:rsidR="001A289B" w:rsidRPr="00687A1C" w:rsidRDefault="001A289B" w:rsidP="001A289B">
            <w:pPr>
              <w:pStyle w:val="Tabletextrightbold"/>
            </w:pPr>
            <w:r w:rsidRPr="00687A1C">
              <w:t>5 745 480</w:t>
            </w:r>
          </w:p>
        </w:tc>
        <w:tc>
          <w:tcPr>
            <w:tcW w:w="1170" w:type="dxa"/>
            <w:shd w:val="clear" w:color="auto" w:fill="DDDDDD"/>
          </w:tcPr>
          <w:p w:rsidR="001A289B" w:rsidRPr="00687A1C" w:rsidRDefault="001A289B" w:rsidP="001A289B">
            <w:pPr>
              <w:pStyle w:val="Tabletextrightbold"/>
            </w:pPr>
            <w:r w:rsidRPr="00687A1C">
              <w:t>88 098</w:t>
            </w:r>
          </w:p>
        </w:tc>
      </w:tr>
      <w:tr w:rsidR="001A289B" w:rsidRPr="00687A1C" w:rsidTr="00B24721">
        <w:trPr>
          <w:trHeight w:val="180"/>
        </w:trPr>
        <w:tc>
          <w:tcPr>
            <w:tcW w:w="3600" w:type="dxa"/>
          </w:tcPr>
          <w:p w:rsidR="001A289B" w:rsidRPr="00687A1C" w:rsidRDefault="001A289B" w:rsidP="008A3976">
            <w:pPr>
              <w:pStyle w:val="Tabletext"/>
              <w:rPr>
                <w:sz w:val="8"/>
              </w:rPr>
            </w:pPr>
          </w:p>
        </w:tc>
        <w:tc>
          <w:tcPr>
            <w:tcW w:w="1332" w:type="dxa"/>
            <w:shd w:val="clear" w:color="auto" w:fill="DDDDDD"/>
            <w:vAlign w:val="center"/>
          </w:tcPr>
          <w:p w:rsidR="001A289B" w:rsidRPr="00687A1C" w:rsidRDefault="001A289B" w:rsidP="008A3976">
            <w:pPr>
              <w:pStyle w:val="Tabletextright"/>
              <w:rPr>
                <w:sz w:val="8"/>
              </w:rPr>
            </w:pPr>
          </w:p>
        </w:tc>
        <w:tc>
          <w:tcPr>
            <w:tcW w:w="1260" w:type="dxa"/>
            <w:vAlign w:val="center"/>
          </w:tcPr>
          <w:p w:rsidR="001A289B" w:rsidRPr="00687A1C" w:rsidRDefault="001A289B" w:rsidP="00B24721">
            <w:pPr>
              <w:pStyle w:val="Tabletextright"/>
              <w:rPr>
                <w:sz w:val="8"/>
              </w:rPr>
            </w:pPr>
          </w:p>
        </w:tc>
        <w:tc>
          <w:tcPr>
            <w:tcW w:w="180" w:type="dxa"/>
          </w:tcPr>
          <w:p w:rsidR="001A289B" w:rsidRPr="00687A1C" w:rsidRDefault="001A289B" w:rsidP="008A3976">
            <w:pPr>
              <w:pStyle w:val="Tabletextright"/>
              <w:rPr>
                <w:bCs/>
                <w:color w:val="000000"/>
                <w:sz w:val="8"/>
                <w:szCs w:val="16"/>
              </w:rPr>
            </w:pPr>
          </w:p>
        </w:tc>
        <w:tc>
          <w:tcPr>
            <w:tcW w:w="1020" w:type="dxa"/>
            <w:gridSpan w:val="2"/>
            <w:vAlign w:val="center"/>
          </w:tcPr>
          <w:p w:rsidR="001A289B" w:rsidRPr="00687A1C" w:rsidRDefault="001A289B" w:rsidP="008A3976">
            <w:pPr>
              <w:pStyle w:val="Tabletextright"/>
              <w:rPr>
                <w:bCs/>
                <w:color w:val="000000"/>
                <w:sz w:val="8"/>
                <w:szCs w:val="16"/>
              </w:rPr>
            </w:pPr>
          </w:p>
        </w:tc>
        <w:tc>
          <w:tcPr>
            <w:tcW w:w="1020" w:type="dxa"/>
            <w:shd w:val="clear" w:color="auto" w:fill="DDDDDD"/>
          </w:tcPr>
          <w:p w:rsidR="001A289B" w:rsidRPr="00687A1C" w:rsidRDefault="001A289B" w:rsidP="008A3976">
            <w:pPr>
              <w:pStyle w:val="Tabletextright"/>
              <w:rPr>
                <w:bCs/>
                <w:color w:val="000000"/>
                <w:sz w:val="8"/>
                <w:szCs w:val="16"/>
              </w:rPr>
            </w:pPr>
          </w:p>
        </w:tc>
        <w:tc>
          <w:tcPr>
            <w:tcW w:w="1020" w:type="dxa"/>
            <w:vAlign w:val="center"/>
          </w:tcPr>
          <w:p w:rsidR="001A289B" w:rsidRPr="00687A1C" w:rsidRDefault="001A289B" w:rsidP="008A3976">
            <w:pPr>
              <w:pStyle w:val="Tabletextright"/>
              <w:rPr>
                <w:bCs/>
                <w:color w:val="000000"/>
                <w:sz w:val="8"/>
                <w:szCs w:val="16"/>
              </w:rPr>
            </w:pPr>
          </w:p>
        </w:tc>
        <w:tc>
          <w:tcPr>
            <w:tcW w:w="1170" w:type="dxa"/>
            <w:shd w:val="clear" w:color="auto" w:fill="DDDDDD"/>
            <w:vAlign w:val="center"/>
          </w:tcPr>
          <w:p w:rsidR="001A289B" w:rsidRPr="00687A1C" w:rsidRDefault="001A289B" w:rsidP="008A3976">
            <w:pPr>
              <w:pStyle w:val="Tabletextright"/>
              <w:rPr>
                <w:bCs/>
                <w:color w:val="000000"/>
                <w:sz w:val="8"/>
                <w:szCs w:val="16"/>
              </w:rPr>
            </w:pPr>
          </w:p>
        </w:tc>
        <w:tc>
          <w:tcPr>
            <w:tcW w:w="1260" w:type="dxa"/>
            <w:vAlign w:val="center"/>
          </w:tcPr>
          <w:p w:rsidR="001A289B" w:rsidRPr="00687A1C" w:rsidRDefault="001A289B" w:rsidP="008A3976">
            <w:pPr>
              <w:pStyle w:val="Tabletextright"/>
              <w:rPr>
                <w:bCs/>
                <w:color w:val="000000"/>
                <w:sz w:val="8"/>
                <w:szCs w:val="16"/>
              </w:rPr>
            </w:pPr>
          </w:p>
        </w:tc>
        <w:tc>
          <w:tcPr>
            <w:tcW w:w="1170" w:type="dxa"/>
            <w:shd w:val="clear" w:color="auto" w:fill="DDDDDD"/>
            <w:vAlign w:val="center"/>
          </w:tcPr>
          <w:p w:rsidR="001A289B" w:rsidRPr="00687A1C" w:rsidRDefault="001A289B" w:rsidP="008A3976">
            <w:pPr>
              <w:pStyle w:val="Tabletextright"/>
              <w:rPr>
                <w:bCs/>
                <w:color w:val="000000"/>
                <w:sz w:val="8"/>
                <w:szCs w:val="16"/>
              </w:rPr>
            </w:pPr>
          </w:p>
        </w:tc>
      </w:tr>
      <w:tr w:rsidR="001A289B" w:rsidRPr="00687A1C" w:rsidTr="00B24721">
        <w:trPr>
          <w:trHeight w:val="270"/>
        </w:trPr>
        <w:tc>
          <w:tcPr>
            <w:tcW w:w="3600" w:type="dxa"/>
          </w:tcPr>
          <w:p w:rsidR="001A289B" w:rsidRPr="00687A1C" w:rsidRDefault="001A289B" w:rsidP="008A3976">
            <w:pPr>
              <w:pStyle w:val="Tabletextbold"/>
            </w:pPr>
            <w:r w:rsidRPr="00687A1C">
              <w:t>2017</w:t>
            </w:r>
          </w:p>
        </w:tc>
        <w:tc>
          <w:tcPr>
            <w:tcW w:w="1332" w:type="dxa"/>
            <w:shd w:val="clear" w:color="auto" w:fill="DDDDDD"/>
          </w:tcPr>
          <w:p w:rsidR="001A289B" w:rsidRPr="00687A1C" w:rsidRDefault="001A289B" w:rsidP="001A289B">
            <w:pPr>
              <w:pStyle w:val="Tabletextright"/>
            </w:pPr>
          </w:p>
        </w:tc>
        <w:tc>
          <w:tcPr>
            <w:tcW w:w="1260" w:type="dxa"/>
          </w:tcPr>
          <w:p w:rsidR="001A289B" w:rsidRPr="00687A1C" w:rsidRDefault="001A289B" w:rsidP="001A289B">
            <w:pPr>
              <w:pStyle w:val="Tabletextright"/>
            </w:pPr>
          </w:p>
        </w:tc>
        <w:tc>
          <w:tcPr>
            <w:tcW w:w="180" w:type="dxa"/>
          </w:tcPr>
          <w:p w:rsidR="001A289B" w:rsidRPr="00687A1C" w:rsidRDefault="001A289B" w:rsidP="001A289B">
            <w:pPr>
              <w:pStyle w:val="Tabletextright"/>
            </w:pPr>
          </w:p>
        </w:tc>
        <w:tc>
          <w:tcPr>
            <w:tcW w:w="1020" w:type="dxa"/>
            <w:gridSpan w:val="2"/>
          </w:tcPr>
          <w:p w:rsidR="001A289B" w:rsidRPr="00687A1C" w:rsidRDefault="001A289B" w:rsidP="001A289B">
            <w:pPr>
              <w:pStyle w:val="Tabletextright"/>
            </w:pPr>
          </w:p>
        </w:tc>
        <w:tc>
          <w:tcPr>
            <w:tcW w:w="1020" w:type="dxa"/>
            <w:shd w:val="clear" w:color="auto" w:fill="DDDDDD"/>
          </w:tcPr>
          <w:p w:rsidR="001A289B" w:rsidRPr="00687A1C" w:rsidRDefault="001A289B" w:rsidP="001A289B">
            <w:pPr>
              <w:pStyle w:val="Tabletextright"/>
            </w:pPr>
          </w:p>
        </w:tc>
        <w:tc>
          <w:tcPr>
            <w:tcW w:w="1020" w:type="dxa"/>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pPr>
          </w:p>
        </w:tc>
        <w:tc>
          <w:tcPr>
            <w:tcW w:w="1260" w:type="dxa"/>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pPr>
          </w:p>
        </w:tc>
      </w:tr>
      <w:tr w:rsidR="001A289B" w:rsidRPr="00687A1C" w:rsidTr="00B24721">
        <w:trPr>
          <w:trHeight w:val="165"/>
        </w:trPr>
        <w:tc>
          <w:tcPr>
            <w:tcW w:w="3600" w:type="dxa"/>
          </w:tcPr>
          <w:p w:rsidR="001A289B" w:rsidRPr="00687A1C" w:rsidRDefault="001A289B" w:rsidP="008A3976">
            <w:pPr>
              <w:pStyle w:val="Tabletextbold"/>
            </w:pPr>
            <w:r w:rsidRPr="00687A1C">
              <w:t>Controlled</w:t>
            </w:r>
          </w:p>
        </w:tc>
        <w:tc>
          <w:tcPr>
            <w:tcW w:w="1332" w:type="dxa"/>
            <w:shd w:val="clear" w:color="auto" w:fill="DDDDDD"/>
          </w:tcPr>
          <w:p w:rsidR="001A289B" w:rsidRPr="00687A1C" w:rsidRDefault="001A289B" w:rsidP="001A289B">
            <w:pPr>
              <w:pStyle w:val="Tabletextright"/>
            </w:pPr>
          </w:p>
        </w:tc>
        <w:tc>
          <w:tcPr>
            <w:tcW w:w="1260" w:type="dxa"/>
          </w:tcPr>
          <w:p w:rsidR="001A289B" w:rsidRPr="00687A1C" w:rsidRDefault="001A289B" w:rsidP="001A289B">
            <w:pPr>
              <w:pStyle w:val="Tabletextright"/>
            </w:pPr>
          </w:p>
        </w:tc>
        <w:tc>
          <w:tcPr>
            <w:tcW w:w="180" w:type="dxa"/>
          </w:tcPr>
          <w:p w:rsidR="001A289B" w:rsidRPr="00687A1C" w:rsidRDefault="001A289B" w:rsidP="001A289B">
            <w:pPr>
              <w:pStyle w:val="Tabletextright"/>
            </w:pPr>
          </w:p>
        </w:tc>
        <w:tc>
          <w:tcPr>
            <w:tcW w:w="1020" w:type="dxa"/>
            <w:gridSpan w:val="2"/>
          </w:tcPr>
          <w:p w:rsidR="001A289B" w:rsidRPr="00687A1C" w:rsidRDefault="001A289B" w:rsidP="001A289B">
            <w:pPr>
              <w:pStyle w:val="Tabletextright"/>
            </w:pPr>
          </w:p>
        </w:tc>
        <w:tc>
          <w:tcPr>
            <w:tcW w:w="1020" w:type="dxa"/>
            <w:shd w:val="clear" w:color="auto" w:fill="DDDDDD"/>
          </w:tcPr>
          <w:p w:rsidR="001A289B" w:rsidRPr="00687A1C" w:rsidRDefault="001A289B" w:rsidP="001A289B">
            <w:pPr>
              <w:pStyle w:val="Tabletextright"/>
            </w:pPr>
          </w:p>
        </w:tc>
        <w:tc>
          <w:tcPr>
            <w:tcW w:w="1020" w:type="dxa"/>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pPr>
          </w:p>
        </w:tc>
        <w:tc>
          <w:tcPr>
            <w:tcW w:w="1260" w:type="dxa"/>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pPr>
          </w:p>
        </w:tc>
      </w:tr>
      <w:tr w:rsidR="001A289B" w:rsidRPr="00687A1C" w:rsidTr="00182947">
        <w:trPr>
          <w:trHeight w:val="165"/>
        </w:trPr>
        <w:tc>
          <w:tcPr>
            <w:tcW w:w="3600" w:type="dxa"/>
          </w:tcPr>
          <w:p w:rsidR="001A289B" w:rsidRPr="00687A1C" w:rsidRDefault="001A289B" w:rsidP="008A3976">
            <w:pPr>
              <w:pStyle w:val="Tabletext"/>
            </w:pPr>
            <w:r w:rsidRPr="00687A1C">
              <w:t>Provision of outputs</w:t>
            </w:r>
          </w:p>
        </w:tc>
        <w:tc>
          <w:tcPr>
            <w:tcW w:w="1332" w:type="dxa"/>
            <w:shd w:val="clear" w:color="auto" w:fill="DDDDDD"/>
          </w:tcPr>
          <w:p w:rsidR="001A289B" w:rsidRPr="00687A1C" w:rsidRDefault="001A289B" w:rsidP="001A289B">
            <w:pPr>
              <w:pStyle w:val="Tabletextright"/>
              <w:rPr>
                <w:bCs/>
              </w:rPr>
            </w:pPr>
            <w:r w:rsidRPr="00687A1C">
              <w:rPr>
                <w:bCs/>
              </w:rPr>
              <w:t>250 649</w:t>
            </w:r>
          </w:p>
        </w:tc>
        <w:tc>
          <w:tcPr>
            <w:tcW w:w="1260" w:type="dxa"/>
          </w:tcPr>
          <w:p w:rsidR="001A289B" w:rsidRPr="00687A1C" w:rsidRDefault="001A289B" w:rsidP="001A289B">
            <w:pPr>
              <w:pStyle w:val="Tabletextright"/>
              <w:rPr>
                <w:bCs/>
              </w:rPr>
            </w:pPr>
            <w:r w:rsidRPr="00687A1C">
              <w:rPr>
                <w:bCs/>
              </w:rPr>
              <w:t>32 720</w:t>
            </w: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D8412D">
            <w:pPr>
              <w:pStyle w:val="Tabletextright"/>
            </w:pPr>
            <w:r w:rsidRPr="00687A1C">
              <w:t>9</w:t>
            </w:r>
            <w:r w:rsidR="00D8412D" w:rsidRPr="00687A1C">
              <w:rPr>
                <w:rFonts w:ascii="Calibri" w:hAnsi="Calibri" w:cs="Calibri"/>
              </w:rPr>
              <w:t xml:space="preserve"> </w:t>
            </w:r>
            <w:r w:rsidRPr="00687A1C">
              <w:t>996</w:t>
            </w:r>
          </w:p>
        </w:tc>
        <w:tc>
          <w:tcPr>
            <w:tcW w:w="1020" w:type="dxa"/>
            <w:shd w:val="clear" w:color="auto" w:fill="DDDDDD"/>
            <w:vAlign w:val="bottom"/>
          </w:tcPr>
          <w:p w:rsidR="001A289B" w:rsidRPr="00687A1C" w:rsidRDefault="001A289B" w:rsidP="00D8412D">
            <w:pPr>
              <w:pStyle w:val="Tabletextright"/>
            </w:pPr>
            <w:r w:rsidRPr="00687A1C">
              <w:t>65</w:t>
            </w:r>
            <w:r w:rsidR="00D8412D" w:rsidRPr="00687A1C">
              <w:rPr>
                <w:rFonts w:ascii="Calibri" w:hAnsi="Calibri" w:cs="Calibri"/>
              </w:rPr>
              <w:t xml:space="preserve"> </w:t>
            </w:r>
            <w:r w:rsidRPr="00687A1C">
              <w:t>000</w:t>
            </w:r>
          </w:p>
        </w:tc>
        <w:tc>
          <w:tcPr>
            <w:tcW w:w="1020" w:type="dxa"/>
            <w:vAlign w:val="bottom"/>
          </w:tcPr>
          <w:p w:rsidR="001A289B" w:rsidRPr="00687A1C" w:rsidRDefault="001A289B" w:rsidP="001A289B">
            <w:pPr>
              <w:pStyle w:val="Tabletextright"/>
            </w:pPr>
            <w:r w:rsidRPr="00687A1C">
              <w:t>3 914</w:t>
            </w:r>
          </w:p>
        </w:tc>
        <w:tc>
          <w:tcPr>
            <w:tcW w:w="1170" w:type="dxa"/>
            <w:shd w:val="clear" w:color="auto" w:fill="DDDDDD"/>
          </w:tcPr>
          <w:p w:rsidR="001A289B" w:rsidRPr="00687A1C" w:rsidRDefault="001A289B" w:rsidP="001A289B">
            <w:pPr>
              <w:pStyle w:val="Tabletextright"/>
              <w:rPr>
                <w:bCs/>
              </w:rPr>
            </w:pPr>
            <w:r w:rsidRPr="00687A1C">
              <w:rPr>
                <w:bCs/>
              </w:rPr>
              <w:t>362 279</w:t>
            </w:r>
          </w:p>
        </w:tc>
        <w:tc>
          <w:tcPr>
            <w:tcW w:w="1260" w:type="dxa"/>
          </w:tcPr>
          <w:p w:rsidR="001A289B" w:rsidRPr="00687A1C" w:rsidRDefault="001A289B" w:rsidP="001A289B">
            <w:pPr>
              <w:pStyle w:val="Tabletextright"/>
              <w:rPr>
                <w:bCs/>
              </w:rPr>
            </w:pPr>
            <w:r w:rsidRPr="00687A1C">
              <w:rPr>
                <w:bCs/>
              </w:rPr>
              <w:t>353 213</w:t>
            </w:r>
          </w:p>
        </w:tc>
        <w:tc>
          <w:tcPr>
            <w:tcW w:w="1170" w:type="dxa"/>
            <w:shd w:val="clear" w:color="auto" w:fill="DDDDDD"/>
          </w:tcPr>
          <w:p w:rsidR="001A289B" w:rsidRPr="00687A1C" w:rsidRDefault="001A289B" w:rsidP="001A289B">
            <w:pPr>
              <w:pStyle w:val="Tabletextright"/>
              <w:rPr>
                <w:bCs/>
              </w:rPr>
            </w:pPr>
            <w:r w:rsidRPr="00687A1C">
              <w:rPr>
                <w:bCs/>
              </w:rPr>
              <w:t>9 066</w:t>
            </w:r>
          </w:p>
        </w:tc>
      </w:tr>
      <w:tr w:rsidR="001A289B" w:rsidRPr="00687A1C" w:rsidTr="00182947">
        <w:trPr>
          <w:trHeight w:val="297"/>
        </w:trPr>
        <w:tc>
          <w:tcPr>
            <w:tcW w:w="3600" w:type="dxa"/>
          </w:tcPr>
          <w:p w:rsidR="001A289B" w:rsidRPr="00687A1C" w:rsidRDefault="001A289B" w:rsidP="008A3976">
            <w:pPr>
              <w:pStyle w:val="Tabletext"/>
            </w:pPr>
            <w:r w:rsidRPr="00687A1C">
              <w:t>Additions to net assets</w:t>
            </w:r>
          </w:p>
        </w:tc>
        <w:tc>
          <w:tcPr>
            <w:tcW w:w="1332" w:type="dxa"/>
            <w:shd w:val="clear" w:color="auto" w:fill="DDDDDD"/>
          </w:tcPr>
          <w:p w:rsidR="001A289B" w:rsidRPr="00687A1C" w:rsidRDefault="001A289B" w:rsidP="001A289B">
            <w:pPr>
              <w:pStyle w:val="Tabletextright"/>
              <w:rPr>
                <w:bCs/>
              </w:rPr>
            </w:pPr>
            <w:r w:rsidRPr="00687A1C">
              <w:rPr>
                <w:bCs/>
              </w:rPr>
              <w:t>2 590</w:t>
            </w:r>
          </w:p>
        </w:tc>
        <w:tc>
          <w:tcPr>
            <w:tcW w:w="1260" w:type="dxa"/>
          </w:tcPr>
          <w:p w:rsidR="001A289B" w:rsidRPr="00687A1C" w:rsidRDefault="001A289B" w:rsidP="001A289B">
            <w:pPr>
              <w:pStyle w:val="Tabletextright"/>
              <w:rPr>
                <w:bCs/>
              </w:rPr>
            </w:pP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r w:rsidRPr="00687A1C">
              <w:t>–</w:t>
            </w:r>
          </w:p>
        </w:tc>
        <w:tc>
          <w:tcPr>
            <w:tcW w:w="1020" w:type="dxa"/>
            <w:shd w:val="clear" w:color="auto" w:fill="DDDDDD"/>
            <w:vAlign w:val="bottom"/>
          </w:tcPr>
          <w:p w:rsidR="001A289B" w:rsidRPr="00687A1C" w:rsidRDefault="001A289B" w:rsidP="001A289B">
            <w:pPr>
              <w:pStyle w:val="Tabletextright"/>
            </w:pPr>
            <w:r w:rsidRPr="00687A1C">
              <w:t>–</w:t>
            </w:r>
          </w:p>
        </w:tc>
        <w:tc>
          <w:tcPr>
            <w:tcW w:w="1020" w:type="dxa"/>
            <w:vAlign w:val="bottom"/>
          </w:tcPr>
          <w:p w:rsidR="001A289B" w:rsidRPr="00687A1C" w:rsidRDefault="001A289B" w:rsidP="001A289B">
            <w:pPr>
              <w:pStyle w:val="Tabletextright"/>
            </w:pPr>
            <w:r w:rsidRPr="00687A1C">
              <w:t>–</w:t>
            </w:r>
          </w:p>
        </w:tc>
        <w:tc>
          <w:tcPr>
            <w:tcW w:w="1170" w:type="dxa"/>
            <w:shd w:val="clear" w:color="auto" w:fill="DDDDDD"/>
          </w:tcPr>
          <w:p w:rsidR="001A289B" w:rsidRPr="00687A1C" w:rsidRDefault="001A289B" w:rsidP="001A289B">
            <w:pPr>
              <w:pStyle w:val="Tabletextright"/>
              <w:rPr>
                <w:bCs/>
              </w:rPr>
            </w:pPr>
            <w:r w:rsidRPr="00687A1C">
              <w:rPr>
                <w:bCs/>
              </w:rPr>
              <w:t>2 590</w:t>
            </w:r>
          </w:p>
        </w:tc>
        <w:tc>
          <w:tcPr>
            <w:tcW w:w="1260" w:type="dxa"/>
          </w:tcPr>
          <w:p w:rsidR="001A289B" w:rsidRPr="00687A1C" w:rsidRDefault="001A289B" w:rsidP="001A289B">
            <w:pPr>
              <w:pStyle w:val="Tabletextright"/>
              <w:rPr>
                <w:bCs/>
              </w:rPr>
            </w:pPr>
            <w:r w:rsidRPr="00687A1C">
              <w:rPr>
                <w:bCs/>
              </w:rPr>
              <w:t>–</w:t>
            </w:r>
          </w:p>
        </w:tc>
        <w:tc>
          <w:tcPr>
            <w:tcW w:w="1170" w:type="dxa"/>
            <w:shd w:val="clear" w:color="auto" w:fill="DDDDDD"/>
          </w:tcPr>
          <w:p w:rsidR="001A289B" w:rsidRPr="00687A1C" w:rsidRDefault="001A289B" w:rsidP="001A289B">
            <w:pPr>
              <w:pStyle w:val="Tabletextright"/>
              <w:rPr>
                <w:bCs/>
              </w:rPr>
            </w:pPr>
            <w:r w:rsidRPr="00687A1C">
              <w:rPr>
                <w:bCs/>
              </w:rPr>
              <w:t>2 590</w:t>
            </w:r>
          </w:p>
        </w:tc>
      </w:tr>
      <w:tr w:rsidR="001A289B" w:rsidRPr="00687A1C" w:rsidTr="00182947">
        <w:trPr>
          <w:trHeight w:val="165"/>
        </w:trPr>
        <w:tc>
          <w:tcPr>
            <w:tcW w:w="3600" w:type="dxa"/>
          </w:tcPr>
          <w:p w:rsidR="001A289B" w:rsidRPr="00687A1C" w:rsidRDefault="001A289B" w:rsidP="008A3976">
            <w:pPr>
              <w:pStyle w:val="Tabletext"/>
              <w:rPr>
                <w:sz w:val="8"/>
              </w:rPr>
            </w:pPr>
          </w:p>
        </w:tc>
        <w:tc>
          <w:tcPr>
            <w:tcW w:w="1332" w:type="dxa"/>
            <w:shd w:val="clear" w:color="auto" w:fill="DDDDDD"/>
            <w:vAlign w:val="bottom"/>
          </w:tcPr>
          <w:p w:rsidR="001A289B" w:rsidRPr="00687A1C" w:rsidRDefault="001A289B" w:rsidP="001A289B">
            <w:pPr>
              <w:pStyle w:val="Tabletextright"/>
            </w:pPr>
          </w:p>
        </w:tc>
        <w:tc>
          <w:tcPr>
            <w:tcW w:w="1260" w:type="dxa"/>
          </w:tcPr>
          <w:p w:rsidR="001A289B" w:rsidRPr="00687A1C" w:rsidRDefault="001A289B" w:rsidP="001A289B">
            <w:pPr>
              <w:pStyle w:val="Tabletextright"/>
              <w:rPr>
                <w:bCs/>
              </w:rPr>
            </w:pP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p>
        </w:tc>
        <w:tc>
          <w:tcPr>
            <w:tcW w:w="1020" w:type="dxa"/>
            <w:shd w:val="clear" w:color="auto" w:fill="DDDDDD"/>
            <w:vAlign w:val="bottom"/>
          </w:tcPr>
          <w:p w:rsidR="001A289B" w:rsidRPr="00687A1C" w:rsidRDefault="001A289B" w:rsidP="001A289B">
            <w:pPr>
              <w:pStyle w:val="Tabletextright"/>
            </w:pPr>
          </w:p>
        </w:tc>
        <w:tc>
          <w:tcPr>
            <w:tcW w:w="1020" w:type="dxa"/>
            <w:vAlign w:val="bottom"/>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rPr>
                <w:bCs/>
              </w:rPr>
            </w:pPr>
          </w:p>
        </w:tc>
        <w:tc>
          <w:tcPr>
            <w:tcW w:w="1260" w:type="dxa"/>
          </w:tcPr>
          <w:p w:rsidR="001A289B" w:rsidRPr="00687A1C" w:rsidRDefault="001A289B" w:rsidP="001A289B">
            <w:pPr>
              <w:pStyle w:val="Tabletextright"/>
              <w:rPr>
                <w:bCs/>
              </w:rPr>
            </w:pPr>
          </w:p>
        </w:tc>
        <w:tc>
          <w:tcPr>
            <w:tcW w:w="1170" w:type="dxa"/>
            <w:shd w:val="clear" w:color="auto" w:fill="DDDDDD"/>
          </w:tcPr>
          <w:p w:rsidR="001A289B" w:rsidRPr="00687A1C" w:rsidRDefault="001A289B" w:rsidP="001A289B">
            <w:pPr>
              <w:pStyle w:val="Tabletextright"/>
              <w:rPr>
                <w:bCs/>
              </w:rPr>
            </w:pPr>
          </w:p>
        </w:tc>
      </w:tr>
      <w:tr w:rsidR="001A289B" w:rsidRPr="00687A1C" w:rsidTr="00182947">
        <w:trPr>
          <w:trHeight w:val="165"/>
        </w:trPr>
        <w:tc>
          <w:tcPr>
            <w:tcW w:w="3600" w:type="dxa"/>
          </w:tcPr>
          <w:p w:rsidR="001A289B" w:rsidRPr="00687A1C" w:rsidRDefault="001A289B" w:rsidP="008A3976">
            <w:pPr>
              <w:pStyle w:val="Tabletextbold"/>
            </w:pPr>
            <w:r w:rsidRPr="00687A1C">
              <w:t>Administered</w:t>
            </w:r>
          </w:p>
        </w:tc>
        <w:tc>
          <w:tcPr>
            <w:tcW w:w="1332" w:type="dxa"/>
            <w:shd w:val="clear" w:color="auto" w:fill="DDDDDD"/>
            <w:vAlign w:val="bottom"/>
          </w:tcPr>
          <w:p w:rsidR="001A289B" w:rsidRPr="00687A1C" w:rsidRDefault="001A289B" w:rsidP="001A289B">
            <w:pPr>
              <w:pStyle w:val="Tabletextright"/>
            </w:pPr>
          </w:p>
        </w:tc>
        <w:tc>
          <w:tcPr>
            <w:tcW w:w="1260" w:type="dxa"/>
          </w:tcPr>
          <w:p w:rsidR="001A289B" w:rsidRPr="00687A1C" w:rsidRDefault="001A289B" w:rsidP="001A289B">
            <w:pPr>
              <w:pStyle w:val="Tabletextright"/>
              <w:rPr>
                <w:bCs/>
              </w:rPr>
            </w:pP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p>
        </w:tc>
        <w:tc>
          <w:tcPr>
            <w:tcW w:w="1020" w:type="dxa"/>
            <w:shd w:val="clear" w:color="auto" w:fill="DDDDDD"/>
            <w:vAlign w:val="bottom"/>
          </w:tcPr>
          <w:p w:rsidR="001A289B" w:rsidRPr="00687A1C" w:rsidRDefault="001A289B" w:rsidP="001A289B">
            <w:pPr>
              <w:pStyle w:val="Tabletextright"/>
            </w:pPr>
          </w:p>
        </w:tc>
        <w:tc>
          <w:tcPr>
            <w:tcW w:w="1020" w:type="dxa"/>
            <w:vAlign w:val="bottom"/>
          </w:tcPr>
          <w:p w:rsidR="001A289B" w:rsidRPr="00687A1C" w:rsidRDefault="001A289B" w:rsidP="001A289B">
            <w:pPr>
              <w:pStyle w:val="Tabletextright"/>
            </w:pPr>
          </w:p>
        </w:tc>
        <w:tc>
          <w:tcPr>
            <w:tcW w:w="1170" w:type="dxa"/>
            <w:shd w:val="clear" w:color="auto" w:fill="DDDDDD"/>
          </w:tcPr>
          <w:p w:rsidR="001A289B" w:rsidRPr="00687A1C" w:rsidRDefault="001A289B" w:rsidP="001A289B">
            <w:pPr>
              <w:pStyle w:val="Tabletextright"/>
              <w:rPr>
                <w:bCs/>
              </w:rPr>
            </w:pPr>
          </w:p>
        </w:tc>
        <w:tc>
          <w:tcPr>
            <w:tcW w:w="1260" w:type="dxa"/>
          </w:tcPr>
          <w:p w:rsidR="001A289B" w:rsidRPr="00687A1C" w:rsidRDefault="001A289B" w:rsidP="001A289B">
            <w:pPr>
              <w:pStyle w:val="Tabletextright"/>
              <w:rPr>
                <w:bCs/>
              </w:rPr>
            </w:pPr>
          </w:p>
        </w:tc>
        <w:tc>
          <w:tcPr>
            <w:tcW w:w="1170" w:type="dxa"/>
            <w:shd w:val="clear" w:color="auto" w:fill="DDDDDD"/>
          </w:tcPr>
          <w:p w:rsidR="001A289B" w:rsidRPr="00687A1C" w:rsidRDefault="001A289B" w:rsidP="001A289B">
            <w:pPr>
              <w:pStyle w:val="Tabletextright"/>
              <w:rPr>
                <w:bCs/>
              </w:rPr>
            </w:pPr>
          </w:p>
        </w:tc>
      </w:tr>
      <w:tr w:rsidR="001A289B" w:rsidRPr="00687A1C" w:rsidTr="00182947">
        <w:trPr>
          <w:trHeight w:val="165"/>
        </w:trPr>
        <w:tc>
          <w:tcPr>
            <w:tcW w:w="3600" w:type="dxa"/>
          </w:tcPr>
          <w:p w:rsidR="001A289B" w:rsidRPr="00687A1C" w:rsidRDefault="001A289B" w:rsidP="008A3976">
            <w:pPr>
              <w:pStyle w:val="Tabletext"/>
            </w:pPr>
            <w:r w:rsidRPr="00687A1C">
              <w:t>Payments made on behalf of the State</w:t>
            </w:r>
          </w:p>
        </w:tc>
        <w:tc>
          <w:tcPr>
            <w:tcW w:w="1332" w:type="dxa"/>
            <w:shd w:val="clear" w:color="auto" w:fill="DDDDDD"/>
          </w:tcPr>
          <w:p w:rsidR="001A289B" w:rsidRPr="00687A1C" w:rsidRDefault="001A289B" w:rsidP="001A289B">
            <w:pPr>
              <w:pStyle w:val="Tabletextright"/>
              <w:rPr>
                <w:bCs/>
              </w:rPr>
            </w:pPr>
            <w:r w:rsidRPr="00687A1C">
              <w:rPr>
                <w:bCs/>
              </w:rPr>
              <w:t>4 593 950</w:t>
            </w:r>
          </w:p>
        </w:tc>
        <w:tc>
          <w:tcPr>
            <w:tcW w:w="1260" w:type="dxa"/>
          </w:tcPr>
          <w:p w:rsidR="001A289B" w:rsidRPr="00687A1C" w:rsidRDefault="001A289B" w:rsidP="001A289B">
            <w:pPr>
              <w:pStyle w:val="Tabletextright"/>
              <w:rPr>
                <w:bCs/>
              </w:rPr>
            </w:pPr>
            <w:r w:rsidRPr="00687A1C">
              <w:rPr>
                <w:bCs/>
              </w:rPr>
              <w:t>117 589</w:t>
            </w:r>
          </w:p>
        </w:tc>
        <w:tc>
          <w:tcPr>
            <w:tcW w:w="180" w:type="dxa"/>
          </w:tcPr>
          <w:p w:rsidR="001A289B" w:rsidRPr="00687A1C" w:rsidRDefault="001A289B" w:rsidP="001A289B">
            <w:pPr>
              <w:pStyle w:val="Tabletextright"/>
            </w:pPr>
          </w:p>
        </w:tc>
        <w:tc>
          <w:tcPr>
            <w:tcW w:w="1020" w:type="dxa"/>
            <w:gridSpan w:val="2"/>
            <w:vAlign w:val="bottom"/>
          </w:tcPr>
          <w:p w:rsidR="001A289B" w:rsidRPr="00687A1C" w:rsidRDefault="001A289B" w:rsidP="001A289B">
            <w:pPr>
              <w:pStyle w:val="Tabletextright"/>
            </w:pPr>
            <w:r w:rsidRPr="00687A1C">
              <w:t>–</w:t>
            </w:r>
          </w:p>
        </w:tc>
        <w:tc>
          <w:tcPr>
            <w:tcW w:w="1020" w:type="dxa"/>
            <w:shd w:val="clear" w:color="auto" w:fill="DDDDDD"/>
            <w:vAlign w:val="bottom"/>
          </w:tcPr>
          <w:p w:rsidR="001A289B" w:rsidRPr="00687A1C" w:rsidRDefault="001A289B" w:rsidP="00D8412D">
            <w:pPr>
              <w:pStyle w:val="Tabletextright"/>
            </w:pPr>
            <w:r w:rsidRPr="00687A1C">
              <w:t>(65</w:t>
            </w:r>
            <w:r w:rsidR="00D8412D" w:rsidRPr="00687A1C">
              <w:rPr>
                <w:rFonts w:ascii="Calibri" w:hAnsi="Calibri" w:cs="Calibri"/>
              </w:rPr>
              <w:t xml:space="preserve"> </w:t>
            </w:r>
            <w:r w:rsidRPr="00687A1C">
              <w:t>000)</w:t>
            </w:r>
          </w:p>
        </w:tc>
        <w:tc>
          <w:tcPr>
            <w:tcW w:w="1020" w:type="dxa"/>
            <w:vAlign w:val="bottom"/>
          </w:tcPr>
          <w:p w:rsidR="001A289B" w:rsidRPr="00687A1C" w:rsidRDefault="001A289B" w:rsidP="001A289B">
            <w:pPr>
              <w:pStyle w:val="Tabletextright"/>
            </w:pPr>
            <w:r w:rsidRPr="00687A1C">
              <w:t>–</w:t>
            </w:r>
          </w:p>
        </w:tc>
        <w:tc>
          <w:tcPr>
            <w:tcW w:w="1170" w:type="dxa"/>
            <w:shd w:val="clear" w:color="auto" w:fill="DDDDDD"/>
          </w:tcPr>
          <w:p w:rsidR="001A289B" w:rsidRPr="00687A1C" w:rsidRDefault="001A289B" w:rsidP="001A289B">
            <w:pPr>
              <w:pStyle w:val="Tabletextright"/>
              <w:rPr>
                <w:bCs/>
              </w:rPr>
            </w:pPr>
            <w:r w:rsidRPr="00687A1C">
              <w:rPr>
                <w:bCs/>
              </w:rPr>
              <w:t>4 646 539</w:t>
            </w:r>
          </w:p>
        </w:tc>
        <w:tc>
          <w:tcPr>
            <w:tcW w:w="1260" w:type="dxa"/>
          </w:tcPr>
          <w:p w:rsidR="001A289B" w:rsidRPr="00687A1C" w:rsidRDefault="001A289B" w:rsidP="001A289B">
            <w:pPr>
              <w:pStyle w:val="Tabletextright"/>
              <w:rPr>
                <w:bCs/>
              </w:rPr>
            </w:pPr>
            <w:r w:rsidRPr="00687A1C">
              <w:rPr>
                <w:bCs/>
              </w:rPr>
              <w:t>4 587 426</w:t>
            </w:r>
          </w:p>
        </w:tc>
        <w:tc>
          <w:tcPr>
            <w:tcW w:w="1170" w:type="dxa"/>
            <w:shd w:val="clear" w:color="auto" w:fill="DDDDDD"/>
          </w:tcPr>
          <w:p w:rsidR="001A289B" w:rsidRPr="00687A1C" w:rsidRDefault="001A289B" w:rsidP="001A289B">
            <w:pPr>
              <w:pStyle w:val="Tabletextright"/>
              <w:rPr>
                <w:bCs/>
              </w:rPr>
            </w:pPr>
            <w:r w:rsidRPr="00687A1C">
              <w:rPr>
                <w:bCs/>
              </w:rPr>
              <w:t>59 113</w:t>
            </w:r>
          </w:p>
        </w:tc>
      </w:tr>
      <w:tr w:rsidR="001A289B" w:rsidRPr="00687A1C" w:rsidTr="00182947">
        <w:trPr>
          <w:trHeight w:val="180"/>
        </w:trPr>
        <w:tc>
          <w:tcPr>
            <w:tcW w:w="3600" w:type="dxa"/>
          </w:tcPr>
          <w:p w:rsidR="001A289B" w:rsidRPr="00687A1C" w:rsidRDefault="001A289B" w:rsidP="008A3976">
            <w:pPr>
              <w:pStyle w:val="Tabletextbold"/>
            </w:pPr>
            <w:r w:rsidRPr="00687A1C">
              <w:t>2017 total</w:t>
            </w:r>
          </w:p>
        </w:tc>
        <w:tc>
          <w:tcPr>
            <w:tcW w:w="1332" w:type="dxa"/>
            <w:shd w:val="clear" w:color="auto" w:fill="DDDDDD"/>
          </w:tcPr>
          <w:p w:rsidR="001A289B" w:rsidRPr="00687A1C" w:rsidRDefault="001A289B" w:rsidP="001A289B">
            <w:pPr>
              <w:pStyle w:val="Tabletextrightbold"/>
            </w:pPr>
            <w:r w:rsidRPr="00687A1C">
              <w:t>4 847 189</w:t>
            </w:r>
          </w:p>
        </w:tc>
        <w:tc>
          <w:tcPr>
            <w:tcW w:w="1260" w:type="dxa"/>
          </w:tcPr>
          <w:p w:rsidR="001A289B" w:rsidRPr="00687A1C" w:rsidRDefault="001A289B" w:rsidP="001A289B">
            <w:pPr>
              <w:pStyle w:val="Tabletextrightbold"/>
            </w:pPr>
            <w:r w:rsidRPr="00687A1C">
              <w:t>150 309</w:t>
            </w:r>
          </w:p>
        </w:tc>
        <w:tc>
          <w:tcPr>
            <w:tcW w:w="180" w:type="dxa"/>
          </w:tcPr>
          <w:p w:rsidR="001A289B" w:rsidRPr="00687A1C" w:rsidRDefault="001A289B" w:rsidP="001A289B">
            <w:pPr>
              <w:pStyle w:val="Tabletextrightbold"/>
            </w:pPr>
          </w:p>
        </w:tc>
        <w:tc>
          <w:tcPr>
            <w:tcW w:w="1020" w:type="dxa"/>
            <w:gridSpan w:val="2"/>
            <w:vAlign w:val="bottom"/>
          </w:tcPr>
          <w:p w:rsidR="001A289B" w:rsidRPr="00687A1C" w:rsidRDefault="001A289B" w:rsidP="001A289B">
            <w:pPr>
              <w:pStyle w:val="Tabletextrightbold"/>
            </w:pPr>
            <w:r w:rsidRPr="00687A1C">
              <w:t>9 996</w:t>
            </w:r>
          </w:p>
        </w:tc>
        <w:tc>
          <w:tcPr>
            <w:tcW w:w="1020" w:type="dxa"/>
            <w:shd w:val="clear" w:color="auto" w:fill="DDDDDD"/>
            <w:vAlign w:val="bottom"/>
          </w:tcPr>
          <w:p w:rsidR="001A289B" w:rsidRPr="00687A1C" w:rsidRDefault="001A289B" w:rsidP="001A289B">
            <w:pPr>
              <w:pStyle w:val="Tabletextrightbold"/>
            </w:pPr>
            <w:r w:rsidRPr="00687A1C">
              <w:t>–</w:t>
            </w:r>
          </w:p>
        </w:tc>
        <w:tc>
          <w:tcPr>
            <w:tcW w:w="1020" w:type="dxa"/>
            <w:vAlign w:val="bottom"/>
          </w:tcPr>
          <w:p w:rsidR="001A289B" w:rsidRPr="00687A1C" w:rsidRDefault="001A289B" w:rsidP="001A289B">
            <w:pPr>
              <w:pStyle w:val="Tabletextrightbold"/>
            </w:pPr>
            <w:r w:rsidRPr="00687A1C">
              <w:t>3 914</w:t>
            </w:r>
          </w:p>
        </w:tc>
        <w:tc>
          <w:tcPr>
            <w:tcW w:w="1170" w:type="dxa"/>
            <w:shd w:val="clear" w:color="auto" w:fill="DDDDDD"/>
          </w:tcPr>
          <w:p w:rsidR="001A289B" w:rsidRPr="00687A1C" w:rsidRDefault="001A289B" w:rsidP="001A289B">
            <w:pPr>
              <w:pStyle w:val="Tabletextrightbold"/>
            </w:pPr>
            <w:r w:rsidRPr="00687A1C">
              <w:t>5 011 408</w:t>
            </w:r>
          </w:p>
        </w:tc>
        <w:tc>
          <w:tcPr>
            <w:tcW w:w="1260" w:type="dxa"/>
          </w:tcPr>
          <w:p w:rsidR="001A289B" w:rsidRPr="00687A1C" w:rsidRDefault="001A289B" w:rsidP="001A289B">
            <w:pPr>
              <w:pStyle w:val="Tabletextrightbold"/>
            </w:pPr>
            <w:r w:rsidRPr="00687A1C">
              <w:t>4 940 639</w:t>
            </w:r>
          </w:p>
        </w:tc>
        <w:tc>
          <w:tcPr>
            <w:tcW w:w="1170" w:type="dxa"/>
            <w:shd w:val="clear" w:color="auto" w:fill="DDDDDD"/>
          </w:tcPr>
          <w:p w:rsidR="001A289B" w:rsidRPr="00687A1C" w:rsidRDefault="001A289B" w:rsidP="001A289B">
            <w:pPr>
              <w:pStyle w:val="Tabletextrightbold"/>
            </w:pPr>
            <w:r w:rsidRPr="00687A1C">
              <w:t>70 769</w:t>
            </w:r>
          </w:p>
        </w:tc>
      </w:tr>
    </w:tbl>
    <w:p w:rsidR="00174AEA" w:rsidRPr="00687A1C" w:rsidRDefault="00174AEA" w:rsidP="00174AEA">
      <w:pPr>
        <w:pStyle w:val="Spacer"/>
      </w:pPr>
    </w:p>
    <w:p w:rsidR="00174AEA" w:rsidRPr="00687A1C" w:rsidRDefault="00174AEA" w:rsidP="00174AEA"/>
    <w:p w:rsidR="00174AEA" w:rsidRPr="00687A1C" w:rsidRDefault="00174AEA" w:rsidP="00174AEA">
      <w:pPr>
        <w:sectPr w:rsidR="00174AEA" w:rsidRPr="00687A1C" w:rsidSect="008F67DE">
          <w:headerReference w:type="even" r:id="rId36"/>
          <w:headerReference w:type="default" r:id="rId37"/>
          <w:footerReference w:type="even" r:id="rId38"/>
          <w:footerReference w:type="default" r:id="rId39"/>
          <w:pgSz w:w="16834" w:h="11909" w:orient="landscape" w:code="9"/>
          <w:pgMar w:top="1152" w:right="1728" w:bottom="1152" w:left="1440" w:header="720" w:footer="288" w:gutter="0"/>
          <w:cols w:space="720"/>
          <w:noEndnote/>
          <w:docGrid w:linePitch="231"/>
        </w:sectPr>
      </w:pPr>
    </w:p>
    <w:p w:rsidR="00174AEA" w:rsidRPr="00687A1C" w:rsidRDefault="00174AEA" w:rsidP="00174AEA">
      <w:r w:rsidRPr="00687A1C">
        <w:lastRenderedPageBreak/>
        <w:t>Explanation of key variances between total Parliamentary authority and appropriations applied – year ended 30 June 2018:</w:t>
      </w:r>
    </w:p>
    <w:p w:rsidR="00174AEA" w:rsidRPr="00687A1C" w:rsidRDefault="00174AEA" w:rsidP="00174AEA">
      <w:pPr>
        <w:pStyle w:val="Bullet"/>
        <w:rPr>
          <w:b/>
        </w:rPr>
      </w:pPr>
      <w:r w:rsidRPr="00687A1C">
        <w:rPr>
          <w:b/>
        </w:rPr>
        <w:t>Provision of outputs</w:t>
      </w:r>
    </w:p>
    <w:p w:rsidR="00174AEA" w:rsidRPr="00687A1C" w:rsidRDefault="00174AEA" w:rsidP="00174AEA">
      <w:pPr>
        <w:pStyle w:val="NormalIndent"/>
      </w:pPr>
      <w:r w:rsidRPr="00687A1C">
        <w:t>$5.1</w:t>
      </w:r>
      <w:r w:rsidR="006F069A" w:rsidRPr="00687A1C">
        <w:rPr>
          <w:rFonts w:ascii="Calibri" w:hAnsi="Calibri" w:cs="Calibri"/>
        </w:rPr>
        <w:t> </w:t>
      </w:r>
      <w:r w:rsidR="006F069A" w:rsidRPr="00687A1C">
        <w:t>million</w:t>
      </w:r>
      <w:r w:rsidRPr="00687A1C">
        <w:t xml:space="preserve"> in depreciation funding was not drawn due to lower de</w:t>
      </w:r>
      <w:r w:rsidR="00264578" w:rsidRPr="00687A1C">
        <w:t>preciation costs for government-</w:t>
      </w:r>
      <w:r w:rsidRPr="00687A1C">
        <w:t>owned buildings. $2.3</w:t>
      </w:r>
      <w:r w:rsidR="006F069A" w:rsidRPr="00687A1C">
        <w:rPr>
          <w:rFonts w:ascii="Calibri" w:hAnsi="Calibri" w:cs="Calibri"/>
        </w:rPr>
        <w:t> </w:t>
      </w:r>
      <w:r w:rsidR="006F069A" w:rsidRPr="00687A1C">
        <w:t>million</w:t>
      </w:r>
      <w:r w:rsidRPr="00687A1C">
        <w:t xml:space="preserve"> is </w:t>
      </w:r>
      <w:r w:rsidR="0067123C" w:rsidRPr="00687A1C">
        <w:t xml:space="preserve">proposed </w:t>
      </w:r>
      <w:r w:rsidRPr="00687A1C">
        <w:t>to be carried over to 2018-19, in respect of various projects not completed as expected in 2017-18. $2.3</w:t>
      </w:r>
      <w:r w:rsidR="006F069A" w:rsidRPr="00687A1C">
        <w:rPr>
          <w:rFonts w:ascii="Calibri" w:hAnsi="Calibri" w:cs="Calibri"/>
        </w:rPr>
        <w:t> </w:t>
      </w:r>
      <w:r w:rsidR="006F069A" w:rsidRPr="00687A1C">
        <w:t>million</w:t>
      </w:r>
      <w:r w:rsidRPr="00687A1C">
        <w:t xml:space="preserve"> relates to</w:t>
      </w:r>
      <w:r w:rsidR="00A92CF3" w:rsidRPr="00687A1C">
        <w:t xml:space="preserve"> the</w:t>
      </w:r>
      <w:r w:rsidRPr="00687A1C">
        <w:t xml:space="preserve"> underutilisation of Treasurer's Advances primarily due to the timing of project works contributing to Commercial and Infrastructure Advice and Economic Regulatory Services outputs. $2.2</w:t>
      </w:r>
      <w:r w:rsidR="006F069A" w:rsidRPr="00687A1C">
        <w:rPr>
          <w:rFonts w:ascii="Calibri" w:hAnsi="Calibri" w:cs="Calibri"/>
        </w:rPr>
        <w:t> </w:t>
      </w:r>
      <w:r w:rsidR="006F069A" w:rsidRPr="00687A1C">
        <w:t>million</w:t>
      </w:r>
      <w:r w:rsidRPr="00687A1C">
        <w:t xml:space="preserve"> </w:t>
      </w:r>
      <w:r w:rsidR="00E12EA3" w:rsidRPr="00687A1C">
        <w:t xml:space="preserve">reflects whole of government </w:t>
      </w:r>
      <w:r w:rsidRPr="00687A1C">
        <w:t>savings.</w:t>
      </w:r>
    </w:p>
    <w:p w:rsidR="00174AEA" w:rsidRPr="00687A1C" w:rsidRDefault="00174AEA" w:rsidP="00174AEA">
      <w:pPr>
        <w:pStyle w:val="Bullet"/>
        <w:rPr>
          <w:b/>
        </w:rPr>
      </w:pPr>
      <w:r w:rsidRPr="00687A1C">
        <w:rPr>
          <w:b/>
        </w:rPr>
        <w:t>Additions to net assets</w:t>
      </w:r>
    </w:p>
    <w:p w:rsidR="00174AEA" w:rsidRPr="00687A1C" w:rsidRDefault="00DE0CB9" w:rsidP="00174AEA">
      <w:pPr>
        <w:pStyle w:val="NormalIndent"/>
      </w:pPr>
      <w:r w:rsidRPr="00687A1C">
        <w:t xml:space="preserve">The Department was required to firstly utilise accumulated depreciation equivalent funding for the purchase of infrastructure, plant and equipment. </w:t>
      </w:r>
      <w:r w:rsidR="00174AEA" w:rsidRPr="00687A1C">
        <w:t xml:space="preserve">Capital appropriation was not applied as expected in 2017-18 </w:t>
      </w:r>
      <w:r w:rsidR="006B1C0E" w:rsidRPr="00687A1C">
        <w:t xml:space="preserve">due to $0.75 million carryover to 2018-19 relating to conservation works to the Mission to Seafarers building. </w:t>
      </w:r>
    </w:p>
    <w:p w:rsidR="00174AEA" w:rsidRPr="00687A1C" w:rsidRDefault="00174AEA" w:rsidP="00174AEA">
      <w:pPr>
        <w:pStyle w:val="Spacer"/>
      </w:pPr>
    </w:p>
    <w:p w:rsidR="00174AEA" w:rsidRPr="00687A1C" w:rsidRDefault="00174AEA" w:rsidP="00174AEA">
      <w:pPr>
        <w:pStyle w:val="Bullet"/>
        <w:rPr>
          <w:b/>
        </w:rPr>
      </w:pPr>
      <w:r w:rsidRPr="00687A1C">
        <w:rPr>
          <w:b/>
        </w:rPr>
        <w:br w:type="column"/>
      </w:r>
      <w:r w:rsidRPr="00687A1C">
        <w:rPr>
          <w:b/>
        </w:rPr>
        <w:t xml:space="preserve">Payments made on behalf of the State </w:t>
      </w:r>
    </w:p>
    <w:p w:rsidR="00174AEA" w:rsidRPr="00687A1C" w:rsidRDefault="00174AEA" w:rsidP="00174AEA">
      <w:pPr>
        <w:pStyle w:val="NormalIndent"/>
      </w:pPr>
      <w:r w:rsidRPr="00687A1C">
        <w:t>$203.7</w:t>
      </w:r>
      <w:r w:rsidR="006F069A" w:rsidRPr="00687A1C">
        <w:rPr>
          <w:rFonts w:ascii="Calibri" w:hAnsi="Calibri" w:cs="Calibri"/>
        </w:rPr>
        <w:t> </w:t>
      </w:r>
      <w:r w:rsidR="006F069A" w:rsidRPr="00687A1C">
        <w:t>million</w:t>
      </w:r>
      <w:r w:rsidRPr="00687A1C">
        <w:t xml:space="preserve"> of National Disability Insurance Scheme (NDIS) funding </w:t>
      </w:r>
      <w:r w:rsidR="008D312D">
        <w:t xml:space="preserve">was </w:t>
      </w:r>
      <w:r w:rsidRPr="00687A1C">
        <w:t xml:space="preserve">not required due to the number of people transitioning to the NDIS being lower than forecast. </w:t>
      </w:r>
      <w:r w:rsidR="00AE48A5" w:rsidRPr="00687A1C">
        <w:t>This is partially offset by</w:t>
      </w:r>
      <w:r w:rsidRPr="00687A1C">
        <w:t xml:space="preserve"> </w:t>
      </w:r>
      <w:r w:rsidR="006B1C0E" w:rsidRPr="00687A1C">
        <w:t>$124.8 million appropriation transfer to the Natural Disaster Relief Trust to meet payments relating to existing natural disaster events.</w:t>
      </w:r>
    </w:p>
    <w:p w:rsidR="00174AEA" w:rsidRPr="00687A1C" w:rsidRDefault="00174AEA" w:rsidP="00174AEA">
      <w:pPr>
        <w:pStyle w:val="NormalIndent"/>
        <w:ind w:left="0"/>
      </w:pPr>
    </w:p>
    <w:p w:rsidR="00174AEA" w:rsidRPr="00687A1C" w:rsidRDefault="00174AEA" w:rsidP="00174AEA">
      <w:pPr>
        <w:sectPr w:rsidR="00174AEA" w:rsidRPr="00687A1C" w:rsidSect="00243640">
          <w:headerReference w:type="even" r:id="rId40"/>
          <w:headerReference w:type="default" r:id="rId41"/>
          <w:footerReference w:type="even" r:id="rId42"/>
          <w:footerReference w:type="default" r:id="rId43"/>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56" w:name="_Toc525026186"/>
      <w:bookmarkStart w:id="57" w:name="_Toc525026226"/>
      <w:r w:rsidRPr="00687A1C">
        <w:t>Annotated income agreements</w:t>
      </w:r>
      <w:bookmarkEnd w:id="56"/>
      <w:bookmarkEnd w:id="57"/>
    </w:p>
    <w:p w:rsidR="00174AEA" w:rsidRPr="00687A1C" w:rsidRDefault="00174AEA" w:rsidP="00174AEA">
      <w:pPr>
        <w:sectPr w:rsidR="00174AEA" w:rsidRPr="00687A1C" w:rsidSect="00C6433B">
          <w:type w:val="continuous"/>
          <w:pgSz w:w="11909" w:h="16834" w:code="9"/>
          <w:pgMar w:top="1728" w:right="1152" w:bottom="1152" w:left="1152" w:header="720" w:footer="288" w:gutter="0"/>
          <w:cols w:space="720"/>
          <w:noEndnote/>
        </w:sectPr>
      </w:pPr>
    </w:p>
    <w:p w:rsidR="00174AEA" w:rsidRPr="00687A1C" w:rsidRDefault="00174AEA" w:rsidP="00174AEA">
      <w:r w:rsidRPr="00687A1C">
        <w:t>The Department is permitted under section 29 of the FMA to have certain income annotated to the annual appropriation. The income</w:t>
      </w:r>
      <w:r w:rsidR="00264578" w:rsidRPr="00687A1C">
        <w:t>,</w:t>
      </w:r>
      <w:r w:rsidRPr="00687A1C">
        <w:t xml:space="preserve"> which forms part of a section 29 agreement</w:t>
      </w:r>
      <w:r w:rsidR="00264578" w:rsidRPr="00687A1C">
        <w:t>,</w:t>
      </w:r>
      <w:r w:rsidRPr="00687A1C">
        <w:t xml:space="preserve"> is recognised by the Department and the receipts paid into the Consolidated Fund as an administered item. At the point of income recognition, section 29 provides for an equivalent amount to be added to the annual appropriation.</w:t>
      </w:r>
    </w:p>
    <w:p w:rsidR="00174AEA" w:rsidRPr="00687A1C" w:rsidRDefault="00174AEA" w:rsidP="00174AEA">
      <w:pPr>
        <w:rPr>
          <w:color w:val="000000"/>
        </w:rPr>
      </w:pPr>
      <w:r w:rsidRPr="00687A1C">
        <w:br w:type="column"/>
      </w:r>
      <w:r w:rsidRPr="00687A1C">
        <w:t>The following is a listing of the FMA</w:t>
      </w:r>
      <w:r w:rsidRPr="00687A1C" w:rsidDel="00606AF6">
        <w:rPr>
          <w:i/>
        </w:rPr>
        <w:t xml:space="preserve"> </w:t>
      </w:r>
      <w:r w:rsidRPr="00687A1C">
        <w:t>section 29 annotated income agreements approved by the Treasurer</w:t>
      </w:r>
      <w:r w:rsidRPr="00687A1C">
        <w:rPr>
          <w:color w:val="000000"/>
        </w:rPr>
        <w:t>.</w:t>
      </w:r>
    </w:p>
    <w:p w:rsidR="00174AEA" w:rsidRPr="00687A1C" w:rsidRDefault="00174AEA" w:rsidP="00174AEA"/>
    <w:p w:rsidR="00174AEA" w:rsidRPr="00687A1C" w:rsidRDefault="00174AEA" w:rsidP="00174AEA">
      <w:pPr>
        <w:sectPr w:rsidR="00174AEA" w:rsidRPr="00687A1C" w:rsidSect="00C6433B">
          <w:type w:val="continuous"/>
          <w:pgSz w:w="11909" w:h="16834" w:code="9"/>
          <w:pgMar w:top="1728" w:right="1152" w:bottom="1152" w:left="1152" w:header="720" w:footer="288" w:gutter="0"/>
          <w:cols w:num="2" w:space="720"/>
          <w:noEndnote/>
        </w:sectPr>
      </w:pPr>
    </w:p>
    <w:p w:rsidR="00174AEA" w:rsidRPr="00687A1C" w:rsidRDefault="00174AEA" w:rsidP="00174AEA">
      <w:pPr>
        <w:pStyle w:val="Spacer"/>
      </w:pPr>
    </w:p>
    <w:tbl>
      <w:tblPr>
        <w:tblStyle w:val="AnnualReporttexttable"/>
        <w:tblW w:w="7218" w:type="dxa"/>
        <w:tblLayout w:type="fixed"/>
        <w:tblLook w:val="00A0" w:firstRow="1" w:lastRow="0" w:firstColumn="1" w:lastColumn="0" w:noHBand="0" w:noVBand="0"/>
      </w:tblPr>
      <w:tblGrid>
        <w:gridCol w:w="5148"/>
        <w:gridCol w:w="1035"/>
        <w:gridCol w:w="1035"/>
      </w:tblGrid>
      <w:tr w:rsidR="00174AEA" w:rsidRPr="00687A1C" w:rsidTr="008A397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4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shd w:val="clear" w:color="auto" w:fill="auto"/>
          </w:tcPr>
          <w:p w:rsidR="00174AEA" w:rsidRPr="00687A1C" w:rsidRDefault="00174AEA" w:rsidP="008A3976">
            <w:pPr>
              <w:pStyle w:val="Tabletextheadingright"/>
              <w:rPr>
                <w:b/>
                <w:color w:val="000000"/>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35" w:type="dxa"/>
            <w:shd w:val="clear" w:color="auto" w:fill="auto"/>
          </w:tcPr>
          <w:p w:rsidR="00174AEA" w:rsidRPr="00687A1C" w:rsidRDefault="00174AEA" w:rsidP="008A3976">
            <w:pPr>
              <w:pStyle w:val="Tabletextheadingright"/>
              <w:rPr>
                <w:b/>
                <w:color w:val="000000"/>
              </w:rPr>
            </w:pPr>
            <w:r w:rsidRPr="00687A1C">
              <w:rPr>
                <w:b/>
              </w:rPr>
              <w:t>2017</w:t>
            </w:r>
            <w:r w:rsidRPr="00687A1C">
              <w:rPr>
                <w:b/>
              </w:rPr>
              <w:br/>
              <w:t>$’000</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Del="00CB02D5" w:rsidRDefault="00174AEA" w:rsidP="008A3976">
            <w:pPr>
              <w:pStyle w:val="Tabletext"/>
            </w:pPr>
            <w:r w:rsidRPr="00687A1C">
              <w:t>Section 105 land tax certificates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917</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495</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National land register</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000</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Construction supplier register</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r w:rsidRPr="00687A1C">
              <w:t>602</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r w:rsidRPr="00687A1C">
              <w:t>619</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Government land and property</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r w:rsidRPr="00687A1C">
              <w:t>954</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872</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Essential Services Commission ministerial advices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r w:rsidRPr="00687A1C">
              <w:t>130</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Public financial corporations risk management and reporting framework</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r w:rsidRPr="00687A1C">
              <w:t>193</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r w:rsidRPr="00687A1C">
              <w:t>202</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Government bodies gymnasium</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r w:rsidRPr="00687A1C">
              <w:t>187</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r w:rsidRPr="00687A1C">
              <w:t>178</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Victorian Energy and Efficiency Target expansion</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500</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500</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rPr>
                <w:b/>
              </w:rPr>
              <w:t>8</w:t>
            </w:r>
            <w:r w:rsidR="00D8412D" w:rsidRPr="00687A1C">
              <w:rPr>
                <w:b/>
              </w:rPr>
              <w:t xml:space="preserve"> </w:t>
            </w:r>
            <w:r w:rsidRPr="00687A1C">
              <w:rPr>
                <w:b/>
              </w:rPr>
              <w:t>353</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9</w:t>
            </w:r>
            <w:r w:rsidR="00D8412D" w:rsidRPr="00687A1C">
              <w:rPr>
                <w:rFonts w:ascii="Calibri" w:hAnsi="Calibri" w:cs="Calibri"/>
              </w:rPr>
              <w:t xml:space="preserve"> </w:t>
            </w:r>
            <w:r w:rsidRPr="00687A1C">
              <w:t>996</w:t>
            </w:r>
          </w:p>
        </w:tc>
      </w:tr>
    </w:tbl>
    <w:p w:rsidR="00174AEA" w:rsidRPr="00687A1C" w:rsidRDefault="00174AEA" w:rsidP="00174AEA">
      <w:pPr>
        <w:pStyle w:val="Spacer"/>
      </w:pPr>
    </w:p>
    <w:p w:rsidR="00174AEA" w:rsidRPr="00687A1C" w:rsidRDefault="00174AEA" w:rsidP="00174AEA">
      <w:pPr>
        <w:spacing w:before="0" w:after="0"/>
        <w:rPr>
          <w:rFonts w:cstheme="minorHAnsi"/>
          <w:b/>
          <w:color w:val="404040"/>
          <w:sz w:val="20"/>
          <w:szCs w:val="28"/>
        </w:rPr>
      </w:pPr>
      <w:r w:rsidRPr="00687A1C">
        <w:br w:type="page"/>
      </w:r>
    </w:p>
    <w:p w:rsidR="00174AEA" w:rsidRPr="00687A1C" w:rsidRDefault="00174AEA" w:rsidP="00174AEA">
      <w:pPr>
        <w:pStyle w:val="Heading2numbered"/>
      </w:pPr>
      <w:bookmarkStart w:id="58" w:name="_Toc525026187"/>
      <w:bookmarkStart w:id="59" w:name="_Toc525026227"/>
      <w:r w:rsidRPr="00687A1C">
        <w:lastRenderedPageBreak/>
        <w:t>Other income</w:t>
      </w:r>
      <w:bookmarkEnd w:id="58"/>
      <w:bookmarkEnd w:id="59"/>
    </w:p>
    <w:tbl>
      <w:tblPr>
        <w:tblStyle w:val="AnnualReporttexttable"/>
        <w:tblW w:w="7308" w:type="dxa"/>
        <w:tblLayout w:type="fixed"/>
        <w:tblLook w:val="0080" w:firstRow="0" w:lastRow="0" w:firstColumn="1" w:lastColumn="0" w:noHBand="0" w:noVBand="0"/>
      </w:tblPr>
      <w:tblGrid>
        <w:gridCol w:w="5148"/>
        <w:gridCol w:w="1080"/>
        <w:gridCol w:w="1080"/>
      </w:tblGrid>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514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vAlign w:val="bottom"/>
          </w:tcPr>
          <w:p w:rsidR="00174AEA" w:rsidRPr="00687A1C" w:rsidRDefault="00174AEA" w:rsidP="008A3976">
            <w:pPr>
              <w:pStyle w:val="Tabletextheadingright"/>
            </w:pPr>
            <w:r w:rsidRPr="00687A1C">
              <w:t>2018</w:t>
            </w:r>
            <w:r w:rsidRPr="00687A1C">
              <w:br/>
              <w:t>$’000</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headingright"/>
            </w:pPr>
            <w:r w:rsidRPr="00687A1C">
              <w:t>2017</w:t>
            </w:r>
            <w:r w:rsidRPr="00687A1C">
              <w:br/>
              <w:t>$’000</w:t>
            </w:r>
          </w:p>
        </w:tc>
      </w:tr>
      <w:tr w:rsidR="00174AEA" w:rsidRPr="00687A1C" w:rsidTr="008A3976">
        <w:trPr>
          <w:trHeight w:val="25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Provision of services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18</w:t>
            </w:r>
            <w:r w:rsidR="00D8412D" w:rsidRPr="00687A1C">
              <w:rPr>
                <w:rFonts w:ascii="Calibri" w:hAnsi="Calibri" w:cs="Calibri"/>
              </w:rPr>
              <w:t xml:space="preserve"> </w:t>
            </w:r>
            <w:r w:rsidRPr="00687A1C">
              <w:t xml:space="preserve">555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407</w:t>
            </w:r>
          </w:p>
        </w:tc>
      </w:tr>
      <w:tr w:rsidR="00174AEA" w:rsidRPr="00687A1C" w:rsidTr="008A3976">
        <w:trPr>
          <w:trHeight w:val="254"/>
        </w:trPr>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Rental accommodation income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31</w:t>
            </w:r>
            <w:r w:rsidR="00D8412D" w:rsidRPr="00687A1C">
              <w:rPr>
                <w:rFonts w:ascii="Calibri" w:hAnsi="Calibri" w:cs="Calibri"/>
              </w:rPr>
              <w:t xml:space="preserve"> </w:t>
            </w:r>
            <w:r w:rsidRPr="00687A1C">
              <w:t xml:space="preserve">665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31</w:t>
            </w:r>
            <w:r w:rsidR="00D8412D" w:rsidRPr="00687A1C">
              <w:rPr>
                <w:rFonts w:ascii="Calibri" w:hAnsi="Calibri" w:cs="Calibri"/>
              </w:rPr>
              <w:t xml:space="preserve"> </w:t>
            </w:r>
            <w:r w:rsidRPr="00687A1C">
              <w:t>703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Other income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 xml:space="preserve">401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307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rPr>
                <w:b/>
              </w:rPr>
              <w:t>Total other income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57</w:t>
            </w:r>
            <w:r w:rsidR="00D8412D" w:rsidRPr="00687A1C">
              <w:rPr>
                <w:rFonts w:ascii="Calibri" w:hAnsi="Calibri" w:cs="Calibri"/>
              </w:rPr>
              <w:t xml:space="preserve"> </w:t>
            </w:r>
            <w:r w:rsidRPr="00687A1C">
              <w:t xml:space="preserve">621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57</w:t>
            </w:r>
            <w:r w:rsidR="00D8412D" w:rsidRPr="00687A1C">
              <w:rPr>
                <w:rFonts w:ascii="Calibri" w:hAnsi="Calibri" w:cs="Calibri"/>
              </w:rPr>
              <w:t xml:space="preserve"> </w:t>
            </w:r>
            <w:r w:rsidRPr="00687A1C">
              <w:t>417</w:t>
            </w:r>
          </w:p>
        </w:tc>
      </w:tr>
    </w:tbl>
    <w:p w:rsidR="00174AEA" w:rsidRPr="00687A1C" w:rsidRDefault="00174AEA" w:rsidP="00174AEA"/>
    <w:p w:rsidR="00174AEA" w:rsidRPr="00687A1C" w:rsidRDefault="00174AEA" w:rsidP="00174AEA"/>
    <w:p w:rsidR="00174AEA" w:rsidRPr="00687A1C" w:rsidRDefault="00174AEA" w:rsidP="00174AEA">
      <w:pPr>
        <w:sectPr w:rsidR="00174AEA" w:rsidRPr="00687A1C" w:rsidSect="00A416B6">
          <w:headerReference w:type="default" r:id="rId44"/>
          <w:type w:val="continuous"/>
          <w:pgSz w:w="11909" w:h="16834" w:code="9"/>
          <w:pgMar w:top="1728" w:right="1152" w:bottom="1152" w:left="1152" w:header="720" w:footer="288" w:gutter="0"/>
          <w:cols w:space="720"/>
          <w:noEndnote/>
        </w:sectPr>
      </w:pPr>
    </w:p>
    <w:p w:rsidR="00174AEA" w:rsidRPr="00687A1C" w:rsidRDefault="00174AEA" w:rsidP="00174AEA">
      <w:pPr>
        <w:pStyle w:val="Heading4"/>
      </w:pPr>
      <w:r w:rsidRPr="00687A1C">
        <w:t>Provision of services</w:t>
      </w:r>
    </w:p>
    <w:p w:rsidR="00174AEA" w:rsidRPr="00687A1C" w:rsidRDefault="00174AEA" w:rsidP="00174AEA">
      <w:r w:rsidRPr="00687A1C">
        <w:t>Income from the provision of services where they can be deployed for the achievement of departmental objectives, is recognised when the services are provided.</w:t>
      </w:r>
    </w:p>
    <w:p w:rsidR="00174AEA" w:rsidRPr="00687A1C" w:rsidRDefault="00174AEA" w:rsidP="00174AEA">
      <w:pPr>
        <w:pStyle w:val="Heading4"/>
      </w:pPr>
      <w:r w:rsidRPr="00687A1C">
        <w:t>Rental accommodation income</w:t>
      </w:r>
    </w:p>
    <w:p w:rsidR="00174AEA" w:rsidRPr="00687A1C" w:rsidRDefault="00174AEA" w:rsidP="00174AEA">
      <w:r w:rsidRPr="00687A1C">
        <w:t>Income from the provision of rental accommodation to government departments and agencies is recognised on a straight</w:t>
      </w:r>
      <w:r w:rsidR="00264578" w:rsidRPr="00687A1C">
        <w:t>-</w:t>
      </w:r>
      <w:r w:rsidRPr="00687A1C">
        <w:t>line basis over the lease term.</w:t>
      </w:r>
    </w:p>
    <w:p w:rsidR="00174AEA" w:rsidRPr="00687A1C" w:rsidRDefault="00174AEA" w:rsidP="00174AEA">
      <w:pPr>
        <w:pStyle w:val="Heading4"/>
      </w:pPr>
      <w:r w:rsidRPr="00687A1C">
        <w:t>Other income</w:t>
      </w:r>
    </w:p>
    <w:p w:rsidR="00174AEA" w:rsidRPr="00687A1C" w:rsidRDefault="00174AEA" w:rsidP="00174AEA">
      <w:r w:rsidRPr="00687A1C">
        <w:t>Other income includes grants income and rebates earned. Income from grants (other than contributions by owners) is recognised when the Department obtains control over the contribution. Where grants are reciprocal (i.e. equal value is given by the Department to the provider), the Department is deemed to have assumed control when it has satisfied its performance obligations under the terms of the grant. Non-reciprocal grants are recognised as income when the grant is received or receivable. Conditional grants may be reciprocal or non-reciprocal depending on the terms of the grant. Rebates earned relate to Master Agency Media Services and revenue is recognised when the right to receive is established.</w:t>
      </w:r>
    </w:p>
    <w:p w:rsidR="00174AEA" w:rsidRPr="00687A1C" w:rsidRDefault="00174AEA" w:rsidP="00174AEA"/>
    <w:bookmarkEnd w:id="48"/>
    <w:p w:rsidR="00174AEA" w:rsidRPr="00687A1C" w:rsidRDefault="00174AEA" w:rsidP="00174AEA">
      <w:pPr>
        <w:spacing w:before="0" w:after="0"/>
      </w:pPr>
    </w:p>
    <w:p w:rsidR="00174AEA" w:rsidRPr="00687A1C" w:rsidRDefault="00174AEA" w:rsidP="00174AEA">
      <w:pPr>
        <w:pStyle w:val="Heading1numbered"/>
        <w:sectPr w:rsidR="00174AEA" w:rsidRPr="00687A1C" w:rsidSect="00DA3B71">
          <w:headerReference w:type="default" r:id="rId45"/>
          <w:type w:val="continuous"/>
          <w:pgSz w:w="11909" w:h="16834" w:code="9"/>
          <w:pgMar w:top="1728" w:right="1152" w:bottom="1152" w:left="1152" w:header="720" w:footer="288" w:gutter="0"/>
          <w:cols w:num="2" w:space="720"/>
          <w:noEndnote/>
        </w:sectPr>
      </w:pPr>
    </w:p>
    <w:p w:rsidR="00174AEA" w:rsidRPr="00687A1C" w:rsidRDefault="00174AEA" w:rsidP="00174AEA">
      <w:pPr>
        <w:pStyle w:val="Heading1numbered"/>
      </w:pPr>
      <w:bookmarkStart w:id="60" w:name="_Toc525026188"/>
      <w:r w:rsidRPr="00687A1C">
        <w:lastRenderedPageBreak/>
        <w:t>The cost of delivering services</w:t>
      </w:r>
      <w:bookmarkEnd w:id="60"/>
    </w:p>
    <w:p w:rsidR="00174AEA" w:rsidRPr="00687A1C" w:rsidRDefault="00174AEA" w:rsidP="00174AEA">
      <w:pPr>
        <w:spacing w:before="0" w:after="0"/>
        <w:sectPr w:rsidR="00174AEA" w:rsidRPr="00687A1C" w:rsidSect="00BF61EF">
          <w:headerReference w:type="even" r:id="rId46"/>
          <w:headerReference w:type="default" r:id="rId47"/>
          <w:pgSz w:w="11909" w:h="16834" w:code="9"/>
          <w:pgMar w:top="1728" w:right="1152" w:bottom="1152" w:left="1152" w:header="720" w:footer="288" w:gutter="0"/>
          <w:cols w:space="720"/>
          <w:noEndnote/>
        </w:sectPr>
      </w:pPr>
    </w:p>
    <w:p w:rsidR="00174AEA" w:rsidRPr="00687A1C" w:rsidRDefault="00174AEA" w:rsidP="00174AEA">
      <w:pPr>
        <w:pStyle w:val="Heading4"/>
      </w:pPr>
      <w:bookmarkStart w:id="61" w:name="Section_03"/>
      <w:r w:rsidRPr="00687A1C">
        <w:t>Introduction</w:t>
      </w:r>
    </w:p>
    <w:p w:rsidR="00174AEA" w:rsidRPr="00687A1C" w:rsidRDefault="00174AEA" w:rsidP="00174AEA">
      <w:r w:rsidRPr="00687A1C">
        <w:t xml:space="preserve">This section provides an account of the expenses incurred by the Department in delivering services and outputs. In note 2, the funds that enable the provision of services were disclosed and in this note the cost associated with </w:t>
      </w:r>
      <w:r w:rsidR="00A924C4" w:rsidRPr="00687A1C">
        <w:t xml:space="preserve">the </w:t>
      </w:r>
      <w:r w:rsidRPr="00687A1C">
        <w:t>provision of services are recorded. Note 4 discloses aggregated information in relation to the income and expenses by output.</w:t>
      </w:r>
    </w:p>
    <w:p w:rsidR="00174AEA" w:rsidRPr="00687A1C" w:rsidRDefault="00174AEA" w:rsidP="00174AEA">
      <w:pPr>
        <w:pStyle w:val="Heading4"/>
      </w:pPr>
      <w:r w:rsidRPr="00687A1C">
        <w:br w:type="column"/>
      </w:r>
      <w:r w:rsidRPr="00687A1C">
        <w:t>Structure</w:t>
      </w:r>
    </w:p>
    <w:p w:rsidR="00F97BB9" w:rsidRDefault="00174AEA">
      <w:pPr>
        <w:pStyle w:val="TOC5"/>
        <w:rPr>
          <w:noProof/>
          <w:color w:val="auto"/>
          <w:sz w:val="22"/>
        </w:rPr>
      </w:pPr>
      <w:r w:rsidRPr="00687A1C">
        <w:fldChar w:fldCharType="begin"/>
      </w:r>
      <w:r w:rsidRPr="00687A1C">
        <w:instrText xml:space="preserve"> TOC \h \z \t "Heading 2 numbered,5" \b Section_03 </w:instrText>
      </w:r>
      <w:r w:rsidRPr="00687A1C">
        <w:fldChar w:fldCharType="separate"/>
      </w:r>
      <w:hyperlink w:anchor="_Toc525026228" w:history="1">
        <w:r w:rsidR="00F97BB9" w:rsidRPr="00E27F19">
          <w:rPr>
            <w:rStyle w:val="Hyperlink"/>
            <w:noProof/>
          </w:rPr>
          <w:t>3.1</w:t>
        </w:r>
        <w:r w:rsidR="00F97BB9">
          <w:rPr>
            <w:noProof/>
            <w:color w:val="auto"/>
            <w:sz w:val="22"/>
          </w:rPr>
          <w:tab/>
        </w:r>
        <w:r w:rsidR="00F97BB9" w:rsidRPr="00E27F19">
          <w:rPr>
            <w:rStyle w:val="Hyperlink"/>
            <w:noProof/>
          </w:rPr>
          <w:t>Expenses incurred in delivery of services</w:t>
        </w:r>
        <w:r w:rsidR="00F97BB9">
          <w:rPr>
            <w:noProof/>
            <w:webHidden/>
          </w:rPr>
          <w:tab/>
        </w:r>
        <w:r w:rsidR="00F97BB9">
          <w:rPr>
            <w:noProof/>
            <w:webHidden/>
          </w:rPr>
          <w:fldChar w:fldCharType="begin"/>
        </w:r>
        <w:r w:rsidR="00F97BB9">
          <w:rPr>
            <w:noProof/>
            <w:webHidden/>
          </w:rPr>
          <w:instrText xml:space="preserve"> PAGEREF _Toc525026228 \h </w:instrText>
        </w:r>
        <w:r w:rsidR="00F97BB9">
          <w:rPr>
            <w:noProof/>
            <w:webHidden/>
          </w:rPr>
        </w:r>
        <w:r w:rsidR="00F97BB9">
          <w:rPr>
            <w:noProof/>
            <w:webHidden/>
          </w:rPr>
          <w:fldChar w:fldCharType="separate"/>
        </w:r>
        <w:r w:rsidR="00BE5F15">
          <w:rPr>
            <w:noProof/>
            <w:webHidden/>
          </w:rPr>
          <w:t>51</w:t>
        </w:r>
        <w:r w:rsidR="00F97BB9">
          <w:rPr>
            <w:noProof/>
            <w:webHidden/>
          </w:rPr>
          <w:fldChar w:fldCharType="end"/>
        </w:r>
      </w:hyperlink>
    </w:p>
    <w:p w:rsidR="00F97BB9" w:rsidRDefault="00EC4CFD">
      <w:pPr>
        <w:pStyle w:val="TOC5"/>
        <w:rPr>
          <w:noProof/>
          <w:color w:val="auto"/>
          <w:sz w:val="22"/>
        </w:rPr>
      </w:pPr>
      <w:hyperlink w:anchor="_Toc525026229" w:history="1">
        <w:r w:rsidR="00F97BB9" w:rsidRPr="00E27F19">
          <w:rPr>
            <w:rStyle w:val="Hyperlink"/>
            <w:noProof/>
          </w:rPr>
          <w:t>3.2</w:t>
        </w:r>
        <w:r w:rsidR="00F97BB9">
          <w:rPr>
            <w:noProof/>
            <w:color w:val="auto"/>
            <w:sz w:val="22"/>
          </w:rPr>
          <w:tab/>
        </w:r>
        <w:r w:rsidR="00F97BB9" w:rsidRPr="00E27F19">
          <w:rPr>
            <w:rStyle w:val="Hyperlink"/>
            <w:noProof/>
          </w:rPr>
          <w:t>Grants expense</w:t>
        </w:r>
        <w:r w:rsidR="00F97BB9">
          <w:rPr>
            <w:noProof/>
            <w:webHidden/>
          </w:rPr>
          <w:tab/>
        </w:r>
        <w:r w:rsidR="00F97BB9">
          <w:rPr>
            <w:noProof/>
            <w:webHidden/>
          </w:rPr>
          <w:fldChar w:fldCharType="begin"/>
        </w:r>
        <w:r w:rsidR="00F97BB9">
          <w:rPr>
            <w:noProof/>
            <w:webHidden/>
          </w:rPr>
          <w:instrText xml:space="preserve"> PAGEREF _Toc525026229 \h </w:instrText>
        </w:r>
        <w:r w:rsidR="00F97BB9">
          <w:rPr>
            <w:noProof/>
            <w:webHidden/>
          </w:rPr>
        </w:r>
        <w:r w:rsidR="00F97BB9">
          <w:rPr>
            <w:noProof/>
            <w:webHidden/>
          </w:rPr>
          <w:fldChar w:fldCharType="separate"/>
        </w:r>
        <w:r w:rsidR="00BE5F15">
          <w:rPr>
            <w:noProof/>
            <w:webHidden/>
          </w:rPr>
          <w:t>53</w:t>
        </w:r>
        <w:r w:rsidR="00F97BB9">
          <w:rPr>
            <w:noProof/>
            <w:webHidden/>
          </w:rPr>
          <w:fldChar w:fldCharType="end"/>
        </w:r>
      </w:hyperlink>
    </w:p>
    <w:p w:rsidR="00F97BB9" w:rsidRDefault="00EC4CFD">
      <w:pPr>
        <w:pStyle w:val="TOC5"/>
        <w:rPr>
          <w:noProof/>
          <w:color w:val="auto"/>
          <w:sz w:val="22"/>
        </w:rPr>
      </w:pPr>
      <w:hyperlink w:anchor="_Toc525026230" w:history="1">
        <w:r w:rsidR="00F97BB9" w:rsidRPr="00E27F19">
          <w:rPr>
            <w:rStyle w:val="Hyperlink"/>
            <w:noProof/>
          </w:rPr>
          <w:t>3.3</w:t>
        </w:r>
        <w:r w:rsidR="00F97BB9">
          <w:rPr>
            <w:noProof/>
            <w:color w:val="auto"/>
            <w:sz w:val="22"/>
          </w:rPr>
          <w:tab/>
        </w:r>
        <w:r w:rsidR="00F97BB9" w:rsidRPr="00E27F19">
          <w:rPr>
            <w:rStyle w:val="Hyperlink"/>
            <w:noProof/>
          </w:rPr>
          <w:t>Capital asset charge</w:t>
        </w:r>
        <w:r w:rsidR="00F97BB9">
          <w:rPr>
            <w:noProof/>
            <w:webHidden/>
          </w:rPr>
          <w:tab/>
        </w:r>
        <w:r w:rsidR="00F97BB9">
          <w:rPr>
            <w:noProof/>
            <w:webHidden/>
          </w:rPr>
          <w:fldChar w:fldCharType="begin"/>
        </w:r>
        <w:r w:rsidR="00F97BB9">
          <w:rPr>
            <w:noProof/>
            <w:webHidden/>
          </w:rPr>
          <w:instrText xml:space="preserve"> PAGEREF _Toc525026230 \h </w:instrText>
        </w:r>
        <w:r w:rsidR="00F97BB9">
          <w:rPr>
            <w:noProof/>
            <w:webHidden/>
          </w:rPr>
        </w:r>
        <w:r w:rsidR="00F97BB9">
          <w:rPr>
            <w:noProof/>
            <w:webHidden/>
          </w:rPr>
          <w:fldChar w:fldCharType="separate"/>
        </w:r>
        <w:r w:rsidR="00BE5F15">
          <w:rPr>
            <w:noProof/>
            <w:webHidden/>
          </w:rPr>
          <w:t>53</w:t>
        </w:r>
        <w:r w:rsidR="00F97BB9">
          <w:rPr>
            <w:noProof/>
            <w:webHidden/>
          </w:rPr>
          <w:fldChar w:fldCharType="end"/>
        </w:r>
      </w:hyperlink>
    </w:p>
    <w:p w:rsidR="00F97BB9" w:rsidRDefault="00EC4CFD">
      <w:pPr>
        <w:pStyle w:val="TOC5"/>
        <w:rPr>
          <w:noProof/>
          <w:color w:val="auto"/>
          <w:sz w:val="22"/>
        </w:rPr>
      </w:pPr>
      <w:hyperlink w:anchor="_Toc525026231" w:history="1">
        <w:r w:rsidR="00F97BB9" w:rsidRPr="00E27F19">
          <w:rPr>
            <w:rStyle w:val="Hyperlink"/>
            <w:noProof/>
          </w:rPr>
          <w:t>3.4</w:t>
        </w:r>
        <w:r w:rsidR="00F97BB9">
          <w:rPr>
            <w:noProof/>
            <w:color w:val="auto"/>
            <w:sz w:val="22"/>
          </w:rPr>
          <w:tab/>
        </w:r>
        <w:r w:rsidR="00F97BB9" w:rsidRPr="00E27F19">
          <w:rPr>
            <w:rStyle w:val="Hyperlink"/>
            <w:noProof/>
          </w:rPr>
          <w:t>Supplies and services</w:t>
        </w:r>
        <w:r w:rsidR="00F97BB9">
          <w:rPr>
            <w:noProof/>
            <w:webHidden/>
          </w:rPr>
          <w:tab/>
        </w:r>
        <w:r w:rsidR="00F97BB9">
          <w:rPr>
            <w:noProof/>
            <w:webHidden/>
          </w:rPr>
          <w:fldChar w:fldCharType="begin"/>
        </w:r>
        <w:r w:rsidR="00F97BB9">
          <w:rPr>
            <w:noProof/>
            <w:webHidden/>
          </w:rPr>
          <w:instrText xml:space="preserve"> PAGEREF _Toc525026231 \h </w:instrText>
        </w:r>
        <w:r w:rsidR="00F97BB9">
          <w:rPr>
            <w:noProof/>
            <w:webHidden/>
          </w:rPr>
        </w:r>
        <w:r w:rsidR="00F97BB9">
          <w:rPr>
            <w:noProof/>
            <w:webHidden/>
          </w:rPr>
          <w:fldChar w:fldCharType="separate"/>
        </w:r>
        <w:r w:rsidR="00BE5F15">
          <w:rPr>
            <w:noProof/>
            <w:webHidden/>
          </w:rPr>
          <w:t>54</w:t>
        </w:r>
        <w:r w:rsidR="00F97BB9">
          <w:rPr>
            <w:noProof/>
            <w:webHidden/>
          </w:rPr>
          <w:fldChar w:fldCharType="end"/>
        </w:r>
      </w:hyperlink>
    </w:p>
    <w:p w:rsidR="00F97BB9" w:rsidRDefault="00EC4CFD">
      <w:pPr>
        <w:pStyle w:val="TOC5"/>
        <w:rPr>
          <w:noProof/>
          <w:color w:val="auto"/>
          <w:sz w:val="22"/>
        </w:rPr>
      </w:pPr>
      <w:hyperlink w:anchor="_Toc525026232" w:history="1">
        <w:r w:rsidR="00F97BB9" w:rsidRPr="00E27F19">
          <w:rPr>
            <w:rStyle w:val="Hyperlink"/>
            <w:noProof/>
          </w:rPr>
          <w:t>3.5</w:t>
        </w:r>
        <w:r w:rsidR="00F97BB9">
          <w:rPr>
            <w:noProof/>
            <w:color w:val="auto"/>
            <w:sz w:val="22"/>
          </w:rPr>
          <w:tab/>
        </w:r>
        <w:r w:rsidR="00F97BB9" w:rsidRPr="00E27F19">
          <w:rPr>
            <w:rStyle w:val="Hyperlink"/>
            <w:noProof/>
          </w:rPr>
          <w:t>Land remediation costs</w:t>
        </w:r>
        <w:r w:rsidR="00F97BB9">
          <w:rPr>
            <w:noProof/>
            <w:webHidden/>
          </w:rPr>
          <w:tab/>
        </w:r>
        <w:r w:rsidR="00F97BB9">
          <w:rPr>
            <w:noProof/>
            <w:webHidden/>
          </w:rPr>
          <w:fldChar w:fldCharType="begin"/>
        </w:r>
        <w:r w:rsidR="00F97BB9">
          <w:rPr>
            <w:noProof/>
            <w:webHidden/>
          </w:rPr>
          <w:instrText xml:space="preserve"> PAGEREF _Toc525026232 \h </w:instrText>
        </w:r>
        <w:r w:rsidR="00F97BB9">
          <w:rPr>
            <w:noProof/>
            <w:webHidden/>
          </w:rPr>
        </w:r>
        <w:r w:rsidR="00F97BB9">
          <w:rPr>
            <w:noProof/>
            <w:webHidden/>
          </w:rPr>
          <w:fldChar w:fldCharType="separate"/>
        </w:r>
        <w:r w:rsidR="00BE5F15">
          <w:rPr>
            <w:noProof/>
            <w:webHidden/>
          </w:rPr>
          <w:t>54</w:t>
        </w:r>
        <w:r w:rsidR="00F97BB9">
          <w:rPr>
            <w:noProof/>
            <w:webHidden/>
          </w:rPr>
          <w:fldChar w:fldCharType="end"/>
        </w:r>
      </w:hyperlink>
    </w:p>
    <w:p w:rsidR="00174AEA" w:rsidRPr="00687A1C" w:rsidRDefault="00174AEA" w:rsidP="00174AEA">
      <w:r w:rsidRPr="00687A1C">
        <w:fldChar w:fldCharType="end"/>
      </w:r>
    </w:p>
    <w:p w:rsidR="00174AEA" w:rsidRPr="00687A1C" w:rsidRDefault="00174AEA" w:rsidP="00174AEA">
      <w:pPr>
        <w:sectPr w:rsidR="00174AEA" w:rsidRPr="00687A1C" w:rsidSect="00BF61EF">
          <w:type w:val="continuous"/>
          <w:pgSz w:w="11909" w:h="16834" w:code="9"/>
          <w:pgMar w:top="1728" w:right="1152" w:bottom="1152" w:left="1152" w:header="720" w:footer="288" w:gutter="0"/>
          <w:cols w:num="2" w:space="720"/>
          <w:noEndnote/>
        </w:sectPr>
      </w:pPr>
    </w:p>
    <w:p w:rsidR="00174AEA" w:rsidRPr="00687A1C" w:rsidRDefault="00174AEA" w:rsidP="00174AEA">
      <w:pPr>
        <w:pStyle w:val="Spacer"/>
      </w:pPr>
    </w:p>
    <w:p w:rsidR="00174AEA" w:rsidRPr="00687A1C" w:rsidRDefault="00174AEA" w:rsidP="00174AEA">
      <w:r w:rsidRPr="00687A1C">
        <w:br w:type="column"/>
      </w:r>
    </w:p>
    <w:p w:rsidR="00174AEA" w:rsidRPr="00687A1C" w:rsidRDefault="00174AEA" w:rsidP="00174AEA">
      <w:pPr>
        <w:sectPr w:rsidR="00174AEA" w:rsidRPr="00687A1C" w:rsidSect="00BF61EF">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62" w:name="_Toc525026189"/>
      <w:bookmarkStart w:id="63" w:name="_Toc525026228"/>
      <w:r w:rsidRPr="00687A1C">
        <w:t>Expenses incurred in delivery of services</w:t>
      </w:r>
      <w:bookmarkEnd w:id="62"/>
      <w:bookmarkEnd w:id="63"/>
    </w:p>
    <w:tbl>
      <w:tblPr>
        <w:tblStyle w:val="AnnualReporttexttable"/>
        <w:tblW w:w="8253" w:type="dxa"/>
        <w:tblLayout w:type="fixed"/>
        <w:tblLook w:val="00A0" w:firstRow="1" w:lastRow="0" w:firstColumn="1" w:lastColumn="0" w:noHBand="0" w:noVBand="0"/>
      </w:tblPr>
      <w:tblGrid>
        <w:gridCol w:w="5148"/>
        <w:gridCol w:w="1035"/>
        <w:gridCol w:w="1035"/>
        <w:gridCol w:w="1035"/>
      </w:tblGrid>
      <w:tr w:rsidR="00174AEA" w:rsidRPr="00687A1C" w:rsidTr="008A397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4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shd w:val="clear" w:color="auto" w:fill="auto"/>
            <w:vAlign w:val="bottom"/>
          </w:tcPr>
          <w:p w:rsidR="00174AEA" w:rsidRPr="00687A1C" w:rsidRDefault="00174AEA" w:rsidP="008A3976">
            <w:pPr>
              <w:pStyle w:val="Tabletextheadingright"/>
              <w:jc w:val="center"/>
              <w:rPr>
                <w:b/>
              </w:rPr>
            </w:pPr>
            <w:r w:rsidRPr="00687A1C">
              <w:rPr>
                <w:b/>
              </w:rPr>
              <w:t>Notes</w:t>
            </w:r>
          </w:p>
        </w:tc>
        <w:tc>
          <w:tcPr>
            <w:cnfStyle w:val="000001000000" w:firstRow="0" w:lastRow="0" w:firstColumn="0" w:lastColumn="0" w:oddVBand="0" w:evenVBand="1" w:oddHBand="0" w:evenHBand="0" w:firstRowFirstColumn="0" w:firstRowLastColumn="0" w:lastRowFirstColumn="0" w:lastRowLastColumn="0"/>
            <w:tcW w:w="1035" w:type="dxa"/>
            <w:shd w:val="clear" w:color="auto" w:fill="auto"/>
            <w:vAlign w:val="bottom"/>
          </w:tcPr>
          <w:p w:rsidR="00174AEA" w:rsidRPr="00687A1C" w:rsidRDefault="00174AEA" w:rsidP="008A3976">
            <w:pPr>
              <w:pStyle w:val="Tabletextheadingright"/>
              <w:rPr>
                <w:b/>
                <w:color w:val="000000"/>
              </w:rPr>
            </w:pPr>
            <w:r w:rsidRPr="00687A1C">
              <w:rPr>
                <w:b/>
              </w:rPr>
              <w:t>2018</w:t>
            </w:r>
            <w:r w:rsidRPr="00687A1C">
              <w:rPr>
                <w:b/>
              </w:rPr>
              <w:br/>
              <w:t>$’000</w:t>
            </w:r>
          </w:p>
        </w:tc>
        <w:tc>
          <w:tcPr>
            <w:cnfStyle w:val="000010000000" w:firstRow="0" w:lastRow="0" w:firstColumn="0" w:lastColumn="0" w:oddVBand="1" w:evenVBand="0" w:oddHBand="0" w:evenHBand="0" w:firstRowFirstColumn="0" w:firstRowLastColumn="0" w:lastRowFirstColumn="0" w:lastRowLastColumn="0"/>
            <w:tcW w:w="1035" w:type="dxa"/>
            <w:shd w:val="clear" w:color="auto" w:fill="auto"/>
            <w:vAlign w:val="bottom"/>
          </w:tcPr>
          <w:p w:rsidR="00174AEA" w:rsidRPr="00687A1C" w:rsidRDefault="00174AEA" w:rsidP="008A3976">
            <w:pPr>
              <w:pStyle w:val="Tabletextheadingright"/>
              <w:rPr>
                <w:b/>
                <w:color w:val="000000"/>
              </w:rPr>
            </w:pPr>
            <w:r w:rsidRPr="00687A1C">
              <w:rPr>
                <w:b/>
              </w:rPr>
              <w:t>2017</w:t>
            </w:r>
            <w:r w:rsidRPr="00687A1C">
              <w:rPr>
                <w:b/>
              </w:rPr>
              <w:br/>
              <w:t>$’000</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
            </w:pPr>
            <w:r w:rsidRPr="00687A1C">
              <w:t>Employee expenses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centred"/>
            </w:pPr>
            <w:r w:rsidRPr="00687A1C">
              <w:t>3.1.1</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140</w:t>
            </w:r>
            <w:r w:rsidR="00D8412D" w:rsidRPr="00687A1C">
              <w:rPr>
                <w:rFonts w:ascii="Calibri" w:hAnsi="Calibri" w:cs="Calibri"/>
              </w:rPr>
              <w:t xml:space="preserve"> </w:t>
            </w:r>
            <w:r w:rsidRPr="00687A1C">
              <w:t xml:space="preserve">960 </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131</w:t>
            </w:r>
            <w:r w:rsidR="00D8412D" w:rsidRPr="00687A1C">
              <w:rPr>
                <w:rFonts w:ascii="Calibri" w:hAnsi="Calibri" w:cs="Calibri"/>
              </w:rPr>
              <w:t xml:space="preserve"> </w:t>
            </w:r>
            <w:r w:rsidRPr="00687A1C">
              <w:t>199</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
            </w:pPr>
            <w:r w:rsidRPr="00687A1C">
              <w:t>Grants expense</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centred"/>
            </w:pPr>
            <w:r w:rsidRPr="00687A1C">
              <w:t>3.2</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31</w:t>
            </w:r>
            <w:r w:rsidR="00D8412D" w:rsidRPr="00687A1C">
              <w:rPr>
                <w:rFonts w:ascii="Calibri" w:hAnsi="Calibri" w:cs="Calibri"/>
              </w:rPr>
              <w:t xml:space="preserve"> </w:t>
            </w:r>
            <w:r w:rsidRPr="00687A1C">
              <w:t xml:space="preserve">771 </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34</w:t>
            </w:r>
            <w:r w:rsidR="00D8412D" w:rsidRPr="00687A1C">
              <w:rPr>
                <w:rFonts w:ascii="Calibri" w:hAnsi="Calibri" w:cs="Calibri"/>
              </w:rPr>
              <w:t xml:space="preserve"> </w:t>
            </w:r>
            <w:r w:rsidRPr="00687A1C">
              <w:t>870</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
            </w:pPr>
            <w:r w:rsidRPr="00687A1C">
              <w:t>Capital asset charge</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centred"/>
            </w:pPr>
            <w:r w:rsidRPr="00687A1C">
              <w:t>3.3</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 xml:space="preserve">998 </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815</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
            </w:pPr>
            <w:r w:rsidRPr="00687A1C">
              <w:t>Supplies and services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centred"/>
            </w:pPr>
            <w:r w:rsidRPr="00687A1C">
              <w:t>3.4</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116</w:t>
            </w:r>
            <w:r w:rsidR="00D8412D" w:rsidRPr="00687A1C">
              <w:rPr>
                <w:rFonts w:ascii="Calibri" w:hAnsi="Calibri" w:cs="Calibri"/>
              </w:rPr>
              <w:t xml:space="preserve"> </w:t>
            </w:r>
            <w:r w:rsidRPr="00687A1C">
              <w:t xml:space="preserve">704 </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117</w:t>
            </w:r>
            <w:r w:rsidR="00D8412D" w:rsidRPr="00687A1C">
              <w:rPr>
                <w:rFonts w:ascii="Calibri" w:hAnsi="Calibri" w:cs="Calibri"/>
              </w:rPr>
              <w:t xml:space="preserve"> </w:t>
            </w:r>
            <w:r w:rsidRPr="00687A1C">
              <w:t>556</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
            </w:pPr>
            <w:r w:rsidRPr="00687A1C">
              <w:t>Land remediation costs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centred"/>
            </w:pPr>
            <w:r w:rsidRPr="00687A1C">
              <w:t>3.5</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8A3976">
            <w:pPr>
              <w:pStyle w:val="Tabletextright"/>
            </w:pPr>
            <w:r w:rsidRPr="00687A1C">
              <w:t xml:space="preserve">620 </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66</w:t>
            </w:r>
            <w:r w:rsidR="00D8412D" w:rsidRPr="00687A1C">
              <w:rPr>
                <w:rFonts w:ascii="Calibri" w:hAnsi="Calibri" w:cs="Calibri"/>
              </w:rPr>
              <w:t xml:space="preserve"> </w:t>
            </w:r>
            <w:r w:rsidRPr="00687A1C">
              <w:t>338</w:t>
            </w:r>
          </w:p>
        </w:tc>
      </w:tr>
    </w:tbl>
    <w:p w:rsidR="00174AEA" w:rsidRPr="00687A1C" w:rsidRDefault="00174AEA" w:rsidP="00174AEA">
      <w:pPr>
        <w:pStyle w:val="Spacer"/>
      </w:pPr>
    </w:p>
    <w:p w:rsidR="00174AEA" w:rsidRPr="00687A1C" w:rsidRDefault="00174AEA" w:rsidP="00174AEA">
      <w:pPr>
        <w:pStyle w:val="Heading3numbered"/>
      </w:pPr>
      <w:bookmarkStart w:id="64" w:name="_Ref492632626"/>
      <w:r w:rsidRPr="00687A1C">
        <w:t>Employee expenses – comprehensive operating statement</w:t>
      </w:r>
      <w:bookmarkEnd w:id="64"/>
    </w:p>
    <w:tbl>
      <w:tblPr>
        <w:tblStyle w:val="AnnualReporttexttable"/>
        <w:tblW w:w="7218" w:type="dxa"/>
        <w:tblLayout w:type="fixed"/>
        <w:tblLook w:val="00A0" w:firstRow="1" w:lastRow="0" w:firstColumn="1" w:lastColumn="0" w:noHBand="0" w:noVBand="0"/>
      </w:tblPr>
      <w:tblGrid>
        <w:gridCol w:w="5148"/>
        <w:gridCol w:w="1035"/>
        <w:gridCol w:w="1035"/>
      </w:tblGrid>
      <w:tr w:rsidR="00174AEA" w:rsidRPr="00687A1C" w:rsidTr="008A397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4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shd w:val="clear" w:color="auto" w:fill="auto"/>
            <w:vAlign w:val="bottom"/>
          </w:tcPr>
          <w:p w:rsidR="00174AEA" w:rsidRPr="00687A1C" w:rsidRDefault="00174AEA" w:rsidP="008A3976">
            <w:pPr>
              <w:pStyle w:val="Tabletextheadingright"/>
              <w:rPr>
                <w:b/>
                <w:color w:val="000000"/>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35" w:type="dxa"/>
            <w:shd w:val="clear" w:color="auto" w:fill="auto"/>
            <w:vAlign w:val="bottom"/>
          </w:tcPr>
          <w:p w:rsidR="00174AEA" w:rsidRPr="00687A1C" w:rsidRDefault="00174AEA" w:rsidP="008A3976">
            <w:pPr>
              <w:pStyle w:val="Tabletextheadingright"/>
              <w:rPr>
                <w:b/>
                <w:color w:val="000000"/>
              </w:rPr>
            </w:pPr>
            <w:r w:rsidRPr="00687A1C">
              <w:rPr>
                <w:b/>
              </w:rPr>
              <w:t>2017</w:t>
            </w:r>
            <w:r w:rsidRPr="00687A1C">
              <w:rPr>
                <w:b/>
              </w:rPr>
              <w:br/>
              <w:t>$’000</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bold"/>
            </w:pPr>
            <w:r w:rsidRPr="00687A1C">
              <w:t>Salaries, wages, annual and long service leave</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bullet"/>
            </w:pPr>
            <w:r w:rsidRPr="00687A1C">
              <w:t>Salaries and wages</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108</w:t>
            </w:r>
            <w:r w:rsidR="00D8412D" w:rsidRPr="00687A1C">
              <w:rPr>
                <w:rFonts w:ascii="Calibri" w:hAnsi="Calibri" w:cs="Calibri"/>
              </w:rPr>
              <w:t xml:space="preserve"> </w:t>
            </w:r>
            <w:r w:rsidRPr="00687A1C">
              <w:t xml:space="preserve">119 </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99</w:t>
            </w:r>
            <w:r w:rsidR="00D8412D" w:rsidRPr="00687A1C">
              <w:rPr>
                <w:rFonts w:ascii="Calibri" w:hAnsi="Calibri" w:cs="Calibri"/>
              </w:rPr>
              <w:t xml:space="preserve"> </w:t>
            </w:r>
            <w:r w:rsidRPr="00687A1C">
              <w:t>744</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bullet"/>
            </w:pPr>
            <w:r w:rsidRPr="00687A1C">
              <w:t>Annual and long service leave expense</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14</w:t>
            </w:r>
            <w:r w:rsidR="00D8412D" w:rsidRPr="00687A1C">
              <w:rPr>
                <w:rFonts w:ascii="Calibri" w:hAnsi="Calibri" w:cs="Calibri"/>
              </w:rPr>
              <w:t xml:space="preserve"> </w:t>
            </w:r>
            <w:r w:rsidRPr="00687A1C">
              <w:t xml:space="preserve">640 </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14</w:t>
            </w:r>
            <w:r w:rsidR="00D8412D" w:rsidRPr="00687A1C">
              <w:rPr>
                <w:rFonts w:ascii="Calibri" w:hAnsi="Calibri" w:cs="Calibri"/>
              </w:rPr>
              <w:t xml:space="preserve"> </w:t>
            </w:r>
            <w:r w:rsidRPr="00687A1C">
              <w:t>495</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bold"/>
            </w:pPr>
            <w:r w:rsidRPr="00687A1C">
              <w:t>Superannuation</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8A3976">
            <w:pPr>
              <w:pStyle w:val="Tabletextright"/>
            </w:pP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bullet"/>
            </w:pPr>
            <w:r w:rsidRPr="00687A1C">
              <w:t>Defined contribution plans</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 xml:space="preserve">746 </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8</w:t>
            </w:r>
            <w:r w:rsidR="00D8412D" w:rsidRPr="00687A1C">
              <w:rPr>
                <w:rFonts w:ascii="Calibri" w:hAnsi="Calibri" w:cs="Calibri"/>
              </w:rPr>
              <w:t xml:space="preserve"> </w:t>
            </w:r>
            <w:r w:rsidRPr="00687A1C">
              <w:t>905</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bullet"/>
            </w:pPr>
            <w:r w:rsidRPr="00687A1C">
              <w:t>Defined benefits expense</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 xml:space="preserve">402 </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494</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
            </w:pPr>
            <w:r w:rsidRPr="00687A1C">
              <w:t>On</w:t>
            </w:r>
            <w:r w:rsidRPr="00687A1C">
              <w:noBreakHyphen/>
              <w:t>costs</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 xml:space="preserve">053 </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561</w:t>
            </w:r>
          </w:p>
        </w:tc>
      </w:tr>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148" w:type="dxa"/>
            <w:vAlign w:val="bottom"/>
          </w:tcPr>
          <w:p w:rsidR="00174AEA" w:rsidRPr="00687A1C" w:rsidRDefault="00174AEA" w:rsidP="008A3976">
            <w:pPr>
              <w:pStyle w:val="Tabletextbold"/>
            </w:pPr>
            <w:r w:rsidRPr="00687A1C">
              <w:t>Total employee expenses</w:t>
            </w:r>
          </w:p>
        </w:tc>
        <w:tc>
          <w:tcPr>
            <w:cnfStyle w:val="000010000000" w:firstRow="0" w:lastRow="0" w:firstColumn="0" w:lastColumn="0" w:oddVBand="1" w:evenVBand="0" w:oddHBand="0" w:evenHBand="0" w:firstRowFirstColumn="0" w:firstRowLastColumn="0" w:lastRowFirstColumn="0" w:lastRowLastColumn="0"/>
            <w:tcW w:w="1035" w:type="dxa"/>
            <w:vAlign w:val="bottom"/>
          </w:tcPr>
          <w:p w:rsidR="00174AEA" w:rsidRPr="00687A1C" w:rsidRDefault="00174AEA" w:rsidP="00D8412D">
            <w:pPr>
              <w:pStyle w:val="Tabletextrightbold"/>
            </w:pPr>
            <w:r w:rsidRPr="00687A1C">
              <w:t>140</w:t>
            </w:r>
            <w:r w:rsidR="00D8412D" w:rsidRPr="00687A1C">
              <w:rPr>
                <w:rFonts w:ascii="Calibri" w:hAnsi="Calibri" w:cs="Calibri"/>
              </w:rPr>
              <w:t xml:space="preserve"> </w:t>
            </w:r>
            <w:r w:rsidRPr="00687A1C">
              <w:t xml:space="preserve">960 </w:t>
            </w:r>
          </w:p>
        </w:tc>
        <w:tc>
          <w:tcPr>
            <w:cnfStyle w:val="000001000000" w:firstRow="0" w:lastRow="0" w:firstColumn="0" w:lastColumn="0" w:oddVBand="0" w:evenVBand="1" w:oddHBand="0" w:evenHBand="0" w:firstRowFirstColumn="0" w:firstRowLastColumn="0" w:lastRowFirstColumn="0" w:lastRowLastColumn="0"/>
            <w:tcW w:w="1035" w:type="dxa"/>
            <w:vAlign w:val="bottom"/>
          </w:tcPr>
          <w:p w:rsidR="00174AEA" w:rsidRPr="00687A1C" w:rsidRDefault="00174AEA" w:rsidP="00D8412D">
            <w:pPr>
              <w:pStyle w:val="Tabletextrightbold"/>
            </w:pPr>
            <w:r w:rsidRPr="00687A1C">
              <w:t>131</w:t>
            </w:r>
            <w:r w:rsidR="00D8412D" w:rsidRPr="00687A1C">
              <w:rPr>
                <w:rFonts w:ascii="Calibri" w:hAnsi="Calibri" w:cs="Calibri"/>
              </w:rPr>
              <w:t xml:space="preserve"> </w:t>
            </w:r>
            <w:r w:rsidRPr="00687A1C">
              <w:t>199</w:t>
            </w:r>
          </w:p>
        </w:tc>
      </w:tr>
    </w:tbl>
    <w:p w:rsidR="00174AEA" w:rsidRPr="00687A1C" w:rsidRDefault="00174AEA" w:rsidP="00174AEA">
      <w:pPr>
        <w:pStyle w:val="Spacer"/>
      </w:pPr>
    </w:p>
    <w:p w:rsidR="00174AEA" w:rsidRPr="00687A1C" w:rsidRDefault="00174AEA" w:rsidP="00174AEA">
      <w:pPr>
        <w:pStyle w:val="Spacer"/>
      </w:pPr>
    </w:p>
    <w:p w:rsidR="00174AEA" w:rsidRPr="00687A1C" w:rsidRDefault="00174AEA" w:rsidP="00174AEA">
      <w:pPr>
        <w:sectPr w:rsidR="00174AEA" w:rsidRPr="00687A1C" w:rsidSect="00BF61EF">
          <w:type w:val="continuous"/>
          <w:pgSz w:w="11909" w:h="16834" w:code="9"/>
          <w:pgMar w:top="1728" w:right="1152" w:bottom="1152" w:left="1152" w:header="720" w:footer="288" w:gutter="0"/>
          <w:cols w:space="720"/>
          <w:noEndnote/>
        </w:sectPr>
      </w:pPr>
    </w:p>
    <w:p w:rsidR="00174AEA" w:rsidRPr="00687A1C" w:rsidRDefault="00174AEA" w:rsidP="00174AEA">
      <w:r w:rsidRPr="00687A1C">
        <w:lastRenderedPageBreak/>
        <w:t>Employee expenses comprise all costs related to employment including wages and salaries, superannuation, fringe benefits tax, leave entitlements, termination payments and WorkCover premiums. Superannuation expenses represent the employer contributions for members of both defined benefit and defined contribution superannuation plans that are paid or payable during the reporting period. The Department discloses, on behalf of the State as the sponsoring employer, the net defined benefit cost and the defined benefit liability or surplus related to the members of these plans as administered items (note 4.2).</w:t>
      </w:r>
    </w:p>
    <w:p w:rsidR="00174AEA" w:rsidRPr="00687A1C" w:rsidRDefault="00174AEA" w:rsidP="00174AEA">
      <w:r w:rsidRPr="00687A1C">
        <w:t xml:space="preserve">Termination benefits are payable when employment is terminated before the normal retirement date, or when </w:t>
      </w:r>
      <w:r w:rsidRPr="00687A1C">
        <w:t xml:space="preserve">an employee decides to accept an offer of benefits in exchange for the termination of employment. </w:t>
      </w:r>
      <w:r w:rsidR="00AC00BD" w:rsidRPr="00687A1C">
        <w:t>Termination benefits are recognised when the Department is demonstrably committed to (i) terminating the employment of current employees according to a detailed formal plan, without the possibility of withdrawal; or (ii) providing termination benefits as a result of an offer made to encourage voluntary redundancy.</w:t>
      </w:r>
      <w:r w:rsidRPr="00687A1C">
        <w:t xml:space="preserve"> Benefits falling due more than 12 months after the end of the reporting period are discounted to present value.</w:t>
      </w:r>
    </w:p>
    <w:p w:rsidR="00174AEA" w:rsidRPr="00687A1C" w:rsidRDefault="00174AEA" w:rsidP="00174AEA"/>
    <w:p w:rsidR="00174AEA" w:rsidRPr="00687A1C" w:rsidRDefault="00174AEA" w:rsidP="00174AEA">
      <w:pPr>
        <w:sectPr w:rsidR="00174AEA" w:rsidRPr="00687A1C" w:rsidSect="008A3976">
          <w:headerReference w:type="even" r:id="rId48"/>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t>Employee expenses – balance sheet</w:t>
      </w:r>
    </w:p>
    <w:tbl>
      <w:tblPr>
        <w:tblStyle w:val="AnnualReporttexttable"/>
        <w:tblW w:w="0" w:type="auto"/>
        <w:tblLayout w:type="fixed"/>
        <w:tblLook w:val="00A0" w:firstRow="1" w:lastRow="0" w:firstColumn="1" w:lastColumn="0" w:noHBand="0" w:noVBand="0"/>
      </w:tblPr>
      <w:tblGrid>
        <w:gridCol w:w="5508"/>
        <w:gridCol w:w="1080"/>
        <w:gridCol w:w="1080"/>
      </w:tblGrid>
      <w:tr w:rsidR="00174AEA" w:rsidRPr="00687A1C" w:rsidTr="008A3976">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vAlign w:val="bottom"/>
          </w:tcPr>
          <w:p w:rsidR="00174AEA" w:rsidRPr="00687A1C" w:rsidRDefault="00174AEA" w:rsidP="008A3976">
            <w:pPr>
              <w:pStyle w:val="Tabletext"/>
              <w:jc w:val="left"/>
              <w:rPr>
                <w:sz w:val="16"/>
              </w:rPr>
            </w:pPr>
            <w:r w:rsidRPr="00687A1C">
              <w:rPr>
                <w:sz w:val="16"/>
              </w:rPr>
              <w:t>Provisions</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vAlign w:val="bottom"/>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80" w:type="dxa"/>
            <w:shd w:val="clear" w:color="auto" w:fill="auto"/>
            <w:vAlign w:val="bottom"/>
          </w:tcPr>
          <w:p w:rsidR="00174AEA" w:rsidRPr="00687A1C" w:rsidRDefault="00174AEA" w:rsidP="008A3976">
            <w:pPr>
              <w:pStyle w:val="Tabletextheadingright"/>
            </w:pPr>
            <w:r w:rsidRPr="00687A1C">
              <w:rPr>
                <w:b/>
              </w:rPr>
              <w:t>2017</w:t>
            </w:r>
            <w:r w:rsidRPr="00687A1C">
              <w:rPr>
                <w:b/>
              </w:rPr>
              <w:br/>
              <w:t>$’000</w:t>
            </w:r>
          </w:p>
        </w:tc>
      </w:tr>
      <w:tr w:rsidR="00174AEA" w:rsidRPr="00687A1C" w:rsidTr="008A3976">
        <w:trPr>
          <w:trHeight w:val="263"/>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rPr>
          <w:trHeight w:val="187"/>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rPr>
                <w:b/>
              </w:rPr>
            </w:pPr>
            <w:r w:rsidRPr="00687A1C">
              <w:rPr>
                <w:b/>
              </w:rPr>
              <w:t>Current</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text"/>
            </w:pPr>
            <w:r w:rsidRPr="00687A1C">
              <w:t>Annual leave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
                <w:bCs/>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bullet"/>
            </w:pPr>
            <w:r w:rsidRPr="00687A1C">
              <w:t>unconditional and expected to be settled within 12 months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 xml:space="preserve">599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308</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bullet"/>
            </w:pPr>
            <w:r w:rsidRPr="00687A1C">
              <w:t>unconditional and expected to be settled after 12 months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 xml:space="preserve">416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766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text"/>
            </w:pPr>
            <w:r w:rsidRPr="00687A1C">
              <w:t>Long service leave</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bullet"/>
            </w:pPr>
            <w:r w:rsidRPr="00687A1C">
              <w:t>unconditional and expected to be settled within 12 months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00AE48A5" w:rsidRPr="00687A1C">
              <w:t>783</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816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bullet"/>
            </w:pPr>
            <w:r w:rsidRPr="00687A1C">
              <w:t>unconditional and expected to be settled after 12 months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19</w:t>
            </w:r>
            <w:r w:rsidR="00D8412D" w:rsidRPr="00687A1C">
              <w:rPr>
                <w:rFonts w:ascii="Calibri" w:hAnsi="Calibri" w:cs="Calibri"/>
              </w:rPr>
              <w:t xml:space="preserve"> </w:t>
            </w:r>
            <w:r w:rsidRPr="00687A1C">
              <w:t>893</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18</w:t>
            </w:r>
            <w:r w:rsidR="00D8412D" w:rsidRPr="00687A1C">
              <w:rPr>
                <w:rFonts w:ascii="Calibri" w:hAnsi="Calibri" w:cs="Calibri"/>
              </w:rPr>
              <w:t xml:space="preserve"> </w:t>
            </w:r>
            <w:r w:rsidRPr="00687A1C">
              <w:t>986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text"/>
            </w:pPr>
            <w:r w:rsidRPr="00687A1C">
              <w:t>On</w:t>
            </w:r>
            <w:r w:rsidRPr="00687A1C">
              <w:noBreakHyphen/>
              <w:t>costs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 xml:space="preserve">037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757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text"/>
            </w:pPr>
            <w:r w:rsidRPr="00687A1C">
              <w:t>Performance bonus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r w:rsidRPr="00687A1C">
              <w:t xml:space="preserve">213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r w:rsidRPr="00687A1C">
              <w:t>313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Total current provisions for employee benefits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36</w:t>
            </w:r>
            <w:r w:rsidR="00D8412D" w:rsidRPr="00687A1C">
              <w:rPr>
                <w:rFonts w:ascii="Calibri" w:hAnsi="Calibri" w:cs="Calibri"/>
              </w:rPr>
              <w:t xml:space="preserve"> </w:t>
            </w:r>
            <w:r w:rsidR="00AE48A5" w:rsidRPr="00687A1C">
              <w:t>941</w:t>
            </w:r>
            <w:r w:rsidRPr="00687A1C">
              <w:t xml:space="preserve">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34</w:t>
            </w:r>
            <w:r w:rsidR="00D8412D" w:rsidRPr="00687A1C">
              <w:rPr>
                <w:rFonts w:ascii="Calibri" w:hAnsi="Calibri" w:cs="Calibri"/>
              </w:rPr>
              <w:t xml:space="preserve"> </w:t>
            </w:r>
            <w:r w:rsidRPr="00687A1C">
              <w:t>946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rPr>
          <w:trHeight w:val="26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Non</w:t>
            </w:r>
            <w:r w:rsidRPr="00687A1C">
              <w:noBreakHyphen/>
              <w:t xml:space="preserve">current: </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rPr>
          <w:trHeight w:val="25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text"/>
            </w:pPr>
            <w:r w:rsidRPr="00687A1C">
              <w:t>Long service leave</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 xml:space="preserve">921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666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DE0CB9">
            <w:pPr>
              <w:pStyle w:val="Tabletext"/>
            </w:pPr>
            <w:r w:rsidRPr="00687A1C">
              <w:t>On</w:t>
            </w:r>
            <w:r w:rsidRPr="00687A1C">
              <w:noBreakHyphen/>
              <w:t>costs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r w:rsidRPr="00687A1C">
              <w:t xml:space="preserve">325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r w:rsidRPr="00687A1C">
              <w:t>288</w:t>
            </w:r>
          </w:p>
        </w:tc>
      </w:tr>
      <w:tr w:rsidR="00174AEA" w:rsidRPr="00687A1C" w:rsidTr="008A3976">
        <w:trPr>
          <w:trHeight w:val="25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Total non-current provisions for employee benefits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 xml:space="preserve">246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954</w:t>
            </w:r>
          </w:p>
        </w:tc>
      </w:tr>
      <w:tr w:rsidR="00174AEA" w:rsidRPr="00687A1C" w:rsidTr="008A3976">
        <w:trPr>
          <w:trHeight w:val="25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Total provisions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40</w:t>
            </w:r>
            <w:r w:rsidR="00D8412D" w:rsidRPr="00687A1C">
              <w:rPr>
                <w:rFonts w:ascii="Calibri" w:hAnsi="Calibri" w:cs="Calibri"/>
              </w:rPr>
              <w:t xml:space="preserve"> </w:t>
            </w:r>
            <w:r w:rsidR="00AE48A5" w:rsidRPr="00687A1C">
              <w:t>187</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37</w:t>
            </w:r>
            <w:r w:rsidR="00D8412D" w:rsidRPr="00687A1C">
              <w:rPr>
                <w:rFonts w:ascii="Calibri" w:hAnsi="Calibri" w:cs="Calibri"/>
              </w:rPr>
              <w:t xml:space="preserve"> </w:t>
            </w:r>
            <w:r w:rsidRPr="00687A1C">
              <w:t>900</w:t>
            </w:r>
          </w:p>
        </w:tc>
      </w:tr>
    </w:tbl>
    <w:p w:rsidR="00174AEA" w:rsidRPr="00687A1C" w:rsidRDefault="00174AEA" w:rsidP="00174AEA"/>
    <w:p w:rsidR="00174AEA" w:rsidRPr="00687A1C" w:rsidRDefault="00174AEA" w:rsidP="00174AEA">
      <w:pPr>
        <w:pStyle w:val="Heading3numbered"/>
      </w:pPr>
      <w:r w:rsidRPr="00687A1C">
        <w:t>Reconciliation of movement in on</w:t>
      </w:r>
      <w:r w:rsidRPr="00687A1C">
        <w:noBreakHyphen/>
        <w:t>costs provisions</w:t>
      </w:r>
    </w:p>
    <w:tbl>
      <w:tblPr>
        <w:tblStyle w:val="AnnualReporttexttable"/>
        <w:tblW w:w="7668" w:type="dxa"/>
        <w:tblLayout w:type="fixed"/>
        <w:tblLook w:val="0080" w:firstRow="0" w:lastRow="0" w:firstColumn="1" w:lastColumn="0" w:noHBand="0" w:noVBand="0"/>
      </w:tblPr>
      <w:tblGrid>
        <w:gridCol w:w="6588"/>
        <w:gridCol w:w="1080"/>
      </w:tblGrid>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Notes"/>
              <w:rPr>
                <w:sz w:val="20"/>
              </w:rPr>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pPr>
            <w:r w:rsidRPr="00687A1C">
              <w:t>2018</w:t>
            </w:r>
            <w:r w:rsidRPr="00687A1C">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bold"/>
              <w:rPr>
                <w:color w:val="000000"/>
              </w:rPr>
            </w:pPr>
            <w:r w:rsidRPr="00687A1C">
              <w:t>Opening balance</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045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rPr>
                <w:color w:val="000000"/>
              </w:rPr>
            </w:pPr>
            <w:r w:rsidRPr="00687A1C">
              <w:t>Additional provisions recognised</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t xml:space="preserve"> </w:t>
            </w:r>
            <w:r w:rsidRPr="00687A1C">
              <w:t>140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rPr>
                <w:color w:val="000000"/>
              </w:rPr>
            </w:pPr>
            <w:r w:rsidRPr="00687A1C">
              <w:t>Reductions arising from payments/other sacrifices of future economic benefits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w:t>
            </w:r>
            <w:r w:rsidR="00D8412D" w:rsidRPr="00687A1C">
              <w:t xml:space="preserve"> </w:t>
            </w:r>
            <w:r w:rsidRPr="00687A1C">
              <w:t>818)</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rPr>
                <w:color w:val="000000"/>
              </w:rPr>
            </w:pPr>
            <w:r w:rsidRPr="00687A1C">
              <w:t>Unwind of discount and effect of changes in the discount rate</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r w:rsidRPr="00687A1C">
              <w:t>(5)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bold"/>
              <w:rPr>
                <w:color w:val="000000"/>
              </w:rPr>
            </w:pPr>
            <w:r w:rsidRPr="00687A1C">
              <w:t>Closing balance</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362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rPr>
                <w:color w:val="000000"/>
              </w:rPr>
            </w:pPr>
            <w:r w:rsidRPr="00687A1C">
              <w:t>Current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AE48A5" w:rsidP="008A3976">
            <w:pPr>
              <w:pStyle w:val="Tabletextright"/>
            </w:pPr>
            <w:r w:rsidRPr="00687A1C">
              <w:t>4 037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rPr>
                <w:color w:val="000000"/>
              </w:rPr>
            </w:pPr>
            <w:r w:rsidRPr="00687A1C">
              <w:t>Non</w:t>
            </w:r>
            <w:r w:rsidRPr="00687A1C">
              <w:noBreakHyphen/>
              <w:t>current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AE48A5" w:rsidP="008A3976">
            <w:pPr>
              <w:pStyle w:val="Tabletextright"/>
            </w:pPr>
            <w:r w:rsidRPr="00687A1C">
              <w:t>325</w:t>
            </w:r>
          </w:p>
        </w:tc>
      </w:tr>
    </w:tbl>
    <w:p w:rsidR="00174AEA" w:rsidRPr="00687A1C" w:rsidRDefault="00174AEA" w:rsidP="00174AEA"/>
    <w:p w:rsidR="00174AEA" w:rsidRPr="00687A1C" w:rsidRDefault="00174AEA" w:rsidP="00174AEA">
      <w:pPr>
        <w:sectPr w:rsidR="00174AEA" w:rsidRPr="00687A1C" w:rsidSect="008A3976">
          <w:headerReference w:type="even" r:id="rId49"/>
          <w:headerReference w:type="default" r:id="rId50"/>
          <w:type w:val="continuous"/>
          <w:pgSz w:w="11909" w:h="16834" w:code="9"/>
          <w:pgMar w:top="1728" w:right="1152" w:bottom="1152" w:left="1152" w:header="720" w:footer="288" w:gutter="0"/>
          <w:cols w:space="720"/>
          <w:noEndnote/>
        </w:sectPr>
      </w:pPr>
    </w:p>
    <w:p w:rsidR="00174AEA" w:rsidRPr="00687A1C" w:rsidRDefault="00174AEA" w:rsidP="00174AEA">
      <w:r w:rsidRPr="00687A1C">
        <w:lastRenderedPageBreak/>
        <w:t>Provision is made for benefits accruing to employees in respect of wages and salaries, annual leave and long service leave for services rendered to the reporting date and recorded as an expense during the period the services are delivered.</w:t>
      </w:r>
    </w:p>
    <w:p w:rsidR="00174AEA" w:rsidRPr="00687A1C" w:rsidRDefault="00174AEA" w:rsidP="00174AEA">
      <w:r w:rsidRPr="00687A1C">
        <w:t>Employment on-costs such as payroll tax, workers compensation and superannuation are not employee benefits. They are disclosed separately as a component of the provision for employee benefits when the employment to which they relate has occurred.</w:t>
      </w:r>
    </w:p>
    <w:p w:rsidR="00174AEA" w:rsidRPr="00687A1C" w:rsidRDefault="00174AEA" w:rsidP="00174AEA">
      <w:r w:rsidRPr="00687A1C">
        <w:t>Provisions made in respect of employee benefits expected to be wholly settled within 12 months are measured at their nominal values, using the remuneration rate expected to apply at the time of settlement. Provisions made in respect of employee benefits</w:t>
      </w:r>
      <w:r w:rsidR="00D01693" w:rsidRPr="00687A1C">
        <w:t>,</w:t>
      </w:r>
      <w:r w:rsidRPr="00687A1C">
        <w:t xml:space="preserve"> which are not expected to be wholly settled </w:t>
      </w:r>
      <w:r w:rsidRPr="00687A1C">
        <w:t>within 12 months</w:t>
      </w:r>
      <w:r w:rsidR="00D01693" w:rsidRPr="00687A1C">
        <w:t>,</w:t>
      </w:r>
      <w:r w:rsidRPr="00687A1C">
        <w:t xml:space="preserve"> are measured as the present value of the estimated future cash outflows to be made by the Department in respect of services provided by employees up to</w:t>
      </w:r>
      <w:r w:rsidR="00A924C4" w:rsidRPr="00687A1C">
        <w:t xml:space="preserve"> the</w:t>
      </w:r>
      <w:r w:rsidRPr="00687A1C">
        <w:t xml:space="preserve"> reporting date. The liability is classified as a current liability where the Department does not have an unconditional right to defer settlement for at least 12 months after the reporting date. The long service leave liability is classified as non-current where the Department has an unconditional right to defer the settlement of the entitlement until the employee has completed the requisite years of service.</w:t>
      </w:r>
    </w:p>
    <w:p w:rsidR="00174AEA" w:rsidRPr="00687A1C" w:rsidRDefault="00174AEA" w:rsidP="00174AEA">
      <w:r w:rsidRPr="00687A1C">
        <w:t>Any gain or loss following revaluation of the present value of the non</w:t>
      </w:r>
      <w:r w:rsidRPr="00687A1C">
        <w:noBreakHyphen/>
        <w:t>current long service leave liability is recognised in the ‘net result from transactions’, except to the extent that a gain or loss arises due to changes in discount rates for which it is then recognised in the net result as an ‘other economic flow’.</w:t>
      </w:r>
    </w:p>
    <w:p w:rsidR="00174AEA" w:rsidRPr="00687A1C" w:rsidRDefault="00174AEA" w:rsidP="00174AEA">
      <w:pPr>
        <w:sectPr w:rsidR="00174AEA" w:rsidRPr="00687A1C" w:rsidSect="008A3976">
          <w:headerReference w:type="even" r:id="rId51"/>
          <w:headerReference w:type="default" r:id="rId52"/>
          <w:pgSz w:w="11909" w:h="16834" w:code="9"/>
          <w:pgMar w:top="1728" w:right="1152" w:bottom="1152" w:left="1152" w:header="720" w:footer="288" w:gutter="0"/>
          <w:cols w:num="2" w:space="720"/>
          <w:noEndnote/>
        </w:sectPr>
      </w:pPr>
    </w:p>
    <w:p w:rsidR="00174AEA" w:rsidRPr="00687A1C" w:rsidRDefault="00174AEA" w:rsidP="00174AEA"/>
    <w:p w:rsidR="00174AEA" w:rsidRPr="00687A1C" w:rsidRDefault="00174AEA" w:rsidP="00174AEA">
      <w:pPr>
        <w:pStyle w:val="Heading2numbered"/>
      </w:pPr>
      <w:bookmarkStart w:id="65" w:name="_Toc525026190"/>
      <w:bookmarkStart w:id="66" w:name="_Toc525026229"/>
      <w:r w:rsidRPr="00687A1C">
        <w:t>Grants expense</w:t>
      </w:r>
      <w:bookmarkEnd w:id="65"/>
      <w:bookmarkEnd w:id="66"/>
    </w:p>
    <w:tbl>
      <w:tblPr>
        <w:tblStyle w:val="AnnualReporttexttable"/>
        <w:tblW w:w="7668" w:type="dxa"/>
        <w:tblLayout w:type="fixed"/>
        <w:tblLook w:val="0080" w:firstRow="0" w:lastRow="0" w:firstColumn="1" w:lastColumn="0" w:noHBand="0" w:noVBand="0"/>
      </w:tblPr>
      <w:tblGrid>
        <w:gridCol w:w="5508"/>
        <w:gridCol w:w="1080"/>
        <w:gridCol w:w="1080"/>
      </w:tblGrid>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tcPr>
          <w:p w:rsidR="00174AEA" w:rsidRPr="00687A1C" w:rsidRDefault="00174AEA" w:rsidP="008A3976">
            <w:pPr>
              <w:pStyle w:val="Tabletextheadingleft"/>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rPr>
                <w:color w:val="000000"/>
              </w:rPr>
            </w:pPr>
            <w:r w:rsidRPr="00687A1C">
              <w:t>2018</w:t>
            </w:r>
            <w:r w:rsidRPr="00687A1C">
              <w:br/>
              <w:t>$’000</w:t>
            </w:r>
          </w:p>
        </w:tc>
        <w:tc>
          <w:tcPr>
            <w:cnfStyle w:val="000001000000" w:firstRow="0" w:lastRow="0" w:firstColumn="0" w:lastColumn="0" w:oddVBand="0" w:evenVBand="1"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rPr>
                <w:color w:val="000000"/>
              </w:rPr>
            </w:pPr>
            <w:r w:rsidRPr="00687A1C">
              <w:t>2017</w:t>
            </w:r>
            <w:r w:rsidRPr="00687A1C">
              <w:br/>
              <w:t>$’000</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Grants expense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rPr>
                <w:b/>
              </w:rPr>
            </w:pPr>
            <w:r w:rsidRPr="00687A1C">
              <w:t>Victorian Government entities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26</w:t>
            </w:r>
            <w:r w:rsidR="00D8412D" w:rsidRPr="00687A1C">
              <w:rPr>
                <w:rFonts w:ascii="Calibri" w:hAnsi="Calibri" w:cs="Calibri"/>
              </w:rPr>
              <w:t xml:space="preserve"> </w:t>
            </w:r>
            <w:r w:rsidRPr="00687A1C">
              <w:t xml:space="preserve">311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rPr>
                <w:bCs/>
              </w:rPr>
              <w:t>25</w:t>
            </w:r>
            <w:r w:rsidR="00D8412D" w:rsidRPr="00687A1C">
              <w:rPr>
                <w:rFonts w:ascii="Calibri" w:hAnsi="Calibri" w:cs="Calibri"/>
                <w:bCs/>
              </w:rPr>
              <w:t xml:space="preserve"> </w:t>
            </w:r>
            <w:r w:rsidRPr="00687A1C">
              <w:rPr>
                <w:bCs/>
              </w:rPr>
              <w:t>311</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Other government entities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5</w:t>
            </w:r>
            <w:r w:rsidR="00D8412D" w:rsidRPr="00687A1C">
              <w:rPr>
                <w:rFonts w:ascii="Calibri" w:hAnsi="Calibri" w:cs="Calibri"/>
              </w:rPr>
              <w:t xml:space="preserve"> </w:t>
            </w:r>
            <w:r w:rsidR="00AE48A5" w:rsidRPr="00687A1C">
              <w:t>335</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rPr>
                <w:bCs/>
              </w:rPr>
              <w:t>9</w:t>
            </w:r>
            <w:r w:rsidR="00D8412D" w:rsidRPr="00687A1C">
              <w:rPr>
                <w:rFonts w:ascii="Calibri" w:hAnsi="Calibri" w:cs="Calibri"/>
                <w:bCs/>
              </w:rPr>
              <w:t xml:space="preserve"> </w:t>
            </w:r>
            <w:r w:rsidRPr="00687A1C">
              <w:rPr>
                <w:bCs/>
              </w:rPr>
              <w:t>135</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Other organisations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r w:rsidRPr="00687A1C">
              <w:t>1</w:t>
            </w:r>
            <w:r w:rsidR="00F53C54" w:rsidRPr="00687A1C">
              <w:t>2</w:t>
            </w:r>
            <w:r w:rsidR="00AE48A5" w:rsidRPr="00687A1C">
              <w:t>5</w:t>
            </w:r>
            <w:r w:rsidRPr="00687A1C">
              <w:t xml:space="preserve">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r w:rsidRPr="00687A1C">
              <w:rPr>
                <w:bCs/>
              </w:rPr>
              <w:t>424</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Total grants expense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31</w:t>
            </w:r>
            <w:r w:rsidR="00D8412D" w:rsidRPr="00687A1C">
              <w:rPr>
                <w:rFonts w:ascii="Calibri" w:hAnsi="Calibri" w:cs="Calibri"/>
              </w:rPr>
              <w:t xml:space="preserve"> </w:t>
            </w:r>
            <w:r w:rsidRPr="00687A1C">
              <w:t xml:space="preserve">771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34</w:t>
            </w:r>
            <w:r w:rsidR="00D8412D" w:rsidRPr="00687A1C">
              <w:rPr>
                <w:rFonts w:ascii="Calibri" w:hAnsi="Calibri" w:cs="Calibri"/>
              </w:rPr>
              <w:t xml:space="preserve"> </w:t>
            </w:r>
            <w:r w:rsidRPr="00687A1C">
              <w:t>870</w:t>
            </w:r>
          </w:p>
        </w:tc>
      </w:tr>
    </w:tbl>
    <w:p w:rsidR="00174AEA" w:rsidRPr="00687A1C" w:rsidRDefault="00174AEA" w:rsidP="00174AEA">
      <w:pPr>
        <w:pStyle w:val="Spacer"/>
      </w:pPr>
    </w:p>
    <w:p w:rsidR="00174AEA" w:rsidRPr="00687A1C" w:rsidRDefault="00174AEA" w:rsidP="00174AEA">
      <w:pPr>
        <w:pStyle w:val="Spacer"/>
      </w:pPr>
    </w:p>
    <w:p w:rsidR="00174AEA" w:rsidRPr="00687A1C" w:rsidRDefault="00174AEA" w:rsidP="00174AEA">
      <w:pPr>
        <w:sectPr w:rsidR="00174AEA" w:rsidRPr="00687A1C" w:rsidSect="00811E6F">
          <w:type w:val="continuous"/>
          <w:pgSz w:w="11909" w:h="16834" w:code="9"/>
          <w:pgMar w:top="1728" w:right="1152" w:bottom="1152" w:left="1152" w:header="720" w:footer="288" w:gutter="0"/>
          <w:cols w:space="720"/>
          <w:noEndnote/>
        </w:sectPr>
      </w:pPr>
    </w:p>
    <w:p w:rsidR="00174AEA" w:rsidRPr="00687A1C" w:rsidRDefault="00174AEA" w:rsidP="00174AEA">
      <w:r w:rsidRPr="00687A1C">
        <w:t>Grants to third parties (other than contributions to owners) are recognised as an expense in the reporting period in which they are paid or payable. Grants can take the form of money, assets, goods, services or forgiveness of liabilities.</w:t>
      </w:r>
    </w:p>
    <w:p w:rsidR="00174AEA" w:rsidRPr="00687A1C" w:rsidRDefault="00174AEA" w:rsidP="00174AEA"/>
    <w:p w:rsidR="00174AEA" w:rsidRPr="00687A1C" w:rsidRDefault="00174AEA" w:rsidP="00174AEA"/>
    <w:p w:rsidR="00174AEA" w:rsidRPr="00687A1C" w:rsidRDefault="00174AEA" w:rsidP="00174AEA"/>
    <w:p w:rsidR="00174AEA" w:rsidRPr="00687A1C" w:rsidRDefault="00174AEA" w:rsidP="00174AEA"/>
    <w:p w:rsidR="00174AEA" w:rsidRPr="00687A1C" w:rsidRDefault="00174AEA" w:rsidP="00174AEA">
      <w:pPr>
        <w:sectPr w:rsidR="00174AEA" w:rsidRPr="00687A1C" w:rsidSect="00BF61EF">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67" w:name="_Toc525026191"/>
      <w:bookmarkStart w:id="68" w:name="_Toc525026230"/>
      <w:r w:rsidRPr="00687A1C">
        <w:t>Capital asset charge</w:t>
      </w:r>
      <w:bookmarkEnd w:id="67"/>
      <w:bookmarkEnd w:id="68"/>
    </w:p>
    <w:tbl>
      <w:tblPr>
        <w:tblStyle w:val="AnnualReporttexttable"/>
        <w:tblW w:w="7668" w:type="dxa"/>
        <w:tblLayout w:type="fixed"/>
        <w:tblLook w:val="0080" w:firstRow="0" w:lastRow="0" w:firstColumn="1" w:lastColumn="0" w:noHBand="0" w:noVBand="0"/>
      </w:tblPr>
      <w:tblGrid>
        <w:gridCol w:w="5508"/>
        <w:gridCol w:w="1080"/>
        <w:gridCol w:w="1080"/>
      </w:tblGrid>
      <w:tr w:rsidR="00174AEA" w:rsidRPr="00687A1C" w:rsidTr="008A3976">
        <w:trPr>
          <w:trHeight w:val="284"/>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rsidR="00174AEA" w:rsidRPr="00687A1C" w:rsidRDefault="00174AEA" w:rsidP="009062DE">
            <w:pPr>
              <w:pStyle w:val="Tabletextheadingright"/>
            </w:pPr>
            <w:r w:rsidRPr="00687A1C">
              <w:t>201</w:t>
            </w:r>
            <w:r w:rsidR="009062DE" w:rsidRPr="00687A1C">
              <w:t>8</w:t>
            </w:r>
            <w:r w:rsidRPr="00687A1C">
              <w:br/>
              <w:t>$’000</w:t>
            </w:r>
          </w:p>
        </w:tc>
        <w:tc>
          <w:tcPr>
            <w:cnfStyle w:val="000001000000" w:firstRow="0" w:lastRow="0" w:firstColumn="0" w:lastColumn="0" w:oddVBand="0" w:evenVBand="1"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pPr>
            <w:r w:rsidRPr="00687A1C">
              <w:t>2017</w:t>
            </w:r>
            <w:r w:rsidRPr="00687A1C">
              <w:br/>
              <w:t>$’000</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rPr>
                <w:b/>
              </w:rPr>
            </w:pPr>
            <w:r w:rsidRPr="00687A1C">
              <w:rPr>
                <w:b/>
              </w:rPr>
              <w:t>Capital asset charge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998</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815</w:t>
            </w:r>
          </w:p>
        </w:tc>
      </w:tr>
    </w:tbl>
    <w:p w:rsidR="00174AEA" w:rsidRPr="00687A1C" w:rsidRDefault="00174AEA" w:rsidP="00174AEA"/>
    <w:p w:rsidR="00174AEA" w:rsidRPr="00687A1C" w:rsidRDefault="00174AEA" w:rsidP="00174AEA">
      <w:pPr>
        <w:sectPr w:rsidR="00174AEA" w:rsidRPr="00687A1C" w:rsidSect="00811E6F">
          <w:type w:val="continuous"/>
          <w:pgSz w:w="11909" w:h="16834" w:code="9"/>
          <w:pgMar w:top="1728" w:right="1152" w:bottom="1152" w:left="1152" w:header="720" w:footer="288" w:gutter="0"/>
          <w:cols w:space="720"/>
          <w:noEndnote/>
        </w:sectPr>
      </w:pPr>
    </w:p>
    <w:p w:rsidR="00174AEA" w:rsidRPr="00687A1C" w:rsidRDefault="00174AEA" w:rsidP="00174AEA">
      <w:r w:rsidRPr="00687A1C">
        <w:t>A capital asset charge is a charge levied on the written down value of controlled non</w:t>
      </w:r>
      <w:r w:rsidRPr="00687A1C">
        <w:noBreakHyphen/>
        <w:t>current physical assets in a department’s balance sheet. It aims to attribute to the Department outputs, the opportunity cost of capital used in service delivery; and provide incentives for the Department to identify and dispose of underutilised or surplus non-current physical assets in a timely manner. The capital asset charge is calculated on the budgeted carrying amount of applicable non</w:t>
      </w:r>
      <w:r w:rsidRPr="00687A1C">
        <w:noBreakHyphen/>
        <w:t>financial physical assets.</w:t>
      </w:r>
    </w:p>
    <w:p w:rsidR="00174AEA" w:rsidRPr="00687A1C" w:rsidRDefault="00174AEA" w:rsidP="00174AEA">
      <w:pPr>
        <w:sectPr w:rsidR="00174AEA" w:rsidRPr="00687A1C" w:rsidSect="00BF61EF">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69" w:name="_Toc525026192"/>
      <w:bookmarkStart w:id="70" w:name="_Toc525026231"/>
      <w:r w:rsidRPr="00687A1C">
        <w:lastRenderedPageBreak/>
        <w:t>Supplies and services</w:t>
      </w:r>
      <w:bookmarkEnd w:id="69"/>
      <w:bookmarkEnd w:id="70"/>
    </w:p>
    <w:tbl>
      <w:tblPr>
        <w:tblStyle w:val="AnnualReporttexttable"/>
        <w:tblW w:w="0" w:type="auto"/>
        <w:tblLayout w:type="fixed"/>
        <w:tblLook w:val="0080" w:firstRow="0" w:lastRow="0" w:firstColumn="1" w:lastColumn="0" w:noHBand="0" w:noVBand="0"/>
      </w:tblPr>
      <w:tblGrid>
        <w:gridCol w:w="6667"/>
        <w:gridCol w:w="1125"/>
        <w:gridCol w:w="1123"/>
      </w:tblGrid>
      <w:tr w:rsidR="00174AEA" w:rsidRPr="00687A1C" w:rsidTr="008A3976">
        <w:tc>
          <w:tcPr>
            <w:cnfStyle w:val="001000000000" w:firstRow="0" w:lastRow="0" w:firstColumn="1" w:lastColumn="0" w:oddVBand="0" w:evenVBand="0" w:oddHBand="0" w:evenHBand="0" w:firstRowFirstColumn="0" w:firstRowLastColumn="0" w:lastRowFirstColumn="0" w:lastRowLastColumn="0"/>
            <w:tcW w:w="6667" w:type="dxa"/>
            <w:shd w:val="clear" w:color="auto" w:fill="auto"/>
          </w:tcPr>
          <w:p w:rsidR="00174AEA" w:rsidRPr="00687A1C" w:rsidRDefault="00174AEA" w:rsidP="008A3976">
            <w:pPr>
              <w:pStyle w:val="Tabletextheadingleft"/>
            </w:pPr>
          </w:p>
        </w:tc>
        <w:tc>
          <w:tcPr>
            <w:cnfStyle w:val="000010000000" w:firstRow="0" w:lastRow="0" w:firstColumn="0" w:lastColumn="0" w:oddVBand="1" w:evenVBand="0" w:oddHBand="0" w:evenHBand="0" w:firstRowFirstColumn="0" w:firstRowLastColumn="0" w:lastRowFirstColumn="0" w:lastRowLastColumn="0"/>
            <w:tcW w:w="1125" w:type="dxa"/>
            <w:shd w:val="clear" w:color="auto" w:fill="auto"/>
            <w:vAlign w:val="bottom"/>
          </w:tcPr>
          <w:p w:rsidR="00174AEA" w:rsidRPr="00687A1C" w:rsidRDefault="00174AEA" w:rsidP="008A3976">
            <w:pPr>
              <w:pStyle w:val="Tabletextheadingright"/>
            </w:pPr>
            <w:r w:rsidRPr="00687A1C">
              <w:t>2018</w:t>
            </w:r>
            <w:r w:rsidRPr="00687A1C">
              <w:br/>
              <w:t>$’000</w:t>
            </w:r>
          </w:p>
        </w:tc>
        <w:tc>
          <w:tcPr>
            <w:cnfStyle w:val="000001000000" w:firstRow="0" w:lastRow="0" w:firstColumn="0" w:lastColumn="0" w:oddVBand="0" w:evenVBand="1" w:oddHBand="0" w:evenHBand="0" w:firstRowFirstColumn="0" w:firstRowLastColumn="0" w:lastRowFirstColumn="0" w:lastRowLastColumn="0"/>
            <w:tcW w:w="1123" w:type="dxa"/>
            <w:shd w:val="clear" w:color="auto" w:fill="auto"/>
            <w:vAlign w:val="bottom"/>
          </w:tcPr>
          <w:p w:rsidR="00174AEA" w:rsidRPr="00687A1C" w:rsidRDefault="00174AEA" w:rsidP="008A3976">
            <w:pPr>
              <w:pStyle w:val="Tabletextheadingright"/>
            </w:pPr>
            <w:r w:rsidRPr="00687A1C">
              <w:t>2017</w:t>
            </w:r>
            <w:r w:rsidRPr="00687A1C">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67" w:type="dxa"/>
          </w:tcPr>
          <w:p w:rsidR="00174AEA" w:rsidRPr="00687A1C" w:rsidRDefault="00174AEA" w:rsidP="008A3976">
            <w:pPr>
              <w:pStyle w:val="Tabletext"/>
            </w:pPr>
            <w:r w:rsidRPr="00687A1C">
              <w:t>Rental and property outgoings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t>28</w:t>
            </w:r>
            <w:r w:rsidR="00D8412D" w:rsidRPr="00687A1C">
              <w:rPr>
                <w:rFonts w:ascii="Calibri" w:hAnsi="Calibri" w:cs="Calibri"/>
              </w:rPr>
              <w:t xml:space="preserve"> </w:t>
            </w:r>
            <w:r w:rsidRPr="00687A1C">
              <w:t>072</w:t>
            </w:r>
          </w:p>
        </w:tc>
        <w:tc>
          <w:tcPr>
            <w:cnfStyle w:val="000001000000" w:firstRow="0" w:lastRow="0" w:firstColumn="0" w:lastColumn="0" w:oddVBand="0" w:evenVBand="1" w:oddHBand="0" w:evenHBand="0" w:firstRowFirstColumn="0" w:firstRowLastColumn="0" w:lastRowFirstColumn="0" w:lastRowLastColumn="0"/>
            <w:tcW w:w="1123" w:type="dxa"/>
          </w:tcPr>
          <w:p w:rsidR="00174AEA" w:rsidRPr="00687A1C" w:rsidRDefault="00174AEA" w:rsidP="00D8412D">
            <w:pPr>
              <w:pStyle w:val="Tabletextright"/>
            </w:pPr>
            <w:r w:rsidRPr="00687A1C">
              <w:t>26</w:t>
            </w:r>
            <w:r w:rsidR="00D8412D" w:rsidRPr="00687A1C">
              <w:rPr>
                <w:rFonts w:ascii="Calibri" w:hAnsi="Calibri" w:cs="Calibri"/>
              </w:rPr>
              <w:t xml:space="preserve"> </w:t>
            </w:r>
            <w:r w:rsidRPr="00687A1C">
              <w:t>098</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67" w:type="dxa"/>
          </w:tcPr>
          <w:p w:rsidR="00174AEA" w:rsidRPr="00687A1C" w:rsidRDefault="00174AEA" w:rsidP="008A3976">
            <w:pPr>
              <w:pStyle w:val="Tabletext"/>
            </w:pPr>
            <w:r w:rsidRPr="00687A1C">
              <w:t>Purchases of services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t>62</w:t>
            </w:r>
            <w:r w:rsidR="00D8412D" w:rsidRPr="00687A1C">
              <w:rPr>
                <w:rFonts w:ascii="Calibri" w:hAnsi="Calibri" w:cs="Calibri"/>
              </w:rPr>
              <w:t xml:space="preserve"> </w:t>
            </w:r>
            <w:r w:rsidRPr="00687A1C">
              <w:t>377</w:t>
            </w:r>
          </w:p>
        </w:tc>
        <w:tc>
          <w:tcPr>
            <w:cnfStyle w:val="000001000000" w:firstRow="0" w:lastRow="0" w:firstColumn="0" w:lastColumn="0" w:oddVBand="0" w:evenVBand="1" w:oddHBand="0" w:evenHBand="0" w:firstRowFirstColumn="0" w:firstRowLastColumn="0" w:lastRowFirstColumn="0" w:lastRowLastColumn="0"/>
            <w:tcW w:w="1123" w:type="dxa"/>
          </w:tcPr>
          <w:p w:rsidR="00174AEA" w:rsidRPr="00687A1C" w:rsidRDefault="00174AEA" w:rsidP="00D8412D">
            <w:pPr>
              <w:pStyle w:val="Tabletextright"/>
            </w:pPr>
            <w:r w:rsidRPr="00687A1C">
              <w:t>67</w:t>
            </w:r>
            <w:r w:rsidR="00D8412D" w:rsidRPr="00687A1C">
              <w:rPr>
                <w:rFonts w:ascii="Calibri" w:hAnsi="Calibri" w:cs="Calibri"/>
              </w:rPr>
              <w:t xml:space="preserve"> </w:t>
            </w:r>
            <w:r w:rsidRPr="00687A1C">
              <w:t>534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67" w:type="dxa"/>
          </w:tcPr>
          <w:p w:rsidR="00174AEA" w:rsidRPr="00687A1C" w:rsidRDefault="00174AEA" w:rsidP="008A3976">
            <w:pPr>
              <w:pStyle w:val="Tabletext"/>
            </w:pPr>
            <w:r w:rsidRPr="00687A1C">
              <w:t>Information and communication technology expenses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760</w:t>
            </w:r>
          </w:p>
        </w:tc>
        <w:tc>
          <w:tcPr>
            <w:cnfStyle w:val="000001000000" w:firstRow="0" w:lastRow="0" w:firstColumn="0" w:lastColumn="0" w:oddVBand="0" w:evenVBand="1" w:oddHBand="0" w:evenHBand="0" w:firstRowFirstColumn="0" w:firstRowLastColumn="0" w:lastRowFirstColumn="0" w:lastRowLastColumn="0"/>
            <w:tcW w:w="1123" w:type="dxa"/>
          </w:tcPr>
          <w:p w:rsidR="00174AEA" w:rsidRPr="00687A1C" w:rsidRDefault="00174AEA" w:rsidP="00D8412D">
            <w:pPr>
              <w:pStyle w:val="Tabletextright"/>
            </w:pPr>
            <w:r w:rsidRPr="00687A1C">
              <w:t>15</w:t>
            </w:r>
            <w:r w:rsidR="00D8412D" w:rsidRPr="00687A1C">
              <w:rPr>
                <w:rFonts w:ascii="Calibri" w:hAnsi="Calibri" w:cs="Calibri"/>
              </w:rPr>
              <w:t xml:space="preserve"> </w:t>
            </w:r>
            <w:r w:rsidRPr="00687A1C">
              <w:t>424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67" w:type="dxa"/>
          </w:tcPr>
          <w:p w:rsidR="00174AEA" w:rsidRPr="00687A1C" w:rsidRDefault="00174AEA" w:rsidP="008A3976">
            <w:pPr>
              <w:pStyle w:val="Tabletext"/>
            </w:pPr>
            <w:r w:rsidRPr="00687A1C">
              <w:t>Other</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495</w:t>
            </w:r>
          </w:p>
        </w:tc>
        <w:tc>
          <w:tcPr>
            <w:cnfStyle w:val="000001000000" w:firstRow="0" w:lastRow="0" w:firstColumn="0" w:lastColumn="0" w:oddVBand="0" w:evenVBand="1" w:oddHBand="0" w:evenHBand="0" w:firstRowFirstColumn="0" w:firstRowLastColumn="0" w:lastRowFirstColumn="0" w:lastRowLastColumn="0"/>
            <w:tcW w:w="1123" w:type="dxa"/>
          </w:tcPr>
          <w:p w:rsidR="00174AEA" w:rsidRPr="00687A1C" w:rsidRDefault="00174AEA" w:rsidP="00D8412D">
            <w:pPr>
              <w:pStyle w:val="Tabletextright"/>
            </w:pPr>
            <w:r w:rsidRPr="00687A1C">
              <w:t>8</w:t>
            </w:r>
            <w:r w:rsidR="00D8412D" w:rsidRPr="00687A1C">
              <w:rPr>
                <w:rFonts w:ascii="Calibri" w:hAnsi="Calibri" w:cs="Calibri"/>
              </w:rPr>
              <w:t xml:space="preserve"> </w:t>
            </w:r>
            <w:r w:rsidRPr="00687A1C">
              <w:t>500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67" w:type="dxa"/>
          </w:tcPr>
          <w:p w:rsidR="00174AEA" w:rsidRPr="00687A1C" w:rsidRDefault="00174AEA" w:rsidP="008A3976">
            <w:pPr>
              <w:pStyle w:val="Tabletextbold"/>
            </w:pPr>
            <w:r w:rsidRPr="00687A1C">
              <w:t>Total supplies and services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bold"/>
            </w:pPr>
            <w:r w:rsidRPr="00687A1C">
              <w:t>116</w:t>
            </w:r>
            <w:r w:rsidR="00D8412D" w:rsidRPr="00687A1C">
              <w:rPr>
                <w:rFonts w:ascii="Calibri" w:hAnsi="Calibri" w:cs="Calibri"/>
              </w:rPr>
              <w:t xml:space="preserve"> </w:t>
            </w:r>
            <w:r w:rsidRPr="00687A1C">
              <w:t>704</w:t>
            </w:r>
          </w:p>
        </w:tc>
        <w:tc>
          <w:tcPr>
            <w:cnfStyle w:val="000001000000" w:firstRow="0" w:lastRow="0" w:firstColumn="0" w:lastColumn="0" w:oddVBand="0" w:evenVBand="1" w:oddHBand="0" w:evenHBand="0" w:firstRowFirstColumn="0" w:firstRowLastColumn="0" w:lastRowFirstColumn="0" w:lastRowLastColumn="0"/>
            <w:tcW w:w="1123" w:type="dxa"/>
          </w:tcPr>
          <w:p w:rsidR="00174AEA" w:rsidRPr="00687A1C" w:rsidRDefault="00174AEA" w:rsidP="00D8412D">
            <w:pPr>
              <w:pStyle w:val="Tabletextrightbold"/>
            </w:pPr>
            <w:r w:rsidRPr="00687A1C">
              <w:t>117</w:t>
            </w:r>
            <w:r w:rsidR="00D8412D" w:rsidRPr="00687A1C">
              <w:rPr>
                <w:rFonts w:ascii="Calibri" w:hAnsi="Calibri" w:cs="Calibri"/>
              </w:rPr>
              <w:t xml:space="preserve"> </w:t>
            </w:r>
            <w:r w:rsidRPr="00687A1C">
              <w:t>556</w:t>
            </w:r>
          </w:p>
        </w:tc>
      </w:tr>
    </w:tbl>
    <w:p w:rsidR="00174AEA" w:rsidRPr="00687A1C" w:rsidRDefault="00174AEA" w:rsidP="00174AEA"/>
    <w:p w:rsidR="00174AEA" w:rsidRPr="00687A1C" w:rsidRDefault="00174AEA" w:rsidP="00174AEA">
      <w:pPr>
        <w:sectPr w:rsidR="00174AEA" w:rsidRPr="00687A1C" w:rsidSect="008A3976">
          <w:pgSz w:w="11909" w:h="16834" w:code="9"/>
          <w:pgMar w:top="1728" w:right="1152" w:bottom="1152" w:left="1152" w:header="720" w:footer="288" w:gutter="0"/>
          <w:cols w:space="720"/>
          <w:noEndnote/>
        </w:sectPr>
      </w:pPr>
    </w:p>
    <w:p w:rsidR="00174AEA" w:rsidRPr="00687A1C" w:rsidRDefault="00174AEA" w:rsidP="00174AEA">
      <w:r w:rsidRPr="00687A1C">
        <w:t>Supplies and services are recognised as an expense in the period in which they are incurred.</w:t>
      </w:r>
    </w:p>
    <w:p w:rsidR="00174AEA" w:rsidRPr="00687A1C" w:rsidRDefault="00174AEA" w:rsidP="00174AEA">
      <w:r w:rsidRPr="00687A1C">
        <w:t>Operating lease payments (including contingent rentals) are recognised as an expense in the comprehensive operating statement on a straight-line basis over the lease term, except where another systematic basis is more representative of the time pattern of the benefits derived from the use of the leased asset. The leased asset is not recognised in the balance sheet.</w:t>
      </w:r>
    </w:p>
    <w:p w:rsidR="00174AEA" w:rsidRPr="00687A1C" w:rsidRDefault="00174AEA" w:rsidP="00174AEA">
      <w:pPr>
        <w:pStyle w:val="Heading2numbered"/>
        <w:spacing w:before="160"/>
      </w:pPr>
      <w:bookmarkStart w:id="71" w:name="_Toc525026193"/>
      <w:bookmarkStart w:id="72" w:name="_Toc525026232"/>
      <w:r w:rsidRPr="00687A1C">
        <w:t>Land remediation costs</w:t>
      </w:r>
      <w:bookmarkEnd w:id="71"/>
      <w:bookmarkEnd w:id="72"/>
    </w:p>
    <w:p w:rsidR="00174AEA" w:rsidRPr="00687A1C" w:rsidRDefault="00174AEA" w:rsidP="00174AEA">
      <w:r w:rsidRPr="00687A1C">
        <w:t xml:space="preserve">Provisions are recognised when the Department has a present obligation where the future sacrifice of economic benefits is probable and the amount of the provision can be measured reliably. The amount recognised as a provision is the best estimate of the consideration required to settle the present obligation at </w:t>
      </w:r>
      <w:r w:rsidR="00070CE6" w:rsidRPr="00687A1C">
        <w:t xml:space="preserve">the </w:t>
      </w:r>
      <w:r w:rsidRPr="00687A1C">
        <w:t>reporting date, taking into account the risks and uncertainties surrounding the obligation. Where a provision is measured using the cash flows estimated to settle the present obligation, its carrying amount is the present value of those cash flows, using discount rates that reflect the time value of money and risks specific to the provision.</w:t>
      </w:r>
    </w:p>
    <w:p w:rsidR="00174AEA" w:rsidRPr="00687A1C" w:rsidRDefault="001802F6" w:rsidP="00174AEA">
      <w:r w:rsidRPr="00687A1C">
        <w:t>Included in the land remediation provision made in the prior year is $65 million to remediate a site included in non-financial assets classified as held for sale, and intended for residential and commercial development. The Department has provided for the restoration of the site to an acceptable environmental standard.</w:t>
      </w:r>
    </w:p>
    <w:bookmarkEnd w:id="61"/>
    <w:p w:rsidR="00174AEA" w:rsidRPr="00687A1C" w:rsidRDefault="00174AEA" w:rsidP="00174AEA"/>
    <w:p w:rsidR="00174AEA" w:rsidRPr="00687A1C" w:rsidRDefault="00174AEA" w:rsidP="00174AEA">
      <w:pPr>
        <w:sectPr w:rsidR="00174AEA" w:rsidRPr="00687A1C" w:rsidSect="00BF61EF">
          <w:type w:val="continuous"/>
          <w:pgSz w:w="11909" w:h="16834" w:code="9"/>
          <w:pgMar w:top="1728" w:right="1152" w:bottom="1152" w:left="1152" w:header="720" w:footer="288" w:gutter="0"/>
          <w:cols w:num="2" w:space="720"/>
          <w:noEndnote/>
        </w:sectPr>
      </w:pPr>
    </w:p>
    <w:p w:rsidR="00174AEA" w:rsidRPr="00687A1C" w:rsidRDefault="00174AEA" w:rsidP="00174AEA">
      <w:pPr>
        <w:pStyle w:val="Heading1numbered"/>
      </w:pPr>
      <w:bookmarkStart w:id="73" w:name="_Toc525026194"/>
      <w:r w:rsidRPr="00687A1C">
        <w:lastRenderedPageBreak/>
        <w:t>Disaggregated financial information by output</w:t>
      </w:r>
      <w:bookmarkEnd w:id="73"/>
    </w:p>
    <w:p w:rsidR="00174AEA" w:rsidRPr="00687A1C" w:rsidRDefault="00174AEA" w:rsidP="00174AEA">
      <w:pPr>
        <w:sectPr w:rsidR="00174AEA" w:rsidRPr="00687A1C" w:rsidSect="00811E6F">
          <w:headerReference w:type="even" r:id="rId53"/>
          <w:headerReference w:type="default" r:id="rId54"/>
          <w:pgSz w:w="11909" w:h="16834" w:code="9"/>
          <w:pgMar w:top="1728" w:right="1152" w:bottom="1152" w:left="1152" w:header="720" w:footer="288" w:gutter="0"/>
          <w:cols w:space="720"/>
          <w:noEndnote/>
        </w:sectPr>
      </w:pPr>
    </w:p>
    <w:p w:rsidR="00174AEA" w:rsidRPr="00687A1C" w:rsidRDefault="00174AEA" w:rsidP="00174AEA">
      <w:pPr>
        <w:pStyle w:val="Heading4"/>
      </w:pPr>
      <w:bookmarkStart w:id="74" w:name="Section_04"/>
      <w:r w:rsidRPr="00687A1C">
        <w:t>Introduction</w:t>
      </w:r>
    </w:p>
    <w:p w:rsidR="00174AEA" w:rsidRPr="00687A1C" w:rsidRDefault="00174AEA" w:rsidP="00174AEA">
      <w:r w:rsidRPr="00687A1C">
        <w:t>The Department is predominantly funded by accrual-based parliamentary appropriations for the provision of outputs. This section provides a description of the departmental outputs delivered during the year ended 30 June 2018 along with the objectives of those outputs.</w:t>
      </w:r>
    </w:p>
    <w:p w:rsidR="00174AEA" w:rsidRPr="00687A1C" w:rsidRDefault="00174AEA" w:rsidP="00174AEA">
      <w:r w:rsidRPr="00687A1C">
        <w:t xml:space="preserve">This section disaggregates revenue and income that enables the delivery of services (described in note 2) by output and records the allocation of expenses incurred (described in note 3) also by output, which forms part of </w:t>
      </w:r>
      <w:r w:rsidR="0092078A">
        <w:t xml:space="preserve">the </w:t>
      </w:r>
      <w:r w:rsidRPr="00687A1C">
        <w:t>controlled balances of the Department.</w:t>
      </w:r>
    </w:p>
    <w:p w:rsidR="00174AEA" w:rsidRPr="00687A1C" w:rsidRDefault="00174AEA" w:rsidP="00174AEA">
      <w:r w:rsidRPr="00687A1C">
        <w:t>It also provides information on items administered in connection with these outputs, which do not form part of</w:t>
      </w:r>
      <w:r w:rsidR="001802F6" w:rsidRPr="00687A1C">
        <w:t xml:space="preserve"> the</w:t>
      </w:r>
      <w:r w:rsidRPr="00687A1C">
        <w:t xml:space="preserve"> controlled balances of the Department.</w:t>
      </w:r>
    </w:p>
    <w:p w:rsidR="001A74BD" w:rsidRPr="00687A1C" w:rsidRDefault="001A74BD" w:rsidP="001A74BD">
      <w:pPr>
        <w:pStyle w:val="Heading4"/>
      </w:pPr>
      <w:r w:rsidRPr="00687A1C">
        <w:t>Judgement required</w:t>
      </w:r>
    </w:p>
    <w:p w:rsidR="001A74BD" w:rsidRPr="00687A1C" w:rsidRDefault="001A74BD" w:rsidP="001A74BD">
      <w:r w:rsidRPr="00687A1C">
        <w:t>Judgement is required in allocating income and expenditure to specific outputs. Judgement is also required to identify controlled and administered items as explained below.</w:t>
      </w:r>
    </w:p>
    <w:p w:rsidR="001A74BD" w:rsidRPr="00687A1C" w:rsidRDefault="001A74BD" w:rsidP="001A74BD"/>
    <w:p w:rsidR="00174AEA" w:rsidRPr="00687A1C" w:rsidRDefault="001A74BD" w:rsidP="001A74BD">
      <w:pPr>
        <w:pStyle w:val="Heading4"/>
      </w:pPr>
      <w:r w:rsidRPr="00687A1C">
        <w:br w:type="column"/>
      </w:r>
      <w:r w:rsidR="00174AEA" w:rsidRPr="00687A1C">
        <w:t>Distinction between controlled and administered items</w:t>
      </w:r>
    </w:p>
    <w:p w:rsidR="00174AEA" w:rsidRPr="00687A1C" w:rsidRDefault="00174AEA" w:rsidP="00174AEA">
      <w:r w:rsidRPr="00687A1C">
        <w:t>The distinction between controlled and administered items is drawn based on whether the Department has the ability to deploy the resources in question for its own benefit (controlled items) or whether it does so on behalf of the State (administered). The Department remains accountable for transactions involving administered items, but it does not recognise these items in its financial statements, except in notes</w:t>
      </w:r>
      <w:r w:rsidR="00AE48A5" w:rsidRPr="00687A1C">
        <w:t xml:space="preserve"> 4.2 and 8.2. </w:t>
      </w:r>
      <w:r w:rsidR="001802F6" w:rsidRPr="00687A1C">
        <w:t>C</w:t>
      </w:r>
      <w:r w:rsidR="00AE48A5" w:rsidRPr="00687A1C">
        <w:t>omparative information have been restated as described in note 7.3.1.</w:t>
      </w:r>
    </w:p>
    <w:p w:rsidR="007F3545" w:rsidRPr="00687A1C" w:rsidRDefault="007F3545" w:rsidP="00174AEA"/>
    <w:p w:rsidR="00174AEA" w:rsidRPr="00687A1C" w:rsidRDefault="00174AEA" w:rsidP="00174AEA">
      <w:pPr>
        <w:pStyle w:val="Heading4"/>
      </w:pPr>
      <w:r w:rsidRPr="00687A1C">
        <w:t>Structure</w:t>
      </w:r>
    </w:p>
    <w:p w:rsidR="00F97BB9" w:rsidRDefault="00174AEA">
      <w:pPr>
        <w:pStyle w:val="TOC5"/>
        <w:rPr>
          <w:noProof/>
          <w:color w:val="auto"/>
          <w:sz w:val="22"/>
        </w:rPr>
      </w:pPr>
      <w:r w:rsidRPr="00687A1C">
        <w:fldChar w:fldCharType="begin"/>
      </w:r>
      <w:r w:rsidRPr="00687A1C">
        <w:instrText xml:space="preserve"> TOC \h \z \t "Heading 2 numbered,5" \b Section_04 </w:instrText>
      </w:r>
      <w:r w:rsidRPr="00687A1C">
        <w:fldChar w:fldCharType="separate"/>
      </w:r>
      <w:hyperlink w:anchor="_Toc525026233" w:history="1">
        <w:r w:rsidR="00F97BB9" w:rsidRPr="001F6B69">
          <w:rPr>
            <w:rStyle w:val="Hyperlink"/>
            <w:noProof/>
          </w:rPr>
          <w:t>4.1</w:t>
        </w:r>
        <w:r w:rsidR="00F97BB9">
          <w:rPr>
            <w:noProof/>
            <w:color w:val="auto"/>
            <w:sz w:val="22"/>
          </w:rPr>
          <w:tab/>
        </w:r>
        <w:r w:rsidR="00F97BB9" w:rsidRPr="001F6B69">
          <w:rPr>
            <w:rStyle w:val="Hyperlink"/>
            <w:noProof/>
          </w:rPr>
          <w:t>Departmental outputs</w:t>
        </w:r>
        <w:r w:rsidR="00F97BB9">
          <w:rPr>
            <w:noProof/>
            <w:webHidden/>
          </w:rPr>
          <w:tab/>
        </w:r>
        <w:r w:rsidR="00F97BB9">
          <w:rPr>
            <w:noProof/>
            <w:webHidden/>
          </w:rPr>
          <w:fldChar w:fldCharType="begin"/>
        </w:r>
        <w:r w:rsidR="00F97BB9">
          <w:rPr>
            <w:noProof/>
            <w:webHidden/>
          </w:rPr>
          <w:instrText xml:space="preserve"> PAGEREF _Toc525026233 \h </w:instrText>
        </w:r>
        <w:r w:rsidR="00F97BB9">
          <w:rPr>
            <w:noProof/>
            <w:webHidden/>
          </w:rPr>
        </w:r>
        <w:r w:rsidR="00F97BB9">
          <w:rPr>
            <w:noProof/>
            <w:webHidden/>
          </w:rPr>
          <w:fldChar w:fldCharType="separate"/>
        </w:r>
        <w:r w:rsidR="00BE5F15">
          <w:rPr>
            <w:noProof/>
            <w:webHidden/>
          </w:rPr>
          <w:t>55</w:t>
        </w:r>
        <w:r w:rsidR="00F97BB9">
          <w:rPr>
            <w:noProof/>
            <w:webHidden/>
          </w:rPr>
          <w:fldChar w:fldCharType="end"/>
        </w:r>
      </w:hyperlink>
    </w:p>
    <w:p w:rsidR="00F97BB9" w:rsidRDefault="00EC4CFD">
      <w:pPr>
        <w:pStyle w:val="TOC5"/>
        <w:rPr>
          <w:noProof/>
          <w:color w:val="auto"/>
          <w:sz w:val="22"/>
        </w:rPr>
      </w:pPr>
      <w:hyperlink w:anchor="_Toc525026234" w:history="1">
        <w:r w:rsidR="00F97BB9" w:rsidRPr="001F6B69">
          <w:rPr>
            <w:rStyle w:val="Hyperlink"/>
            <w:noProof/>
          </w:rPr>
          <w:t>4.2</w:t>
        </w:r>
        <w:r w:rsidR="00F97BB9">
          <w:rPr>
            <w:noProof/>
            <w:color w:val="auto"/>
            <w:sz w:val="22"/>
          </w:rPr>
          <w:tab/>
        </w:r>
        <w:r w:rsidR="00F97BB9" w:rsidRPr="001F6B69">
          <w:rPr>
            <w:rStyle w:val="Hyperlink"/>
            <w:noProof/>
          </w:rPr>
          <w:t>Administered items</w:t>
        </w:r>
        <w:r w:rsidR="00F97BB9">
          <w:rPr>
            <w:noProof/>
            <w:webHidden/>
          </w:rPr>
          <w:tab/>
        </w:r>
        <w:r w:rsidR="00F97BB9">
          <w:rPr>
            <w:noProof/>
            <w:webHidden/>
          </w:rPr>
          <w:fldChar w:fldCharType="begin"/>
        </w:r>
        <w:r w:rsidR="00F97BB9">
          <w:rPr>
            <w:noProof/>
            <w:webHidden/>
          </w:rPr>
          <w:instrText xml:space="preserve"> PAGEREF _Toc525026234 \h </w:instrText>
        </w:r>
        <w:r w:rsidR="00F97BB9">
          <w:rPr>
            <w:noProof/>
            <w:webHidden/>
          </w:rPr>
        </w:r>
        <w:r w:rsidR="00F97BB9">
          <w:rPr>
            <w:noProof/>
            <w:webHidden/>
          </w:rPr>
          <w:fldChar w:fldCharType="separate"/>
        </w:r>
        <w:r w:rsidR="00BE5F15">
          <w:rPr>
            <w:noProof/>
            <w:webHidden/>
          </w:rPr>
          <w:t>58</w:t>
        </w:r>
        <w:r w:rsidR="00F97BB9">
          <w:rPr>
            <w:noProof/>
            <w:webHidden/>
          </w:rPr>
          <w:fldChar w:fldCharType="end"/>
        </w:r>
      </w:hyperlink>
    </w:p>
    <w:p w:rsidR="00174AEA" w:rsidRPr="00687A1C" w:rsidRDefault="00174AEA" w:rsidP="00174AEA">
      <w:pPr>
        <w:sectPr w:rsidR="00174AEA" w:rsidRPr="00687A1C" w:rsidSect="00811E6F">
          <w:type w:val="continuous"/>
          <w:pgSz w:w="11909" w:h="16834" w:code="9"/>
          <w:pgMar w:top="1728" w:right="1152" w:bottom="1152" w:left="1152" w:header="720" w:footer="288" w:gutter="0"/>
          <w:cols w:num="2" w:space="720"/>
          <w:noEndnote/>
        </w:sectPr>
      </w:pPr>
      <w:r w:rsidRPr="00687A1C">
        <w:fldChar w:fldCharType="end"/>
      </w:r>
    </w:p>
    <w:p w:rsidR="00174AEA" w:rsidRPr="00687A1C" w:rsidRDefault="00174AEA" w:rsidP="00174AEA">
      <w:pPr>
        <w:pStyle w:val="Heading2numbered"/>
      </w:pPr>
      <w:bookmarkStart w:id="75" w:name="_Toc525026195"/>
      <w:bookmarkStart w:id="76" w:name="_Toc525026233"/>
      <w:r w:rsidRPr="00687A1C">
        <w:t>Departmental outputs</w:t>
      </w:r>
      <w:bookmarkEnd w:id="75"/>
      <w:bookmarkEnd w:id="76"/>
    </w:p>
    <w:p w:rsidR="00174AEA" w:rsidRPr="00687A1C" w:rsidRDefault="00174AEA" w:rsidP="00174AEA">
      <w:pPr>
        <w:pStyle w:val="Heading3numbered"/>
      </w:pPr>
      <w:r w:rsidRPr="00687A1C">
        <w:t>Departmental outputs – descriptions and objectives</w:t>
      </w:r>
    </w:p>
    <w:p w:rsidR="000509BA" w:rsidRPr="00687A1C" w:rsidRDefault="000509BA" w:rsidP="00174AEA">
      <w:pPr>
        <w:pStyle w:val="Heading4"/>
        <w:rPr>
          <w:sz w:val="16"/>
        </w:rPr>
        <w:sectPr w:rsidR="000509BA" w:rsidRPr="00687A1C" w:rsidSect="00811E6F">
          <w:type w:val="continuous"/>
          <w:pgSz w:w="11909" w:h="16834" w:code="9"/>
          <w:pgMar w:top="1728" w:right="1152" w:bottom="1152" w:left="1152" w:header="720" w:footer="288" w:gutter="0"/>
          <w:cols w:num="2" w:space="720"/>
          <w:noEndnote/>
        </w:sectPr>
      </w:pPr>
    </w:p>
    <w:p w:rsidR="00174AEA" w:rsidRPr="00687A1C" w:rsidRDefault="00174AEA" w:rsidP="00174AEA">
      <w:pPr>
        <w:pStyle w:val="Heading4"/>
        <w:rPr>
          <w:sz w:val="16"/>
        </w:rPr>
      </w:pPr>
      <w:r w:rsidRPr="00687A1C">
        <w:rPr>
          <w:sz w:val="16"/>
        </w:rPr>
        <w:t>Objectives and outputs of the Department</w:t>
      </w:r>
    </w:p>
    <w:p w:rsidR="00174AEA" w:rsidRPr="00687A1C" w:rsidRDefault="00174AEA" w:rsidP="00174AEA">
      <w:r w:rsidRPr="00687A1C">
        <w:t>A description of departmental objectives and outputs during the year ended 30 June 2018 are summarised below.</w:t>
      </w:r>
    </w:p>
    <w:p w:rsidR="00174AEA" w:rsidRPr="00687A1C" w:rsidRDefault="00174AEA" w:rsidP="00174AEA">
      <w:pPr>
        <w:pStyle w:val="Heading5"/>
        <w:rPr>
          <w:sz w:val="16"/>
        </w:rPr>
      </w:pPr>
      <w:r w:rsidRPr="00687A1C">
        <w:rPr>
          <w:sz w:val="16"/>
        </w:rPr>
        <w:t>Optimise Victoria’s fiscal resources</w:t>
      </w:r>
    </w:p>
    <w:p w:rsidR="00174AEA" w:rsidRPr="00687A1C" w:rsidRDefault="00174AEA" w:rsidP="00174AEA">
      <w:pPr>
        <w:rPr>
          <w:b/>
        </w:rPr>
      </w:pPr>
      <w:r w:rsidRPr="00687A1C">
        <w:t xml:space="preserve">These outputs contribute to the Department’s objective to ensure that Government financial policies are fiscally sound. </w:t>
      </w:r>
    </w:p>
    <w:p w:rsidR="00174AEA" w:rsidRPr="00687A1C" w:rsidRDefault="00174AEA" w:rsidP="00174AEA">
      <w:pPr>
        <w:pStyle w:val="Heading5"/>
        <w:rPr>
          <w:sz w:val="16"/>
        </w:rPr>
      </w:pPr>
      <w:r w:rsidRPr="00687A1C">
        <w:rPr>
          <w:sz w:val="16"/>
        </w:rPr>
        <w:t>Strengthen Victoria’s economic performance</w:t>
      </w:r>
    </w:p>
    <w:p w:rsidR="00174AEA" w:rsidRPr="00687A1C" w:rsidRDefault="00174AEA" w:rsidP="00174AEA">
      <w:r w:rsidRPr="00687A1C">
        <w:t>These outputs provide advice on key economic and financial issues, including longer</w:t>
      </w:r>
      <w:r w:rsidRPr="00687A1C">
        <w:noBreakHyphen/>
        <w:t>term economic development, regulation, financial strategy and taxation policy.</w:t>
      </w:r>
    </w:p>
    <w:p w:rsidR="00174AEA" w:rsidRPr="00687A1C" w:rsidRDefault="00174AEA" w:rsidP="00174AEA">
      <w:pPr>
        <w:pStyle w:val="Heading5"/>
        <w:rPr>
          <w:sz w:val="16"/>
        </w:rPr>
      </w:pPr>
      <w:r w:rsidRPr="00687A1C">
        <w:rPr>
          <w:sz w:val="16"/>
        </w:rPr>
        <w:br w:type="column"/>
      </w:r>
      <w:r w:rsidRPr="00687A1C">
        <w:rPr>
          <w:sz w:val="16"/>
        </w:rPr>
        <w:t>Improve how Government manages its balance sheet, commercial activities and public sector</w:t>
      </w:r>
      <w:r w:rsidRPr="00687A1C">
        <w:rPr>
          <w:bCs/>
          <w:color w:val="000000"/>
          <w:sz w:val="16"/>
          <w:szCs w:val="14"/>
        </w:rPr>
        <w:t xml:space="preserve"> </w:t>
      </w:r>
      <w:r w:rsidRPr="00687A1C">
        <w:rPr>
          <w:sz w:val="16"/>
        </w:rPr>
        <w:t>infrastructure</w:t>
      </w:r>
    </w:p>
    <w:p w:rsidR="00174AEA" w:rsidRPr="00687A1C" w:rsidRDefault="00174AEA" w:rsidP="00174AEA">
      <w:r w:rsidRPr="00687A1C">
        <w:t>The Department develops and applies prudent commercial principles and practices to influence and deliver Government policies focused on major infrastructure, government business enterprises and the State’s balance sheet.</w:t>
      </w:r>
    </w:p>
    <w:p w:rsidR="00174AEA" w:rsidRPr="00687A1C" w:rsidRDefault="00174AEA" w:rsidP="00174AEA">
      <w:pPr>
        <w:pStyle w:val="Heading5"/>
        <w:rPr>
          <w:sz w:val="16"/>
        </w:rPr>
      </w:pPr>
      <w:r w:rsidRPr="00687A1C">
        <w:rPr>
          <w:sz w:val="16"/>
        </w:rPr>
        <w:t xml:space="preserve">Deliver efficient whole of government common services </w:t>
      </w:r>
    </w:p>
    <w:p w:rsidR="00174AEA" w:rsidRPr="00687A1C" w:rsidRDefault="00174AEA" w:rsidP="00174AEA">
      <w:r w:rsidRPr="00687A1C">
        <w:t xml:space="preserve">The Department assists </w:t>
      </w:r>
      <w:r w:rsidR="001802F6" w:rsidRPr="00687A1C">
        <w:t xml:space="preserve">government </w:t>
      </w:r>
      <w:r w:rsidRPr="00687A1C">
        <w:t>agencies in providing a more integrated approach to the management of common services. This output delivers whole of government services, policies and initiatives in areas including procurement, fleet and accommodation.</w:t>
      </w:r>
    </w:p>
    <w:p w:rsidR="00174AEA" w:rsidRPr="00687A1C" w:rsidRDefault="00174AEA" w:rsidP="00174AEA"/>
    <w:p w:rsidR="00174AEA" w:rsidRPr="00687A1C" w:rsidRDefault="00174AEA" w:rsidP="00174AEA">
      <w:pPr>
        <w:sectPr w:rsidR="00174AEA" w:rsidRPr="00687A1C" w:rsidSect="00811E6F">
          <w:type w:val="continuous"/>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lastRenderedPageBreak/>
        <w:t>Departmental outputs schedule</w:t>
      </w:r>
    </w:p>
    <w:tbl>
      <w:tblPr>
        <w:tblW w:w="0" w:type="auto"/>
        <w:tblLayout w:type="fixed"/>
        <w:tblLook w:val="0000" w:firstRow="0" w:lastRow="0" w:firstColumn="0" w:lastColumn="0" w:noHBand="0" w:noVBand="0"/>
      </w:tblPr>
      <w:tblGrid>
        <w:gridCol w:w="5238"/>
        <w:gridCol w:w="1139"/>
        <w:gridCol w:w="1139"/>
        <w:gridCol w:w="1139"/>
        <w:gridCol w:w="1139"/>
      </w:tblGrid>
      <w:tr w:rsidR="00174AEA" w:rsidRPr="00687A1C" w:rsidTr="008A3976">
        <w:trPr>
          <w:cantSplit/>
        </w:trPr>
        <w:tc>
          <w:tcPr>
            <w:tcW w:w="5238" w:type="dxa"/>
            <w:shd w:val="clear" w:color="auto" w:fill="auto"/>
            <w:noWrap/>
          </w:tcPr>
          <w:p w:rsidR="00174AEA" w:rsidRPr="00687A1C" w:rsidRDefault="00174AEA" w:rsidP="008A3976">
            <w:pPr>
              <w:pStyle w:val="Tabletext"/>
            </w:pPr>
          </w:p>
        </w:tc>
        <w:tc>
          <w:tcPr>
            <w:tcW w:w="2278" w:type="dxa"/>
            <w:gridSpan w:val="2"/>
            <w:shd w:val="clear" w:color="auto" w:fill="auto"/>
            <w:noWrap/>
            <w:vAlign w:val="bottom"/>
          </w:tcPr>
          <w:p w:rsidR="00174AEA" w:rsidRPr="00687A1C" w:rsidRDefault="00174AEA" w:rsidP="008A3976">
            <w:pPr>
              <w:pStyle w:val="Tabletextheadingcentred"/>
            </w:pPr>
            <w:r w:rsidRPr="00687A1C">
              <w:t>Optimise Victoria's fiscal</w:t>
            </w:r>
            <w:r w:rsidRPr="00687A1C">
              <w:rPr>
                <w:rFonts w:ascii="Calibri" w:hAnsi="Calibri" w:cs="Calibri"/>
              </w:rPr>
              <w:t> </w:t>
            </w:r>
            <w:r w:rsidRPr="00687A1C">
              <w:t>resources</w:t>
            </w:r>
          </w:p>
        </w:tc>
        <w:tc>
          <w:tcPr>
            <w:tcW w:w="2278" w:type="dxa"/>
            <w:gridSpan w:val="2"/>
            <w:shd w:val="clear" w:color="auto" w:fill="auto"/>
            <w:noWrap/>
            <w:vAlign w:val="bottom"/>
          </w:tcPr>
          <w:p w:rsidR="00174AEA" w:rsidRPr="00687A1C" w:rsidRDefault="00174AEA" w:rsidP="008A3976">
            <w:pPr>
              <w:pStyle w:val="Tabletextheadingcentred"/>
            </w:pPr>
            <w:r w:rsidRPr="00687A1C">
              <w:br/>
            </w:r>
            <w:r w:rsidRPr="00687A1C">
              <w:br/>
              <w:t>Strengthen Victoria’s economic performance</w:t>
            </w:r>
          </w:p>
        </w:tc>
      </w:tr>
      <w:tr w:rsidR="00174AEA" w:rsidRPr="00687A1C" w:rsidTr="008A3976">
        <w:trPr>
          <w:cantSplit/>
        </w:trPr>
        <w:tc>
          <w:tcPr>
            <w:tcW w:w="5238" w:type="dxa"/>
            <w:shd w:val="clear" w:color="auto" w:fill="auto"/>
            <w:noWrap/>
          </w:tcPr>
          <w:p w:rsidR="00174AEA" w:rsidRPr="00687A1C" w:rsidRDefault="00174AEA" w:rsidP="008A3976">
            <w:pPr>
              <w:pStyle w:val="Tabletext"/>
            </w:pPr>
          </w:p>
        </w:tc>
        <w:tc>
          <w:tcPr>
            <w:tcW w:w="1139" w:type="dxa"/>
            <w:shd w:val="clear" w:color="auto" w:fill="auto"/>
            <w:noWrap/>
          </w:tcPr>
          <w:p w:rsidR="00174AEA" w:rsidRPr="00687A1C" w:rsidRDefault="00174AEA" w:rsidP="008A3976">
            <w:pPr>
              <w:pStyle w:val="Tabletextheadingright"/>
            </w:pPr>
            <w:r w:rsidRPr="00687A1C">
              <w:t>2018</w:t>
            </w:r>
          </w:p>
        </w:tc>
        <w:tc>
          <w:tcPr>
            <w:tcW w:w="1139" w:type="dxa"/>
            <w:shd w:val="clear" w:color="auto" w:fill="auto"/>
            <w:noWrap/>
          </w:tcPr>
          <w:p w:rsidR="00174AEA" w:rsidRPr="00687A1C" w:rsidRDefault="00174AEA" w:rsidP="008A3976">
            <w:pPr>
              <w:pStyle w:val="Tabletextheadingright"/>
            </w:pPr>
            <w:r w:rsidRPr="00687A1C">
              <w:t>2017</w:t>
            </w:r>
          </w:p>
        </w:tc>
        <w:tc>
          <w:tcPr>
            <w:tcW w:w="1139" w:type="dxa"/>
            <w:shd w:val="clear" w:color="auto" w:fill="auto"/>
            <w:noWrap/>
          </w:tcPr>
          <w:p w:rsidR="00174AEA" w:rsidRPr="00687A1C" w:rsidRDefault="00174AEA" w:rsidP="008A3976">
            <w:pPr>
              <w:pStyle w:val="Tabletextheadingright"/>
            </w:pPr>
            <w:r w:rsidRPr="00687A1C">
              <w:t>2018</w:t>
            </w:r>
          </w:p>
        </w:tc>
        <w:tc>
          <w:tcPr>
            <w:tcW w:w="1139" w:type="dxa"/>
            <w:shd w:val="clear" w:color="auto" w:fill="auto"/>
            <w:noWrap/>
          </w:tcPr>
          <w:p w:rsidR="00174AEA" w:rsidRPr="00687A1C" w:rsidRDefault="00174AEA" w:rsidP="008A3976">
            <w:pPr>
              <w:pStyle w:val="Tabletextheadingright"/>
            </w:pPr>
            <w:r w:rsidRPr="00687A1C">
              <w:t>2017</w:t>
            </w:r>
          </w:p>
        </w:tc>
      </w:tr>
      <w:tr w:rsidR="00174AEA" w:rsidRPr="00687A1C" w:rsidTr="008A3976">
        <w:trPr>
          <w:cantSplit/>
        </w:trPr>
        <w:tc>
          <w:tcPr>
            <w:tcW w:w="5238" w:type="dxa"/>
            <w:shd w:val="clear" w:color="auto" w:fill="auto"/>
            <w:noWrap/>
          </w:tcPr>
          <w:p w:rsidR="00174AEA" w:rsidRPr="00687A1C" w:rsidRDefault="00174AEA" w:rsidP="008A3976">
            <w:pPr>
              <w:pStyle w:val="Tabletext"/>
            </w:pPr>
          </w:p>
        </w:tc>
        <w:tc>
          <w:tcPr>
            <w:tcW w:w="1139" w:type="dxa"/>
            <w:shd w:val="clear" w:color="auto" w:fill="auto"/>
            <w:noWrap/>
          </w:tcPr>
          <w:p w:rsidR="00174AEA" w:rsidRPr="00687A1C" w:rsidRDefault="00174AEA" w:rsidP="008A3976">
            <w:pPr>
              <w:pStyle w:val="Tabletextheadingright"/>
            </w:pPr>
            <w:r w:rsidRPr="00687A1C">
              <w:t>$’000</w:t>
            </w:r>
          </w:p>
        </w:tc>
        <w:tc>
          <w:tcPr>
            <w:tcW w:w="1139" w:type="dxa"/>
            <w:shd w:val="clear" w:color="auto" w:fill="auto"/>
            <w:noWrap/>
          </w:tcPr>
          <w:p w:rsidR="00174AEA" w:rsidRPr="00687A1C" w:rsidRDefault="00174AEA" w:rsidP="008A3976">
            <w:pPr>
              <w:pStyle w:val="Tabletextheadingright"/>
            </w:pPr>
            <w:r w:rsidRPr="00687A1C">
              <w:t>$’000</w:t>
            </w:r>
          </w:p>
        </w:tc>
        <w:tc>
          <w:tcPr>
            <w:tcW w:w="1139" w:type="dxa"/>
            <w:shd w:val="clear" w:color="auto" w:fill="auto"/>
            <w:noWrap/>
          </w:tcPr>
          <w:p w:rsidR="00174AEA" w:rsidRPr="00687A1C" w:rsidRDefault="00174AEA" w:rsidP="008A3976">
            <w:pPr>
              <w:pStyle w:val="Tabletextheadingright"/>
            </w:pPr>
            <w:r w:rsidRPr="00687A1C">
              <w:t>$’000</w:t>
            </w:r>
          </w:p>
        </w:tc>
        <w:tc>
          <w:tcPr>
            <w:tcW w:w="1139" w:type="dxa"/>
            <w:shd w:val="clear" w:color="auto" w:fill="auto"/>
            <w:noWrap/>
          </w:tcPr>
          <w:p w:rsidR="00174AEA" w:rsidRPr="00687A1C" w:rsidRDefault="00174AEA" w:rsidP="008A3976">
            <w:pPr>
              <w:pStyle w:val="Tabletextheadingright"/>
            </w:pPr>
            <w:r w:rsidRPr="00687A1C">
              <w:t>$’000</w:t>
            </w: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t>Controlled income and expenses for the year ended 30 June 2018</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tcPr>
          <w:p w:rsidR="00174AEA" w:rsidRPr="00687A1C" w:rsidRDefault="00174AEA" w:rsidP="008A3976">
            <w:pPr>
              <w:rPr>
                <w:bCs/>
              </w:rPr>
            </w:pPr>
          </w:p>
        </w:tc>
        <w:tc>
          <w:tcPr>
            <w:tcW w:w="1139" w:type="dxa"/>
            <w:shd w:val="clear" w:color="auto" w:fill="auto"/>
            <w:noWrap/>
          </w:tcPr>
          <w:p w:rsidR="00174AEA" w:rsidRPr="00687A1C" w:rsidRDefault="00174AEA" w:rsidP="008A3976">
            <w:pPr>
              <w:rPr>
                <w:bCs/>
              </w:rPr>
            </w:pPr>
          </w:p>
        </w:tc>
        <w:tc>
          <w:tcPr>
            <w:tcW w:w="1139" w:type="dxa"/>
            <w:shd w:val="clear" w:color="auto" w:fill="E0E0E0"/>
            <w:noWrap/>
          </w:tcPr>
          <w:p w:rsidR="00174AEA" w:rsidRPr="00687A1C" w:rsidRDefault="00174AEA" w:rsidP="008A3976">
            <w:pPr>
              <w:rPr>
                <w:bCs/>
              </w:rPr>
            </w:pPr>
          </w:p>
        </w:tc>
        <w:tc>
          <w:tcPr>
            <w:tcW w:w="1139" w:type="dxa"/>
            <w:shd w:val="clear" w:color="auto" w:fill="E0E0E0"/>
            <w:noWrap/>
          </w:tcPr>
          <w:p w:rsidR="00174AEA" w:rsidRPr="00687A1C" w:rsidRDefault="00174AEA" w:rsidP="008A3976"/>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Income from transactions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Output appropriations</w:t>
            </w:r>
          </w:p>
        </w:tc>
        <w:tc>
          <w:tcPr>
            <w:tcW w:w="1139" w:type="dxa"/>
            <w:shd w:val="clear" w:color="auto" w:fill="auto"/>
            <w:noWrap/>
            <w:vAlign w:val="bottom"/>
          </w:tcPr>
          <w:p w:rsidR="00174AEA" w:rsidRPr="00687A1C" w:rsidRDefault="00174AEA" w:rsidP="00D8412D">
            <w:pPr>
              <w:pStyle w:val="Tabletextright"/>
            </w:pPr>
            <w:r w:rsidRPr="00687A1C">
              <w:t>136</w:t>
            </w:r>
            <w:r w:rsidR="00D8412D" w:rsidRPr="00687A1C">
              <w:rPr>
                <w:rFonts w:ascii="Calibri" w:hAnsi="Calibri" w:cs="Calibri"/>
              </w:rPr>
              <w:t xml:space="preserve"> </w:t>
            </w:r>
            <w:r w:rsidRPr="00687A1C">
              <w:t>265</w:t>
            </w:r>
          </w:p>
        </w:tc>
        <w:tc>
          <w:tcPr>
            <w:tcW w:w="1139" w:type="dxa"/>
            <w:shd w:val="clear" w:color="auto" w:fill="auto"/>
            <w:noWrap/>
            <w:vAlign w:val="bottom"/>
          </w:tcPr>
          <w:p w:rsidR="00174AEA" w:rsidRPr="00687A1C" w:rsidRDefault="00174AEA" w:rsidP="00D8412D">
            <w:pPr>
              <w:pStyle w:val="Tabletextright"/>
            </w:pPr>
            <w:r w:rsidRPr="00687A1C">
              <w:t>118</w:t>
            </w:r>
            <w:r w:rsidR="00D8412D" w:rsidRPr="00687A1C">
              <w:rPr>
                <w:rFonts w:ascii="Calibri" w:hAnsi="Calibri" w:cs="Calibri"/>
              </w:rPr>
              <w:t xml:space="preserve"> </w:t>
            </w:r>
            <w:r w:rsidRPr="00687A1C">
              <w:t>305</w:t>
            </w:r>
          </w:p>
        </w:tc>
        <w:tc>
          <w:tcPr>
            <w:tcW w:w="1139" w:type="dxa"/>
            <w:shd w:val="clear" w:color="auto" w:fill="E0E0E0"/>
            <w:noWrap/>
            <w:vAlign w:val="bottom"/>
          </w:tcPr>
          <w:p w:rsidR="00174AEA" w:rsidRPr="00687A1C" w:rsidRDefault="00174AEA" w:rsidP="00D8412D">
            <w:pPr>
              <w:pStyle w:val="Tabletextright"/>
            </w:pPr>
            <w:r w:rsidRPr="00687A1C">
              <w:t>52</w:t>
            </w:r>
            <w:r w:rsidR="00D8412D" w:rsidRPr="00687A1C">
              <w:rPr>
                <w:rFonts w:ascii="Calibri" w:hAnsi="Calibri" w:cs="Calibri"/>
              </w:rPr>
              <w:t xml:space="preserve"> </w:t>
            </w:r>
            <w:r w:rsidRPr="00687A1C">
              <w:t>250</w:t>
            </w:r>
          </w:p>
        </w:tc>
        <w:tc>
          <w:tcPr>
            <w:tcW w:w="1139" w:type="dxa"/>
            <w:shd w:val="clear" w:color="auto" w:fill="E0E0E0"/>
            <w:noWrap/>
            <w:vAlign w:val="bottom"/>
          </w:tcPr>
          <w:p w:rsidR="00174AEA" w:rsidRPr="00687A1C" w:rsidRDefault="00174AEA" w:rsidP="00D8412D">
            <w:pPr>
              <w:pStyle w:val="Tabletextright"/>
            </w:pPr>
            <w:r w:rsidRPr="00687A1C">
              <w:t>50</w:t>
            </w:r>
            <w:r w:rsidR="00D8412D" w:rsidRPr="00687A1C">
              <w:rPr>
                <w:rFonts w:ascii="Calibri" w:hAnsi="Calibri" w:cs="Calibri"/>
              </w:rPr>
              <w:t xml:space="preserve"> </w:t>
            </w:r>
            <w:r w:rsidRPr="00687A1C">
              <w:t>191</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Other income</w:t>
            </w:r>
          </w:p>
        </w:tc>
        <w:tc>
          <w:tcPr>
            <w:tcW w:w="1139" w:type="dxa"/>
            <w:shd w:val="clear" w:color="auto" w:fill="auto"/>
            <w:noWrap/>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416</w:t>
            </w:r>
          </w:p>
        </w:tc>
        <w:tc>
          <w:tcPr>
            <w:tcW w:w="1139" w:type="dxa"/>
            <w:shd w:val="clear" w:color="auto" w:fill="auto"/>
            <w:noWrap/>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255</w:t>
            </w:r>
          </w:p>
        </w:tc>
        <w:tc>
          <w:tcPr>
            <w:tcW w:w="1139" w:type="dxa"/>
            <w:shd w:val="clear" w:color="auto" w:fill="E0E0E0"/>
            <w:noWrap/>
            <w:vAlign w:val="bottom"/>
          </w:tcPr>
          <w:p w:rsidR="00174AEA" w:rsidRPr="00687A1C" w:rsidRDefault="00174AEA" w:rsidP="008A3976">
            <w:pPr>
              <w:pStyle w:val="Tabletextright"/>
            </w:pPr>
            <w:r w:rsidRPr="00687A1C">
              <w:t>719</w:t>
            </w:r>
          </w:p>
        </w:tc>
        <w:tc>
          <w:tcPr>
            <w:tcW w:w="1139" w:type="dxa"/>
            <w:shd w:val="clear" w:color="auto" w:fill="E0E0E0"/>
            <w:noWrap/>
            <w:vAlign w:val="bottom"/>
          </w:tcPr>
          <w:p w:rsidR="00174AEA" w:rsidRPr="00687A1C" w:rsidRDefault="00174AEA" w:rsidP="008A3976">
            <w:pPr>
              <w:pStyle w:val="Tabletextright"/>
            </w:pPr>
            <w:r w:rsidRPr="00687A1C">
              <w:t>595</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Total income from transactions</w:t>
            </w:r>
          </w:p>
        </w:tc>
        <w:tc>
          <w:tcPr>
            <w:tcW w:w="1139" w:type="dxa"/>
            <w:shd w:val="clear" w:color="auto" w:fill="auto"/>
            <w:noWrap/>
            <w:vAlign w:val="bottom"/>
          </w:tcPr>
          <w:p w:rsidR="00174AEA" w:rsidRPr="00687A1C" w:rsidRDefault="00174AEA" w:rsidP="00D8412D">
            <w:pPr>
              <w:pStyle w:val="Tabletextrightbold"/>
            </w:pPr>
            <w:r w:rsidRPr="00687A1C">
              <w:t>137</w:t>
            </w:r>
            <w:r w:rsidR="00D8412D" w:rsidRPr="00687A1C">
              <w:rPr>
                <w:rFonts w:ascii="Calibri" w:hAnsi="Calibri" w:cs="Calibri"/>
              </w:rPr>
              <w:t xml:space="preserve"> </w:t>
            </w:r>
            <w:r w:rsidRPr="00687A1C">
              <w:t>681</w:t>
            </w:r>
          </w:p>
        </w:tc>
        <w:tc>
          <w:tcPr>
            <w:tcW w:w="1139" w:type="dxa"/>
            <w:shd w:val="clear" w:color="auto" w:fill="auto"/>
            <w:noWrap/>
            <w:vAlign w:val="bottom"/>
          </w:tcPr>
          <w:p w:rsidR="00174AEA" w:rsidRPr="00687A1C" w:rsidRDefault="00174AEA" w:rsidP="00D8412D">
            <w:pPr>
              <w:pStyle w:val="Tabletextrightbold"/>
            </w:pPr>
            <w:r w:rsidRPr="00687A1C">
              <w:t>119</w:t>
            </w:r>
            <w:r w:rsidR="00D8412D" w:rsidRPr="00687A1C">
              <w:rPr>
                <w:rFonts w:ascii="Calibri" w:hAnsi="Calibri" w:cs="Calibri"/>
              </w:rPr>
              <w:t xml:space="preserve"> </w:t>
            </w:r>
            <w:r w:rsidRPr="00687A1C">
              <w:t>560</w:t>
            </w:r>
          </w:p>
        </w:tc>
        <w:tc>
          <w:tcPr>
            <w:tcW w:w="1139" w:type="dxa"/>
            <w:shd w:val="clear" w:color="auto" w:fill="E0E0E0"/>
            <w:noWrap/>
            <w:vAlign w:val="bottom"/>
          </w:tcPr>
          <w:p w:rsidR="00174AEA" w:rsidRPr="00687A1C" w:rsidRDefault="00174AEA" w:rsidP="00D8412D">
            <w:pPr>
              <w:pStyle w:val="Tabletextrightbold"/>
            </w:pPr>
            <w:r w:rsidRPr="00687A1C">
              <w:t>52</w:t>
            </w:r>
            <w:r w:rsidR="00D8412D" w:rsidRPr="00687A1C">
              <w:rPr>
                <w:rFonts w:ascii="Calibri" w:hAnsi="Calibri" w:cs="Calibri"/>
              </w:rPr>
              <w:t xml:space="preserve"> </w:t>
            </w:r>
            <w:r w:rsidRPr="00687A1C">
              <w:t>969</w:t>
            </w:r>
          </w:p>
        </w:tc>
        <w:tc>
          <w:tcPr>
            <w:tcW w:w="1139" w:type="dxa"/>
            <w:shd w:val="clear" w:color="auto" w:fill="E0E0E0"/>
            <w:noWrap/>
            <w:vAlign w:val="bottom"/>
          </w:tcPr>
          <w:p w:rsidR="00174AEA" w:rsidRPr="00687A1C" w:rsidRDefault="00174AEA" w:rsidP="00D8412D">
            <w:pPr>
              <w:pStyle w:val="Tabletextrightbold"/>
            </w:pPr>
            <w:r w:rsidRPr="00687A1C">
              <w:t>50</w:t>
            </w:r>
            <w:r w:rsidR="00D8412D" w:rsidRPr="00687A1C">
              <w:rPr>
                <w:rFonts w:ascii="Calibri" w:hAnsi="Calibri" w:cs="Calibri"/>
              </w:rPr>
              <w:t xml:space="preserve"> </w:t>
            </w:r>
            <w:r w:rsidRPr="00687A1C">
              <w:t>786</w:t>
            </w: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Expenses from transactions</w:t>
            </w: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Employee expenses</w:t>
            </w:r>
          </w:p>
        </w:tc>
        <w:tc>
          <w:tcPr>
            <w:tcW w:w="1139" w:type="dxa"/>
            <w:shd w:val="clear" w:color="auto" w:fill="auto"/>
            <w:noWrap/>
            <w:vAlign w:val="bottom"/>
          </w:tcPr>
          <w:p w:rsidR="00174AEA" w:rsidRPr="00687A1C" w:rsidRDefault="00174AEA" w:rsidP="00D8412D">
            <w:pPr>
              <w:pStyle w:val="Tabletextright"/>
            </w:pPr>
            <w:r w:rsidRPr="00687A1C">
              <w:t>76</w:t>
            </w:r>
            <w:r w:rsidR="00D8412D" w:rsidRPr="00687A1C">
              <w:rPr>
                <w:rFonts w:ascii="Calibri" w:hAnsi="Calibri" w:cs="Calibri"/>
              </w:rPr>
              <w:t xml:space="preserve"> </w:t>
            </w:r>
            <w:r w:rsidRPr="00687A1C">
              <w:t>617</w:t>
            </w:r>
          </w:p>
        </w:tc>
        <w:tc>
          <w:tcPr>
            <w:tcW w:w="1139" w:type="dxa"/>
            <w:shd w:val="clear" w:color="auto" w:fill="auto"/>
            <w:noWrap/>
            <w:vAlign w:val="bottom"/>
          </w:tcPr>
          <w:p w:rsidR="00174AEA" w:rsidRPr="00687A1C" w:rsidRDefault="00174AEA" w:rsidP="00D8412D">
            <w:pPr>
              <w:pStyle w:val="Tabletextright"/>
            </w:pPr>
            <w:r w:rsidRPr="00687A1C">
              <w:t>72</w:t>
            </w:r>
            <w:r w:rsidR="00D8412D" w:rsidRPr="00687A1C">
              <w:rPr>
                <w:rFonts w:ascii="Calibri" w:hAnsi="Calibri" w:cs="Calibri"/>
              </w:rPr>
              <w:t xml:space="preserve"> </w:t>
            </w:r>
            <w:r w:rsidRPr="00687A1C">
              <w:t>050</w:t>
            </w:r>
          </w:p>
        </w:tc>
        <w:tc>
          <w:tcPr>
            <w:tcW w:w="1139" w:type="dxa"/>
            <w:shd w:val="clear" w:color="auto" w:fill="E0E0E0"/>
            <w:noWrap/>
            <w:vAlign w:val="bottom"/>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535</w:t>
            </w:r>
          </w:p>
        </w:tc>
        <w:tc>
          <w:tcPr>
            <w:tcW w:w="1139" w:type="dxa"/>
            <w:shd w:val="clear" w:color="auto" w:fill="E0E0E0"/>
            <w:noWrap/>
            <w:vAlign w:val="bottom"/>
          </w:tcPr>
          <w:p w:rsidR="00174AEA" w:rsidRPr="00687A1C" w:rsidRDefault="00174AEA" w:rsidP="00D8412D">
            <w:pPr>
              <w:pStyle w:val="Tabletextright"/>
            </w:pPr>
            <w:r w:rsidRPr="00687A1C">
              <w:t>20</w:t>
            </w:r>
            <w:r w:rsidR="00D8412D" w:rsidRPr="00687A1C">
              <w:rPr>
                <w:rFonts w:ascii="Calibri" w:hAnsi="Calibri" w:cs="Calibri"/>
              </w:rPr>
              <w:t xml:space="preserve"> </w:t>
            </w:r>
            <w:r w:rsidRPr="00687A1C">
              <w:t>056</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Depreciation</w:t>
            </w:r>
            <w:r w:rsidR="001802F6" w:rsidRPr="00687A1C">
              <w:rPr>
                <w:szCs w:val="18"/>
              </w:rPr>
              <w:t xml:space="preserve"> and amortisation</w:t>
            </w:r>
          </w:p>
        </w:tc>
        <w:tc>
          <w:tcPr>
            <w:tcW w:w="1139" w:type="dxa"/>
            <w:shd w:val="clear" w:color="auto" w:fill="auto"/>
            <w:noWrap/>
            <w:vAlign w:val="bottom"/>
          </w:tcPr>
          <w:p w:rsidR="00174AEA" w:rsidRPr="00687A1C" w:rsidRDefault="00174AEA" w:rsidP="00D8412D">
            <w:pPr>
              <w:pStyle w:val="Tabletextright"/>
            </w:pPr>
            <w:r w:rsidRPr="00687A1C">
              <w:t>21</w:t>
            </w:r>
            <w:r w:rsidR="00D8412D" w:rsidRPr="00687A1C">
              <w:rPr>
                <w:rFonts w:ascii="Calibri" w:hAnsi="Calibri" w:cs="Calibri"/>
              </w:rPr>
              <w:t xml:space="preserve"> </w:t>
            </w:r>
            <w:r w:rsidR="000509BA" w:rsidRPr="00687A1C">
              <w:t>644</w:t>
            </w:r>
          </w:p>
        </w:tc>
        <w:tc>
          <w:tcPr>
            <w:tcW w:w="1139" w:type="dxa"/>
            <w:shd w:val="clear" w:color="auto" w:fill="auto"/>
            <w:noWrap/>
            <w:vAlign w:val="bottom"/>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284</w:t>
            </w:r>
          </w:p>
        </w:tc>
        <w:tc>
          <w:tcPr>
            <w:tcW w:w="1139" w:type="dxa"/>
            <w:shd w:val="clear" w:color="auto" w:fill="E0E0E0"/>
            <w:noWrap/>
            <w:vAlign w:val="bottom"/>
          </w:tcPr>
          <w:p w:rsidR="00174AEA" w:rsidRPr="00687A1C" w:rsidRDefault="00174AEA" w:rsidP="008A3976">
            <w:pPr>
              <w:pStyle w:val="Tabletextright"/>
            </w:pPr>
            <w:r w:rsidRPr="00687A1C">
              <w:t>104</w:t>
            </w:r>
          </w:p>
        </w:tc>
        <w:tc>
          <w:tcPr>
            <w:tcW w:w="1139" w:type="dxa"/>
            <w:shd w:val="clear" w:color="auto" w:fill="E0E0E0"/>
            <w:noWrap/>
            <w:vAlign w:val="bottom"/>
          </w:tcPr>
          <w:p w:rsidR="00174AEA" w:rsidRPr="00687A1C" w:rsidRDefault="00174AEA" w:rsidP="008A3976">
            <w:pPr>
              <w:pStyle w:val="Tabletextright"/>
            </w:pPr>
            <w:r w:rsidRPr="00687A1C">
              <w:t>161</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Interest expense</w:t>
            </w:r>
          </w:p>
        </w:tc>
        <w:tc>
          <w:tcPr>
            <w:tcW w:w="1139" w:type="dxa"/>
            <w:shd w:val="clear" w:color="auto" w:fill="auto"/>
            <w:noWrap/>
            <w:vAlign w:val="bottom"/>
          </w:tcPr>
          <w:p w:rsidR="00174AEA" w:rsidRPr="00687A1C" w:rsidRDefault="00174AEA" w:rsidP="008A3976">
            <w:pPr>
              <w:pStyle w:val="Tabletextright"/>
            </w:pPr>
            <w:r w:rsidRPr="00687A1C">
              <w:t>12</w:t>
            </w:r>
          </w:p>
        </w:tc>
        <w:tc>
          <w:tcPr>
            <w:tcW w:w="1139" w:type="dxa"/>
            <w:shd w:val="clear" w:color="auto" w:fill="auto"/>
            <w:noWrap/>
            <w:vAlign w:val="bottom"/>
          </w:tcPr>
          <w:p w:rsidR="00174AEA" w:rsidRPr="00687A1C" w:rsidRDefault="00174AEA" w:rsidP="008A3976">
            <w:pPr>
              <w:pStyle w:val="Tabletextright"/>
            </w:pPr>
            <w:r w:rsidRPr="00687A1C">
              <w:t>10</w:t>
            </w:r>
          </w:p>
        </w:tc>
        <w:tc>
          <w:tcPr>
            <w:tcW w:w="1139" w:type="dxa"/>
            <w:shd w:val="clear" w:color="auto" w:fill="E0E0E0"/>
            <w:noWrap/>
            <w:vAlign w:val="bottom"/>
          </w:tcPr>
          <w:p w:rsidR="00174AEA" w:rsidRPr="00687A1C" w:rsidRDefault="00174AEA" w:rsidP="008A3976">
            <w:pPr>
              <w:pStyle w:val="Tabletextright"/>
            </w:pPr>
            <w:r w:rsidRPr="00687A1C">
              <w:t>8</w:t>
            </w:r>
          </w:p>
        </w:tc>
        <w:tc>
          <w:tcPr>
            <w:tcW w:w="1139" w:type="dxa"/>
            <w:shd w:val="clear" w:color="auto" w:fill="E0E0E0"/>
            <w:noWrap/>
            <w:vAlign w:val="bottom"/>
          </w:tcPr>
          <w:p w:rsidR="00174AEA" w:rsidRPr="00687A1C" w:rsidRDefault="00174AEA" w:rsidP="008A3976">
            <w:pPr>
              <w:pStyle w:val="Tabletextright"/>
            </w:pPr>
            <w:r w:rsidRPr="00687A1C">
              <w:t>3</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Grants expense</w:t>
            </w:r>
          </w:p>
        </w:tc>
        <w:tc>
          <w:tcPr>
            <w:tcW w:w="1139" w:type="dxa"/>
            <w:shd w:val="clear" w:color="auto" w:fill="auto"/>
            <w:noWrap/>
            <w:vAlign w:val="bottom"/>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309</w:t>
            </w:r>
          </w:p>
        </w:tc>
        <w:tc>
          <w:tcPr>
            <w:tcW w:w="1139" w:type="dxa"/>
            <w:shd w:val="clear" w:color="auto" w:fill="auto"/>
            <w:noWrap/>
            <w:vAlign w:val="bottom"/>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382</w:t>
            </w:r>
          </w:p>
        </w:tc>
        <w:tc>
          <w:tcPr>
            <w:tcW w:w="1139" w:type="dxa"/>
            <w:shd w:val="clear" w:color="auto" w:fill="E0E0E0"/>
            <w:noWrap/>
            <w:vAlign w:val="bottom"/>
          </w:tcPr>
          <w:p w:rsidR="00174AEA" w:rsidRPr="00687A1C" w:rsidRDefault="00174AEA" w:rsidP="00D8412D">
            <w:pPr>
              <w:pStyle w:val="Tabletextright"/>
            </w:pPr>
            <w:r w:rsidRPr="00687A1C">
              <w:t>24</w:t>
            </w:r>
            <w:r w:rsidR="00D8412D" w:rsidRPr="00687A1C">
              <w:rPr>
                <w:rFonts w:ascii="Calibri" w:hAnsi="Calibri" w:cs="Calibri"/>
              </w:rPr>
              <w:t xml:space="preserve"> </w:t>
            </w:r>
            <w:r w:rsidRPr="00687A1C">
              <w:t>658</w:t>
            </w:r>
          </w:p>
        </w:tc>
        <w:tc>
          <w:tcPr>
            <w:tcW w:w="1139" w:type="dxa"/>
            <w:shd w:val="clear" w:color="auto" w:fill="E0E0E0"/>
            <w:noWrap/>
            <w:vAlign w:val="bottom"/>
          </w:tcPr>
          <w:p w:rsidR="00174AEA" w:rsidRPr="00687A1C" w:rsidRDefault="00174AEA" w:rsidP="00D8412D">
            <w:pPr>
              <w:pStyle w:val="Tabletextright"/>
            </w:pPr>
            <w:r w:rsidRPr="00687A1C">
              <w:t>24</w:t>
            </w:r>
            <w:r w:rsidR="00D8412D" w:rsidRPr="00687A1C">
              <w:rPr>
                <w:rFonts w:ascii="Calibri" w:hAnsi="Calibri" w:cs="Calibri"/>
              </w:rPr>
              <w:t xml:space="preserve"> </w:t>
            </w:r>
            <w:r w:rsidRPr="00687A1C">
              <w:t>680</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Capital asset charge</w:t>
            </w:r>
          </w:p>
        </w:tc>
        <w:tc>
          <w:tcPr>
            <w:tcW w:w="1139" w:type="dxa"/>
            <w:shd w:val="clear" w:color="auto" w:fill="auto"/>
            <w:noWrap/>
            <w:vAlign w:val="bottom"/>
          </w:tcPr>
          <w:p w:rsidR="00174AEA" w:rsidRPr="00687A1C" w:rsidRDefault="00174AEA" w:rsidP="008A3976">
            <w:pPr>
              <w:pStyle w:val="Tabletextright"/>
            </w:pPr>
            <w:r w:rsidRPr="00687A1C">
              <w:t>47</w:t>
            </w:r>
          </w:p>
        </w:tc>
        <w:tc>
          <w:tcPr>
            <w:tcW w:w="1139" w:type="dxa"/>
            <w:shd w:val="clear" w:color="auto" w:fill="auto"/>
            <w:noWrap/>
            <w:vAlign w:val="bottom"/>
          </w:tcPr>
          <w:p w:rsidR="00174AEA" w:rsidRPr="00687A1C" w:rsidRDefault="00174AEA" w:rsidP="008A3976">
            <w:pPr>
              <w:pStyle w:val="Tabletextright"/>
            </w:pPr>
            <w:r w:rsidRPr="00687A1C">
              <w:t>44</w:t>
            </w:r>
          </w:p>
        </w:tc>
        <w:tc>
          <w:tcPr>
            <w:tcW w:w="1139" w:type="dxa"/>
            <w:shd w:val="clear" w:color="auto" w:fill="E0E0E0"/>
            <w:noWrap/>
            <w:vAlign w:val="bottom"/>
          </w:tcPr>
          <w:p w:rsidR="00174AEA" w:rsidRPr="00687A1C" w:rsidRDefault="00174AEA" w:rsidP="008A3976">
            <w:pPr>
              <w:pStyle w:val="Tabletextright"/>
            </w:pPr>
            <w:r w:rsidRPr="00687A1C">
              <w:t>39</w:t>
            </w:r>
          </w:p>
        </w:tc>
        <w:tc>
          <w:tcPr>
            <w:tcW w:w="1139" w:type="dxa"/>
            <w:shd w:val="clear" w:color="auto" w:fill="E0E0E0"/>
            <w:noWrap/>
            <w:vAlign w:val="bottom"/>
          </w:tcPr>
          <w:p w:rsidR="00174AEA" w:rsidRPr="00687A1C" w:rsidRDefault="00174AEA" w:rsidP="008A3976">
            <w:pPr>
              <w:pStyle w:val="Tabletextright"/>
            </w:pPr>
            <w:r w:rsidRPr="00687A1C">
              <w:t>39</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Supplies and services</w:t>
            </w:r>
          </w:p>
        </w:tc>
        <w:tc>
          <w:tcPr>
            <w:tcW w:w="1139" w:type="dxa"/>
            <w:shd w:val="clear" w:color="auto" w:fill="auto"/>
            <w:noWrap/>
            <w:vAlign w:val="bottom"/>
          </w:tcPr>
          <w:p w:rsidR="00174AEA" w:rsidRPr="00687A1C" w:rsidRDefault="00174AEA" w:rsidP="00D8412D">
            <w:pPr>
              <w:pStyle w:val="Tabletextright"/>
            </w:pPr>
            <w:r w:rsidRPr="00687A1C">
              <w:t>31</w:t>
            </w:r>
            <w:r w:rsidR="00D8412D" w:rsidRPr="00687A1C">
              <w:rPr>
                <w:rFonts w:ascii="Calibri" w:hAnsi="Calibri" w:cs="Calibri"/>
              </w:rPr>
              <w:t xml:space="preserve"> </w:t>
            </w:r>
            <w:r w:rsidRPr="00687A1C">
              <w:t>892</w:t>
            </w:r>
          </w:p>
        </w:tc>
        <w:tc>
          <w:tcPr>
            <w:tcW w:w="1139" w:type="dxa"/>
            <w:shd w:val="clear" w:color="auto" w:fill="auto"/>
            <w:noWrap/>
            <w:vAlign w:val="bottom"/>
          </w:tcPr>
          <w:p w:rsidR="00174AEA" w:rsidRPr="00687A1C" w:rsidRDefault="00174AEA" w:rsidP="00D8412D">
            <w:pPr>
              <w:pStyle w:val="Tabletextright"/>
            </w:pPr>
            <w:r w:rsidRPr="00687A1C">
              <w:t>30</w:t>
            </w:r>
            <w:r w:rsidR="00D8412D" w:rsidRPr="00687A1C">
              <w:rPr>
                <w:rFonts w:ascii="Calibri" w:hAnsi="Calibri" w:cs="Calibri"/>
              </w:rPr>
              <w:t xml:space="preserve"> </w:t>
            </w:r>
            <w:r w:rsidRPr="00687A1C">
              <w:t>104</w:t>
            </w:r>
          </w:p>
        </w:tc>
        <w:tc>
          <w:tcPr>
            <w:tcW w:w="1139" w:type="dxa"/>
            <w:shd w:val="clear" w:color="auto" w:fill="E0E0E0"/>
            <w:noWrap/>
            <w:vAlign w:val="bottom"/>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419</w:t>
            </w:r>
          </w:p>
        </w:tc>
        <w:tc>
          <w:tcPr>
            <w:tcW w:w="1139" w:type="dxa"/>
            <w:shd w:val="clear" w:color="auto" w:fill="E0E0E0"/>
            <w:noWrap/>
            <w:vAlign w:val="bottom"/>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731</w:t>
            </w:r>
          </w:p>
        </w:tc>
      </w:tr>
      <w:tr w:rsidR="00174AEA" w:rsidRPr="00687A1C" w:rsidTr="008A3976">
        <w:trPr>
          <w:cantSplit/>
        </w:trPr>
        <w:tc>
          <w:tcPr>
            <w:tcW w:w="5238" w:type="dxa"/>
            <w:shd w:val="clear" w:color="auto" w:fill="auto"/>
          </w:tcPr>
          <w:p w:rsidR="00174AEA" w:rsidRPr="00687A1C" w:rsidRDefault="00174AEA" w:rsidP="008A3976">
            <w:pPr>
              <w:pStyle w:val="Tabletext"/>
              <w:rPr>
                <w:szCs w:val="18"/>
              </w:rPr>
            </w:pPr>
            <w:r w:rsidRPr="00687A1C">
              <w:rPr>
                <w:szCs w:val="18"/>
              </w:rPr>
              <w:t>Land remediation costs</w:t>
            </w:r>
          </w:p>
        </w:tc>
        <w:tc>
          <w:tcPr>
            <w:tcW w:w="1139" w:type="dxa"/>
            <w:shd w:val="clear" w:color="auto" w:fill="auto"/>
            <w:noWrap/>
            <w:vAlign w:val="bottom"/>
          </w:tcPr>
          <w:p w:rsidR="00174AEA" w:rsidRPr="00687A1C" w:rsidRDefault="00174AEA" w:rsidP="008A3976">
            <w:pPr>
              <w:pStyle w:val="Tabletextright"/>
            </w:pPr>
            <w:r w:rsidRPr="00687A1C">
              <w:t>–</w:t>
            </w:r>
          </w:p>
        </w:tc>
        <w:tc>
          <w:tcPr>
            <w:tcW w:w="1139" w:type="dxa"/>
            <w:shd w:val="clear" w:color="auto" w:fill="auto"/>
            <w:noWrap/>
            <w:vAlign w:val="bottom"/>
          </w:tcPr>
          <w:p w:rsidR="00174AEA" w:rsidRPr="00687A1C" w:rsidRDefault="00174AEA" w:rsidP="008A3976">
            <w:pPr>
              <w:pStyle w:val="Tabletextright"/>
            </w:pPr>
            <w:r w:rsidRPr="00687A1C">
              <w:t>–</w:t>
            </w:r>
          </w:p>
        </w:tc>
        <w:tc>
          <w:tcPr>
            <w:tcW w:w="1139" w:type="dxa"/>
            <w:shd w:val="clear" w:color="auto" w:fill="E0E0E0"/>
            <w:noWrap/>
            <w:vAlign w:val="bottom"/>
          </w:tcPr>
          <w:p w:rsidR="00174AEA" w:rsidRPr="00687A1C" w:rsidRDefault="00174AEA" w:rsidP="008A3976">
            <w:pPr>
              <w:pStyle w:val="Tabletextright"/>
            </w:pPr>
            <w:r w:rsidRPr="00687A1C">
              <w:t>–</w:t>
            </w:r>
          </w:p>
        </w:tc>
        <w:tc>
          <w:tcPr>
            <w:tcW w:w="1139" w:type="dxa"/>
            <w:shd w:val="clear" w:color="auto" w:fill="E0E0E0"/>
            <w:noWrap/>
            <w:vAlign w:val="bottom"/>
          </w:tcPr>
          <w:p w:rsidR="00174AEA" w:rsidRPr="00687A1C" w:rsidRDefault="00174AEA" w:rsidP="008A3976">
            <w:pPr>
              <w:pStyle w:val="Tabletextright"/>
            </w:pPr>
            <w:r w:rsidRPr="00687A1C">
              <w:t>–</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Payments to Consolidated Fund</w:t>
            </w:r>
          </w:p>
        </w:tc>
        <w:tc>
          <w:tcPr>
            <w:tcW w:w="1139" w:type="dxa"/>
            <w:shd w:val="clear" w:color="auto" w:fill="auto"/>
            <w:noWrap/>
            <w:vAlign w:val="bottom"/>
          </w:tcPr>
          <w:p w:rsidR="00174AEA" w:rsidRPr="00687A1C" w:rsidRDefault="00174AEA" w:rsidP="008A3976">
            <w:pPr>
              <w:pStyle w:val="Tabletextright"/>
            </w:pPr>
            <w:r w:rsidRPr="00687A1C">
              <w:t>838</w:t>
            </w:r>
          </w:p>
        </w:tc>
        <w:tc>
          <w:tcPr>
            <w:tcW w:w="1139" w:type="dxa"/>
            <w:shd w:val="clear" w:color="auto" w:fill="auto"/>
            <w:noWrap/>
            <w:vAlign w:val="bottom"/>
          </w:tcPr>
          <w:p w:rsidR="00174AEA" w:rsidRPr="00687A1C" w:rsidRDefault="00174AEA" w:rsidP="008A3976">
            <w:pPr>
              <w:pStyle w:val="Tabletextright"/>
            </w:pPr>
            <w:r w:rsidRPr="00687A1C">
              <w:t>10</w:t>
            </w:r>
          </w:p>
        </w:tc>
        <w:tc>
          <w:tcPr>
            <w:tcW w:w="1139" w:type="dxa"/>
            <w:shd w:val="clear" w:color="auto" w:fill="E0E0E0"/>
            <w:noWrap/>
            <w:vAlign w:val="bottom"/>
          </w:tcPr>
          <w:p w:rsidR="00174AEA" w:rsidRPr="00687A1C" w:rsidRDefault="00174AEA" w:rsidP="008A3976">
            <w:pPr>
              <w:pStyle w:val="Tabletextright"/>
            </w:pPr>
            <w:r w:rsidRPr="00687A1C">
              <w:t>17</w:t>
            </w:r>
          </w:p>
        </w:tc>
        <w:tc>
          <w:tcPr>
            <w:tcW w:w="1139" w:type="dxa"/>
            <w:shd w:val="clear" w:color="auto" w:fill="E0E0E0"/>
            <w:noWrap/>
            <w:vAlign w:val="bottom"/>
          </w:tcPr>
          <w:p w:rsidR="00174AEA" w:rsidRPr="00687A1C" w:rsidRDefault="00174AEA" w:rsidP="008A3976">
            <w:pPr>
              <w:pStyle w:val="Tabletextright"/>
            </w:pPr>
            <w:r w:rsidRPr="00687A1C">
              <w:t>12</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Total expenses from transactions</w:t>
            </w:r>
          </w:p>
        </w:tc>
        <w:tc>
          <w:tcPr>
            <w:tcW w:w="1139" w:type="dxa"/>
            <w:shd w:val="clear" w:color="auto" w:fill="auto"/>
            <w:noWrap/>
            <w:vAlign w:val="bottom"/>
          </w:tcPr>
          <w:p w:rsidR="00174AEA" w:rsidRPr="00687A1C" w:rsidRDefault="00174AEA" w:rsidP="00D8412D">
            <w:pPr>
              <w:pStyle w:val="Tabletextrightbold"/>
            </w:pPr>
            <w:r w:rsidRPr="00687A1C">
              <w:t>136</w:t>
            </w:r>
            <w:r w:rsidR="00D8412D" w:rsidRPr="00687A1C">
              <w:rPr>
                <w:rFonts w:ascii="Calibri" w:hAnsi="Calibri" w:cs="Calibri"/>
              </w:rPr>
              <w:t xml:space="preserve"> </w:t>
            </w:r>
            <w:r w:rsidR="000509BA" w:rsidRPr="00687A1C">
              <w:t>359</w:t>
            </w:r>
          </w:p>
        </w:tc>
        <w:tc>
          <w:tcPr>
            <w:tcW w:w="1139" w:type="dxa"/>
            <w:shd w:val="clear" w:color="auto" w:fill="auto"/>
            <w:noWrap/>
            <w:vAlign w:val="bottom"/>
          </w:tcPr>
          <w:p w:rsidR="00174AEA" w:rsidRPr="00687A1C" w:rsidRDefault="00174AEA" w:rsidP="00D8412D">
            <w:pPr>
              <w:pStyle w:val="Tabletextrightbold"/>
            </w:pPr>
            <w:r w:rsidRPr="00687A1C">
              <w:t>116</w:t>
            </w:r>
            <w:r w:rsidR="00D8412D" w:rsidRPr="00687A1C">
              <w:rPr>
                <w:rFonts w:ascii="Calibri" w:hAnsi="Calibri" w:cs="Calibri"/>
              </w:rPr>
              <w:t xml:space="preserve"> </w:t>
            </w:r>
            <w:r w:rsidRPr="00687A1C">
              <w:t>884</w:t>
            </w:r>
          </w:p>
        </w:tc>
        <w:tc>
          <w:tcPr>
            <w:tcW w:w="1139" w:type="dxa"/>
            <w:shd w:val="clear" w:color="auto" w:fill="E0E0E0"/>
            <w:noWrap/>
            <w:vAlign w:val="bottom"/>
          </w:tcPr>
          <w:p w:rsidR="00174AEA" w:rsidRPr="00687A1C" w:rsidRDefault="00174AEA" w:rsidP="00D8412D">
            <w:pPr>
              <w:pStyle w:val="Tabletextrightbold"/>
            </w:pPr>
            <w:r w:rsidRPr="00687A1C">
              <w:t>52</w:t>
            </w:r>
            <w:r w:rsidR="00D8412D" w:rsidRPr="00687A1C">
              <w:rPr>
                <w:rFonts w:ascii="Calibri" w:hAnsi="Calibri" w:cs="Calibri"/>
              </w:rPr>
              <w:t xml:space="preserve"> </w:t>
            </w:r>
            <w:r w:rsidRPr="00687A1C">
              <w:t>780</w:t>
            </w:r>
          </w:p>
        </w:tc>
        <w:tc>
          <w:tcPr>
            <w:tcW w:w="1139" w:type="dxa"/>
            <w:shd w:val="clear" w:color="auto" w:fill="E0E0E0"/>
            <w:noWrap/>
            <w:vAlign w:val="bottom"/>
          </w:tcPr>
          <w:p w:rsidR="00174AEA" w:rsidRPr="00687A1C" w:rsidRDefault="00174AEA" w:rsidP="00D8412D">
            <w:pPr>
              <w:pStyle w:val="Tabletextrightbold"/>
            </w:pPr>
            <w:r w:rsidRPr="00687A1C">
              <w:t>49</w:t>
            </w:r>
            <w:r w:rsidR="00D8412D" w:rsidRPr="00687A1C">
              <w:rPr>
                <w:rFonts w:ascii="Calibri" w:hAnsi="Calibri" w:cs="Calibri"/>
              </w:rPr>
              <w:t xml:space="preserve"> </w:t>
            </w:r>
            <w:r w:rsidRPr="00687A1C">
              <w:t>682</w:t>
            </w: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vAlign w:val="bottom"/>
          </w:tcPr>
          <w:p w:rsidR="00174AEA" w:rsidRPr="00687A1C" w:rsidRDefault="00174AEA" w:rsidP="008A3976">
            <w:pPr>
              <w:pStyle w:val="Tabletextrightbold"/>
            </w:pPr>
          </w:p>
        </w:tc>
        <w:tc>
          <w:tcPr>
            <w:tcW w:w="1139" w:type="dxa"/>
            <w:shd w:val="clear" w:color="auto" w:fill="auto"/>
            <w:noWrap/>
            <w:vAlign w:val="bottom"/>
          </w:tcPr>
          <w:p w:rsidR="00174AEA" w:rsidRPr="00687A1C" w:rsidRDefault="00174AEA" w:rsidP="008A3976">
            <w:pPr>
              <w:pStyle w:val="Tabletextrightbold"/>
            </w:pPr>
          </w:p>
        </w:tc>
        <w:tc>
          <w:tcPr>
            <w:tcW w:w="1139" w:type="dxa"/>
            <w:shd w:val="clear" w:color="auto" w:fill="E0E0E0"/>
            <w:noWrap/>
            <w:vAlign w:val="bottom"/>
          </w:tcPr>
          <w:p w:rsidR="00174AEA" w:rsidRPr="00687A1C" w:rsidRDefault="00174AEA" w:rsidP="008A3976">
            <w:pPr>
              <w:pStyle w:val="Tabletextrightbold"/>
            </w:pPr>
          </w:p>
        </w:tc>
        <w:tc>
          <w:tcPr>
            <w:tcW w:w="1139" w:type="dxa"/>
            <w:shd w:val="clear" w:color="auto" w:fill="E0E0E0"/>
            <w:noWrap/>
            <w:vAlign w:val="bottom"/>
          </w:tcPr>
          <w:p w:rsidR="00174AEA" w:rsidRPr="00687A1C" w:rsidRDefault="00174AEA" w:rsidP="008A3976">
            <w:pPr>
              <w:pStyle w:val="Tabletextrightbold"/>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Net result from transactions</w:t>
            </w:r>
          </w:p>
        </w:tc>
        <w:tc>
          <w:tcPr>
            <w:tcW w:w="1139" w:type="dxa"/>
            <w:shd w:val="clear" w:color="auto" w:fill="auto"/>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0509BA" w:rsidRPr="00687A1C">
              <w:t>322</w:t>
            </w:r>
          </w:p>
        </w:tc>
        <w:tc>
          <w:tcPr>
            <w:tcW w:w="1139" w:type="dxa"/>
            <w:shd w:val="clear" w:color="auto" w:fill="auto"/>
            <w:noWrap/>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676</w:t>
            </w:r>
          </w:p>
        </w:tc>
        <w:tc>
          <w:tcPr>
            <w:tcW w:w="1139" w:type="dxa"/>
            <w:shd w:val="clear" w:color="auto" w:fill="E0E0E0"/>
            <w:noWrap/>
            <w:vAlign w:val="bottom"/>
          </w:tcPr>
          <w:p w:rsidR="00174AEA" w:rsidRPr="00687A1C" w:rsidRDefault="00174AEA" w:rsidP="008A3976">
            <w:pPr>
              <w:pStyle w:val="Tabletextrightbold"/>
            </w:pPr>
            <w:r w:rsidRPr="00687A1C">
              <w:t>189</w:t>
            </w:r>
          </w:p>
        </w:tc>
        <w:tc>
          <w:tcPr>
            <w:tcW w:w="1139"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104</w:t>
            </w: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Other economic flows included in net result</w:t>
            </w: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Net gain/(loss) on non</w:t>
            </w:r>
            <w:r w:rsidRPr="00687A1C">
              <w:rPr>
                <w:szCs w:val="18"/>
              </w:rPr>
              <w:noBreakHyphen/>
              <w:t>financial assets</w:t>
            </w:r>
          </w:p>
        </w:tc>
        <w:tc>
          <w:tcPr>
            <w:tcW w:w="1139" w:type="dxa"/>
            <w:shd w:val="clear" w:color="auto" w:fill="auto"/>
            <w:noWrap/>
            <w:vAlign w:val="bottom"/>
          </w:tcPr>
          <w:p w:rsidR="00174AEA" w:rsidRPr="00687A1C" w:rsidRDefault="00174AEA" w:rsidP="008A3976">
            <w:pPr>
              <w:pStyle w:val="Tabletextright"/>
            </w:pPr>
            <w:r w:rsidRPr="00687A1C">
              <w:t>(18)</w:t>
            </w:r>
          </w:p>
        </w:tc>
        <w:tc>
          <w:tcPr>
            <w:tcW w:w="1139" w:type="dxa"/>
            <w:shd w:val="clear" w:color="auto" w:fill="auto"/>
            <w:noWrap/>
            <w:vAlign w:val="bottom"/>
          </w:tcPr>
          <w:p w:rsidR="00174AEA" w:rsidRPr="00687A1C" w:rsidRDefault="00174AEA" w:rsidP="008A3976">
            <w:pPr>
              <w:pStyle w:val="Tabletextright"/>
            </w:pPr>
            <w:r w:rsidRPr="00687A1C">
              <w:t>7</w:t>
            </w:r>
          </w:p>
        </w:tc>
        <w:tc>
          <w:tcPr>
            <w:tcW w:w="1139" w:type="dxa"/>
            <w:shd w:val="clear" w:color="auto" w:fill="E0E0E0"/>
            <w:noWrap/>
            <w:vAlign w:val="bottom"/>
          </w:tcPr>
          <w:p w:rsidR="00174AEA" w:rsidRPr="00687A1C" w:rsidRDefault="00174AEA" w:rsidP="008A3976">
            <w:pPr>
              <w:pStyle w:val="Tabletextright"/>
            </w:pPr>
            <w:r w:rsidRPr="00687A1C">
              <w:t>1</w:t>
            </w:r>
          </w:p>
        </w:tc>
        <w:tc>
          <w:tcPr>
            <w:tcW w:w="1139" w:type="dxa"/>
            <w:shd w:val="clear" w:color="auto" w:fill="E0E0E0"/>
            <w:noWrap/>
            <w:vAlign w:val="bottom"/>
          </w:tcPr>
          <w:p w:rsidR="00174AEA" w:rsidRPr="00687A1C" w:rsidRDefault="00174AEA" w:rsidP="008A3976">
            <w:pPr>
              <w:pStyle w:val="Tabletextright"/>
            </w:pPr>
            <w:r w:rsidRPr="00687A1C">
              <w:t>3</w:t>
            </w:r>
          </w:p>
        </w:tc>
      </w:tr>
      <w:tr w:rsidR="00174AEA" w:rsidRPr="00687A1C" w:rsidTr="008A3976">
        <w:trPr>
          <w:cantSplit/>
        </w:trPr>
        <w:tc>
          <w:tcPr>
            <w:tcW w:w="5238" w:type="dxa"/>
            <w:shd w:val="clear" w:color="auto" w:fill="auto"/>
          </w:tcPr>
          <w:p w:rsidR="00174AEA" w:rsidRPr="00687A1C" w:rsidRDefault="00174AEA" w:rsidP="001802F6">
            <w:pPr>
              <w:pStyle w:val="Tabletext"/>
            </w:pPr>
            <w:r w:rsidRPr="00687A1C">
              <w:rPr>
                <w:szCs w:val="18"/>
              </w:rPr>
              <w:t>Net (loss) on financial instruments</w:t>
            </w:r>
          </w:p>
        </w:tc>
        <w:tc>
          <w:tcPr>
            <w:tcW w:w="1139" w:type="dxa"/>
            <w:shd w:val="clear" w:color="auto" w:fill="auto"/>
            <w:noWrap/>
            <w:vAlign w:val="bottom"/>
          </w:tcPr>
          <w:p w:rsidR="00174AEA" w:rsidRPr="00687A1C" w:rsidRDefault="00174AEA" w:rsidP="008A3976">
            <w:pPr>
              <w:pStyle w:val="Tabletextright"/>
            </w:pPr>
            <w:r w:rsidRPr="00687A1C">
              <w:t>(8)</w:t>
            </w:r>
          </w:p>
        </w:tc>
        <w:tc>
          <w:tcPr>
            <w:tcW w:w="1139" w:type="dxa"/>
            <w:shd w:val="clear" w:color="auto" w:fill="auto"/>
            <w:noWrap/>
            <w:vAlign w:val="bottom"/>
          </w:tcPr>
          <w:p w:rsidR="00174AEA" w:rsidRPr="00687A1C" w:rsidRDefault="00174AEA" w:rsidP="008A3976">
            <w:pPr>
              <w:pStyle w:val="Tabletextright"/>
            </w:pPr>
            <w:r w:rsidRPr="00687A1C">
              <w:t>(3)</w:t>
            </w:r>
          </w:p>
        </w:tc>
        <w:tc>
          <w:tcPr>
            <w:tcW w:w="1139" w:type="dxa"/>
            <w:shd w:val="clear" w:color="auto" w:fill="E0E0E0"/>
            <w:noWrap/>
            <w:vAlign w:val="bottom"/>
          </w:tcPr>
          <w:p w:rsidR="00174AEA" w:rsidRPr="00687A1C" w:rsidRDefault="000509BA" w:rsidP="008A3976">
            <w:pPr>
              <w:pStyle w:val="Tabletextright"/>
            </w:pPr>
            <w:r w:rsidRPr="00687A1C">
              <w:t>–</w:t>
            </w:r>
          </w:p>
        </w:tc>
        <w:tc>
          <w:tcPr>
            <w:tcW w:w="1139" w:type="dxa"/>
            <w:shd w:val="clear" w:color="auto" w:fill="E0E0E0"/>
            <w:noWrap/>
            <w:vAlign w:val="bottom"/>
          </w:tcPr>
          <w:p w:rsidR="00174AEA" w:rsidRPr="00687A1C" w:rsidRDefault="000509BA" w:rsidP="008A3976">
            <w:pPr>
              <w:pStyle w:val="Tabletextright"/>
            </w:pPr>
            <w:r w:rsidRPr="00687A1C">
              <w:t>–</w:t>
            </w:r>
          </w:p>
        </w:tc>
      </w:tr>
      <w:tr w:rsidR="00174AEA" w:rsidRPr="00687A1C" w:rsidTr="008A3976">
        <w:trPr>
          <w:cantSplit/>
        </w:trPr>
        <w:tc>
          <w:tcPr>
            <w:tcW w:w="5238" w:type="dxa"/>
            <w:shd w:val="clear" w:color="auto" w:fill="auto"/>
          </w:tcPr>
          <w:p w:rsidR="00174AEA" w:rsidRPr="00687A1C" w:rsidRDefault="00174AEA" w:rsidP="001802F6">
            <w:pPr>
              <w:pStyle w:val="Tabletext"/>
            </w:pPr>
            <w:r w:rsidRPr="00687A1C">
              <w:rPr>
                <w:szCs w:val="18"/>
              </w:rPr>
              <w:t>Net gain</w:t>
            </w:r>
            <w:r w:rsidR="001802F6" w:rsidRPr="00687A1C">
              <w:rPr>
                <w:szCs w:val="18"/>
              </w:rPr>
              <w:t xml:space="preserve"> </w:t>
            </w:r>
            <w:r w:rsidRPr="00687A1C">
              <w:rPr>
                <w:szCs w:val="18"/>
              </w:rPr>
              <w:t>from revaluation of leave liabilities</w:t>
            </w:r>
          </w:p>
        </w:tc>
        <w:tc>
          <w:tcPr>
            <w:tcW w:w="1139" w:type="dxa"/>
            <w:shd w:val="clear" w:color="auto" w:fill="auto"/>
            <w:noWrap/>
            <w:vAlign w:val="bottom"/>
          </w:tcPr>
          <w:p w:rsidR="00174AEA" w:rsidRPr="00687A1C" w:rsidRDefault="00174AEA" w:rsidP="008A3976">
            <w:pPr>
              <w:pStyle w:val="Tabletextright"/>
            </w:pPr>
            <w:r w:rsidRPr="00687A1C">
              <w:t>31</w:t>
            </w:r>
          </w:p>
        </w:tc>
        <w:tc>
          <w:tcPr>
            <w:tcW w:w="1139" w:type="dxa"/>
            <w:shd w:val="clear" w:color="auto" w:fill="auto"/>
            <w:noWrap/>
            <w:vAlign w:val="bottom"/>
          </w:tcPr>
          <w:p w:rsidR="00174AEA" w:rsidRPr="00687A1C" w:rsidRDefault="00174AEA" w:rsidP="008A3976">
            <w:pPr>
              <w:pStyle w:val="Tabletextright"/>
            </w:pPr>
            <w:r w:rsidRPr="00687A1C">
              <w:t>530</w:t>
            </w:r>
          </w:p>
        </w:tc>
        <w:tc>
          <w:tcPr>
            <w:tcW w:w="1139" w:type="dxa"/>
            <w:shd w:val="clear" w:color="auto" w:fill="E0E0E0"/>
            <w:noWrap/>
            <w:vAlign w:val="bottom"/>
          </w:tcPr>
          <w:p w:rsidR="00174AEA" w:rsidRPr="00687A1C" w:rsidRDefault="00174AEA" w:rsidP="008A3976">
            <w:pPr>
              <w:pStyle w:val="Tabletextright"/>
            </w:pPr>
            <w:r w:rsidRPr="00687A1C">
              <w:t>5</w:t>
            </w:r>
          </w:p>
        </w:tc>
        <w:tc>
          <w:tcPr>
            <w:tcW w:w="1139" w:type="dxa"/>
            <w:shd w:val="clear" w:color="auto" w:fill="E0E0E0"/>
            <w:noWrap/>
            <w:vAlign w:val="bottom"/>
          </w:tcPr>
          <w:p w:rsidR="00174AEA" w:rsidRPr="00687A1C" w:rsidRDefault="00174AEA" w:rsidP="008A3976">
            <w:pPr>
              <w:pStyle w:val="Tabletextright"/>
            </w:pPr>
            <w:r w:rsidRPr="00687A1C">
              <w:t>92</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Total other economic flows included in net result</w:t>
            </w:r>
          </w:p>
        </w:tc>
        <w:tc>
          <w:tcPr>
            <w:tcW w:w="1139" w:type="dxa"/>
            <w:shd w:val="clear" w:color="auto" w:fill="auto"/>
            <w:noWrap/>
            <w:vAlign w:val="bottom"/>
          </w:tcPr>
          <w:p w:rsidR="00174AEA" w:rsidRPr="00687A1C" w:rsidRDefault="00174AEA" w:rsidP="008A3976">
            <w:pPr>
              <w:pStyle w:val="Tabletextrightbold"/>
            </w:pPr>
            <w:r w:rsidRPr="00687A1C">
              <w:t>5</w:t>
            </w:r>
          </w:p>
        </w:tc>
        <w:tc>
          <w:tcPr>
            <w:tcW w:w="1139" w:type="dxa"/>
            <w:shd w:val="clear" w:color="auto" w:fill="auto"/>
            <w:noWrap/>
            <w:vAlign w:val="bottom"/>
          </w:tcPr>
          <w:p w:rsidR="00174AEA" w:rsidRPr="00687A1C" w:rsidRDefault="00174AEA" w:rsidP="008A3976">
            <w:pPr>
              <w:pStyle w:val="Tabletextrightbold"/>
            </w:pPr>
            <w:r w:rsidRPr="00687A1C">
              <w:t>534</w:t>
            </w:r>
          </w:p>
        </w:tc>
        <w:tc>
          <w:tcPr>
            <w:tcW w:w="1139" w:type="dxa"/>
            <w:shd w:val="clear" w:color="auto" w:fill="E0E0E0"/>
            <w:noWrap/>
            <w:vAlign w:val="bottom"/>
          </w:tcPr>
          <w:p w:rsidR="00174AEA" w:rsidRPr="00687A1C" w:rsidRDefault="00174AEA" w:rsidP="008A3976">
            <w:pPr>
              <w:pStyle w:val="Tabletextrightbold"/>
            </w:pPr>
            <w:r w:rsidRPr="00687A1C">
              <w:t>6</w:t>
            </w:r>
          </w:p>
        </w:tc>
        <w:tc>
          <w:tcPr>
            <w:tcW w:w="1139" w:type="dxa"/>
            <w:shd w:val="clear" w:color="auto" w:fill="E0E0E0"/>
            <w:noWrap/>
            <w:vAlign w:val="bottom"/>
          </w:tcPr>
          <w:p w:rsidR="00174AEA" w:rsidRPr="00687A1C" w:rsidRDefault="00174AEA" w:rsidP="008A3976">
            <w:pPr>
              <w:pStyle w:val="Tabletextrightbold"/>
            </w:pPr>
            <w:r w:rsidRPr="00687A1C">
              <w:t>95</w:t>
            </w: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Net result from continuing operations</w:t>
            </w:r>
          </w:p>
        </w:tc>
        <w:tc>
          <w:tcPr>
            <w:tcW w:w="1139" w:type="dxa"/>
            <w:shd w:val="clear" w:color="auto" w:fill="auto"/>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0509BA" w:rsidRPr="00687A1C">
              <w:t>327</w:t>
            </w:r>
          </w:p>
        </w:tc>
        <w:tc>
          <w:tcPr>
            <w:tcW w:w="1139" w:type="dxa"/>
            <w:shd w:val="clear" w:color="auto" w:fill="auto"/>
            <w:noWrap/>
            <w:vAlign w:val="bottom"/>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210</w:t>
            </w:r>
          </w:p>
        </w:tc>
        <w:tc>
          <w:tcPr>
            <w:tcW w:w="1139" w:type="dxa"/>
            <w:shd w:val="clear" w:color="auto" w:fill="E0E0E0"/>
            <w:noWrap/>
            <w:vAlign w:val="bottom"/>
          </w:tcPr>
          <w:p w:rsidR="00174AEA" w:rsidRPr="00687A1C" w:rsidRDefault="00174AEA" w:rsidP="008A3976">
            <w:pPr>
              <w:pStyle w:val="Tabletextrightbold"/>
            </w:pPr>
            <w:r w:rsidRPr="00687A1C">
              <w:t>195</w:t>
            </w:r>
          </w:p>
        </w:tc>
        <w:tc>
          <w:tcPr>
            <w:tcW w:w="1139"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199</w:t>
            </w: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tcPr>
          <w:p w:rsidR="00174AEA" w:rsidRPr="00687A1C" w:rsidRDefault="00174AEA" w:rsidP="008A3976">
            <w:pPr>
              <w:pStyle w:val="Tabletextright"/>
              <w:rPr>
                <w:b/>
                <w:bCs/>
              </w:rPr>
            </w:pPr>
          </w:p>
        </w:tc>
        <w:tc>
          <w:tcPr>
            <w:tcW w:w="1139" w:type="dxa"/>
            <w:shd w:val="clear" w:color="auto" w:fill="auto"/>
            <w:noWrap/>
          </w:tcPr>
          <w:p w:rsidR="00174AEA" w:rsidRPr="00687A1C" w:rsidRDefault="00174AEA" w:rsidP="008A3976">
            <w:pPr>
              <w:pStyle w:val="Tabletextright"/>
              <w:rPr>
                <w:b/>
                <w:bCs/>
              </w:rPr>
            </w:pPr>
          </w:p>
        </w:tc>
        <w:tc>
          <w:tcPr>
            <w:tcW w:w="1139" w:type="dxa"/>
            <w:shd w:val="clear" w:color="auto" w:fill="E0E0E0"/>
            <w:noWrap/>
          </w:tcPr>
          <w:p w:rsidR="00174AEA" w:rsidRPr="00687A1C" w:rsidRDefault="00174AEA" w:rsidP="008A3976">
            <w:pPr>
              <w:pStyle w:val="Tabletextright"/>
              <w:rPr>
                <w:b/>
                <w:bCs/>
              </w:rPr>
            </w:pPr>
          </w:p>
        </w:tc>
        <w:tc>
          <w:tcPr>
            <w:tcW w:w="1139" w:type="dxa"/>
            <w:shd w:val="clear" w:color="auto" w:fill="E0E0E0"/>
            <w:noWrap/>
          </w:tcPr>
          <w:p w:rsidR="00174AEA" w:rsidRPr="00687A1C" w:rsidRDefault="00174AEA" w:rsidP="008A3976">
            <w:pPr>
              <w:pStyle w:val="Tabletextright"/>
              <w:rPr>
                <w:b/>
                <w:bCs/>
              </w:rPr>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Total other economic flows – other comprehensive income</w:t>
            </w:r>
          </w:p>
        </w:tc>
        <w:tc>
          <w:tcPr>
            <w:tcW w:w="1139" w:type="dxa"/>
            <w:shd w:val="clear" w:color="auto" w:fill="auto"/>
            <w:noWrap/>
          </w:tcPr>
          <w:p w:rsidR="00174AEA" w:rsidRPr="00687A1C" w:rsidRDefault="00174AEA" w:rsidP="008A3976">
            <w:pPr>
              <w:pStyle w:val="Tabletextright"/>
              <w:rPr>
                <w:b/>
                <w:bCs/>
              </w:rPr>
            </w:pPr>
          </w:p>
        </w:tc>
        <w:tc>
          <w:tcPr>
            <w:tcW w:w="1139" w:type="dxa"/>
            <w:shd w:val="clear" w:color="auto" w:fill="auto"/>
            <w:noWrap/>
          </w:tcPr>
          <w:p w:rsidR="00174AEA" w:rsidRPr="00687A1C" w:rsidRDefault="00174AEA" w:rsidP="008A3976">
            <w:pPr>
              <w:pStyle w:val="Tabletextright"/>
              <w:rPr>
                <w:b/>
                <w:bCs/>
              </w:rPr>
            </w:pPr>
          </w:p>
        </w:tc>
        <w:tc>
          <w:tcPr>
            <w:tcW w:w="1139" w:type="dxa"/>
            <w:shd w:val="clear" w:color="auto" w:fill="E0E0E0"/>
            <w:noWrap/>
          </w:tcPr>
          <w:p w:rsidR="00174AEA" w:rsidRPr="00687A1C" w:rsidRDefault="00174AEA" w:rsidP="008A3976">
            <w:pPr>
              <w:pStyle w:val="Tabletextright"/>
              <w:rPr>
                <w:b/>
                <w:bCs/>
              </w:rPr>
            </w:pPr>
          </w:p>
        </w:tc>
        <w:tc>
          <w:tcPr>
            <w:tcW w:w="1139" w:type="dxa"/>
            <w:shd w:val="clear" w:color="auto" w:fill="E0E0E0"/>
            <w:noWrap/>
          </w:tcPr>
          <w:p w:rsidR="00174AEA" w:rsidRPr="00687A1C" w:rsidRDefault="00174AEA" w:rsidP="008A3976">
            <w:pPr>
              <w:pStyle w:val="Tabletextright"/>
              <w:rPr>
                <w:b/>
                <w:bCs/>
              </w:rPr>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Changes in physical asset revaluation surplus</w:t>
            </w:r>
          </w:p>
        </w:tc>
        <w:tc>
          <w:tcPr>
            <w:tcW w:w="1139" w:type="dxa"/>
            <w:shd w:val="clear" w:color="auto" w:fill="auto"/>
            <w:noWrap/>
            <w:vAlign w:val="bottom"/>
          </w:tcPr>
          <w:p w:rsidR="00174AEA" w:rsidRPr="00687A1C" w:rsidRDefault="00174AEA" w:rsidP="008A3976">
            <w:pPr>
              <w:pStyle w:val="Tabletextright"/>
            </w:pPr>
            <w:r w:rsidRPr="00687A1C">
              <w:t>–</w:t>
            </w:r>
          </w:p>
        </w:tc>
        <w:tc>
          <w:tcPr>
            <w:tcW w:w="1139" w:type="dxa"/>
            <w:shd w:val="clear" w:color="auto" w:fill="auto"/>
            <w:noWrap/>
            <w:vAlign w:val="bottom"/>
          </w:tcPr>
          <w:p w:rsidR="00174AEA" w:rsidRPr="00687A1C" w:rsidRDefault="00174AEA" w:rsidP="008A3976">
            <w:pPr>
              <w:pStyle w:val="Tabletextright"/>
            </w:pPr>
            <w:r w:rsidRPr="00687A1C">
              <w:t>–</w:t>
            </w:r>
          </w:p>
        </w:tc>
        <w:tc>
          <w:tcPr>
            <w:tcW w:w="1139" w:type="dxa"/>
            <w:shd w:val="clear" w:color="auto" w:fill="E0E0E0"/>
            <w:noWrap/>
            <w:vAlign w:val="bottom"/>
          </w:tcPr>
          <w:p w:rsidR="00174AEA" w:rsidRPr="00687A1C" w:rsidRDefault="00174AEA" w:rsidP="008A3976">
            <w:pPr>
              <w:pStyle w:val="Tabletextright"/>
            </w:pPr>
            <w:r w:rsidRPr="00687A1C">
              <w:t>–</w:t>
            </w:r>
          </w:p>
        </w:tc>
        <w:tc>
          <w:tcPr>
            <w:tcW w:w="1139" w:type="dxa"/>
            <w:shd w:val="clear" w:color="auto" w:fill="E0E0E0"/>
            <w:noWrap/>
            <w:vAlign w:val="bottom"/>
          </w:tcPr>
          <w:p w:rsidR="00174AEA" w:rsidRPr="00687A1C" w:rsidRDefault="00174AEA" w:rsidP="008A3976">
            <w:pPr>
              <w:pStyle w:val="Tabletextright"/>
            </w:pPr>
            <w:r w:rsidRPr="00687A1C">
              <w:t>–</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Comprehensive result</w:t>
            </w:r>
          </w:p>
        </w:tc>
        <w:tc>
          <w:tcPr>
            <w:tcW w:w="1139" w:type="dxa"/>
            <w:shd w:val="clear" w:color="auto" w:fill="auto"/>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0509BA" w:rsidRPr="00687A1C">
              <w:t>327</w:t>
            </w:r>
          </w:p>
        </w:tc>
        <w:tc>
          <w:tcPr>
            <w:tcW w:w="1139" w:type="dxa"/>
            <w:shd w:val="clear" w:color="auto" w:fill="auto"/>
            <w:noWrap/>
            <w:vAlign w:val="bottom"/>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210</w:t>
            </w:r>
          </w:p>
        </w:tc>
        <w:tc>
          <w:tcPr>
            <w:tcW w:w="1139" w:type="dxa"/>
            <w:shd w:val="clear" w:color="auto" w:fill="E0E0E0"/>
            <w:noWrap/>
            <w:vAlign w:val="bottom"/>
          </w:tcPr>
          <w:p w:rsidR="00174AEA" w:rsidRPr="00687A1C" w:rsidRDefault="00174AEA" w:rsidP="008A3976">
            <w:pPr>
              <w:pStyle w:val="Tabletextrightbold"/>
            </w:pPr>
            <w:r w:rsidRPr="00687A1C">
              <w:t>195</w:t>
            </w:r>
          </w:p>
        </w:tc>
        <w:tc>
          <w:tcPr>
            <w:tcW w:w="1139"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199</w:t>
            </w:r>
          </w:p>
        </w:tc>
      </w:tr>
      <w:tr w:rsidR="00174AEA" w:rsidRPr="00687A1C" w:rsidTr="008A3976">
        <w:trPr>
          <w:cantSplit/>
          <w:trHeight w:hRule="exact" w:val="58"/>
        </w:trPr>
        <w:tc>
          <w:tcPr>
            <w:tcW w:w="5238" w:type="dxa"/>
            <w:shd w:val="clear" w:color="auto" w:fill="auto"/>
          </w:tcPr>
          <w:p w:rsidR="00174AEA" w:rsidRPr="00687A1C" w:rsidRDefault="00174AEA" w:rsidP="008A3976">
            <w:pPr>
              <w:pStyle w:val="Tabletext"/>
            </w:pP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Controlled assets and liabilities as at 30 June 2018</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Assets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Financial assets</w:t>
            </w:r>
          </w:p>
        </w:tc>
        <w:tc>
          <w:tcPr>
            <w:tcW w:w="1139" w:type="dxa"/>
            <w:shd w:val="clear" w:color="auto" w:fill="auto"/>
            <w:noWrap/>
            <w:vAlign w:val="bottom"/>
          </w:tcPr>
          <w:p w:rsidR="00174AEA" w:rsidRPr="00687A1C" w:rsidRDefault="000509BA" w:rsidP="008A3976">
            <w:pPr>
              <w:pStyle w:val="Tabletextright"/>
            </w:pPr>
            <w:r w:rsidRPr="00687A1C">
              <w:t>3 512</w:t>
            </w:r>
          </w:p>
        </w:tc>
        <w:tc>
          <w:tcPr>
            <w:tcW w:w="1139" w:type="dxa"/>
            <w:shd w:val="clear" w:color="auto" w:fill="auto"/>
            <w:noWrap/>
            <w:vAlign w:val="bottom"/>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670</w:t>
            </w:r>
          </w:p>
        </w:tc>
        <w:tc>
          <w:tcPr>
            <w:tcW w:w="1139" w:type="dxa"/>
            <w:shd w:val="clear" w:color="auto" w:fill="E0E0E0"/>
            <w:noWrap/>
            <w:vAlign w:val="bottom"/>
          </w:tcPr>
          <w:p w:rsidR="00174AEA" w:rsidRPr="00687A1C" w:rsidRDefault="000509BA" w:rsidP="008A3976">
            <w:pPr>
              <w:pStyle w:val="Tabletextright"/>
            </w:pPr>
            <w:r w:rsidRPr="00687A1C">
              <w:t>890</w:t>
            </w:r>
          </w:p>
        </w:tc>
        <w:tc>
          <w:tcPr>
            <w:tcW w:w="1139" w:type="dxa"/>
            <w:shd w:val="clear" w:color="auto" w:fill="E0E0E0"/>
            <w:noWrap/>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453</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szCs w:val="18"/>
              </w:rPr>
              <w:t>Non</w:t>
            </w:r>
            <w:r w:rsidRPr="00687A1C">
              <w:rPr>
                <w:szCs w:val="18"/>
              </w:rPr>
              <w:noBreakHyphen/>
              <w:t>financial assets</w:t>
            </w:r>
          </w:p>
        </w:tc>
        <w:tc>
          <w:tcPr>
            <w:tcW w:w="1139" w:type="dxa"/>
            <w:shd w:val="clear" w:color="auto" w:fill="auto"/>
            <w:noWrap/>
            <w:vAlign w:val="bottom"/>
          </w:tcPr>
          <w:p w:rsidR="00174AEA" w:rsidRPr="00687A1C" w:rsidRDefault="000509BA" w:rsidP="008A3976">
            <w:pPr>
              <w:pStyle w:val="Tabletextright"/>
            </w:pPr>
            <w:r w:rsidRPr="00687A1C">
              <w:t>17 938</w:t>
            </w:r>
          </w:p>
        </w:tc>
        <w:tc>
          <w:tcPr>
            <w:tcW w:w="1139" w:type="dxa"/>
            <w:shd w:val="clear" w:color="auto" w:fill="auto"/>
            <w:noWrap/>
            <w:vAlign w:val="bottom"/>
          </w:tcPr>
          <w:p w:rsidR="00174AEA" w:rsidRPr="00687A1C" w:rsidRDefault="00174AEA" w:rsidP="00D8412D">
            <w:pPr>
              <w:pStyle w:val="Tabletextright"/>
            </w:pPr>
            <w:r w:rsidRPr="00687A1C">
              <w:t>31</w:t>
            </w:r>
            <w:r w:rsidR="00D8412D" w:rsidRPr="00687A1C">
              <w:rPr>
                <w:rFonts w:ascii="Calibri" w:hAnsi="Calibri" w:cs="Calibri"/>
              </w:rPr>
              <w:t xml:space="preserve"> </w:t>
            </w:r>
            <w:r w:rsidRPr="00687A1C">
              <w:t>369</w:t>
            </w:r>
          </w:p>
        </w:tc>
        <w:tc>
          <w:tcPr>
            <w:tcW w:w="1139" w:type="dxa"/>
            <w:shd w:val="clear" w:color="auto" w:fill="E0E0E0"/>
            <w:noWrap/>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292</w:t>
            </w:r>
          </w:p>
        </w:tc>
        <w:tc>
          <w:tcPr>
            <w:tcW w:w="1139" w:type="dxa"/>
            <w:shd w:val="clear" w:color="auto" w:fill="E0E0E0"/>
            <w:noWrap/>
            <w:vAlign w:val="bottom"/>
          </w:tcPr>
          <w:p w:rsidR="00174AEA" w:rsidRPr="00687A1C" w:rsidRDefault="00174AEA" w:rsidP="008A3976">
            <w:pPr>
              <w:pStyle w:val="Tabletextright"/>
            </w:pPr>
            <w:r w:rsidRPr="00687A1C">
              <w:t>830</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Total assets</w:t>
            </w:r>
          </w:p>
        </w:tc>
        <w:tc>
          <w:tcPr>
            <w:tcW w:w="1139" w:type="dxa"/>
            <w:shd w:val="clear" w:color="auto" w:fill="auto"/>
            <w:noWrap/>
            <w:vAlign w:val="bottom"/>
          </w:tcPr>
          <w:p w:rsidR="00174AEA" w:rsidRPr="00687A1C" w:rsidRDefault="000509BA" w:rsidP="008A3976">
            <w:pPr>
              <w:pStyle w:val="Tabletextrightbold"/>
            </w:pPr>
            <w:r w:rsidRPr="00687A1C">
              <w:t>21 450</w:t>
            </w:r>
          </w:p>
        </w:tc>
        <w:tc>
          <w:tcPr>
            <w:tcW w:w="1139" w:type="dxa"/>
            <w:shd w:val="clear" w:color="auto" w:fill="auto"/>
            <w:noWrap/>
            <w:vAlign w:val="bottom"/>
          </w:tcPr>
          <w:p w:rsidR="00174AEA" w:rsidRPr="00687A1C" w:rsidRDefault="00174AEA" w:rsidP="00D8412D">
            <w:pPr>
              <w:pStyle w:val="Tabletextrightbold"/>
            </w:pPr>
            <w:r w:rsidRPr="00687A1C">
              <w:t>38</w:t>
            </w:r>
            <w:r w:rsidR="00D8412D" w:rsidRPr="00687A1C">
              <w:rPr>
                <w:rFonts w:ascii="Calibri" w:hAnsi="Calibri" w:cs="Calibri"/>
              </w:rPr>
              <w:t xml:space="preserve"> </w:t>
            </w:r>
            <w:r w:rsidRPr="00687A1C">
              <w:t>039</w:t>
            </w:r>
          </w:p>
        </w:tc>
        <w:tc>
          <w:tcPr>
            <w:tcW w:w="1139" w:type="dxa"/>
            <w:shd w:val="clear" w:color="auto" w:fill="E0E0E0"/>
            <w:noWrap/>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000509BA" w:rsidRPr="00687A1C">
              <w:t>182</w:t>
            </w:r>
          </w:p>
        </w:tc>
        <w:tc>
          <w:tcPr>
            <w:tcW w:w="1139" w:type="dxa"/>
            <w:shd w:val="clear" w:color="auto" w:fill="E0E0E0"/>
            <w:noWrap/>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283</w:t>
            </w: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rPr>
                <w:b/>
                <w:bCs/>
                <w:szCs w:val="18"/>
              </w:rPr>
              <w:t>Liabilities</w:t>
            </w: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bold"/>
            </w:pPr>
            <w:r w:rsidRPr="00687A1C">
              <w:t>Total liabilities</w:t>
            </w:r>
          </w:p>
        </w:tc>
        <w:tc>
          <w:tcPr>
            <w:tcW w:w="1139" w:type="dxa"/>
            <w:shd w:val="clear" w:color="auto" w:fill="auto"/>
            <w:noWrap/>
            <w:vAlign w:val="bottom"/>
          </w:tcPr>
          <w:p w:rsidR="00174AEA" w:rsidRPr="00687A1C" w:rsidRDefault="00174AEA" w:rsidP="00D8412D">
            <w:pPr>
              <w:pStyle w:val="Tabletextrightbold"/>
            </w:pPr>
            <w:r w:rsidRPr="00687A1C">
              <w:t>35</w:t>
            </w:r>
            <w:r w:rsidR="00D8412D" w:rsidRPr="00687A1C">
              <w:rPr>
                <w:rFonts w:ascii="Calibri" w:hAnsi="Calibri" w:cs="Calibri"/>
              </w:rPr>
              <w:t xml:space="preserve"> </w:t>
            </w:r>
            <w:r w:rsidR="000509BA" w:rsidRPr="00687A1C">
              <w:t>057</w:t>
            </w:r>
          </w:p>
        </w:tc>
        <w:tc>
          <w:tcPr>
            <w:tcW w:w="1139" w:type="dxa"/>
            <w:shd w:val="clear" w:color="auto" w:fill="auto"/>
            <w:noWrap/>
            <w:vAlign w:val="bottom"/>
          </w:tcPr>
          <w:p w:rsidR="00174AEA" w:rsidRPr="00687A1C" w:rsidRDefault="00174AEA" w:rsidP="00D8412D">
            <w:pPr>
              <w:pStyle w:val="Tabletextrightbold"/>
            </w:pPr>
            <w:r w:rsidRPr="00687A1C">
              <w:t>33</w:t>
            </w:r>
            <w:r w:rsidR="00D8412D" w:rsidRPr="00687A1C">
              <w:rPr>
                <w:rFonts w:ascii="Calibri" w:hAnsi="Calibri" w:cs="Calibri"/>
              </w:rPr>
              <w:t xml:space="preserve"> </w:t>
            </w:r>
            <w:r w:rsidRPr="00687A1C">
              <w:t>201</w:t>
            </w:r>
          </w:p>
        </w:tc>
        <w:tc>
          <w:tcPr>
            <w:tcW w:w="1139" w:type="dxa"/>
            <w:shd w:val="clear" w:color="auto" w:fill="E0E0E0"/>
            <w:noWrap/>
            <w:vAlign w:val="bottom"/>
          </w:tcPr>
          <w:p w:rsidR="00174AEA" w:rsidRPr="00687A1C" w:rsidRDefault="00174AEA" w:rsidP="00D8412D">
            <w:pPr>
              <w:pStyle w:val="Tabletextrightbold"/>
            </w:pPr>
            <w:r w:rsidRPr="00687A1C">
              <w:t>25</w:t>
            </w:r>
            <w:r w:rsidR="00D8412D" w:rsidRPr="00687A1C">
              <w:rPr>
                <w:rFonts w:ascii="Calibri" w:hAnsi="Calibri" w:cs="Calibri"/>
              </w:rPr>
              <w:t xml:space="preserve"> </w:t>
            </w:r>
            <w:r w:rsidRPr="00687A1C">
              <w:t>211</w:t>
            </w:r>
          </w:p>
        </w:tc>
        <w:tc>
          <w:tcPr>
            <w:tcW w:w="1139" w:type="dxa"/>
            <w:shd w:val="clear" w:color="auto" w:fill="E0E0E0"/>
            <w:noWrap/>
            <w:vAlign w:val="bottom"/>
          </w:tcPr>
          <w:p w:rsidR="00174AEA" w:rsidRPr="00687A1C" w:rsidRDefault="000509BA" w:rsidP="008A3976">
            <w:pPr>
              <w:pStyle w:val="Tabletextrightbold"/>
            </w:pPr>
            <w:r w:rsidRPr="00687A1C">
              <w:t>22 451</w:t>
            </w:r>
          </w:p>
        </w:tc>
      </w:tr>
      <w:tr w:rsidR="00174AEA" w:rsidRPr="00687A1C" w:rsidTr="008A3976">
        <w:trPr>
          <w:cantSplit/>
          <w:trHeight w:hRule="exact" w:val="57"/>
        </w:trPr>
        <w:tc>
          <w:tcPr>
            <w:tcW w:w="5238" w:type="dxa"/>
            <w:shd w:val="clear" w:color="auto" w:fill="auto"/>
          </w:tcPr>
          <w:p w:rsidR="00174AEA" w:rsidRPr="00687A1C" w:rsidRDefault="00174AEA" w:rsidP="008A3976">
            <w:pPr>
              <w:pStyle w:val="Tabletex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auto"/>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c>
          <w:tcPr>
            <w:tcW w:w="1139"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bold"/>
            </w:pPr>
            <w:r w:rsidRPr="00687A1C">
              <w:t>Net assets/(liabilities)</w:t>
            </w:r>
          </w:p>
        </w:tc>
        <w:tc>
          <w:tcPr>
            <w:tcW w:w="1139" w:type="dxa"/>
            <w:shd w:val="clear" w:color="auto" w:fill="auto"/>
            <w:noWrap/>
            <w:vAlign w:val="bottom"/>
          </w:tcPr>
          <w:p w:rsidR="00174AEA" w:rsidRPr="00687A1C" w:rsidRDefault="00174AEA" w:rsidP="008A3976">
            <w:pPr>
              <w:pStyle w:val="Tabletextrightbold"/>
            </w:pPr>
            <w:r w:rsidRPr="00687A1C">
              <w:t>(</w:t>
            </w:r>
            <w:r w:rsidR="000509BA" w:rsidRPr="00687A1C">
              <w:t>13,607</w:t>
            </w:r>
            <w:r w:rsidRPr="00687A1C">
              <w:t>)</w:t>
            </w:r>
          </w:p>
        </w:tc>
        <w:tc>
          <w:tcPr>
            <w:tcW w:w="1139" w:type="dxa"/>
            <w:shd w:val="clear" w:color="auto" w:fill="auto"/>
            <w:noWrap/>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838</w:t>
            </w:r>
          </w:p>
        </w:tc>
        <w:tc>
          <w:tcPr>
            <w:tcW w:w="1139" w:type="dxa"/>
            <w:shd w:val="clear" w:color="auto" w:fill="E0E0E0"/>
            <w:noWrap/>
            <w:vAlign w:val="bottom"/>
          </w:tcPr>
          <w:p w:rsidR="00174AEA" w:rsidRPr="00687A1C" w:rsidRDefault="00174AEA" w:rsidP="008A3976">
            <w:pPr>
              <w:pStyle w:val="Tabletextrightbold"/>
            </w:pPr>
            <w:r w:rsidRPr="00687A1C">
              <w:t>(</w:t>
            </w:r>
            <w:r w:rsidR="000509BA" w:rsidRPr="00687A1C">
              <w:t>23 029</w:t>
            </w:r>
            <w:r w:rsidRPr="00687A1C">
              <w:t>)</w:t>
            </w:r>
          </w:p>
        </w:tc>
        <w:tc>
          <w:tcPr>
            <w:tcW w:w="1139" w:type="dxa"/>
            <w:shd w:val="clear" w:color="auto" w:fill="E0E0E0"/>
            <w:noWrap/>
            <w:vAlign w:val="bottom"/>
          </w:tcPr>
          <w:p w:rsidR="00174AEA" w:rsidRPr="00687A1C" w:rsidRDefault="00174AEA" w:rsidP="008A3976">
            <w:pPr>
              <w:pStyle w:val="Tabletextrightbold"/>
            </w:pPr>
            <w:r w:rsidRPr="00687A1C">
              <w:t>(</w:t>
            </w:r>
            <w:r w:rsidR="000509BA" w:rsidRPr="00687A1C">
              <w:t>20 168</w:t>
            </w:r>
            <w:r w:rsidRPr="00687A1C">
              <w:t>)</w:t>
            </w:r>
          </w:p>
        </w:tc>
      </w:tr>
    </w:tbl>
    <w:p w:rsidR="00174AEA" w:rsidRPr="00687A1C" w:rsidRDefault="00174AEA" w:rsidP="00174AEA">
      <w:pPr>
        <w:pStyle w:val="Notes"/>
      </w:pPr>
      <w:r w:rsidRPr="00687A1C">
        <w:t>Note:</w:t>
      </w:r>
    </w:p>
    <w:p w:rsidR="00174AEA" w:rsidRPr="00687A1C" w:rsidRDefault="00174AEA" w:rsidP="00174AEA">
      <w:pPr>
        <w:pStyle w:val="Notes"/>
      </w:pPr>
      <w:r w:rsidRPr="00687A1C">
        <w:t>(a) These amounts consist predominantly of the Department's SAU balances with the Consolidated Fund and the Trust Fund.</w:t>
      </w:r>
    </w:p>
    <w:p w:rsidR="00174AEA" w:rsidRPr="00687A1C" w:rsidRDefault="00174AEA" w:rsidP="00174AEA">
      <w:pPr>
        <w:spacing w:before="0" w:after="0"/>
      </w:pPr>
    </w:p>
    <w:p w:rsidR="00174AEA" w:rsidRPr="00687A1C" w:rsidRDefault="00174AEA" w:rsidP="00174AEA">
      <w:pPr>
        <w:pStyle w:val="Heading3numbered"/>
      </w:pPr>
      <w:r w:rsidRPr="00687A1C">
        <w:t xml:space="preserve">Changes to outputs </w:t>
      </w:r>
    </w:p>
    <w:p w:rsidR="00174AEA" w:rsidRPr="00687A1C" w:rsidRDefault="009C1CD8" w:rsidP="00174AEA">
      <w:pPr>
        <w:ind w:right="4475"/>
      </w:pPr>
      <w:r w:rsidRPr="00687A1C">
        <w:t>There were no changes to outputs during the year.</w:t>
      </w:r>
    </w:p>
    <w:p w:rsidR="00174AEA" w:rsidRPr="00687A1C" w:rsidRDefault="00174AEA" w:rsidP="00174AEA">
      <w:pPr>
        <w:spacing w:before="0" w:after="0"/>
      </w:pPr>
      <w:r w:rsidRPr="00687A1C">
        <w:br w:type="page"/>
      </w:r>
    </w:p>
    <w:p w:rsidR="00174AEA" w:rsidRPr="00687A1C" w:rsidRDefault="00174AEA" w:rsidP="00174AEA"/>
    <w:tbl>
      <w:tblPr>
        <w:tblW w:w="0" w:type="auto"/>
        <w:tblLayout w:type="fixed"/>
        <w:tblLook w:val="0000" w:firstRow="0" w:lastRow="0" w:firstColumn="0" w:lastColumn="0" w:noHBand="0" w:noVBand="0"/>
      </w:tblPr>
      <w:tblGrid>
        <w:gridCol w:w="1278"/>
        <w:gridCol w:w="1170"/>
        <w:gridCol w:w="1138"/>
        <w:gridCol w:w="1138"/>
        <w:gridCol w:w="1138"/>
        <w:gridCol w:w="1138"/>
        <w:gridCol w:w="1138"/>
        <w:gridCol w:w="1138"/>
      </w:tblGrid>
      <w:tr w:rsidR="00174AEA" w:rsidRPr="00687A1C" w:rsidTr="008A3976">
        <w:trPr>
          <w:cantSplit/>
        </w:trPr>
        <w:tc>
          <w:tcPr>
            <w:tcW w:w="2448" w:type="dxa"/>
            <w:gridSpan w:val="2"/>
            <w:shd w:val="clear" w:color="auto" w:fill="auto"/>
            <w:noWrap/>
            <w:vAlign w:val="bottom"/>
          </w:tcPr>
          <w:p w:rsidR="00174AEA" w:rsidRPr="00687A1C" w:rsidRDefault="00174AEA" w:rsidP="008A3976">
            <w:pPr>
              <w:pStyle w:val="Tabletextheadingcentred"/>
            </w:pPr>
            <w:r w:rsidRPr="00687A1C">
              <w:t>Improve how Government manages its balance sheet, commercial activities and public sector infrastructure</w:t>
            </w:r>
          </w:p>
        </w:tc>
        <w:tc>
          <w:tcPr>
            <w:tcW w:w="2276" w:type="dxa"/>
            <w:gridSpan w:val="2"/>
            <w:shd w:val="clear" w:color="auto" w:fill="auto"/>
            <w:noWrap/>
            <w:vAlign w:val="bottom"/>
          </w:tcPr>
          <w:p w:rsidR="00174AEA" w:rsidRPr="00687A1C" w:rsidRDefault="00174AEA" w:rsidP="008A3976">
            <w:pPr>
              <w:pStyle w:val="Tabletextheadingcentred"/>
            </w:pPr>
            <w:r w:rsidRPr="00687A1C">
              <w:t>Deliver efficient whole of government common services</w:t>
            </w:r>
          </w:p>
        </w:tc>
        <w:tc>
          <w:tcPr>
            <w:tcW w:w="2276" w:type="dxa"/>
            <w:gridSpan w:val="2"/>
            <w:shd w:val="clear" w:color="auto" w:fill="auto"/>
            <w:noWrap/>
            <w:vAlign w:val="bottom"/>
          </w:tcPr>
          <w:p w:rsidR="00174AEA" w:rsidRPr="00687A1C" w:rsidRDefault="00174AEA" w:rsidP="008A3976">
            <w:pPr>
              <w:pStyle w:val="Tabletextheadingcentred"/>
            </w:pPr>
            <w:r w:rsidRPr="00687A1C">
              <w:t xml:space="preserve">Other – Not </w:t>
            </w:r>
            <w:r w:rsidRPr="00687A1C">
              <w:br/>
              <w:t xml:space="preserve">attributable </w:t>
            </w:r>
            <w:r w:rsidRPr="00687A1C">
              <w:rPr>
                <w:vertAlign w:val="superscript"/>
              </w:rPr>
              <w:t>(a)</w:t>
            </w:r>
          </w:p>
        </w:tc>
        <w:tc>
          <w:tcPr>
            <w:tcW w:w="2276" w:type="dxa"/>
            <w:gridSpan w:val="2"/>
            <w:shd w:val="clear" w:color="auto" w:fill="auto"/>
            <w:noWrap/>
            <w:vAlign w:val="bottom"/>
          </w:tcPr>
          <w:p w:rsidR="00174AEA" w:rsidRPr="00687A1C" w:rsidRDefault="00174AEA" w:rsidP="008A3976">
            <w:pPr>
              <w:pStyle w:val="Tabletextheadingcentred"/>
            </w:pPr>
            <w:r w:rsidRPr="00687A1C">
              <w:t>Departmental total</w:t>
            </w:r>
          </w:p>
        </w:tc>
      </w:tr>
      <w:tr w:rsidR="00174AEA" w:rsidRPr="00687A1C" w:rsidTr="008A3976">
        <w:trPr>
          <w:cantSplit/>
        </w:trPr>
        <w:tc>
          <w:tcPr>
            <w:tcW w:w="1278" w:type="dxa"/>
            <w:shd w:val="clear" w:color="auto" w:fill="auto"/>
            <w:noWrap/>
          </w:tcPr>
          <w:p w:rsidR="00174AEA" w:rsidRPr="00687A1C" w:rsidRDefault="00174AEA" w:rsidP="008A3976">
            <w:pPr>
              <w:pStyle w:val="Tabletextheadingright"/>
            </w:pPr>
            <w:r w:rsidRPr="00687A1C">
              <w:t>2018</w:t>
            </w:r>
          </w:p>
        </w:tc>
        <w:tc>
          <w:tcPr>
            <w:tcW w:w="1170" w:type="dxa"/>
            <w:shd w:val="clear" w:color="auto" w:fill="auto"/>
            <w:noWrap/>
          </w:tcPr>
          <w:p w:rsidR="00174AEA" w:rsidRPr="00687A1C" w:rsidRDefault="00174AEA" w:rsidP="008A3976">
            <w:pPr>
              <w:pStyle w:val="Tabletextheadingright"/>
            </w:pPr>
            <w:r w:rsidRPr="00687A1C">
              <w:t>2017</w:t>
            </w:r>
          </w:p>
        </w:tc>
        <w:tc>
          <w:tcPr>
            <w:tcW w:w="1138" w:type="dxa"/>
            <w:shd w:val="clear" w:color="auto" w:fill="auto"/>
            <w:noWrap/>
          </w:tcPr>
          <w:p w:rsidR="00174AEA" w:rsidRPr="00687A1C" w:rsidRDefault="00174AEA" w:rsidP="008A3976">
            <w:pPr>
              <w:pStyle w:val="Tabletextheadingright"/>
            </w:pPr>
            <w:r w:rsidRPr="00687A1C">
              <w:t>2018</w:t>
            </w:r>
          </w:p>
        </w:tc>
        <w:tc>
          <w:tcPr>
            <w:tcW w:w="1138" w:type="dxa"/>
            <w:shd w:val="clear" w:color="auto" w:fill="auto"/>
            <w:noWrap/>
          </w:tcPr>
          <w:p w:rsidR="00174AEA" w:rsidRPr="00687A1C" w:rsidRDefault="00174AEA" w:rsidP="008A3976">
            <w:pPr>
              <w:pStyle w:val="Tabletextheadingright"/>
            </w:pPr>
            <w:r w:rsidRPr="00687A1C">
              <w:t>2017</w:t>
            </w:r>
          </w:p>
        </w:tc>
        <w:tc>
          <w:tcPr>
            <w:tcW w:w="1138" w:type="dxa"/>
            <w:shd w:val="clear" w:color="auto" w:fill="auto"/>
            <w:noWrap/>
          </w:tcPr>
          <w:p w:rsidR="00174AEA" w:rsidRPr="00687A1C" w:rsidRDefault="00174AEA" w:rsidP="008A3976">
            <w:pPr>
              <w:pStyle w:val="Tabletextheadingright"/>
            </w:pPr>
            <w:r w:rsidRPr="00687A1C">
              <w:t>2018</w:t>
            </w:r>
          </w:p>
        </w:tc>
        <w:tc>
          <w:tcPr>
            <w:tcW w:w="1138" w:type="dxa"/>
            <w:shd w:val="clear" w:color="auto" w:fill="auto"/>
            <w:noWrap/>
          </w:tcPr>
          <w:p w:rsidR="00174AEA" w:rsidRPr="00687A1C" w:rsidRDefault="00174AEA" w:rsidP="008A3976">
            <w:pPr>
              <w:pStyle w:val="Tabletextheadingright"/>
            </w:pPr>
            <w:r w:rsidRPr="00687A1C">
              <w:t>2017</w:t>
            </w:r>
          </w:p>
        </w:tc>
        <w:tc>
          <w:tcPr>
            <w:tcW w:w="1138" w:type="dxa"/>
            <w:shd w:val="clear" w:color="auto" w:fill="auto"/>
            <w:noWrap/>
          </w:tcPr>
          <w:p w:rsidR="00174AEA" w:rsidRPr="00687A1C" w:rsidRDefault="00174AEA" w:rsidP="008A3976">
            <w:pPr>
              <w:pStyle w:val="Tabletextheadingright"/>
            </w:pPr>
            <w:r w:rsidRPr="00687A1C">
              <w:t>2018</w:t>
            </w:r>
          </w:p>
        </w:tc>
        <w:tc>
          <w:tcPr>
            <w:tcW w:w="1138" w:type="dxa"/>
            <w:shd w:val="clear" w:color="auto" w:fill="auto"/>
            <w:noWrap/>
          </w:tcPr>
          <w:p w:rsidR="00174AEA" w:rsidRPr="00687A1C" w:rsidRDefault="00174AEA" w:rsidP="008A3976">
            <w:pPr>
              <w:pStyle w:val="Tabletextheadingright"/>
            </w:pPr>
            <w:r w:rsidRPr="00687A1C">
              <w:t>2017</w:t>
            </w:r>
          </w:p>
        </w:tc>
      </w:tr>
      <w:tr w:rsidR="00174AEA" w:rsidRPr="00687A1C" w:rsidTr="008A3976">
        <w:trPr>
          <w:cantSplit/>
        </w:trPr>
        <w:tc>
          <w:tcPr>
            <w:tcW w:w="1278" w:type="dxa"/>
            <w:shd w:val="clear" w:color="auto" w:fill="auto"/>
            <w:noWrap/>
          </w:tcPr>
          <w:p w:rsidR="00174AEA" w:rsidRPr="00687A1C" w:rsidRDefault="00174AEA" w:rsidP="008A3976">
            <w:pPr>
              <w:pStyle w:val="Tabletextheadingright"/>
            </w:pPr>
            <w:r w:rsidRPr="00687A1C">
              <w:t>$’000</w:t>
            </w:r>
          </w:p>
        </w:tc>
        <w:tc>
          <w:tcPr>
            <w:tcW w:w="1170"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Height w:hRule="exact" w:val="57"/>
        </w:trPr>
        <w:tc>
          <w:tcPr>
            <w:tcW w:w="1278" w:type="dxa"/>
            <w:shd w:val="clear" w:color="auto" w:fill="auto"/>
            <w:noWrap/>
          </w:tcPr>
          <w:p w:rsidR="00174AEA" w:rsidRPr="00687A1C" w:rsidRDefault="00174AEA" w:rsidP="008A3976">
            <w:pPr>
              <w:pStyle w:val="Tabletextright"/>
              <w:rPr>
                <w:bCs/>
              </w:rPr>
            </w:pPr>
          </w:p>
        </w:tc>
        <w:tc>
          <w:tcPr>
            <w:tcW w:w="1170" w:type="dxa"/>
            <w:shd w:val="clear" w:color="auto" w:fill="auto"/>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71</w:t>
            </w:r>
            <w:r w:rsidR="00D8412D" w:rsidRPr="00687A1C">
              <w:rPr>
                <w:rFonts w:ascii="Calibri" w:hAnsi="Calibri" w:cs="Calibri"/>
              </w:rPr>
              <w:t xml:space="preserve"> </w:t>
            </w:r>
            <w:r w:rsidRPr="00687A1C">
              <w:t>519</w:t>
            </w:r>
          </w:p>
        </w:tc>
        <w:tc>
          <w:tcPr>
            <w:tcW w:w="1170" w:type="dxa"/>
            <w:shd w:val="clear" w:color="auto" w:fill="auto"/>
            <w:noWrap/>
            <w:vAlign w:val="bottom"/>
          </w:tcPr>
          <w:p w:rsidR="00174AEA" w:rsidRPr="00687A1C" w:rsidRDefault="00174AEA" w:rsidP="00D8412D">
            <w:pPr>
              <w:pStyle w:val="Tabletextright"/>
            </w:pPr>
            <w:r w:rsidRPr="00687A1C">
              <w:t>142</w:t>
            </w:r>
            <w:r w:rsidR="00D8412D" w:rsidRPr="00687A1C">
              <w:rPr>
                <w:rFonts w:ascii="Calibri" w:hAnsi="Calibri" w:cs="Calibri"/>
              </w:rPr>
              <w:t xml:space="preserve"> </w:t>
            </w:r>
            <w:r w:rsidRPr="00687A1C">
              <w:t>902</w:t>
            </w:r>
          </w:p>
        </w:tc>
        <w:tc>
          <w:tcPr>
            <w:tcW w:w="1138" w:type="dxa"/>
            <w:shd w:val="clear" w:color="auto" w:fill="E0E0E0"/>
            <w:noWrap/>
            <w:vAlign w:val="bottom"/>
          </w:tcPr>
          <w:p w:rsidR="00174AEA" w:rsidRPr="00687A1C" w:rsidRDefault="00174AEA" w:rsidP="00D8412D">
            <w:pPr>
              <w:pStyle w:val="Tabletextright"/>
            </w:pPr>
            <w:r w:rsidRPr="00687A1C">
              <w:t>39</w:t>
            </w:r>
            <w:r w:rsidR="00D8412D" w:rsidRPr="00687A1C">
              <w:rPr>
                <w:rFonts w:ascii="Calibri" w:hAnsi="Calibri" w:cs="Calibri"/>
              </w:rPr>
              <w:t xml:space="preserve"> </w:t>
            </w:r>
            <w:r w:rsidRPr="00687A1C">
              <w:t>760</w:t>
            </w:r>
          </w:p>
        </w:tc>
        <w:tc>
          <w:tcPr>
            <w:tcW w:w="1138" w:type="dxa"/>
            <w:shd w:val="clear" w:color="auto" w:fill="E0E0E0"/>
            <w:noWrap/>
            <w:vAlign w:val="bottom"/>
          </w:tcPr>
          <w:p w:rsidR="00174AEA" w:rsidRPr="00687A1C" w:rsidRDefault="00174AEA" w:rsidP="00D8412D">
            <w:pPr>
              <w:pStyle w:val="Tabletextright"/>
            </w:pPr>
            <w:r w:rsidRPr="00687A1C">
              <w:t>41</w:t>
            </w:r>
            <w:r w:rsidR="00D8412D" w:rsidRPr="00687A1C">
              <w:rPr>
                <w:rFonts w:ascii="Calibri" w:hAnsi="Calibri" w:cs="Calibri"/>
              </w:rPr>
              <w:t xml:space="preserve"> </w:t>
            </w:r>
            <w:r w:rsidRPr="00687A1C">
              <w:t>815</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299</w:t>
            </w:r>
            <w:r w:rsidR="00D8412D" w:rsidRPr="00687A1C">
              <w:rPr>
                <w:rFonts w:ascii="Calibri" w:hAnsi="Calibri" w:cs="Calibri"/>
              </w:rPr>
              <w:t xml:space="preserve"> </w:t>
            </w:r>
            <w:r w:rsidRPr="00687A1C">
              <w:t>794</w:t>
            </w:r>
          </w:p>
        </w:tc>
        <w:tc>
          <w:tcPr>
            <w:tcW w:w="1138" w:type="dxa"/>
            <w:shd w:val="clear" w:color="auto" w:fill="E0E0E0"/>
            <w:noWrap/>
            <w:vAlign w:val="bottom"/>
          </w:tcPr>
          <w:p w:rsidR="00174AEA" w:rsidRPr="00687A1C" w:rsidRDefault="00174AEA" w:rsidP="00D8412D">
            <w:pPr>
              <w:pStyle w:val="Tabletextright"/>
            </w:pPr>
            <w:r w:rsidRPr="00687A1C">
              <w:t>353</w:t>
            </w:r>
            <w:r w:rsidR="00D8412D" w:rsidRPr="00687A1C">
              <w:rPr>
                <w:rFonts w:ascii="Calibri" w:hAnsi="Calibri" w:cs="Calibri"/>
              </w:rPr>
              <w:t xml:space="preserve"> </w:t>
            </w:r>
            <w:r w:rsidRPr="00687A1C">
              <w:t>213</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297</w:t>
            </w:r>
          </w:p>
        </w:tc>
        <w:tc>
          <w:tcPr>
            <w:tcW w:w="1170" w:type="dxa"/>
            <w:shd w:val="clear" w:color="auto" w:fill="auto"/>
            <w:noWrap/>
            <w:vAlign w:val="bottom"/>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481</w:t>
            </w:r>
          </w:p>
        </w:tc>
        <w:tc>
          <w:tcPr>
            <w:tcW w:w="1138" w:type="dxa"/>
            <w:shd w:val="clear" w:color="auto" w:fill="E0E0E0"/>
            <w:noWrap/>
            <w:vAlign w:val="bottom"/>
          </w:tcPr>
          <w:p w:rsidR="00174AEA" w:rsidRPr="00687A1C" w:rsidRDefault="00174AEA" w:rsidP="00D8412D">
            <w:pPr>
              <w:pStyle w:val="Tabletextright"/>
            </w:pPr>
            <w:r w:rsidRPr="00687A1C">
              <w:t>51</w:t>
            </w:r>
            <w:r w:rsidR="00D8412D" w:rsidRPr="00687A1C">
              <w:rPr>
                <w:rFonts w:ascii="Calibri" w:hAnsi="Calibri" w:cs="Calibri"/>
              </w:rPr>
              <w:t xml:space="preserve"> </w:t>
            </w:r>
            <w:r w:rsidRPr="00687A1C">
              <w:t>189</w:t>
            </w:r>
          </w:p>
        </w:tc>
        <w:tc>
          <w:tcPr>
            <w:tcW w:w="1138" w:type="dxa"/>
            <w:shd w:val="clear" w:color="auto" w:fill="E0E0E0"/>
            <w:noWrap/>
            <w:vAlign w:val="bottom"/>
          </w:tcPr>
          <w:p w:rsidR="00174AEA" w:rsidRPr="00687A1C" w:rsidRDefault="00174AEA" w:rsidP="00D8412D">
            <w:pPr>
              <w:pStyle w:val="Tabletextright"/>
            </w:pPr>
            <w:r w:rsidRPr="00687A1C">
              <w:t>49</w:t>
            </w:r>
            <w:r w:rsidR="00D8412D" w:rsidRPr="00687A1C">
              <w:rPr>
                <w:rFonts w:ascii="Calibri" w:hAnsi="Calibri" w:cs="Calibri"/>
              </w:rPr>
              <w:t xml:space="preserve"> </w:t>
            </w:r>
            <w:r w:rsidRPr="00687A1C">
              <w:t>086</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57</w:t>
            </w:r>
            <w:r w:rsidR="00D8412D" w:rsidRPr="00687A1C">
              <w:rPr>
                <w:rFonts w:ascii="Calibri" w:hAnsi="Calibri" w:cs="Calibri"/>
              </w:rPr>
              <w:t xml:space="preserve"> </w:t>
            </w:r>
            <w:r w:rsidRPr="00687A1C">
              <w:t>621</w:t>
            </w:r>
          </w:p>
        </w:tc>
        <w:tc>
          <w:tcPr>
            <w:tcW w:w="1138" w:type="dxa"/>
            <w:shd w:val="clear" w:color="auto" w:fill="E0E0E0"/>
            <w:noWrap/>
            <w:vAlign w:val="bottom"/>
          </w:tcPr>
          <w:p w:rsidR="00174AEA" w:rsidRPr="00687A1C" w:rsidRDefault="00174AEA" w:rsidP="00D8412D">
            <w:pPr>
              <w:pStyle w:val="Tabletextright"/>
            </w:pPr>
            <w:r w:rsidRPr="00687A1C">
              <w:t>57</w:t>
            </w:r>
            <w:r w:rsidR="00D8412D" w:rsidRPr="00687A1C">
              <w:rPr>
                <w:rFonts w:ascii="Calibri" w:hAnsi="Calibri" w:cs="Calibri"/>
              </w:rPr>
              <w:t xml:space="preserve"> </w:t>
            </w:r>
            <w:r w:rsidRPr="00687A1C">
              <w:t>417</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75</w:t>
            </w:r>
            <w:r w:rsidR="00D8412D" w:rsidRPr="00687A1C">
              <w:rPr>
                <w:rFonts w:ascii="Calibri" w:hAnsi="Calibri" w:cs="Calibri"/>
              </w:rPr>
              <w:t xml:space="preserve"> </w:t>
            </w:r>
            <w:r w:rsidRPr="00687A1C">
              <w:t>816</w:t>
            </w:r>
          </w:p>
        </w:tc>
        <w:tc>
          <w:tcPr>
            <w:tcW w:w="1170" w:type="dxa"/>
            <w:shd w:val="clear" w:color="auto" w:fill="auto"/>
            <w:noWrap/>
            <w:vAlign w:val="bottom"/>
          </w:tcPr>
          <w:p w:rsidR="00174AEA" w:rsidRPr="00687A1C" w:rsidRDefault="00174AEA" w:rsidP="00D8412D">
            <w:pPr>
              <w:pStyle w:val="Tabletextrightbold"/>
            </w:pPr>
            <w:r w:rsidRPr="00687A1C">
              <w:t>149</w:t>
            </w:r>
            <w:r w:rsidR="00D8412D" w:rsidRPr="00687A1C">
              <w:rPr>
                <w:rFonts w:ascii="Calibri" w:hAnsi="Calibri" w:cs="Calibri"/>
              </w:rPr>
              <w:t xml:space="preserve"> </w:t>
            </w:r>
            <w:r w:rsidRPr="00687A1C">
              <w:t>383</w:t>
            </w:r>
          </w:p>
        </w:tc>
        <w:tc>
          <w:tcPr>
            <w:tcW w:w="1138" w:type="dxa"/>
            <w:shd w:val="clear" w:color="auto" w:fill="E0E0E0"/>
            <w:noWrap/>
            <w:vAlign w:val="bottom"/>
          </w:tcPr>
          <w:p w:rsidR="00174AEA" w:rsidRPr="00687A1C" w:rsidRDefault="00174AEA" w:rsidP="00D8412D">
            <w:pPr>
              <w:pStyle w:val="Tabletextrightbold"/>
            </w:pPr>
            <w:r w:rsidRPr="00687A1C">
              <w:t>90</w:t>
            </w:r>
            <w:r w:rsidR="00D8412D" w:rsidRPr="00687A1C">
              <w:rPr>
                <w:rFonts w:ascii="Calibri" w:hAnsi="Calibri" w:cs="Calibri"/>
              </w:rPr>
              <w:t xml:space="preserve"> </w:t>
            </w:r>
            <w:r w:rsidRPr="00687A1C">
              <w:t>949</w:t>
            </w:r>
          </w:p>
        </w:tc>
        <w:tc>
          <w:tcPr>
            <w:tcW w:w="1138" w:type="dxa"/>
            <w:shd w:val="clear" w:color="auto" w:fill="E0E0E0"/>
            <w:noWrap/>
            <w:vAlign w:val="bottom"/>
          </w:tcPr>
          <w:p w:rsidR="00174AEA" w:rsidRPr="00687A1C" w:rsidRDefault="00174AEA" w:rsidP="00D8412D">
            <w:pPr>
              <w:pStyle w:val="Tabletextrightbold"/>
            </w:pPr>
            <w:r w:rsidRPr="00687A1C">
              <w:t>90</w:t>
            </w:r>
            <w:r w:rsidR="00D8412D" w:rsidRPr="00687A1C">
              <w:rPr>
                <w:rFonts w:ascii="Calibri" w:hAnsi="Calibri" w:cs="Calibri"/>
              </w:rPr>
              <w:t xml:space="preserve"> </w:t>
            </w:r>
            <w:r w:rsidRPr="00687A1C">
              <w:t>901</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E0E0E0"/>
            <w:noWrap/>
            <w:vAlign w:val="bottom"/>
          </w:tcPr>
          <w:p w:rsidR="00174AEA" w:rsidRPr="00687A1C" w:rsidRDefault="00174AEA" w:rsidP="00D8412D">
            <w:pPr>
              <w:pStyle w:val="Tabletextrightbold"/>
            </w:pPr>
            <w:r w:rsidRPr="00687A1C">
              <w:t>357</w:t>
            </w:r>
            <w:r w:rsidR="00D8412D" w:rsidRPr="00687A1C">
              <w:rPr>
                <w:rFonts w:ascii="Calibri" w:hAnsi="Calibri" w:cs="Calibri"/>
              </w:rPr>
              <w:t xml:space="preserve"> </w:t>
            </w:r>
            <w:r w:rsidRPr="00687A1C">
              <w:t>415</w:t>
            </w:r>
          </w:p>
        </w:tc>
        <w:tc>
          <w:tcPr>
            <w:tcW w:w="1138" w:type="dxa"/>
            <w:shd w:val="clear" w:color="auto" w:fill="E0E0E0"/>
            <w:noWrap/>
            <w:vAlign w:val="bottom"/>
          </w:tcPr>
          <w:p w:rsidR="00174AEA" w:rsidRPr="00687A1C" w:rsidRDefault="00174AEA" w:rsidP="00D8412D">
            <w:pPr>
              <w:pStyle w:val="Tabletextrightbold"/>
            </w:pPr>
            <w:r w:rsidRPr="00687A1C">
              <w:t>410</w:t>
            </w:r>
            <w:r w:rsidR="00D8412D" w:rsidRPr="00687A1C">
              <w:rPr>
                <w:rFonts w:ascii="Calibri" w:hAnsi="Calibri" w:cs="Calibri"/>
              </w:rPr>
              <w:t xml:space="preserve"> </w:t>
            </w:r>
            <w:r w:rsidRPr="00687A1C">
              <w:t>630</w:t>
            </w:r>
          </w:p>
        </w:tc>
      </w:tr>
      <w:tr w:rsidR="00174AEA" w:rsidRPr="00687A1C" w:rsidTr="008A3976">
        <w:trPr>
          <w:cantSplit/>
          <w:trHeight w:hRule="exact" w:val="57"/>
        </w:trPr>
        <w:tc>
          <w:tcPr>
            <w:tcW w:w="1278" w:type="dxa"/>
            <w:shd w:val="clear" w:color="auto" w:fill="auto"/>
            <w:noWrap/>
            <w:vAlign w:val="bottom"/>
          </w:tcPr>
          <w:p w:rsidR="00174AEA" w:rsidRPr="00687A1C" w:rsidRDefault="00174AEA" w:rsidP="008A3976">
            <w:pPr>
              <w:pStyle w:val="Tabletextright"/>
            </w:pPr>
          </w:p>
        </w:tc>
        <w:tc>
          <w:tcPr>
            <w:tcW w:w="1170"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pPr>
          </w:p>
        </w:tc>
        <w:tc>
          <w:tcPr>
            <w:tcW w:w="1170"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26</w:t>
            </w:r>
            <w:r w:rsidR="00D8412D" w:rsidRPr="00687A1C">
              <w:rPr>
                <w:rFonts w:ascii="Calibri" w:hAnsi="Calibri" w:cs="Calibri"/>
              </w:rPr>
              <w:t xml:space="preserve"> </w:t>
            </w:r>
            <w:r w:rsidRPr="00687A1C">
              <w:t>656</w:t>
            </w:r>
          </w:p>
        </w:tc>
        <w:tc>
          <w:tcPr>
            <w:tcW w:w="1170" w:type="dxa"/>
            <w:shd w:val="clear" w:color="auto" w:fill="auto"/>
            <w:noWrap/>
            <w:vAlign w:val="bottom"/>
          </w:tcPr>
          <w:p w:rsidR="00174AEA" w:rsidRPr="00687A1C" w:rsidRDefault="00174AEA" w:rsidP="00D8412D">
            <w:pPr>
              <w:pStyle w:val="Tabletextright"/>
            </w:pPr>
            <w:r w:rsidRPr="00687A1C">
              <w:t>23</w:t>
            </w:r>
            <w:r w:rsidR="00D8412D" w:rsidRPr="00687A1C">
              <w:rPr>
                <w:rFonts w:ascii="Calibri" w:hAnsi="Calibri" w:cs="Calibri"/>
              </w:rPr>
              <w:t xml:space="preserve"> </w:t>
            </w:r>
            <w:r w:rsidRPr="00687A1C">
              <w:t>933</w:t>
            </w:r>
          </w:p>
        </w:tc>
        <w:tc>
          <w:tcPr>
            <w:tcW w:w="1138" w:type="dxa"/>
            <w:shd w:val="clear" w:color="auto" w:fill="E0E0E0"/>
            <w:noWrap/>
            <w:vAlign w:val="bottom"/>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152</w:t>
            </w:r>
          </w:p>
        </w:tc>
        <w:tc>
          <w:tcPr>
            <w:tcW w:w="1138" w:type="dxa"/>
            <w:shd w:val="clear" w:color="auto" w:fill="E0E0E0"/>
            <w:noWrap/>
            <w:vAlign w:val="bottom"/>
          </w:tcPr>
          <w:p w:rsidR="00174AEA" w:rsidRPr="00687A1C" w:rsidRDefault="00174AEA" w:rsidP="00D8412D">
            <w:pPr>
              <w:pStyle w:val="Tabletextright"/>
            </w:pPr>
            <w:r w:rsidRPr="00687A1C">
              <w:t>15</w:t>
            </w:r>
            <w:r w:rsidR="00D8412D" w:rsidRPr="00687A1C">
              <w:rPr>
                <w:rFonts w:ascii="Calibri" w:hAnsi="Calibri" w:cs="Calibri"/>
              </w:rPr>
              <w:t xml:space="preserve"> </w:t>
            </w:r>
            <w:r w:rsidRPr="00687A1C">
              <w:t>160</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140</w:t>
            </w:r>
            <w:r w:rsidR="00D8412D" w:rsidRPr="00687A1C">
              <w:rPr>
                <w:rFonts w:ascii="Calibri" w:hAnsi="Calibri" w:cs="Calibri"/>
              </w:rPr>
              <w:t xml:space="preserve"> </w:t>
            </w:r>
            <w:r w:rsidRPr="00687A1C">
              <w:t>960</w:t>
            </w:r>
          </w:p>
        </w:tc>
        <w:tc>
          <w:tcPr>
            <w:tcW w:w="1138" w:type="dxa"/>
            <w:shd w:val="clear" w:color="auto" w:fill="E0E0E0"/>
            <w:noWrap/>
            <w:vAlign w:val="bottom"/>
          </w:tcPr>
          <w:p w:rsidR="00174AEA" w:rsidRPr="00687A1C" w:rsidRDefault="00174AEA" w:rsidP="00D8412D">
            <w:pPr>
              <w:pStyle w:val="Tabletextright"/>
            </w:pPr>
            <w:r w:rsidRPr="00687A1C">
              <w:t>131</w:t>
            </w:r>
            <w:r w:rsidR="00D8412D" w:rsidRPr="00687A1C">
              <w:rPr>
                <w:rFonts w:ascii="Calibri" w:hAnsi="Calibri" w:cs="Calibri"/>
              </w:rPr>
              <w:t xml:space="preserve"> </w:t>
            </w:r>
            <w:r w:rsidRPr="00687A1C">
              <w:t>199</w:t>
            </w: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pPr>
            <w:r w:rsidRPr="00687A1C">
              <w:t>168</w:t>
            </w:r>
          </w:p>
        </w:tc>
        <w:tc>
          <w:tcPr>
            <w:tcW w:w="1170" w:type="dxa"/>
            <w:shd w:val="clear" w:color="auto" w:fill="auto"/>
            <w:noWrap/>
            <w:vAlign w:val="bottom"/>
          </w:tcPr>
          <w:p w:rsidR="00174AEA" w:rsidRPr="00687A1C" w:rsidRDefault="00174AEA" w:rsidP="008A3976">
            <w:pPr>
              <w:pStyle w:val="Tabletextright"/>
            </w:pPr>
            <w:r w:rsidRPr="00687A1C">
              <w:t>174</w:t>
            </w:r>
          </w:p>
        </w:tc>
        <w:tc>
          <w:tcPr>
            <w:tcW w:w="1138" w:type="dxa"/>
            <w:shd w:val="clear" w:color="auto" w:fill="E0E0E0"/>
            <w:noWrap/>
            <w:vAlign w:val="bottom"/>
          </w:tcPr>
          <w:p w:rsidR="00174AEA" w:rsidRPr="00687A1C" w:rsidRDefault="00174AEA" w:rsidP="00D8412D">
            <w:pPr>
              <w:pStyle w:val="Tabletextright"/>
            </w:pPr>
            <w:r w:rsidRPr="00687A1C">
              <w:t>12</w:t>
            </w:r>
            <w:r w:rsidR="00D8412D" w:rsidRPr="00687A1C">
              <w:rPr>
                <w:rFonts w:ascii="Calibri" w:hAnsi="Calibri" w:cs="Calibri"/>
              </w:rPr>
              <w:t xml:space="preserve"> </w:t>
            </w:r>
            <w:r w:rsidR="00964E74" w:rsidRPr="00687A1C">
              <w:t>843</w:t>
            </w:r>
          </w:p>
        </w:tc>
        <w:tc>
          <w:tcPr>
            <w:tcW w:w="1138" w:type="dxa"/>
            <w:shd w:val="clear" w:color="auto" w:fill="E0E0E0"/>
            <w:noWrap/>
            <w:vAlign w:val="bottom"/>
          </w:tcPr>
          <w:p w:rsidR="00174AEA" w:rsidRPr="00687A1C" w:rsidRDefault="00174AEA" w:rsidP="00D8412D">
            <w:pPr>
              <w:pStyle w:val="Tabletextright"/>
            </w:pPr>
            <w:r w:rsidRPr="00687A1C">
              <w:t>14</w:t>
            </w:r>
            <w:r w:rsidR="00D8412D" w:rsidRPr="00687A1C">
              <w:rPr>
                <w:rFonts w:ascii="Calibri" w:hAnsi="Calibri" w:cs="Calibri"/>
              </w:rPr>
              <w:t xml:space="preserve"> </w:t>
            </w:r>
            <w:r w:rsidRPr="00687A1C">
              <w:t>010</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34</w:t>
            </w:r>
            <w:r w:rsidR="00D8412D" w:rsidRPr="00687A1C">
              <w:rPr>
                <w:rFonts w:ascii="Calibri" w:hAnsi="Calibri" w:cs="Calibri"/>
              </w:rPr>
              <w:t xml:space="preserve"> </w:t>
            </w:r>
            <w:r w:rsidR="00964E74" w:rsidRPr="00687A1C">
              <w:t>759</w:t>
            </w:r>
          </w:p>
        </w:tc>
        <w:tc>
          <w:tcPr>
            <w:tcW w:w="1138" w:type="dxa"/>
            <w:shd w:val="clear" w:color="auto" w:fill="E0E0E0"/>
            <w:noWrap/>
            <w:vAlign w:val="bottom"/>
          </w:tcPr>
          <w:p w:rsidR="00174AEA" w:rsidRPr="00687A1C" w:rsidRDefault="00174AEA" w:rsidP="00D8412D">
            <w:pPr>
              <w:pStyle w:val="Tabletextright"/>
            </w:pPr>
            <w:r w:rsidRPr="00687A1C">
              <w:t>23</w:t>
            </w:r>
            <w:r w:rsidR="00D8412D" w:rsidRPr="00687A1C">
              <w:rPr>
                <w:rFonts w:ascii="Calibri" w:hAnsi="Calibri" w:cs="Calibri"/>
              </w:rPr>
              <w:t xml:space="preserve"> </w:t>
            </w:r>
            <w:r w:rsidRPr="00687A1C">
              <w:t>629</w:t>
            </w: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pPr>
            <w:r w:rsidRPr="00687A1C">
              <w:t>6</w:t>
            </w:r>
          </w:p>
        </w:tc>
        <w:tc>
          <w:tcPr>
            <w:tcW w:w="1170" w:type="dxa"/>
            <w:shd w:val="clear" w:color="auto" w:fill="auto"/>
            <w:noWrap/>
            <w:vAlign w:val="bottom"/>
          </w:tcPr>
          <w:p w:rsidR="00174AEA" w:rsidRPr="00687A1C" w:rsidRDefault="00174AEA" w:rsidP="008A3976">
            <w:pPr>
              <w:pStyle w:val="Tabletextright"/>
            </w:pPr>
            <w:r w:rsidRPr="00687A1C">
              <w:t>13</w:t>
            </w:r>
          </w:p>
        </w:tc>
        <w:tc>
          <w:tcPr>
            <w:tcW w:w="1138" w:type="dxa"/>
            <w:shd w:val="clear" w:color="auto" w:fill="E0E0E0"/>
            <w:noWrap/>
            <w:vAlign w:val="bottom"/>
          </w:tcPr>
          <w:p w:rsidR="00174AEA" w:rsidRPr="00687A1C" w:rsidRDefault="00174AEA" w:rsidP="008A3976">
            <w:pPr>
              <w:pStyle w:val="Tabletextright"/>
            </w:pPr>
            <w:r w:rsidRPr="00687A1C">
              <w:t>60</w:t>
            </w:r>
          </w:p>
        </w:tc>
        <w:tc>
          <w:tcPr>
            <w:tcW w:w="1138" w:type="dxa"/>
            <w:shd w:val="clear" w:color="auto" w:fill="E0E0E0"/>
            <w:noWrap/>
            <w:vAlign w:val="bottom"/>
          </w:tcPr>
          <w:p w:rsidR="00174AEA" w:rsidRPr="00687A1C" w:rsidRDefault="00174AEA" w:rsidP="008A3976">
            <w:pPr>
              <w:pStyle w:val="Tabletextright"/>
            </w:pPr>
            <w:r w:rsidRPr="00687A1C">
              <w:t>24</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8A3976">
            <w:pPr>
              <w:pStyle w:val="Tabletextright"/>
            </w:pPr>
            <w:r w:rsidRPr="00687A1C">
              <w:t>86</w:t>
            </w:r>
          </w:p>
        </w:tc>
        <w:tc>
          <w:tcPr>
            <w:tcW w:w="1138" w:type="dxa"/>
            <w:shd w:val="clear" w:color="auto" w:fill="E0E0E0"/>
            <w:noWrap/>
            <w:vAlign w:val="bottom"/>
          </w:tcPr>
          <w:p w:rsidR="00174AEA" w:rsidRPr="00687A1C" w:rsidRDefault="00174AEA" w:rsidP="008A3976">
            <w:pPr>
              <w:pStyle w:val="Tabletextright"/>
            </w:pPr>
            <w:r w:rsidRPr="00687A1C">
              <w:t>50</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640</w:t>
            </w:r>
          </w:p>
        </w:tc>
        <w:tc>
          <w:tcPr>
            <w:tcW w:w="1170" w:type="dxa"/>
            <w:shd w:val="clear" w:color="auto" w:fill="auto"/>
            <w:noWrap/>
            <w:vAlign w:val="bottom"/>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528</w:t>
            </w:r>
          </w:p>
        </w:tc>
        <w:tc>
          <w:tcPr>
            <w:tcW w:w="1138" w:type="dxa"/>
            <w:shd w:val="clear" w:color="auto" w:fill="E0E0E0"/>
            <w:noWrap/>
            <w:vAlign w:val="bottom"/>
          </w:tcPr>
          <w:p w:rsidR="00174AEA" w:rsidRPr="00687A1C" w:rsidRDefault="00174AEA" w:rsidP="008A3976">
            <w:pPr>
              <w:pStyle w:val="Tabletextright"/>
            </w:pPr>
            <w:r w:rsidRPr="00687A1C">
              <w:t>164</w:t>
            </w:r>
          </w:p>
        </w:tc>
        <w:tc>
          <w:tcPr>
            <w:tcW w:w="1138" w:type="dxa"/>
            <w:shd w:val="clear" w:color="auto" w:fill="E0E0E0"/>
            <w:noWrap/>
            <w:vAlign w:val="bottom"/>
          </w:tcPr>
          <w:p w:rsidR="00174AEA" w:rsidRPr="00687A1C" w:rsidRDefault="00174AEA" w:rsidP="008A3976">
            <w:pPr>
              <w:pStyle w:val="Tabletextright"/>
            </w:pPr>
            <w:r w:rsidRPr="00687A1C">
              <w:t>280</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31</w:t>
            </w:r>
            <w:r w:rsidR="00D8412D" w:rsidRPr="00687A1C">
              <w:rPr>
                <w:rFonts w:ascii="Calibri" w:hAnsi="Calibri" w:cs="Calibri"/>
              </w:rPr>
              <w:t xml:space="preserve"> </w:t>
            </w:r>
            <w:r w:rsidRPr="00687A1C">
              <w:t>771</w:t>
            </w:r>
          </w:p>
        </w:tc>
        <w:tc>
          <w:tcPr>
            <w:tcW w:w="1138" w:type="dxa"/>
            <w:shd w:val="clear" w:color="auto" w:fill="E0E0E0"/>
            <w:noWrap/>
            <w:vAlign w:val="bottom"/>
          </w:tcPr>
          <w:p w:rsidR="00174AEA" w:rsidRPr="00687A1C" w:rsidRDefault="00174AEA" w:rsidP="00D8412D">
            <w:pPr>
              <w:pStyle w:val="Tabletextright"/>
            </w:pPr>
            <w:r w:rsidRPr="00687A1C">
              <w:t>34</w:t>
            </w:r>
            <w:r w:rsidR="00D8412D" w:rsidRPr="00687A1C">
              <w:rPr>
                <w:rFonts w:ascii="Calibri" w:hAnsi="Calibri" w:cs="Calibri"/>
              </w:rPr>
              <w:t xml:space="preserve"> </w:t>
            </w:r>
            <w:r w:rsidRPr="00687A1C">
              <w:t>870</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124</w:t>
            </w:r>
          </w:p>
        </w:tc>
        <w:tc>
          <w:tcPr>
            <w:tcW w:w="1170" w:type="dxa"/>
            <w:shd w:val="clear" w:color="auto" w:fill="auto"/>
            <w:noWrap/>
            <w:vAlign w:val="bottom"/>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067</w:t>
            </w:r>
          </w:p>
        </w:tc>
        <w:tc>
          <w:tcPr>
            <w:tcW w:w="1138" w:type="dxa"/>
            <w:shd w:val="clear" w:color="auto" w:fill="E0E0E0"/>
            <w:noWrap/>
            <w:vAlign w:val="bottom"/>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788</w:t>
            </w:r>
          </w:p>
        </w:tc>
        <w:tc>
          <w:tcPr>
            <w:tcW w:w="1138" w:type="dxa"/>
            <w:shd w:val="clear" w:color="auto" w:fill="E0E0E0"/>
            <w:noWrap/>
            <w:vAlign w:val="bottom"/>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665</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998</w:t>
            </w:r>
          </w:p>
        </w:tc>
        <w:tc>
          <w:tcPr>
            <w:tcW w:w="1138" w:type="dxa"/>
            <w:shd w:val="clear" w:color="auto" w:fill="E0E0E0"/>
            <w:noWrap/>
            <w:vAlign w:val="bottom"/>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815</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38</w:t>
            </w:r>
            <w:r w:rsidR="00D8412D" w:rsidRPr="00687A1C">
              <w:t xml:space="preserve"> </w:t>
            </w:r>
            <w:r w:rsidRPr="00687A1C">
              <w:t>417</w:t>
            </w:r>
          </w:p>
        </w:tc>
        <w:tc>
          <w:tcPr>
            <w:tcW w:w="1170" w:type="dxa"/>
            <w:shd w:val="clear" w:color="auto" w:fill="auto"/>
            <w:noWrap/>
            <w:vAlign w:val="bottom"/>
          </w:tcPr>
          <w:p w:rsidR="00174AEA" w:rsidRPr="00687A1C" w:rsidRDefault="00174AEA" w:rsidP="00D8412D">
            <w:pPr>
              <w:pStyle w:val="Tabletextright"/>
            </w:pPr>
            <w:r w:rsidRPr="00687A1C">
              <w:t>44</w:t>
            </w:r>
            <w:r w:rsidR="00D8412D" w:rsidRPr="00687A1C">
              <w:rPr>
                <w:rFonts w:ascii="Calibri" w:hAnsi="Calibri" w:cs="Calibri"/>
              </w:rPr>
              <w:t xml:space="preserve"> </w:t>
            </w:r>
            <w:r w:rsidRPr="00687A1C">
              <w:t>866</w:t>
            </w:r>
          </w:p>
        </w:tc>
        <w:tc>
          <w:tcPr>
            <w:tcW w:w="1138" w:type="dxa"/>
            <w:shd w:val="clear" w:color="auto" w:fill="E0E0E0"/>
            <w:noWrap/>
            <w:vAlign w:val="bottom"/>
          </w:tcPr>
          <w:p w:rsidR="00174AEA" w:rsidRPr="00687A1C" w:rsidRDefault="00174AEA" w:rsidP="00D8412D">
            <w:pPr>
              <w:pStyle w:val="Tabletextright"/>
            </w:pPr>
            <w:r w:rsidRPr="00687A1C">
              <w:t>39</w:t>
            </w:r>
            <w:r w:rsidR="00D8412D" w:rsidRPr="00687A1C">
              <w:rPr>
                <w:rFonts w:ascii="Calibri" w:hAnsi="Calibri" w:cs="Calibri"/>
              </w:rPr>
              <w:t xml:space="preserve"> </w:t>
            </w:r>
            <w:r w:rsidRPr="00687A1C">
              <w:t>976</w:t>
            </w:r>
          </w:p>
        </w:tc>
        <w:tc>
          <w:tcPr>
            <w:tcW w:w="1138" w:type="dxa"/>
            <w:shd w:val="clear" w:color="auto" w:fill="E0E0E0"/>
            <w:noWrap/>
            <w:vAlign w:val="bottom"/>
          </w:tcPr>
          <w:p w:rsidR="00174AEA" w:rsidRPr="00687A1C" w:rsidRDefault="00174AEA" w:rsidP="00D8412D">
            <w:pPr>
              <w:pStyle w:val="Tabletextright"/>
            </w:pPr>
            <w:r w:rsidRPr="00687A1C">
              <w:t>37</w:t>
            </w:r>
            <w:r w:rsidR="00D8412D" w:rsidRPr="00687A1C">
              <w:rPr>
                <w:rFonts w:ascii="Calibri" w:hAnsi="Calibri" w:cs="Calibri"/>
              </w:rPr>
              <w:t xml:space="preserve"> </w:t>
            </w:r>
            <w:r w:rsidRPr="00687A1C">
              <w:t>855</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116</w:t>
            </w:r>
            <w:r w:rsidR="00D8412D" w:rsidRPr="00687A1C">
              <w:rPr>
                <w:rFonts w:ascii="Calibri" w:hAnsi="Calibri" w:cs="Calibri"/>
              </w:rPr>
              <w:t xml:space="preserve"> </w:t>
            </w:r>
            <w:r w:rsidRPr="00687A1C">
              <w:t>704</w:t>
            </w:r>
          </w:p>
        </w:tc>
        <w:tc>
          <w:tcPr>
            <w:tcW w:w="1138" w:type="dxa"/>
            <w:shd w:val="clear" w:color="auto" w:fill="E0E0E0"/>
            <w:noWrap/>
            <w:vAlign w:val="bottom"/>
          </w:tcPr>
          <w:p w:rsidR="00174AEA" w:rsidRPr="00687A1C" w:rsidRDefault="00174AEA" w:rsidP="00D8412D">
            <w:pPr>
              <w:pStyle w:val="Tabletextright"/>
            </w:pPr>
            <w:r w:rsidRPr="00687A1C">
              <w:t>117</w:t>
            </w:r>
            <w:r w:rsidR="00D8412D" w:rsidRPr="00687A1C">
              <w:rPr>
                <w:rFonts w:ascii="Calibri" w:hAnsi="Calibri" w:cs="Calibri"/>
              </w:rPr>
              <w:t xml:space="preserve"> </w:t>
            </w:r>
            <w:r w:rsidRPr="00687A1C">
              <w:t>556</w:t>
            </w: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pPr>
            <w:r w:rsidRPr="00687A1C">
              <w:t>620</w:t>
            </w:r>
          </w:p>
        </w:tc>
        <w:tc>
          <w:tcPr>
            <w:tcW w:w="1170" w:type="dxa"/>
            <w:shd w:val="clear" w:color="auto" w:fill="auto"/>
            <w:noWrap/>
            <w:vAlign w:val="bottom"/>
          </w:tcPr>
          <w:p w:rsidR="00174AEA" w:rsidRPr="00687A1C" w:rsidRDefault="00174AEA" w:rsidP="00D8412D">
            <w:pPr>
              <w:pStyle w:val="Tabletextright"/>
            </w:pPr>
            <w:r w:rsidRPr="00687A1C">
              <w:t>66</w:t>
            </w:r>
            <w:r w:rsidR="00D8412D" w:rsidRPr="00687A1C">
              <w:rPr>
                <w:rFonts w:ascii="Calibri" w:hAnsi="Calibri" w:cs="Calibri"/>
              </w:rPr>
              <w:t xml:space="preserve"> </w:t>
            </w:r>
            <w:r w:rsidRPr="00687A1C">
              <w:t>338</w:t>
            </w:r>
          </w:p>
        </w:tc>
        <w:tc>
          <w:tcPr>
            <w:tcW w:w="1138" w:type="dxa"/>
            <w:shd w:val="clear" w:color="auto" w:fill="E0E0E0"/>
            <w:noWrap/>
            <w:vAlign w:val="bottom"/>
          </w:tcPr>
          <w:p w:rsidR="00174AEA" w:rsidRPr="00687A1C" w:rsidRDefault="00174AEA" w:rsidP="008A3976">
            <w:pPr>
              <w:pStyle w:val="Tabletextright"/>
            </w:pPr>
            <w:r w:rsidRPr="00687A1C">
              <w:t>–</w:t>
            </w:r>
          </w:p>
        </w:tc>
        <w:tc>
          <w:tcPr>
            <w:tcW w:w="1138" w:type="dxa"/>
            <w:shd w:val="clear" w:color="auto" w:fill="E0E0E0"/>
            <w:noWrap/>
            <w:vAlign w:val="bottom"/>
          </w:tcPr>
          <w:p w:rsidR="00174AEA" w:rsidRPr="00687A1C" w:rsidRDefault="00174AEA" w:rsidP="008A3976">
            <w:pPr>
              <w:pStyle w:val="Tabletextright"/>
            </w:pPr>
            <w:r w:rsidRPr="00687A1C">
              <w:t>–</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r w:rsidRPr="00687A1C">
              <w:t>–</w:t>
            </w:r>
          </w:p>
        </w:tc>
        <w:tc>
          <w:tcPr>
            <w:tcW w:w="1138" w:type="dxa"/>
            <w:shd w:val="clear" w:color="auto" w:fill="E0E0E0"/>
            <w:noWrap/>
            <w:vAlign w:val="bottom"/>
          </w:tcPr>
          <w:p w:rsidR="00174AEA" w:rsidRPr="00687A1C" w:rsidRDefault="00174AEA" w:rsidP="008A3976">
            <w:pPr>
              <w:pStyle w:val="Tabletextright"/>
            </w:pPr>
            <w:r w:rsidRPr="00687A1C">
              <w:t>620</w:t>
            </w:r>
          </w:p>
        </w:tc>
        <w:tc>
          <w:tcPr>
            <w:tcW w:w="1138" w:type="dxa"/>
            <w:shd w:val="clear" w:color="auto" w:fill="E0E0E0"/>
            <w:noWrap/>
            <w:vAlign w:val="bottom"/>
          </w:tcPr>
          <w:p w:rsidR="00174AEA" w:rsidRPr="00687A1C" w:rsidRDefault="00174AEA" w:rsidP="00D8412D">
            <w:pPr>
              <w:pStyle w:val="Tabletextright"/>
            </w:pPr>
            <w:r w:rsidRPr="00687A1C">
              <w:t>66</w:t>
            </w:r>
            <w:r w:rsidR="00D8412D" w:rsidRPr="00687A1C">
              <w:rPr>
                <w:rFonts w:ascii="Calibri" w:hAnsi="Calibri" w:cs="Calibri"/>
              </w:rPr>
              <w:t xml:space="preserve"> </w:t>
            </w:r>
            <w:r w:rsidRPr="00687A1C">
              <w:t>338</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803</w:t>
            </w:r>
          </w:p>
        </w:tc>
        <w:tc>
          <w:tcPr>
            <w:tcW w:w="1170" w:type="dxa"/>
            <w:shd w:val="clear" w:color="auto" w:fill="auto"/>
            <w:noWrap/>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167</w:t>
            </w:r>
          </w:p>
        </w:tc>
        <w:tc>
          <w:tcPr>
            <w:tcW w:w="1138" w:type="dxa"/>
            <w:shd w:val="clear" w:color="auto" w:fill="E0E0E0"/>
            <w:noWrap/>
            <w:vAlign w:val="bottom"/>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432</w:t>
            </w:r>
          </w:p>
        </w:tc>
        <w:tc>
          <w:tcPr>
            <w:tcW w:w="1138" w:type="dxa"/>
            <w:shd w:val="clear" w:color="auto" w:fill="E0E0E0"/>
            <w:noWrap/>
            <w:vAlign w:val="bottom"/>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810</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090</w:t>
            </w:r>
          </w:p>
        </w:tc>
        <w:tc>
          <w:tcPr>
            <w:tcW w:w="1138" w:type="dxa"/>
            <w:shd w:val="clear" w:color="auto" w:fill="E0E0E0"/>
            <w:noWrap/>
            <w:vAlign w:val="bottom"/>
          </w:tcPr>
          <w:p w:rsidR="00174AEA" w:rsidRPr="00687A1C" w:rsidRDefault="00174AEA" w:rsidP="00D8412D">
            <w:pPr>
              <w:pStyle w:val="Tabletextright"/>
            </w:pPr>
            <w:r w:rsidRPr="00687A1C">
              <w:t>10</w:t>
            </w:r>
            <w:r w:rsidR="00D8412D" w:rsidRPr="00687A1C">
              <w:rPr>
                <w:rFonts w:ascii="Calibri" w:hAnsi="Calibri" w:cs="Calibri"/>
              </w:rPr>
              <w:t xml:space="preserve"> </w:t>
            </w:r>
            <w:r w:rsidRPr="00687A1C">
              <w:t>999</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74</w:t>
            </w:r>
            <w:r w:rsidR="00D8412D" w:rsidRPr="00687A1C">
              <w:rPr>
                <w:rFonts w:ascii="Calibri" w:hAnsi="Calibri" w:cs="Calibri"/>
              </w:rPr>
              <w:t xml:space="preserve"> </w:t>
            </w:r>
            <w:r w:rsidRPr="00687A1C">
              <w:t>434</w:t>
            </w:r>
          </w:p>
        </w:tc>
        <w:tc>
          <w:tcPr>
            <w:tcW w:w="1170" w:type="dxa"/>
            <w:shd w:val="clear" w:color="auto" w:fill="auto"/>
            <w:noWrap/>
            <w:vAlign w:val="bottom"/>
          </w:tcPr>
          <w:p w:rsidR="00174AEA" w:rsidRPr="00687A1C" w:rsidRDefault="00174AEA" w:rsidP="00D8412D">
            <w:pPr>
              <w:pStyle w:val="Tabletextrightbold"/>
            </w:pPr>
            <w:r w:rsidRPr="00687A1C">
              <w:t>146</w:t>
            </w:r>
            <w:r w:rsidR="00D8412D" w:rsidRPr="00687A1C">
              <w:rPr>
                <w:rFonts w:ascii="Calibri" w:hAnsi="Calibri" w:cs="Calibri"/>
              </w:rPr>
              <w:t xml:space="preserve"> </w:t>
            </w:r>
            <w:r w:rsidRPr="00687A1C">
              <w:t>086</w:t>
            </w:r>
          </w:p>
        </w:tc>
        <w:tc>
          <w:tcPr>
            <w:tcW w:w="1138" w:type="dxa"/>
            <w:shd w:val="clear" w:color="auto" w:fill="E0E0E0"/>
            <w:noWrap/>
            <w:vAlign w:val="bottom"/>
          </w:tcPr>
          <w:p w:rsidR="00174AEA" w:rsidRPr="00687A1C" w:rsidRDefault="00174AEA" w:rsidP="00D8412D">
            <w:pPr>
              <w:pStyle w:val="Tabletextrightbold"/>
            </w:pPr>
            <w:r w:rsidRPr="00687A1C">
              <w:t>92</w:t>
            </w:r>
            <w:r w:rsidR="00D8412D" w:rsidRPr="00687A1C">
              <w:rPr>
                <w:rFonts w:ascii="Calibri" w:hAnsi="Calibri" w:cs="Calibri"/>
              </w:rPr>
              <w:t xml:space="preserve"> </w:t>
            </w:r>
            <w:r w:rsidR="00964E74" w:rsidRPr="00687A1C">
              <w:t>415</w:t>
            </w:r>
          </w:p>
        </w:tc>
        <w:tc>
          <w:tcPr>
            <w:tcW w:w="1138" w:type="dxa"/>
            <w:shd w:val="clear" w:color="auto" w:fill="E0E0E0"/>
            <w:noWrap/>
            <w:vAlign w:val="bottom"/>
          </w:tcPr>
          <w:p w:rsidR="00174AEA" w:rsidRPr="00687A1C" w:rsidRDefault="00174AEA" w:rsidP="00D8412D">
            <w:pPr>
              <w:pStyle w:val="Tabletextrightbold"/>
            </w:pPr>
            <w:r w:rsidRPr="00687A1C">
              <w:t>93</w:t>
            </w:r>
            <w:r w:rsidR="00D8412D" w:rsidRPr="00687A1C">
              <w:rPr>
                <w:rFonts w:ascii="Calibri" w:hAnsi="Calibri" w:cs="Calibri"/>
              </w:rPr>
              <w:t xml:space="preserve"> </w:t>
            </w:r>
            <w:r w:rsidRPr="00687A1C">
              <w:t>804</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E0E0E0"/>
            <w:noWrap/>
            <w:vAlign w:val="bottom"/>
          </w:tcPr>
          <w:p w:rsidR="00174AEA" w:rsidRPr="00687A1C" w:rsidRDefault="00174AEA" w:rsidP="00D8412D">
            <w:pPr>
              <w:pStyle w:val="Tabletextrightbold"/>
            </w:pPr>
            <w:r w:rsidRPr="00687A1C">
              <w:t>355</w:t>
            </w:r>
            <w:r w:rsidR="00D8412D" w:rsidRPr="00687A1C">
              <w:rPr>
                <w:rFonts w:ascii="Calibri" w:hAnsi="Calibri" w:cs="Calibri"/>
              </w:rPr>
              <w:t xml:space="preserve"> </w:t>
            </w:r>
            <w:r w:rsidR="00964E74" w:rsidRPr="00687A1C">
              <w:t>988</w:t>
            </w:r>
          </w:p>
        </w:tc>
        <w:tc>
          <w:tcPr>
            <w:tcW w:w="1138" w:type="dxa"/>
            <w:shd w:val="clear" w:color="auto" w:fill="E0E0E0"/>
            <w:noWrap/>
            <w:vAlign w:val="bottom"/>
          </w:tcPr>
          <w:p w:rsidR="00174AEA" w:rsidRPr="00687A1C" w:rsidRDefault="00174AEA" w:rsidP="00D8412D">
            <w:pPr>
              <w:pStyle w:val="Tabletextrightbold"/>
            </w:pPr>
            <w:r w:rsidRPr="00687A1C">
              <w:t>406</w:t>
            </w:r>
            <w:r w:rsidR="00D8412D" w:rsidRPr="00687A1C">
              <w:rPr>
                <w:rFonts w:ascii="Calibri" w:hAnsi="Calibri" w:cs="Calibri"/>
              </w:rPr>
              <w:t xml:space="preserve"> </w:t>
            </w:r>
            <w:r w:rsidRPr="00687A1C">
              <w:t>456</w:t>
            </w:r>
          </w:p>
        </w:tc>
      </w:tr>
      <w:tr w:rsidR="00174AEA" w:rsidRPr="00687A1C" w:rsidTr="008A3976">
        <w:trPr>
          <w:cantSplit/>
          <w:trHeight w:hRule="exact" w:val="57"/>
        </w:trPr>
        <w:tc>
          <w:tcPr>
            <w:tcW w:w="1278" w:type="dxa"/>
            <w:shd w:val="clear" w:color="auto" w:fill="auto"/>
            <w:noWrap/>
            <w:vAlign w:val="bottom"/>
          </w:tcPr>
          <w:p w:rsidR="00174AEA" w:rsidRPr="00687A1C" w:rsidRDefault="00174AEA" w:rsidP="008A3976">
            <w:pPr>
              <w:pStyle w:val="Tabletextrightbold"/>
            </w:pPr>
          </w:p>
        </w:tc>
        <w:tc>
          <w:tcPr>
            <w:tcW w:w="1170" w:type="dxa"/>
            <w:shd w:val="clear" w:color="auto" w:fill="auto"/>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c>
          <w:tcPr>
            <w:tcW w:w="1138" w:type="dxa"/>
            <w:shd w:val="clear" w:color="auto" w:fill="auto"/>
            <w:noWrap/>
            <w:vAlign w:val="bottom"/>
          </w:tcPr>
          <w:p w:rsidR="00174AEA" w:rsidRPr="00687A1C" w:rsidRDefault="00174AEA" w:rsidP="008A3976">
            <w:pPr>
              <w:pStyle w:val="Tabletextrightbold"/>
            </w:pPr>
          </w:p>
        </w:tc>
        <w:tc>
          <w:tcPr>
            <w:tcW w:w="1138" w:type="dxa"/>
            <w:shd w:val="clear" w:color="auto" w:fill="auto"/>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382</w:t>
            </w:r>
          </w:p>
        </w:tc>
        <w:tc>
          <w:tcPr>
            <w:tcW w:w="1170" w:type="dxa"/>
            <w:shd w:val="clear" w:color="auto" w:fill="auto"/>
            <w:noWrap/>
            <w:vAlign w:val="bottom"/>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297</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964E74" w:rsidRPr="00687A1C">
              <w:t>466</w:t>
            </w:r>
            <w:r w:rsidRPr="00687A1C">
              <w:t>)</w:t>
            </w:r>
          </w:p>
        </w:tc>
        <w:tc>
          <w:tcPr>
            <w:tcW w:w="1138" w:type="dxa"/>
            <w:shd w:val="clear" w:color="auto" w:fill="E0E0E0"/>
            <w:noWrap/>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903)</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964E74" w:rsidRPr="00687A1C">
              <w:t>427</w:t>
            </w:r>
          </w:p>
        </w:tc>
        <w:tc>
          <w:tcPr>
            <w:tcW w:w="1138" w:type="dxa"/>
            <w:shd w:val="clear" w:color="auto" w:fill="E0E0E0"/>
            <w:noWrap/>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174</w:t>
            </w:r>
          </w:p>
        </w:tc>
      </w:tr>
      <w:tr w:rsidR="00174AEA" w:rsidRPr="00687A1C" w:rsidTr="008A3976">
        <w:trPr>
          <w:cantSplit/>
          <w:trHeight w:hRule="exact" w:val="57"/>
        </w:trPr>
        <w:tc>
          <w:tcPr>
            <w:tcW w:w="1278" w:type="dxa"/>
            <w:shd w:val="clear" w:color="auto" w:fill="auto"/>
            <w:noWrap/>
            <w:vAlign w:val="bottom"/>
          </w:tcPr>
          <w:p w:rsidR="00174AEA" w:rsidRPr="00687A1C" w:rsidRDefault="00174AEA" w:rsidP="008A3976">
            <w:pPr>
              <w:pStyle w:val="Tabletextright"/>
            </w:pPr>
          </w:p>
        </w:tc>
        <w:tc>
          <w:tcPr>
            <w:tcW w:w="1170"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pPr>
          </w:p>
        </w:tc>
        <w:tc>
          <w:tcPr>
            <w:tcW w:w="1170"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rPr>
                <w:bCs/>
              </w:rPr>
            </w:pPr>
            <w:r w:rsidRPr="00687A1C">
              <w:rPr>
                <w:bCs/>
              </w:rPr>
              <w:t>18</w:t>
            </w:r>
          </w:p>
        </w:tc>
        <w:tc>
          <w:tcPr>
            <w:tcW w:w="1170" w:type="dxa"/>
            <w:shd w:val="clear" w:color="auto" w:fill="auto"/>
            <w:noWrap/>
            <w:vAlign w:val="bottom"/>
          </w:tcPr>
          <w:p w:rsidR="00174AEA" w:rsidRPr="00687A1C" w:rsidRDefault="00174AEA" w:rsidP="008A3976">
            <w:pPr>
              <w:pStyle w:val="Tabletextright"/>
              <w:rPr>
                <w:bCs/>
              </w:rPr>
            </w:pPr>
            <w:r w:rsidRPr="00687A1C">
              <w:t>(11)</w:t>
            </w:r>
          </w:p>
        </w:tc>
        <w:tc>
          <w:tcPr>
            <w:tcW w:w="1138" w:type="dxa"/>
            <w:shd w:val="clear" w:color="auto" w:fill="E0E0E0"/>
            <w:noWrap/>
            <w:vAlign w:val="bottom"/>
          </w:tcPr>
          <w:p w:rsidR="00174AEA" w:rsidRPr="00687A1C" w:rsidRDefault="00174AEA" w:rsidP="008A3976">
            <w:pPr>
              <w:pStyle w:val="Tabletextright"/>
              <w:rPr>
                <w:bCs/>
              </w:rPr>
            </w:pPr>
            <w:r w:rsidRPr="00687A1C">
              <w:rPr>
                <w:bCs/>
              </w:rPr>
              <w:t>77</w:t>
            </w:r>
          </w:p>
        </w:tc>
        <w:tc>
          <w:tcPr>
            <w:tcW w:w="1138" w:type="dxa"/>
            <w:shd w:val="clear" w:color="auto" w:fill="E0E0E0"/>
            <w:noWrap/>
            <w:vAlign w:val="bottom"/>
          </w:tcPr>
          <w:p w:rsidR="00174AEA" w:rsidRPr="00687A1C" w:rsidRDefault="00174AEA" w:rsidP="008A3976">
            <w:pPr>
              <w:pStyle w:val="Tabletextright"/>
              <w:rPr>
                <w:bCs/>
              </w:rPr>
            </w:pPr>
            <w:r w:rsidRPr="00687A1C">
              <w:t>44</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8A3976">
            <w:pPr>
              <w:pStyle w:val="Tabletextright"/>
              <w:rPr>
                <w:bCs/>
              </w:rPr>
            </w:pPr>
            <w:r w:rsidRPr="00687A1C">
              <w:rPr>
                <w:bCs/>
              </w:rPr>
              <w:t>78</w:t>
            </w:r>
          </w:p>
        </w:tc>
        <w:tc>
          <w:tcPr>
            <w:tcW w:w="1138" w:type="dxa"/>
            <w:shd w:val="clear" w:color="auto" w:fill="E0E0E0"/>
            <w:noWrap/>
            <w:vAlign w:val="bottom"/>
          </w:tcPr>
          <w:p w:rsidR="00174AEA" w:rsidRPr="00687A1C" w:rsidRDefault="00174AEA" w:rsidP="008A3976">
            <w:pPr>
              <w:pStyle w:val="Tabletextright"/>
              <w:rPr>
                <w:bCs/>
              </w:rPr>
            </w:pPr>
            <w:r w:rsidRPr="00687A1C">
              <w:t>43</w:t>
            </w:r>
          </w:p>
        </w:tc>
      </w:tr>
      <w:tr w:rsidR="00174AEA" w:rsidRPr="00687A1C" w:rsidTr="008A3976">
        <w:trPr>
          <w:cantSplit/>
        </w:trPr>
        <w:tc>
          <w:tcPr>
            <w:tcW w:w="1278" w:type="dxa"/>
            <w:shd w:val="clear" w:color="auto" w:fill="auto"/>
            <w:noWrap/>
            <w:vAlign w:val="bottom"/>
          </w:tcPr>
          <w:p w:rsidR="00174AEA" w:rsidRPr="00687A1C" w:rsidRDefault="00964E74" w:rsidP="008A3976">
            <w:pPr>
              <w:pStyle w:val="Tabletextright"/>
            </w:pPr>
            <w:r w:rsidRPr="00687A1C">
              <w:t>–</w:t>
            </w:r>
          </w:p>
        </w:tc>
        <w:tc>
          <w:tcPr>
            <w:tcW w:w="1170"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8A3976">
            <w:pPr>
              <w:pStyle w:val="Tabletextright"/>
            </w:pPr>
            <w:r w:rsidRPr="00687A1C">
              <w:t>–</w:t>
            </w:r>
          </w:p>
        </w:tc>
        <w:tc>
          <w:tcPr>
            <w:tcW w:w="1138" w:type="dxa"/>
            <w:shd w:val="clear" w:color="auto" w:fill="E0E0E0"/>
            <w:noWrap/>
            <w:vAlign w:val="bottom"/>
          </w:tcPr>
          <w:p w:rsidR="00174AEA" w:rsidRPr="00687A1C" w:rsidRDefault="00964E74" w:rsidP="008A3976">
            <w:pPr>
              <w:pStyle w:val="Tabletextright"/>
            </w:pPr>
            <w:r w:rsidRPr="00687A1C">
              <w:t>–</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8A3976">
            <w:pPr>
              <w:pStyle w:val="Tabletextright"/>
              <w:rPr>
                <w:bCs/>
              </w:rPr>
            </w:pPr>
            <w:r w:rsidRPr="00687A1C">
              <w:rPr>
                <w:bCs/>
              </w:rPr>
              <w:t>(8)</w:t>
            </w:r>
          </w:p>
        </w:tc>
        <w:tc>
          <w:tcPr>
            <w:tcW w:w="1138" w:type="dxa"/>
            <w:shd w:val="clear" w:color="auto" w:fill="E0E0E0"/>
            <w:noWrap/>
            <w:vAlign w:val="bottom"/>
          </w:tcPr>
          <w:p w:rsidR="00174AEA" w:rsidRPr="00687A1C" w:rsidRDefault="00174AEA" w:rsidP="008A3976">
            <w:pPr>
              <w:pStyle w:val="Tabletextright"/>
            </w:pPr>
            <w:r w:rsidRPr="00687A1C">
              <w:t>(3)</w:t>
            </w: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rPr>
                <w:bCs/>
              </w:rPr>
            </w:pPr>
            <w:r w:rsidRPr="00687A1C">
              <w:rPr>
                <w:bCs/>
              </w:rPr>
              <w:t>9</w:t>
            </w:r>
          </w:p>
        </w:tc>
        <w:tc>
          <w:tcPr>
            <w:tcW w:w="1170" w:type="dxa"/>
            <w:shd w:val="clear" w:color="auto" w:fill="auto"/>
            <w:noWrap/>
            <w:vAlign w:val="bottom"/>
          </w:tcPr>
          <w:p w:rsidR="00174AEA" w:rsidRPr="00687A1C" w:rsidRDefault="00174AEA" w:rsidP="008A3976">
            <w:pPr>
              <w:pStyle w:val="Tabletextright"/>
              <w:rPr>
                <w:bCs/>
              </w:rPr>
            </w:pPr>
            <w:r w:rsidRPr="00687A1C">
              <w:t>133</w:t>
            </w:r>
          </w:p>
        </w:tc>
        <w:tc>
          <w:tcPr>
            <w:tcW w:w="1138" w:type="dxa"/>
            <w:shd w:val="clear" w:color="auto" w:fill="E0E0E0"/>
            <w:noWrap/>
            <w:vAlign w:val="bottom"/>
          </w:tcPr>
          <w:p w:rsidR="00174AEA" w:rsidRPr="00687A1C" w:rsidRDefault="00174AEA" w:rsidP="008A3976">
            <w:pPr>
              <w:pStyle w:val="Tabletextright"/>
              <w:rPr>
                <w:bCs/>
              </w:rPr>
            </w:pPr>
            <w:r w:rsidRPr="00687A1C">
              <w:rPr>
                <w:bCs/>
              </w:rPr>
              <w:t>5</w:t>
            </w:r>
          </w:p>
        </w:tc>
        <w:tc>
          <w:tcPr>
            <w:tcW w:w="1138" w:type="dxa"/>
            <w:shd w:val="clear" w:color="auto" w:fill="E0E0E0"/>
            <w:noWrap/>
            <w:vAlign w:val="bottom"/>
          </w:tcPr>
          <w:p w:rsidR="00174AEA" w:rsidRPr="00687A1C" w:rsidRDefault="00174AEA" w:rsidP="008A3976">
            <w:pPr>
              <w:pStyle w:val="Tabletextright"/>
              <w:rPr>
                <w:bCs/>
              </w:rPr>
            </w:pPr>
            <w:r w:rsidRPr="00687A1C">
              <w:t>71</w:t>
            </w:r>
          </w:p>
        </w:tc>
        <w:tc>
          <w:tcPr>
            <w:tcW w:w="1138" w:type="dxa"/>
            <w:shd w:val="clear" w:color="auto" w:fill="auto"/>
            <w:noWrap/>
            <w:vAlign w:val="bottom"/>
          </w:tcPr>
          <w:p w:rsidR="00174AEA" w:rsidRPr="00687A1C" w:rsidRDefault="00174AEA" w:rsidP="008A3976">
            <w:pPr>
              <w:pStyle w:val="Tabletextright"/>
              <w:rPr>
                <w:bCs/>
              </w:rPr>
            </w:pPr>
          </w:p>
        </w:tc>
        <w:tc>
          <w:tcPr>
            <w:tcW w:w="1138" w:type="dxa"/>
            <w:shd w:val="clear" w:color="auto" w:fill="auto"/>
            <w:noWrap/>
            <w:vAlign w:val="bottom"/>
          </w:tcPr>
          <w:p w:rsidR="00174AEA" w:rsidRPr="00687A1C" w:rsidRDefault="00964E74" w:rsidP="008A3976">
            <w:pPr>
              <w:pStyle w:val="Tabletextright"/>
              <w:rPr>
                <w:bCs/>
              </w:rPr>
            </w:pPr>
            <w:r w:rsidRPr="00687A1C">
              <w:rPr>
                <w:bCs/>
              </w:rPr>
              <w:t>–</w:t>
            </w:r>
          </w:p>
        </w:tc>
        <w:tc>
          <w:tcPr>
            <w:tcW w:w="1138" w:type="dxa"/>
            <w:shd w:val="clear" w:color="auto" w:fill="E0E0E0"/>
            <w:noWrap/>
            <w:vAlign w:val="bottom"/>
          </w:tcPr>
          <w:p w:rsidR="00174AEA" w:rsidRPr="00687A1C" w:rsidRDefault="00174AEA" w:rsidP="008A3976">
            <w:pPr>
              <w:pStyle w:val="Tabletextright"/>
              <w:rPr>
                <w:bCs/>
              </w:rPr>
            </w:pPr>
            <w:r w:rsidRPr="00687A1C">
              <w:rPr>
                <w:bCs/>
              </w:rPr>
              <w:t>50</w:t>
            </w:r>
          </w:p>
        </w:tc>
        <w:tc>
          <w:tcPr>
            <w:tcW w:w="1138" w:type="dxa"/>
            <w:shd w:val="clear" w:color="auto" w:fill="E0E0E0"/>
            <w:noWrap/>
            <w:vAlign w:val="bottom"/>
          </w:tcPr>
          <w:p w:rsidR="00174AEA" w:rsidRPr="00687A1C" w:rsidRDefault="00174AEA" w:rsidP="008A3976">
            <w:pPr>
              <w:pStyle w:val="Tabletextright"/>
              <w:rPr>
                <w:bCs/>
              </w:rPr>
            </w:pPr>
            <w:r w:rsidRPr="00687A1C">
              <w:t>826</w:t>
            </w: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bold"/>
            </w:pPr>
            <w:r w:rsidRPr="00687A1C">
              <w:t>27</w:t>
            </w:r>
          </w:p>
        </w:tc>
        <w:tc>
          <w:tcPr>
            <w:tcW w:w="1170" w:type="dxa"/>
            <w:shd w:val="clear" w:color="auto" w:fill="auto"/>
            <w:noWrap/>
            <w:vAlign w:val="bottom"/>
          </w:tcPr>
          <w:p w:rsidR="00174AEA" w:rsidRPr="00687A1C" w:rsidRDefault="00174AEA" w:rsidP="008A3976">
            <w:pPr>
              <w:pStyle w:val="Tabletextrightbold"/>
            </w:pPr>
            <w:r w:rsidRPr="00687A1C">
              <w:t>122</w:t>
            </w:r>
          </w:p>
        </w:tc>
        <w:tc>
          <w:tcPr>
            <w:tcW w:w="1138" w:type="dxa"/>
            <w:shd w:val="clear" w:color="auto" w:fill="E0E0E0"/>
            <w:noWrap/>
            <w:vAlign w:val="bottom"/>
          </w:tcPr>
          <w:p w:rsidR="00174AEA" w:rsidRPr="00687A1C" w:rsidRDefault="00174AEA" w:rsidP="008A3976">
            <w:pPr>
              <w:pStyle w:val="Tabletextrightbold"/>
            </w:pPr>
            <w:r w:rsidRPr="00687A1C">
              <w:t>82</w:t>
            </w:r>
          </w:p>
        </w:tc>
        <w:tc>
          <w:tcPr>
            <w:tcW w:w="1138" w:type="dxa"/>
            <w:shd w:val="clear" w:color="auto" w:fill="E0E0E0"/>
            <w:noWrap/>
            <w:vAlign w:val="bottom"/>
          </w:tcPr>
          <w:p w:rsidR="00174AEA" w:rsidRPr="00687A1C" w:rsidRDefault="00174AEA" w:rsidP="008A3976">
            <w:pPr>
              <w:pStyle w:val="Tabletextrightbold"/>
            </w:pPr>
            <w:r w:rsidRPr="00687A1C">
              <w:t>115</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E0E0E0"/>
            <w:noWrap/>
            <w:vAlign w:val="bottom"/>
          </w:tcPr>
          <w:p w:rsidR="00174AEA" w:rsidRPr="00687A1C" w:rsidRDefault="00174AEA" w:rsidP="008A3976">
            <w:pPr>
              <w:pStyle w:val="Tabletextrightbold"/>
            </w:pPr>
            <w:r w:rsidRPr="00687A1C">
              <w:t>120</w:t>
            </w:r>
          </w:p>
        </w:tc>
        <w:tc>
          <w:tcPr>
            <w:tcW w:w="1138" w:type="dxa"/>
            <w:shd w:val="clear" w:color="auto" w:fill="E0E0E0"/>
            <w:noWrap/>
            <w:vAlign w:val="bottom"/>
          </w:tcPr>
          <w:p w:rsidR="00174AEA" w:rsidRPr="00687A1C" w:rsidRDefault="00174AEA" w:rsidP="008A3976">
            <w:pPr>
              <w:pStyle w:val="Tabletextrightbold"/>
            </w:pPr>
            <w:r w:rsidRPr="00687A1C">
              <w:t>866</w:t>
            </w:r>
          </w:p>
        </w:tc>
      </w:tr>
      <w:tr w:rsidR="00174AEA" w:rsidRPr="00687A1C" w:rsidTr="008A3976">
        <w:trPr>
          <w:cantSplit/>
          <w:trHeight w:hRule="exact" w:val="57"/>
        </w:trPr>
        <w:tc>
          <w:tcPr>
            <w:tcW w:w="1278" w:type="dxa"/>
            <w:shd w:val="clear" w:color="auto" w:fill="auto"/>
            <w:noWrap/>
            <w:vAlign w:val="bottom"/>
          </w:tcPr>
          <w:p w:rsidR="00174AEA" w:rsidRPr="00687A1C" w:rsidRDefault="00174AEA" w:rsidP="008A3976">
            <w:pPr>
              <w:pStyle w:val="Tabletextright"/>
            </w:pPr>
          </w:p>
        </w:tc>
        <w:tc>
          <w:tcPr>
            <w:tcW w:w="1170"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409</w:t>
            </w:r>
          </w:p>
        </w:tc>
        <w:tc>
          <w:tcPr>
            <w:tcW w:w="1170" w:type="dxa"/>
            <w:shd w:val="clear" w:color="auto" w:fill="auto"/>
            <w:noWrap/>
            <w:vAlign w:val="bottom"/>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419</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270A70" w:rsidRPr="00687A1C">
              <w:t>384</w:t>
            </w:r>
            <w:r w:rsidRPr="00687A1C">
              <w:t>)</w:t>
            </w:r>
          </w:p>
        </w:tc>
        <w:tc>
          <w:tcPr>
            <w:tcW w:w="1138" w:type="dxa"/>
            <w:shd w:val="clear" w:color="auto" w:fill="E0E0E0"/>
            <w:noWrap/>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788)</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270A70" w:rsidRPr="00687A1C">
              <w:t>547</w:t>
            </w:r>
          </w:p>
        </w:tc>
        <w:tc>
          <w:tcPr>
            <w:tcW w:w="1138" w:type="dxa"/>
            <w:shd w:val="clear" w:color="auto" w:fill="E0E0E0"/>
            <w:noWrap/>
            <w:vAlign w:val="bottom"/>
          </w:tcPr>
          <w:p w:rsidR="00174AEA" w:rsidRPr="00687A1C" w:rsidRDefault="00174AEA" w:rsidP="00D8412D">
            <w:pPr>
              <w:pStyle w:val="Tabletextrightbold"/>
            </w:pPr>
            <w:r w:rsidRPr="00687A1C">
              <w:t>5</w:t>
            </w:r>
            <w:r w:rsidR="00D8412D" w:rsidRPr="00687A1C">
              <w:rPr>
                <w:rFonts w:ascii="Calibri" w:hAnsi="Calibri" w:cs="Calibri"/>
              </w:rPr>
              <w:t xml:space="preserve"> </w:t>
            </w:r>
            <w:r w:rsidRPr="00687A1C">
              <w:t>040</w:t>
            </w:r>
          </w:p>
        </w:tc>
      </w:tr>
      <w:tr w:rsidR="00174AEA" w:rsidRPr="00687A1C" w:rsidTr="008A3976">
        <w:trPr>
          <w:cantSplit/>
          <w:trHeight w:hRule="exact" w:val="57"/>
        </w:trPr>
        <w:tc>
          <w:tcPr>
            <w:tcW w:w="1278" w:type="dxa"/>
            <w:shd w:val="clear" w:color="auto" w:fill="auto"/>
            <w:noWrap/>
          </w:tcPr>
          <w:p w:rsidR="00174AEA" w:rsidRPr="00687A1C" w:rsidRDefault="00174AEA" w:rsidP="008A3976">
            <w:pPr>
              <w:pStyle w:val="Tabletextright"/>
              <w:rPr>
                <w:b/>
                <w:bCs/>
              </w:rPr>
            </w:pPr>
          </w:p>
        </w:tc>
        <w:tc>
          <w:tcPr>
            <w:tcW w:w="1170" w:type="dxa"/>
            <w:shd w:val="clear" w:color="auto" w:fill="auto"/>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auto"/>
            <w:noWrap/>
          </w:tcPr>
          <w:p w:rsidR="00174AEA" w:rsidRPr="00687A1C" w:rsidRDefault="00174AEA" w:rsidP="008A3976">
            <w:pPr>
              <w:pStyle w:val="Tabletextright"/>
              <w:rPr>
                <w:b/>
                <w:bCs/>
              </w:rPr>
            </w:pPr>
          </w:p>
        </w:tc>
        <w:tc>
          <w:tcPr>
            <w:tcW w:w="1138" w:type="dxa"/>
            <w:shd w:val="clear" w:color="auto" w:fill="auto"/>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rPr>
                <w:b/>
                <w:bCs/>
              </w:rPr>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pPr>
            <w:r w:rsidRPr="00687A1C">
              <w:t>–</w:t>
            </w:r>
          </w:p>
        </w:tc>
        <w:tc>
          <w:tcPr>
            <w:tcW w:w="1170" w:type="dxa"/>
            <w:shd w:val="clear" w:color="auto" w:fill="auto"/>
            <w:noWrap/>
            <w:vAlign w:val="bottom"/>
          </w:tcPr>
          <w:p w:rsidR="00174AEA" w:rsidRPr="00687A1C" w:rsidRDefault="00174AEA" w:rsidP="00D8412D">
            <w:pPr>
              <w:pStyle w:val="Tabletextright"/>
            </w:pPr>
            <w:r w:rsidRPr="00687A1C">
              <w:t>77</w:t>
            </w:r>
            <w:r w:rsidR="00D8412D" w:rsidRPr="00687A1C">
              <w:rPr>
                <w:rFonts w:ascii="Calibri" w:hAnsi="Calibri" w:cs="Calibri"/>
              </w:rPr>
              <w:t xml:space="preserve"> </w:t>
            </w:r>
            <w:r w:rsidRPr="00687A1C">
              <w:t>777</w:t>
            </w:r>
          </w:p>
        </w:tc>
        <w:tc>
          <w:tcPr>
            <w:tcW w:w="1138" w:type="dxa"/>
            <w:shd w:val="clear" w:color="auto" w:fill="E0E0E0"/>
            <w:noWrap/>
            <w:vAlign w:val="bottom"/>
          </w:tcPr>
          <w:p w:rsidR="00174AEA" w:rsidRPr="00687A1C" w:rsidRDefault="00174AEA"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172</w:t>
            </w:r>
            <w:r w:rsidR="00D8412D" w:rsidRPr="00687A1C">
              <w:rPr>
                <w:rFonts w:ascii="Calibri" w:hAnsi="Calibri" w:cs="Calibri"/>
              </w:rPr>
              <w:t xml:space="preserve"> </w:t>
            </w:r>
            <w:r w:rsidRPr="00687A1C">
              <w:t>515</w:t>
            </w: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auto"/>
            <w:noWrap/>
            <w:vAlign w:val="bottom"/>
          </w:tcPr>
          <w:p w:rsidR="00174AEA" w:rsidRPr="00687A1C" w:rsidRDefault="00964E74" w:rsidP="008A3976">
            <w:pPr>
              <w:pStyle w:val="Tabletextright"/>
            </w:pPr>
            <w:r w:rsidRPr="00687A1C">
              <w:t>–</w:t>
            </w:r>
          </w:p>
        </w:tc>
        <w:tc>
          <w:tcPr>
            <w:tcW w:w="1138" w:type="dxa"/>
            <w:shd w:val="clear" w:color="auto" w:fill="E0E0E0"/>
            <w:noWrap/>
            <w:vAlign w:val="bottom"/>
          </w:tcPr>
          <w:p w:rsidR="00174AEA" w:rsidRPr="00687A1C" w:rsidRDefault="00174AEA" w:rsidP="008A3976">
            <w:pPr>
              <w:pStyle w:val="Tabletextright"/>
            </w:pPr>
            <w:r w:rsidRPr="00687A1C">
              <w:t>–</w:t>
            </w:r>
          </w:p>
        </w:tc>
        <w:tc>
          <w:tcPr>
            <w:tcW w:w="1138" w:type="dxa"/>
            <w:shd w:val="clear" w:color="auto" w:fill="E0E0E0"/>
            <w:noWrap/>
            <w:vAlign w:val="bottom"/>
          </w:tcPr>
          <w:p w:rsidR="00174AEA" w:rsidRPr="00687A1C" w:rsidRDefault="00174AEA" w:rsidP="00D8412D">
            <w:pPr>
              <w:pStyle w:val="Tabletextright"/>
            </w:pPr>
            <w:r w:rsidRPr="00687A1C">
              <w:t>250</w:t>
            </w:r>
            <w:r w:rsidR="00D8412D" w:rsidRPr="00687A1C">
              <w:rPr>
                <w:rFonts w:ascii="Calibri" w:hAnsi="Calibri" w:cs="Calibri"/>
              </w:rPr>
              <w:t xml:space="preserve"> </w:t>
            </w:r>
            <w:r w:rsidRPr="00687A1C">
              <w:t>292</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409</w:t>
            </w:r>
          </w:p>
        </w:tc>
        <w:tc>
          <w:tcPr>
            <w:tcW w:w="1170" w:type="dxa"/>
            <w:shd w:val="clear" w:color="auto" w:fill="auto"/>
            <w:noWrap/>
            <w:vAlign w:val="bottom"/>
          </w:tcPr>
          <w:p w:rsidR="00174AEA" w:rsidRPr="00687A1C" w:rsidRDefault="00174AEA" w:rsidP="00D8412D">
            <w:pPr>
              <w:pStyle w:val="Tabletextrightbold"/>
            </w:pPr>
            <w:r w:rsidRPr="00687A1C">
              <w:t>81</w:t>
            </w:r>
            <w:r w:rsidR="00D8412D" w:rsidRPr="00687A1C">
              <w:rPr>
                <w:rFonts w:ascii="Calibri" w:hAnsi="Calibri" w:cs="Calibri"/>
              </w:rPr>
              <w:t xml:space="preserve"> </w:t>
            </w:r>
            <w:r w:rsidRPr="00687A1C">
              <w:t>196</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964E74" w:rsidRPr="00687A1C">
              <w:t>384</w:t>
            </w:r>
            <w:r w:rsidRPr="00687A1C">
              <w:t>)</w:t>
            </w:r>
          </w:p>
        </w:tc>
        <w:tc>
          <w:tcPr>
            <w:tcW w:w="1138" w:type="dxa"/>
            <w:shd w:val="clear" w:color="auto" w:fill="E0E0E0"/>
            <w:noWrap/>
            <w:vAlign w:val="bottom"/>
          </w:tcPr>
          <w:p w:rsidR="00174AEA" w:rsidRPr="00687A1C" w:rsidRDefault="00174AEA" w:rsidP="00D8412D">
            <w:pPr>
              <w:pStyle w:val="Tabletextrightbold"/>
            </w:pPr>
            <w:r w:rsidRPr="00687A1C">
              <w:t>169</w:t>
            </w:r>
            <w:r w:rsidR="00D8412D" w:rsidRPr="00687A1C">
              <w:rPr>
                <w:rFonts w:ascii="Calibri" w:hAnsi="Calibri" w:cs="Calibri"/>
              </w:rPr>
              <w:t xml:space="preserve"> </w:t>
            </w:r>
            <w:r w:rsidRPr="00687A1C">
              <w:t>727</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auto"/>
            <w:noWrap/>
            <w:vAlign w:val="bottom"/>
          </w:tcPr>
          <w:p w:rsidR="00174AEA" w:rsidRPr="00687A1C" w:rsidRDefault="00964E74" w:rsidP="008A3976">
            <w:pPr>
              <w:pStyle w:val="Tabletextrightbold"/>
            </w:pPr>
            <w:r w:rsidRPr="00687A1C">
              <w:t>–</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00964E74" w:rsidRPr="00687A1C">
              <w:t>547</w:t>
            </w:r>
          </w:p>
        </w:tc>
        <w:tc>
          <w:tcPr>
            <w:tcW w:w="1138" w:type="dxa"/>
            <w:shd w:val="clear" w:color="auto" w:fill="E0E0E0"/>
            <w:noWrap/>
            <w:vAlign w:val="bottom"/>
          </w:tcPr>
          <w:p w:rsidR="00174AEA" w:rsidRPr="00687A1C" w:rsidRDefault="00174AEA" w:rsidP="00D8412D">
            <w:pPr>
              <w:pStyle w:val="Tabletextrightbold"/>
            </w:pPr>
            <w:r w:rsidRPr="00687A1C">
              <w:t>255</w:t>
            </w:r>
            <w:r w:rsidR="00D8412D" w:rsidRPr="00687A1C">
              <w:rPr>
                <w:rFonts w:ascii="Calibri" w:hAnsi="Calibri" w:cs="Calibri"/>
              </w:rPr>
              <w:t xml:space="preserve"> </w:t>
            </w:r>
            <w:r w:rsidRPr="00687A1C">
              <w:t>332</w:t>
            </w:r>
          </w:p>
        </w:tc>
      </w:tr>
      <w:tr w:rsidR="00174AEA" w:rsidRPr="00687A1C" w:rsidTr="008A3976">
        <w:trPr>
          <w:cantSplit/>
          <w:trHeight w:hRule="exact" w:val="58"/>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Height w:hRule="exact" w:val="57"/>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7</w:t>
            </w:r>
            <w:r w:rsidR="00D8412D" w:rsidRPr="00687A1C">
              <w:rPr>
                <w:rFonts w:ascii="Calibri" w:hAnsi="Calibri" w:cs="Calibri"/>
              </w:rPr>
              <w:t xml:space="preserve"> </w:t>
            </w:r>
            <w:r w:rsidR="00270A70" w:rsidRPr="00687A1C">
              <w:rPr>
                <w:rFonts w:cs="Calibri"/>
              </w:rPr>
              <w:t>1</w:t>
            </w:r>
            <w:r w:rsidR="00964E74" w:rsidRPr="00687A1C">
              <w:rPr>
                <w:rFonts w:cs="Calibri"/>
              </w:rPr>
              <w:t>66</w:t>
            </w:r>
          </w:p>
        </w:tc>
        <w:tc>
          <w:tcPr>
            <w:tcW w:w="1170" w:type="dxa"/>
            <w:shd w:val="clear" w:color="auto" w:fill="auto"/>
            <w:noWrap/>
            <w:vAlign w:val="bottom"/>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293</w:t>
            </w:r>
          </w:p>
        </w:tc>
        <w:tc>
          <w:tcPr>
            <w:tcW w:w="1138" w:type="dxa"/>
            <w:shd w:val="clear" w:color="auto" w:fill="E0E0E0"/>
            <w:noWrap/>
            <w:vAlign w:val="bottom"/>
          </w:tcPr>
          <w:p w:rsidR="00174AEA" w:rsidRPr="00687A1C" w:rsidRDefault="00174AEA" w:rsidP="00D8412D">
            <w:pPr>
              <w:pStyle w:val="Tabletextright"/>
            </w:pPr>
            <w:r w:rsidRPr="00687A1C">
              <w:t>3</w:t>
            </w:r>
            <w:r w:rsidR="00964E74" w:rsidRPr="00687A1C">
              <w:t>3</w:t>
            </w:r>
            <w:r w:rsidR="00D8412D" w:rsidRPr="00687A1C">
              <w:rPr>
                <w:rFonts w:ascii="Calibri" w:hAnsi="Calibri" w:cs="Calibri"/>
              </w:rPr>
              <w:t xml:space="preserve"> </w:t>
            </w:r>
            <w:r w:rsidR="00964E74" w:rsidRPr="00687A1C">
              <w:rPr>
                <w:rFonts w:cs="Calibri"/>
              </w:rPr>
              <w:t>454</w:t>
            </w:r>
          </w:p>
        </w:tc>
        <w:tc>
          <w:tcPr>
            <w:tcW w:w="1138" w:type="dxa"/>
            <w:shd w:val="clear" w:color="auto" w:fill="E0E0E0"/>
            <w:noWrap/>
            <w:vAlign w:val="bottom"/>
          </w:tcPr>
          <w:p w:rsidR="00174AEA" w:rsidRPr="00687A1C" w:rsidRDefault="00174AEA" w:rsidP="00D8412D">
            <w:pPr>
              <w:pStyle w:val="Tabletextright"/>
            </w:pPr>
            <w:r w:rsidRPr="00687A1C">
              <w:t>33</w:t>
            </w:r>
            <w:r w:rsidR="00D8412D" w:rsidRPr="00687A1C">
              <w:rPr>
                <w:rFonts w:ascii="Calibri" w:hAnsi="Calibri" w:cs="Calibri"/>
              </w:rPr>
              <w:t xml:space="preserve"> </w:t>
            </w:r>
            <w:r w:rsidRPr="00687A1C">
              <w:t>966</w:t>
            </w:r>
          </w:p>
        </w:tc>
        <w:tc>
          <w:tcPr>
            <w:tcW w:w="1138" w:type="dxa"/>
            <w:shd w:val="clear" w:color="auto" w:fill="auto"/>
            <w:noWrap/>
            <w:vAlign w:val="bottom"/>
          </w:tcPr>
          <w:p w:rsidR="00174AEA" w:rsidRPr="00687A1C" w:rsidRDefault="00964E74" w:rsidP="00D8412D">
            <w:pPr>
              <w:pStyle w:val="Tabletextright"/>
            </w:pPr>
            <w:r w:rsidRPr="00687A1C">
              <w:t>286</w:t>
            </w:r>
            <w:r w:rsidR="00D8412D" w:rsidRPr="00687A1C">
              <w:rPr>
                <w:rFonts w:ascii="Calibri" w:hAnsi="Calibri" w:cs="Calibri"/>
              </w:rPr>
              <w:t xml:space="preserve"> </w:t>
            </w:r>
            <w:r w:rsidRPr="00687A1C">
              <w:t>238</w:t>
            </w:r>
          </w:p>
        </w:tc>
        <w:tc>
          <w:tcPr>
            <w:tcW w:w="1138" w:type="dxa"/>
            <w:shd w:val="clear" w:color="auto" w:fill="auto"/>
            <w:noWrap/>
            <w:vAlign w:val="bottom"/>
          </w:tcPr>
          <w:p w:rsidR="00174AEA" w:rsidRPr="00687A1C" w:rsidRDefault="00174AEA" w:rsidP="00D8412D">
            <w:pPr>
              <w:pStyle w:val="Tabletextright"/>
            </w:pPr>
            <w:r w:rsidRPr="00687A1C">
              <w:t>259</w:t>
            </w:r>
            <w:r w:rsidR="00D8412D" w:rsidRPr="00687A1C">
              <w:rPr>
                <w:rFonts w:ascii="Calibri" w:hAnsi="Calibri" w:cs="Calibri"/>
              </w:rPr>
              <w:t xml:space="preserve"> </w:t>
            </w:r>
            <w:r w:rsidRPr="00687A1C">
              <w:t>044</w:t>
            </w:r>
          </w:p>
        </w:tc>
        <w:tc>
          <w:tcPr>
            <w:tcW w:w="1138" w:type="dxa"/>
            <w:shd w:val="clear" w:color="auto" w:fill="E0E0E0"/>
            <w:noWrap/>
            <w:vAlign w:val="bottom"/>
          </w:tcPr>
          <w:p w:rsidR="00174AEA" w:rsidRPr="00687A1C" w:rsidRDefault="00174AEA" w:rsidP="00D8412D">
            <w:pPr>
              <w:pStyle w:val="Tabletextright"/>
            </w:pPr>
            <w:r w:rsidRPr="00687A1C">
              <w:t>33</w:t>
            </w:r>
            <w:r w:rsidR="00964E74" w:rsidRPr="00687A1C">
              <w:t>1</w:t>
            </w:r>
            <w:r w:rsidR="00D8412D" w:rsidRPr="00687A1C">
              <w:rPr>
                <w:rFonts w:ascii="Calibri" w:hAnsi="Calibri" w:cs="Calibri"/>
              </w:rPr>
              <w:t xml:space="preserve"> </w:t>
            </w:r>
            <w:r w:rsidR="00964E74" w:rsidRPr="00687A1C">
              <w:t>260</w:t>
            </w:r>
          </w:p>
        </w:tc>
        <w:tc>
          <w:tcPr>
            <w:tcW w:w="1138" w:type="dxa"/>
            <w:shd w:val="clear" w:color="auto" w:fill="E0E0E0"/>
            <w:noWrap/>
            <w:vAlign w:val="bottom"/>
          </w:tcPr>
          <w:p w:rsidR="00174AEA" w:rsidRPr="00687A1C" w:rsidRDefault="00174AEA" w:rsidP="00D8412D">
            <w:pPr>
              <w:pStyle w:val="Tabletextright"/>
            </w:pPr>
            <w:r w:rsidRPr="00687A1C">
              <w:t>310</w:t>
            </w:r>
            <w:r w:rsidR="00D8412D" w:rsidRPr="00687A1C">
              <w:rPr>
                <w:rFonts w:ascii="Calibri" w:hAnsi="Calibri" w:cs="Calibri"/>
              </w:rPr>
              <w:t xml:space="preserve"> </w:t>
            </w:r>
            <w:r w:rsidRPr="00687A1C">
              <w:t>426</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
            </w:pPr>
            <w:r w:rsidRPr="00687A1C">
              <w:t>387</w:t>
            </w:r>
            <w:r w:rsidR="00D8412D" w:rsidRPr="00687A1C">
              <w:rPr>
                <w:rFonts w:ascii="Calibri" w:hAnsi="Calibri" w:cs="Calibri"/>
              </w:rPr>
              <w:t xml:space="preserve"> </w:t>
            </w:r>
            <w:r w:rsidRPr="00687A1C">
              <w:t>446</w:t>
            </w:r>
          </w:p>
        </w:tc>
        <w:tc>
          <w:tcPr>
            <w:tcW w:w="1170" w:type="dxa"/>
            <w:shd w:val="clear" w:color="auto" w:fill="auto"/>
            <w:noWrap/>
            <w:vAlign w:val="bottom"/>
          </w:tcPr>
          <w:p w:rsidR="00174AEA" w:rsidRPr="00687A1C" w:rsidRDefault="00174AEA" w:rsidP="00D8412D">
            <w:pPr>
              <w:pStyle w:val="Tabletextright"/>
            </w:pPr>
            <w:r w:rsidRPr="00687A1C">
              <w:t>384</w:t>
            </w:r>
            <w:r w:rsidR="00D8412D" w:rsidRPr="00687A1C">
              <w:rPr>
                <w:rFonts w:ascii="Calibri" w:hAnsi="Calibri" w:cs="Calibri"/>
              </w:rPr>
              <w:t xml:space="preserve"> </w:t>
            </w:r>
            <w:r w:rsidRPr="00687A1C">
              <w:t>325</w:t>
            </w:r>
          </w:p>
        </w:tc>
        <w:tc>
          <w:tcPr>
            <w:tcW w:w="1138" w:type="dxa"/>
            <w:shd w:val="clear" w:color="auto" w:fill="E0E0E0"/>
            <w:noWrap/>
            <w:vAlign w:val="bottom"/>
          </w:tcPr>
          <w:p w:rsidR="00174AEA" w:rsidRPr="00687A1C" w:rsidRDefault="00174AEA" w:rsidP="00D8412D">
            <w:pPr>
              <w:pStyle w:val="Tabletextright"/>
            </w:pPr>
            <w:r w:rsidRPr="00687A1C">
              <w:t>415</w:t>
            </w:r>
            <w:r w:rsidR="00D8412D" w:rsidRPr="00687A1C">
              <w:rPr>
                <w:rFonts w:ascii="Calibri" w:hAnsi="Calibri" w:cs="Calibri"/>
              </w:rPr>
              <w:t xml:space="preserve"> </w:t>
            </w:r>
            <w:r w:rsidR="00964E74" w:rsidRPr="00687A1C">
              <w:t>727</w:t>
            </w:r>
          </w:p>
        </w:tc>
        <w:tc>
          <w:tcPr>
            <w:tcW w:w="1138" w:type="dxa"/>
            <w:shd w:val="clear" w:color="auto" w:fill="E0E0E0"/>
            <w:noWrap/>
            <w:vAlign w:val="bottom"/>
          </w:tcPr>
          <w:p w:rsidR="00174AEA" w:rsidRPr="00687A1C" w:rsidRDefault="00174AEA" w:rsidP="00D8412D">
            <w:pPr>
              <w:pStyle w:val="Tabletextright"/>
            </w:pPr>
            <w:r w:rsidRPr="00687A1C">
              <w:t>418</w:t>
            </w:r>
            <w:r w:rsidR="00D8412D" w:rsidRPr="00687A1C">
              <w:rPr>
                <w:rFonts w:ascii="Calibri" w:hAnsi="Calibri" w:cs="Calibri"/>
              </w:rPr>
              <w:t xml:space="preserve"> </w:t>
            </w:r>
            <w:r w:rsidRPr="00687A1C">
              <w:t>434</w:t>
            </w: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D8412D">
            <w:pPr>
              <w:pStyle w:val="Tabletextright"/>
            </w:pPr>
            <w:r w:rsidRPr="00687A1C">
              <w:t>822</w:t>
            </w:r>
            <w:r w:rsidR="00D8412D" w:rsidRPr="00687A1C">
              <w:rPr>
                <w:rFonts w:ascii="Calibri" w:hAnsi="Calibri" w:cs="Calibri"/>
              </w:rPr>
              <w:t xml:space="preserve"> </w:t>
            </w:r>
            <w:r w:rsidR="00964E74" w:rsidRPr="00687A1C">
              <w:t>403</w:t>
            </w:r>
          </w:p>
        </w:tc>
        <w:tc>
          <w:tcPr>
            <w:tcW w:w="1138" w:type="dxa"/>
            <w:shd w:val="clear" w:color="auto" w:fill="E0E0E0"/>
            <w:noWrap/>
            <w:vAlign w:val="bottom"/>
          </w:tcPr>
          <w:p w:rsidR="00174AEA" w:rsidRPr="00687A1C" w:rsidRDefault="00174AEA" w:rsidP="00D8412D">
            <w:pPr>
              <w:pStyle w:val="Tabletextright"/>
            </w:pPr>
            <w:r w:rsidRPr="00687A1C">
              <w:t>834</w:t>
            </w:r>
            <w:r w:rsidR="00D8412D" w:rsidRPr="00687A1C">
              <w:rPr>
                <w:rFonts w:ascii="Calibri" w:hAnsi="Calibri" w:cs="Calibri"/>
              </w:rPr>
              <w:t xml:space="preserve"> </w:t>
            </w:r>
            <w:r w:rsidRPr="00687A1C">
              <w:t>958</w:t>
            </w: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39</w:t>
            </w:r>
            <w:r w:rsidR="00964E74" w:rsidRPr="00687A1C">
              <w:t>4</w:t>
            </w:r>
            <w:r w:rsidR="00D8412D" w:rsidRPr="00687A1C">
              <w:rPr>
                <w:rFonts w:ascii="Calibri" w:hAnsi="Calibri" w:cs="Calibri"/>
              </w:rPr>
              <w:t xml:space="preserve"> </w:t>
            </w:r>
            <w:r w:rsidR="00964E74" w:rsidRPr="00687A1C">
              <w:t>612</w:t>
            </w:r>
          </w:p>
        </w:tc>
        <w:tc>
          <w:tcPr>
            <w:tcW w:w="1170" w:type="dxa"/>
            <w:shd w:val="clear" w:color="auto" w:fill="auto"/>
            <w:noWrap/>
            <w:vAlign w:val="bottom"/>
          </w:tcPr>
          <w:p w:rsidR="00174AEA" w:rsidRPr="00687A1C" w:rsidRDefault="00174AEA" w:rsidP="00D8412D">
            <w:pPr>
              <w:pStyle w:val="Tabletextrightbold"/>
            </w:pPr>
            <w:r w:rsidRPr="00687A1C">
              <w:t>393</w:t>
            </w:r>
            <w:r w:rsidR="00D8412D" w:rsidRPr="00687A1C">
              <w:rPr>
                <w:rFonts w:ascii="Calibri" w:hAnsi="Calibri" w:cs="Calibri"/>
              </w:rPr>
              <w:t xml:space="preserve"> </w:t>
            </w:r>
            <w:r w:rsidRPr="00687A1C">
              <w:t>618</w:t>
            </w:r>
          </w:p>
        </w:tc>
        <w:tc>
          <w:tcPr>
            <w:tcW w:w="1138" w:type="dxa"/>
            <w:shd w:val="clear" w:color="auto" w:fill="E0E0E0"/>
            <w:noWrap/>
            <w:vAlign w:val="bottom"/>
          </w:tcPr>
          <w:p w:rsidR="00174AEA" w:rsidRPr="00687A1C" w:rsidRDefault="00964E74" w:rsidP="00D8412D">
            <w:pPr>
              <w:pStyle w:val="Tabletextrightbold"/>
            </w:pPr>
            <w:r w:rsidRPr="00687A1C">
              <w:t>449</w:t>
            </w:r>
            <w:r w:rsidR="00D8412D" w:rsidRPr="00687A1C">
              <w:rPr>
                <w:rFonts w:ascii="Calibri" w:hAnsi="Calibri" w:cs="Calibri"/>
              </w:rPr>
              <w:t xml:space="preserve"> </w:t>
            </w:r>
            <w:r w:rsidRPr="00687A1C">
              <w:t>181</w:t>
            </w:r>
          </w:p>
        </w:tc>
        <w:tc>
          <w:tcPr>
            <w:tcW w:w="1138" w:type="dxa"/>
            <w:shd w:val="clear" w:color="auto" w:fill="E0E0E0"/>
            <w:noWrap/>
            <w:vAlign w:val="bottom"/>
          </w:tcPr>
          <w:p w:rsidR="00174AEA" w:rsidRPr="00687A1C" w:rsidRDefault="00174AEA" w:rsidP="00D8412D">
            <w:pPr>
              <w:pStyle w:val="Tabletextrightbold"/>
            </w:pPr>
            <w:r w:rsidRPr="00687A1C">
              <w:t>452</w:t>
            </w:r>
            <w:r w:rsidR="00D8412D" w:rsidRPr="00687A1C">
              <w:rPr>
                <w:rFonts w:ascii="Calibri" w:hAnsi="Calibri" w:cs="Calibri"/>
              </w:rPr>
              <w:t xml:space="preserve"> </w:t>
            </w:r>
            <w:r w:rsidRPr="00687A1C">
              <w:t>400</w:t>
            </w:r>
          </w:p>
        </w:tc>
        <w:tc>
          <w:tcPr>
            <w:tcW w:w="1138" w:type="dxa"/>
            <w:shd w:val="clear" w:color="auto" w:fill="auto"/>
            <w:noWrap/>
            <w:vAlign w:val="bottom"/>
          </w:tcPr>
          <w:p w:rsidR="00174AEA" w:rsidRPr="00687A1C" w:rsidRDefault="00174AEA" w:rsidP="00D8412D">
            <w:pPr>
              <w:pStyle w:val="Tabletextrightbold"/>
            </w:pPr>
            <w:r w:rsidRPr="00687A1C">
              <w:t>28</w:t>
            </w:r>
            <w:r w:rsidR="00964E74" w:rsidRPr="00687A1C">
              <w:t>6</w:t>
            </w:r>
            <w:r w:rsidR="00D8412D" w:rsidRPr="00687A1C">
              <w:rPr>
                <w:rFonts w:ascii="Calibri" w:hAnsi="Calibri" w:cs="Calibri"/>
              </w:rPr>
              <w:t xml:space="preserve"> </w:t>
            </w:r>
            <w:r w:rsidR="00964E74" w:rsidRPr="00687A1C">
              <w:t>238</w:t>
            </w:r>
          </w:p>
        </w:tc>
        <w:tc>
          <w:tcPr>
            <w:tcW w:w="1138" w:type="dxa"/>
            <w:shd w:val="clear" w:color="auto" w:fill="auto"/>
            <w:noWrap/>
            <w:vAlign w:val="bottom"/>
          </w:tcPr>
          <w:p w:rsidR="00174AEA" w:rsidRPr="00687A1C" w:rsidRDefault="00174AEA" w:rsidP="00D8412D">
            <w:pPr>
              <w:pStyle w:val="Tabletextrightbold"/>
            </w:pPr>
            <w:r w:rsidRPr="00687A1C">
              <w:t>259</w:t>
            </w:r>
            <w:r w:rsidR="00D8412D" w:rsidRPr="00687A1C">
              <w:rPr>
                <w:rFonts w:ascii="Calibri" w:hAnsi="Calibri" w:cs="Calibri"/>
              </w:rPr>
              <w:t xml:space="preserve"> </w:t>
            </w:r>
            <w:r w:rsidRPr="00687A1C">
              <w:t>044</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15</w:t>
            </w:r>
            <w:r w:rsidR="00964E74" w:rsidRPr="00687A1C">
              <w:t>3</w:t>
            </w:r>
            <w:r w:rsidR="00D8412D" w:rsidRPr="00687A1C">
              <w:rPr>
                <w:rFonts w:ascii="Calibri" w:hAnsi="Calibri" w:cs="Calibri"/>
              </w:rPr>
              <w:t xml:space="preserve"> </w:t>
            </w:r>
            <w:r w:rsidR="00964E74" w:rsidRPr="00687A1C">
              <w:t>663</w:t>
            </w:r>
          </w:p>
        </w:tc>
        <w:tc>
          <w:tcPr>
            <w:tcW w:w="1138" w:type="dxa"/>
            <w:shd w:val="clear" w:color="auto" w:fill="E0E0E0"/>
            <w:noWrap/>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145</w:t>
            </w:r>
            <w:r w:rsidR="00D8412D" w:rsidRPr="00687A1C">
              <w:rPr>
                <w:rFonts w:ascii="Calibri" w:hAnsi="Calibri" w:cs="Calibri"/>
              </w:rPr>
              <w:t xml:space="preserve"> </w:t>
            </w:r>
            <w:r w:rsidRPr="00687A1C">
              <w:t>384</w:t>
            </w:r>
          </w:p>
        </w:tc>
      </w:tr>
      <w:tr w:rsidR="00174AEA" w:rsidRPr="00687A1C" w:rsidTr="008A3976">
        <w:trPr>
          <w:cantSplit/>
          <w:trHeight w:hRule="exact" w:val="58"/>
        </w:trPr>
        <w:tc>
          <w:tcPr>
            <w:tcW w:w="1278" w:type="dxa"/>
            <w:shd w:val="clear" w:color="auto" w:fill="auto"/>
            <w:noWrap/>
            <w:vAlign w:val="bottom"/>
          </w:tcPr>
          <w:p w:rsidR="00174AEA" w:rsidRPr="00687A1C" w:rsidRDefault="00174AEA" w:rsidP="008A3976">
            <w:pPr>
              <w:pStyle w:val="Tabletextright"/>
            </w:pPr>
          </w:p>
        </w:tc>
        <w:tc>
          <w:tcPr>
            <w:tcW w:w="1170"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right"/>
            </w:pPr>
          </w:p>
        </w:tc>
        <w:tc>
          <w:tcPr>
            <w:tcW w:w="1170"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auto"/>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c>
          <w:tcPr>
            <w:tcW w:w="1138" w:type="dxa"/>
            <w:shd w:val="clear" w:color="auto" w:fill="E0E0E0"/>
            <w:noWrap/>
            <w:vAlign w:val="bottom"/>
          </w:tcPr>
          <w:p w:rsidR="00174AEA" w:rsidRPr="00687A1C" w:rsidRDefault="00174AEA" w:rsidP="008A3976">
            <w:pPr>
              <w:pStyle w:val="Tabletextright"/>
            </w:pP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84</w:t>
            </w:r>
            <w:r w:rsidR="00D8412D" w:rsidRPr="00687A1C">
              <w:rPr>
                <w:rFonts w:ascii="Calibri" w:hAnsi="Calibri" w:cs="Calibri"/>
              </w:rPr>
              <w:t xml:space="preserve"> </w:t>
            </w:r>
            <w:r w:rsidRPr="00687A1C">
              <w:t>287</w:t>
            </w:r>
          </w:p>
        </w:tc>
        <w:tc>
          <w:tcPr>
            <w:tcW w:w="1170" w:type="dxa"/>
            <w:shd w:val="clear" w:color="auto" w:fill="auto"/>
            <w:noWrap/>
            <w:vAlign w:val="bottom"/>
          </w:tcPr>
          <w:p w:rsidR="00174AEA" w:rsidRPr="00687A1C" w:rsidRDefault="00174AEA" w:rsidP="00D8412D">
            <w:pPr>
              <w:pStyle w:val="Tabletextrightbold"/>
            </w:pPr>
            <w:r w:rsidRPr="00687A1C">
              <w:t>83</w:t>
            </w:r>
            <w:r w:rsidR="00D8412D" w:rsidRPr="00687A1C">
              <w:rPr>
                <w:rFonts w:ascii="Calibri" w:hAnsi="Calibri" w:cs="Calibri"/>
              </w:rPr>
              <w:t xml:space="preserve"> </w:t>
            </w:r>
            <w:r w:rsidRPr="00687A1C">
              <w:t>846</w:t>
            </w:r>
          </w:p>
        </w:tc>
        <w:tc>
          <w:tcPr>
            <w:tcW w:w="1138" w:type="dxa"/>
            <w:shd w:val="clear" w:color="auto" w:fill="E0E0E0"/>
            <w:noWrap/>
            <w:vAlign w:val="bottom"/>
          </w:tcPr>
          <w:p w:rsidR="00174AEA" w:rsidRPr="00687A1C" w:rsidRDefault="00174AEA" w:rsidP="00D8412D">
            <w:pPr>
              <w:pStyle w:val="Tabletextrightbold"/>
            </w:pPr>
            <w:r w:rsidRPr="00687A1C">
              <w:t>2</w:t>
            </w:r>
            <w:r w:rsidR="00964E74" w:rsidRPr="00687A1C">
              <w:t>1</w:t>
            </w:r>
            <w:r w:rsidR="00D8412D" w:rsidRPr="00687A1C">
              <w:rPr>
                <w:rFonts w:ascii="Calibri" w:hAnsi="Calibri" w:cs="Calibri"/>
              </w:rPr>
              <w:t xml:space="preserve"> </w:t>
            </w:r>
            <w:r w:rsidR="00964E74" w:rsidRPr="00687A1C">
              <w:t>551</w:t>
            </w:r>
          </w:p>
        </w:tc>
        <w:tc>
          <w:tcPr>
            <w:tcW w:w="1138" w:type="dxa"/>
            <w:shd w:val="clear" w:color="auto" w:fill="E0E0E0"/>
            <w:noWrap/>
            <w:vAlign w:val="bottom"/>
          </w:tcPr>
          <w:p w:rsidR="00174AEA" w:rsidRPr="00687A1C" w:rsidRDefault="00964E74" w:rsidP="00D8412D">
            <w:pPr>
              <w:pStyle w:val="Tabletextrightbold"/>
            </w:pPr>
            <w:r w:rsidRPr="00687A1C">
              <w:t>19</w:t>
            </w:r>
            <w:r w:rsidR="00D8412D" w:rsidRPr="00687A1C">
              <w:rPr>
                <w:rFonts w:ascii="Calibri" w:hAnsi="Calibri" w:cs="Calibri"/>
              </w:rPr>
              <w:t xml:space="preserve"> </w:t>
            </w:r>
            <w:r w:rsidRPr="00687A1C">
              <w:t>264</w:t>
            </w:r>
          </w:p>
        </w:tc>
        <w:tc>
          <w:tcPr>
            <w:tcW w:w="1138" w:type="dxa"/>
            <w:shd w:val="clear" w:color="auto" w:fill="auto"/>
            <w:noWrap/>
            <w:vAlign w:val="bottom"/>
          </w:tcPr>
          <w:p w:rsidR="00174AEA" w:rsidRPr="00687A1C" w:rsidRDefault="00174AEA" w:rsidP="008A3976">
            <w:pPr>
              <w:pStyle w:val="Tabletextrightbold"/>
            </w:pPr>
          </w:p>
        </w:tc>
        <w:tc>
          <w:tcPr>
            <w:tcW w:w="1138" w:type="dxa"/>
            <w:shd w:val="clear" w:color="auto" w:fill="auto"/>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964E74" w:rsidP="00D8412D">
            <w:pPr>
              <w:pStyle w:val="Tabletextrightbold"/>
            </w:pPr>
            <w:r w:rsidRPr="00687A1C">
              <w:t>166</w:t>
            </w:r>
            <w:r w:rsidR="00D8412D" w:rsidRPr="00687A1C">
              <w:rPr>
                <w:rFonts w:ascii="Calibri" w:hAnsi="Calibri" w:cs="Calibri"/>
              </w:rPr>
              <w:t xml:space="preserve"> </w:t>
            </w:r>
            <w:r w:rsidRPr="00687A1C">
              <w:t>106</w:t>
            </w:r>
          </w:p>
        </w:tc>
        <w:tc>
          <w:tcPr>
            <w:tcW w:w="1138" w:type="dxa"/>
            <w:shd w:val="clear" w:color="auto" w:fill="E0E0E0"/>
            <w:noWrap/>
            <w:vAlign w:val="bottom"/>
          </w:tcPr>
          <w:p w:rsidR="00174AEA" w:rsidRPr="00687A1C" w:rsidRDefault="00174AEA" w:rsidP="00D8412D">
            <w:pPr>
              <w:pStyle w:val="Tabletextrightbold"/>
            </w:pPr>
            <w:r w:rsidRPr="00687A1C">
              <w:t>158</w:t>
            </w:r>
            <w:r w:rsidR="00D8412D" w:rsidRPr="00687A1C">
              <w:rPr>
                <w:rFonts w:ascii="Calibri" w:hAnsi="Calibri" w:cs="Calibri"/>
              </w:rPr>
              <w:t xml:space="preserve"> </w:t>
            </w:r>
            <w:r w:rsidRPr="00687A1C">
              <w:t>762</w:t>
            </w:r>
          </w:p>
        </w:tc>
      </w:tr>
      <w:tr w:rsidR="00174AEA" w:rsidRPr="00687A1C" w:rsidTr="008A3976">
        <w:trPr>
          <w:cantSplit/>
          <w:trHeight w:hRule="exact" w:val="58"/>
        </w:trPr>
        <w:tc>
          <w:tcPr>
            <w:tcW w:w="1278" w:type="dxa"/>
            <w:shd w:val="clear" w:color="auto" w:fill="auto"/>
            <w:noWrap/>
            <w:vAlign w:val="bottom"/>
          </w:tcPr>
          <w:p w:rsidR="00174AEA" w:rsidRPr="00687A1C" w:rsidRDefault="00174AEA" w:rsidP="008A3976">
            <w:pPr>
              <w:pStyle w:val="Tabletextrightbold"/>
            </w:pPr>
          </w:p>
        </w:tc>
        <w:tc>
          <w:tcPr>
            <w:tcW w:w="1170" w:type="dxa"/>
            <w:shd w:val="clear" w:color="auto" w:fill="auto"/>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c>
          <w:tcPr>
            <w:tcW w:w="1138" w:type="dxa"/>
            <w:shd w:val="clear" w:color="auto" w:fill="auto"/>
            <w:noWrap/>
            <w:vAlign w:val="bottom"/>
          </w:tcPr>
          <w:p w:rsidR="00174AEA" w:rsidRPr="00687A1C" w:rsidRDefault="00174AEA" w:rsidP="008A3976">
            <w:pPr>
              <w:pStyle w:val="Tabletextrightbold"/>
            </w:pPr>
          </w:p>
        </w:tc>
        <w:tc>
          <w:tcPr>
            <w:tcW w:w="1138" w:type="dxa"/>
            <w:shd w:val="clear" w:color="auto" w:fill="auto"/>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c>
          <w:tcPr>
            <w:tcW w:w="1138" w:type="dxa"/>
            <w:shd w:val="clear" w:color="auto" w:fill="E0E0E0"/>
            <w:noWrap/>
            <w:vAlign w:val="bottom"/>
          </w:tcPr>
          <w:p w:rsidR="00174AEA" w:rsidRPr="00687A1C" w:rsidRDefault="00174AEA" w:rsidP="008A3976">
            <w:pPr>
              <w:pStyle w:val="Tabletextrightbold"/>
            </w:pPr>
          </w:p>
        </w:tc>
      </w:tr>
      <w:tr w:rsidR="00174AEA" w:rsidRPr="00687A1C" w:rsidTr="008A3976">
        <w:trPr>
          <w:cantSplit/>
        </w:trPr>
        <w:tc>
          <w:tcPr>
            <w:tcW w:w="1278" w:type="dxa"/>
            <w:shd w:val="clear" w:color="auto" w:fill="auto"/>
            <w:noWrap/>
            <w:vAlign w:val="bottom"/>
          </w:tcPr>
          <w:p w:rsidR="00174AEA" w:rsidRPr="00687A1C" w:rsidRDefault="00174AEA" w:rsidP="00D8412D">
            <w:pPr>
              <w:pStyle w:val="Tabletextrightbold"/>
            </w:pPr>
            <w:r w:rsidRPr="00687A1C">
              <w:t>310</w:t>
            </w:r>
            <w:r w:rsidR="00D8412D" w:rsidRPr="00687A1C">
              <w:rPr>
                <w:rFonts w:ascii="Calibri" w:hAnsi="Calibri" w:cs="Calibri"/>
              </w:rPr>
              <w:t xml:space="preserve"> </w:t>
            </w:r>
            <w:r w:rsidR="00964E74" w:rsidRPr="00687A1C">
              <w:t>325</w:t>
            </w:r>
          </w:p>
        </w:tc>
        <w:tc>
          <w:tcPr>
            <w:tcW w:w="1170" w:type="dxa"/>
            <w:shd w:val="clear" w:color="auto" w:fill="auto"/>
            <w:noWrap/>
            <w:vAlign w:val="bottom"/>
          </w:tcPr>
          <w:p w:rsidR="00174AEA" w:rsidRPr="00687A1C" w:rsidRDefault="00174AEA" w:rsidP="00D8412D">
            <w:pPr>
              <w:pStyle w:val="Tabletextrightbold"/>
            </w:pPr>
            <w:r w:rsidRPr="00687A1C">
              <w:t>309</w:t>
            </w:r>
            <w:r w:rsidR="00D8412D" w:rsidRPr="00687A1C">
              <w:rPr>
                <w:rFonts w:ascii="Calibri" w:hAnsi="Calibri" w:cs="Calibri"/>
              </w:rPr>
              <w:t xml:space="preserve"> </w:t>
            </w:r>
            <w:r w:rsidRPr="00687A1C">
              <w:t>772</w:t>
            </w:r>
          </w:p>
        </w:tc>
        <w:tc>
          <w:tcPr>
            <w:tcW w:w="1138" w:type="dxa"/>
            <w:shd w:val="clear" w:color="auto" w:fill="E0E0E0"/>
            <w:noWrap/>
            <w:vAlign w:val="bottom"/>
          </w:tcPr>
          <w:p w:rsidR="00174AEA" w:rsidRPr="00687A1C" w:rsidRDefault="00174AEA" w:rsidP="00D8412D">
            <w:pPr>
              <w:pStyle w:val="Tabletextrightbold"/>
            </w:pPr>
            <w:r w:rsidRPr="00687A1C">
              <w:t>427</w:t>
            </w:r>
            <w:r w:rsidR="00D8412D" w:rsidRPr="00687A1C">
              <w:rPr>
                <w:rFonts w:ascii="Calibri" w:hAnsi="Calibri" w:cs="Calibri"/>
              </w:rPr>
              <w:t xml:space="preserve"> </w:t>
            </w:r>
            <w:r w:rsidR="00964E74" w:rsidRPr="00687A1C">
              <w:t>630</w:t>
            </w:r>
          </w:p>
        </w:tc>
        <w:tc>
          <w:tcPr>
            <w:tcW w:w="1138" w:type="dxa"/>
            <w:shd w:val="clear" w:color="auto" w:fill="E0E0E0"/>
            <w:noWrap/>
            <w:vAlign w:val="bottom"/>
          </w:tcPr>
          <w:p w:rsidR="00174AEA" w:rsidRPr="00687A1C" w:rsidRDefault="00174AEA" w:rsidP="00D8412D">
            <w:pPr>
              <w:pStyle w:val="Tabletextrightbold"/>
            </w:pPr>
            <w:r w:rsidRPr="00687A1C">
              <w:t>4</w:t>
            </w:r>
            <w:r w:rsidR="00964E74" w:rsidRPr="00687A1C">
              <w:t>33</w:t>
            </w:r>
            <w:r w:rsidR="00D8412D" w:rsidRPr="00687A1C">
              <w:rPr>
                <w:rFonts w:ascii="Calibri" w:hAnsi="Calibri" w:cs="Calibri"/>
              </w:rPr>
              <w:t xml:space="preserve"> </w:t>
            </w:r>
            <w:r w:rsidR="00964E74" w:rsidRPr="00687A1C">
              <w:t>136</w:t>
            </w:r>
          </w:p>
        </w:tc>
        <w:tc>
          <w:tcPr>
            <w:tcW w:w="1138" w:type="dxa"/>
            <w:shd w:val="clear" w:color="auto" w:fill="auto"/>
            <w:noWrap/>
            <w:vAlign w:val="bottom"/>
          </w:tcPr>
          <w:p w:rsidR="00174AEA" w:rsidRPr="00687A1C" w:rsidRDefault="00174AEA" w:rsidP="00D8412D">
            <w:pPr>
              <w:pStyle w:val="Tabletextrightbold"/>
            </w:pPr>
            <w:r w:rsidRPr="00687A1C">
              <w:t>28</w:t>
            </w:r>
            <w:r w:rsidR="00964E74" w:rsidRPr="00687A1C">
              <w:t>6</w:t>
            </w:r>
            <w:r w:rsidR="00D8412D" w:rsidRPr="00687A1C">
              <w:rPr>
                <w:rFonts w:ascii="Calibri" w:hAnsi="Calibri" w:cs="Calibri"/>
              </w:rPr>
              <w:t xml:space="preserve"> </w:t>
            </w:r>
            <w:r w:rsidR="00964E74" w:rsidRPr="00687A1C">
              <w:t>238</w:t>
            </w:r>
          </w:p>
        </w:tc>
        <w:tc>
          <w:tcPr>
            <w:tcW w:w="1138" w:type="dxa"/>
            <w:shd w:val="clear" w:color="auto" w:fill="auto"/>
            <w:noWrap/>
            <w:vAlign w:val="bottom"/>
          </w:tcPr>
          <w:p w:rsidR="00174AEA" w:rsidRPr="00687A1C" w:rsidRDefault="00174AEA" w:rsidP="00D8412D">
            <w:pPr>
              <w:pStyle w:val="Tabletextrightbold"/>
            </w:pPr>
            <w:r w:rsidRPr="00687A1C">
              <w:t>259</w:t>
            </w:r>
            <w:r w:rsidR="00D8412D" w:rsidRPr="00687A1C">
              <w:rPr>
                <w:rFonts w:ascii="Calibri" w:hAnsi="Calibri" w:cs="Calibri"/>
              </w:rPr>
              <w:t xml:space="preserve"> </w:t>
            </w:r>
            <w:r w:rsidRPr="00687A1C">
              <w:t>044</w:t>
            </w:r>
          </w:p>
        </w:tc>
        <w:tc>
          <w:tcPr>
            <w:tcW w:w="1138" w:type="dxa"/>
            <w:shd w:val="clear" w:color="auto" w:fill="E0E0E0"/>
            <w:noWrap/>
            <w:vAlign w:val="bottom"/>
          </w:tcPr>
          <w:p w:rsidR="00174AEA" w:rsidRPr="00687A1C" w:rsidRDefault="00174AEA" w:rsidP="00D8412D">
            <w:pPr>
              <w:pStyle w:val="Tabletextrightbold"/>
            </w:pPr>
            <w:r w:rsidRPr="00687A1C">
              <w:t>987</w:t>
            </w:r>
            <w:r w:rsidR="00D8412D" w:rsidRPr="00687A1C">
              <w:rPr>
                <w:rFonts w:ascii="Calibri" w:hAnsi="Calibri" w:cs="Calibri"/>
              </w:rPr>
              <w:t xml:space="preserve"> </w:t>
            </w:r>
            <w:r w:rsidR="00270A70" w:rsidRPr="00687A1C">
              <w:t>55</w:t>
            </w:r>
            <w:r w:rsidR="00964E74" w:rsidRPr="00687A1C">
              <w:t>7</w:t>
            </w:r>
          </w:p>
        </w:tc>
        <w:tc>
          <w:tcPr>
            <w:tcW w:w="1138" w:type="dxa"/>
            <w:shd w:val="clear" w:color="auto" w:fill="E0E0E0"/>
            <w:noWrap/>
            <w:vAlign w:val="bottom"/>
          </w:tcPr>
          <w:p w:rsidR="00174AEA" w:rsidRPr="00687A1C" w:rsidRDefault="00174AEA" w:rsidP="00D8412D">
            <w:pPr>
              <w:pStyle w:val="Tabletextrightbold"/>
            </w:pPr>
            <w:r w:rsidRPr="00687A1C">
              <w:t>986</w:t>
            </w:r>
            <w:r w:rsidR="00D8412D" w:rsidRPr="00687A1C">
              <w:rPr>
                <w:rFonts w:ascii="Calibri" w:hAnsi="Calibri" w:cs="Calibri"/>
              </w:rPr>
              <w:t xml:space="preserve"> </w:t>
            </w:r>
            <w:r w:rsidRPr="00687A1C">
              <w:t>622</w:t>
            </w:r>
          </w:p>
        </w:tc>
      </w:tr>
    </w:tbl>
    <w:p w:rsidR="00174AEA" w:rsidRPr="00687A1C" w:rsidRDefault="00174AEA" w:rsidP="00174AEA"/>
    <w:p w:rsidR="00174AEA" w:rsidRPr="00687A1C" w:rsidRDefault="00174AEA" w:rsidP="00174AEA">
      <w:pPr>
        <w:spacing w:before="0" w:after="0"/>
      </w:pPr>
    </w:p>
    <w:p w:rsidR="00174AEA" w:rsidRPr="00687A1C" w:rsidRDefault="00174AEA" w:rsidP="00174AEA"/>
    <w:p w:rsidR="00174AEA" w:rsidRPr="00687A1C" w:rsidRDefault="00174AEA" w:rsidP="00174AEA">
      <w:pPr>
        <w:sectPr w:rsidR="00174AEA" w:rsidRPr="00687A1C" w:rsidSect="00681F52">
          <w:headerReference w:type="even" r:id="rId55"/>
          <w:headerReference w:type="default" r:id="rId56"/>
          <w:pgSz w:w="11909" w:h="16834" w:code="9"/>
          <w:pgMar w:top="1728" w:right="1152" w:bottom="1152" w:left="1152" w:header="720" w:footer="288" w:gutter="0"/>
          <w:cols w:space="720"/>
          <w:noEndnote/>
        </w:sectPr>
      </w:pPr>
    </w:p>
    <w:p w:rsidR="00174AEA" w:rsidRPr="00687A1C" w:rsidRDefault="00174AEA" w:rsidP="00174AEA">
      <w:pPr>
        <w:pStyle w:val="Heading2numbered"/>
      </w:pPr>
      <w:bookmarkStart w:id="77" w:name="Administered_start"/>
      <w:bookmarkStart w:id="78" w:name="_Toc525026196"/>
      <w:bookmarkStart w:id="79" w:name="_Toc525026234"/>
      <w:r w:rsidRPr="00687A1C">
        <w:lastRenderedPageBreak/>
        <w:t>Administered items</w:t>
      </w:r>
      <w:bookmarkEnd w:id="77"/>
      <w:bookmarkEnd w:id="78"/>
      <w:bookmarkEnd w:id="79"/>
      <w:r w:rsidRPr="00687A1C">
        <w:t xml:space="preserve"> </w:t>
      </w:r>
    </w:p>
    <w:p w:rsidR="00174AEA" w:rsidRPr="00687A1C" w:rsidRDefault="00174AEA" w:rsidP="00174AEA">
      <w:pPr>
        <w:sectPr w:rsidR="00174AEA" w:rsidRPr="00687A1C" w:rsidSect="00332CFE">
          <w:pgSz w:w="11909" w:h="16834" w:code="9"/>
          <w:pgMar w:top="1728" w:right="1152" w:bottom="1152" w:left="1152" w:header="720" w:footer="288" w:gutter="0"/>
          <w:cols w:num="2" w:space="720"/>
          <w:noEndnote/>
        </w:sectPr>
      </w:pPr>
    </w:p>
    <w:p w:rsidR="00174AEA" w:rsidRPr="00687A1C" w:rsidRDefault="00174AEA" w:rsidP="00174AEA">
      <w:r w:rsidRPr="00687A1C">
        <w:t>In addition to the specific departmental operations which are included in the balance sheet, comprehensive operating statement and cash flow statement, the Department administers, but does not control certain resources and activities on behalf of the State. It is accountable for the transactions involving those administered resources, but does not have the discretion to deploy the resources for its own benefit or for the achievement of its objectives.</w:t>
      </w:r>
    </w:p>
    <w:p w:rsidR="00174AEA" w:rsidRPr="00687A1C" w:rsidRDefault="00174AEA" w:rsidP="00174AEA">
      <w:r w:rsidRPr="00687A1C">
        <w:t>Administered transactions give rise to income, expenses, assets and liabilities and are determined on an accrual basis. Administered income includes taxes raised by the State Revenue Office, fees, Commonwealth grants, capital asset charges to other departments and the proceeds from the sale of surplus land and buildings.</w:t>
      </w:r>
    </w:p>
    <w:p w:rsidR="00174AEA" w:rsidRPr="00687A1C" w:rsidRDefault="00174AEA" w:rsidP="00174AEA"/>
    <w:p w:rsidR="00174AEA" w:rsidRPr="00687A1C" w:rsidRDefault="00174AEA" w:rsidP="00174AEA">
      <w:pPr>
        <w:sectPr w:rsidR="00174AEA" w:rsidRPr="00687A1C" w:rsidSect="00332CFE">
          <w:type w:val="continuous"/>
          <w:pgSz w:w="11909" w:h="16834" w:code="9"/>
          <w:pgMar w:top="1728" w:right="1152" w:bottom="1152" w:left="1152" w:header="720" w:footer="288" w:gutter="0"/>
          <w:cols w:num="2" w:space="720"/>
          <w:noEndnote/>
        </w:sectPr>
      </w:pPr>
    </w:p>
    <w:p w:rsidR="00174AEA" w:rsidRPr="00687A1C" w:rsidRDefault="00174AEA" w:rsidP="00174AEA">
      <w:pPr>
        <w:pStyle w:val="Spacer"/>
      </w:pPr>
    </w:p>
    <w:p w:rsidR="00174AEA" w:rsidRPr="00687A1C" w:rsidRDefault="00174AEA" w:rsidP="00174AEA">
      <w:pPr>
        <w:pStyle w:val="Heading3numbered"/>
      </w:pPr>
      <w:bookmarkStart w:id="80" w:name="_Ref492632187"/>
      <w:r w:rsidRPr="00687A1C">
        <w:t>Administered income and expenses for the year ended 30 June 2018</w:t>
      </w:r>
      <w:bookmarkEnd w:id="80"/>
    </w:p>
    <w:tbl>
      <w:tblPr>
        <w:tblW w:w="0" w:type="auto"/>
        <w:tblLayout w:type="fixed"/>
        <w:tblLook w:val="0000" w:firstRow="0" w:lastRow="0" w:firstColumn="0" w:lastColumn="0" w:noHBand="0" w:noVBand="0"/>
      </w:tblPr>
      <w:tblGrid>
        <w:gridCol w:w="5238"/>
        <w:gridCol w:w="1139"/>
        <w:gridCol w:w="1139"/>
        <w:gridCol w:w="1139"/>
        <w:gridCol w:w="1139"/>
      </w:tblGrid>
      <w:tr w:rsidR="00174AEA" w:rsidRPr="00687A1C" w:rsidTr="008A3976">
        <w:trPr>
          <w:cantSplit/>
        </w:trPr>
        <w:tc>
          <w:tcPr>
            <w:tcW w:w="5238" w:type="dxa"/>
            <w:shd w:val="clear" w:color="auto" w:fill="auto"/>
            <w:noWrap/>
          </w:tcPr>
          <w:p w:rsidR="00174AEA" w:rsidRPr="00687A1C" w:rsidRDefault="00174AEA" w:rsidP="008A3976">
            <w:pPr>
              <w:pStyle w:val="Tabletext"/>
            </w:pPr>
          </w:p>
        </w:tc>
        <w:tc>
          <w:tcPr>
            <w:tcW w:w="2278" w:type="dxa"/>
            <w:gridSpan w:val="2"/>
            <w:shd w:val="clear" w:color="auto" w:fill="auto"/>
            <w:noWrap/>
            <w:vAlign w:val="bottom"/>
          </w:tcPr>
          <w:p w:rsidR="00174AEA" w:rsidRPr="00687A1C" w:rsidRDefault="00174AEA" w:rsidP="008A3976">
            <w:pPr>
              <w:pStyle w:val="Tabletextheadingcentred"/>
            </w:pPr>
            <w:r w:rsidRPr="00687A1C">
              <w:br/>
            </w:r>
            <w:r w:rsidRPr="00687A1C">
              <w:br/>
              <w:t>Optimise Victoria's fiscal resources</w:t>
            </w:r>
          </w:p>
        </w:tc>
        <w:tc>
          <w:tcPr>
            <w:tcW w:w="2278" w:type="dxa"/>
            <w:gridSpan w:val="2"/>
            <w:shd w:val="clear" w:color="auto" w:fill="auto"/>
            <w:noWrap/>
            <w:vAlign w:val="bottom"/>
          </w:tcPr>
          <w:p w:rsidR="00174AEA" w:rsidRPr="00687A1C" w:rsidRDefault="00174AEA" w:rsidP="008A3976">
            <w:pPr>
              <w:pStyle w:val="Tabletextheadingcentred"/>
            </w:pPr>
            <w:r w:rsidRPr="00687A1C">
              <w:t>Strengthen Victoria’s economic performance</w:t>
            </w:r>
          </w:p>
        </w:tc>
      </w:tr>
      <w:tr w:rsidR="00174AEA" w:rsidRPr="00687A1C" w:rsidTr="008A3976">
        <w:trPr>
          <w:cantSplit/>
        </w:trPr>
        <w:tc>
          <w:tcPr>
            <w:tcW w:w="5238" w:type="dxa"/>
            <w:shd w:val="clear" w:color="auto" w:fill="auto"/>
            <w:noWrap/>
          </w:tcPr>
          <w:p w:rsidR="00174AEA" w:rsidRPr="00687A1C" w:rsidRDefault="00174AEA" w:rsidP="008A3976">
            <w:pPr>
              <w:pStyle w:val="Tabletext"/>
            </w:pPr>
          </w:p>
        </w:tc>
        <w:tc>
          <w:tcPr>
            <w:tcW w:w="1139" w:type="dxa"/>
            <w:shd w:val="clear" w:color="auto" w:fill="auto"/>
            <w:noWrap/>
            <w:vAlign w:val="bottom"/>
          </w:tcPr>
          <w:p w:rsidR="00174AEA" w:rsidRPr="00687A1C" w:rsidRDefault="00174AEA" w:rsidP="008A3976">
            <w:pPr>
              <w:pStyle w:val="Tabletextheadingright"/>
            </w:pPr>
            <w:r w:rsidRPr="00687A1C">
              <w:t>2018</w:t>
            </w:r>
          </w:p>
        </w:tc>
        <w:tc>
          <w:tcPr>
            <w:tcW w:w="1139" w:type="dxa"/>
            <w:shd w:val="clear" w:color="auto" w:fill="auto"/>
            <w:noWrap/>
            <w:vAlign w:val="bottom"/>
          </w:tcPr>
          <w:p w:rsidR="00174AEA" w:rsidRPr="00687A1C" w:rsidRDefault="00174AEA" w:rsidP="008A3976">
            <w:pPr>
              <w:pStyle w:val="Tabletextheadingright"/>
            </w:pPr>
            <w:r w:rsidRPr="00687A1C">
              <w:t>2017</w:t>
            </w:r>
          </w:p>
        </w:tc>
        <w:tc>
          <w:tcPr>
            <w:tcW w:w="1139" w:type="dxa"/>
            <w:shd w:val="clear" w:color="auto" w:fill="auto"/>
            <w:noWrap/>
            <w:vAlign w:val="bottom"/>
          </w:tcPr>
          <w:p w:rsidR="00174AEA" w:rsidRPr="00687A1C" w:rsidRDefault="00174AEA" w:rsidP="008A3976">
            <w:pPr>
              <w:pStyle w:val="Tabletextheadingright"/>
            </w:pPr>
            <w:r w:rsidRPr="00687A1C">
              <w:t>2018</w:t>
            </w:r>
          </w:p>
        </w:tc>
        <w:tc>
          <w:tcPr>
            <w:tcW w:w="1139" w:type="dxa"/>
            <w:shd w:val="clear" w:color="auto" w:fill="auto"/>
            <w:noWrap/>
            <w:vAlign w:val="bottom"/>
          </w:tcPr>
          <w:p w:rsidR="00174AEA" w:rsidRPr="00687A1C" w:rsidRDefault="00174AEA" w:rsidP="008A3976">
            <w:pPr>
              <w:pStyle w:val="Tabletextheadingright"/>
            </w:pPr>
            <w:r w:rsidRPr="00687A1C">
              <w:t>2017</w:t>
            </w:r>
          </w:p>
        </w:tc>
      </w:tr>
      <w:tr w:rsidR="00174AEA" w:rsidRPr="00687A1C" w:rsidTr="008A3976">
        <w:trPr>
          <w:cantSplit/>
        </w:trPr>
        <w:tc>
          <w:tcPr>
            <w:tcW w:w="5238" w:type="dxa"/>
            <w:shd w:val="clear" w:color="auto" w:fill="auto"/>
            <w:noWrap/>
          </w:tcPr>
          <w:p w:rsidR="00174AEA" w:rsidRPr="00687A1C" w:rsidRDefault="00174AEA" w:rsidP="008A3976">
            <w:pPr>
              <w:pStyle w:val="Tabletext"/>
            </w:pPr>
          </w:p>
        </w:tc>
        <w:tc>
          <w:tcPr>
            <w:tcW w:w="1139" w:type="dxa"/>
            <w:shd w:val="clear" w:color="auto" w:fill="auto"/>
            <w:noWrap/>
          </w:tcPr>
          <w:p w:rsidR="00174AEA" w:rsidRPr="00687A1C" w:rsidRDefault="00174AEA" w:rsidP="008A3976">
            <w:pPr>
              <w:pStyle w:val="Tabletextheadingright"/>
            </w:pPr>
            <w:r w:rsidRPr="00687A1C">
              <w:t>$’000</w:t>
            </w:r>
          </w:p>
        </w:tc>
        <w:tc>
          <w:tcPr>
            <w:tcW w:w="1139" w:type="dxa"/>
            <w:shd w:val="clear" w:color="auto" w:fill="auto"/>
            <w:noWrap/>
          </w:tcPr>
          <w:p w:rsidR="00174AEA" w:rsidRPr="00687A1C" w:rsidRDefault="00174AEA" w:rsidP="008A3976">
            <w:pPr>
              <w:pStyle w:val="Tabletextheadingright"/>
            </w:pPr>
            <w:r w:rsidRPr="00687A1C">
              <w:t>$’000</w:t>
            </w:r>
          </w:p>
        </w:tc>
        <w:tc>
          <w:tcPr>
            <w:tcW w:w="1139" w:type="dxa"/>
            <w:shd w:val="clear" w:color="auto" w:fill="auto"/>
            <w:noWrap/>
          </w:tcPr>
          <w:p w:rsidR="00174AEA" w:rsidRPr="00687A1C" w:rsidRDefault="00174AEA" w:rsidP="008A3976">
            <w:pPr>
              <w:pStyle w:val="Tabletextheadingright"/>
            </w:pPr>
            <w:r w:rsidRPr="00687A1C">
              <w:t>$’000</w:t>
            </w:r>
          </w:p>
        </w:tc>
        <w:tc>
          <w:tcPr>
            <w:tcW w:w="1139" w:type="dxa"/>
            <w:shd w:val="clear" w:color="auto" w:fill="auto"/>
            <w:noWrap/>
          </w:tcPr>
          <w:p w:rsidR="00174AEA" w:rsidRPr="00687A1C" w:rsidRDefault="00174AEA" w:rsidP="008A3976">
            <w:pPr>
              <w:pStyle w:val="Tabletextheadingright"/>
            </w:pPr>
            <w:r w:rsidRPr="00687A1C">
              <w:t>$’000</w:t>
            </w:r>
          </w:p>
        </w:tc>
      </w:tr>
      <w:tr w:rsidR="00174AEA" w:rsidRPr="00687A1C" w:rsidTr="008A3976">
        <w:trPr>
          <w:cantSplit/>
        </w:trPr>
        <w:tc>
          <w:tcPr>
            <w:tcW w:w="5238" w:type="dxa"/>
            <w:shd w:val="clear" w:color="auto" w:fill="auto"/>
          </w:tcPr>
          <w:p w:rsidR="00174AEA" w:rsidRPr="00687A1C" w:rsidRDefault="00174AEA" w:rsidP="008A3976">
            <w:pPr>
              <w:pStyle w:val="Tabletextbold"/>
            </w:pPr>
            <w:r w:rsidRPr="00687A1C">
              <w:rPr>
                <w:bCs/>
              </w:rPr>
              <w:t>Administered income from transactions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Payments on behalf of the State appropriations</w:t>
            </w:r>
          </w:p>
        </w:tc>
        <w:tc>
          <w:tcPr>
            <w:tcW w:w="1139" w:type="dxa"/>
            <w:shd w:val="clear" w:color="auto" w:fill="auto"/>
            <w:noWrap/>
          </w:tcPr>
          <w:p w:rsidR="00174AEA" w:rsidRPr="00687A1C" w:rsidRDefault="00174AEA" w:rsidP="00D8412D">
            <w:pPr>
              <w:pStyle w:val="Tabletextright"/>
            </w:pPr>
            <w:r w:rsidRPr="00687A1C">
              <w:t>242</w:t>
            </w:r>
            <w:r w:rsidR="00D8412D" w:rsidRPr="00687A1C">
              <w:rPr>
                <w:rFonts w:ascii="Calibri" w:hAnsi="Calibri" w:cs="Calibri"/>
              </w:rPr>
              <w:t xml:space="preserve"> </w:t>
            </w:r>
            <w:r w:rsidRPr="00687A1C">
              <w:t>488</w:t>
            </w:r>
          </w:p>
        </w:tc>
        <w:tc>
          <w:tcPr>
            <w:tcW w:w="1139" w:type="dxa"/>
            <w:shd w:val="clear" w:color="auto" w:fill="auto"/>
            <w:noWrap/>
          </w:tcPr>
          <w:p w:rsidR="00174AEA" w:rsidRPr="00687A1C" w:rsidRDefault="00174AEA" w:rsidP="00D8412D">
            <w:pPr>
              <w:pStyle w:val="Tabletextright"/>
            </w:pPr>
            <w:r w:rsidRPr="00687A1C">
              <w:t>171</w:t>
            </w:r>
            <w:r w:rsidR="00D8412D" w:rsidRPr="00687A1C">
              <w:rPr>
                <w:rFonts w:ascii="Calibri" w:hAnsi="Calibri" w:cs="Calibri"/>
              </w:rPr>
              <w:t xml:space="preserve"> </w:t>
            </w:r>
            <w:r w:rsidRPr="00687A1C">
              <w:t>337</w:t>
            </w:r>
          </w:p>
        </w:tc>
        <w:tc>
          <w:tcPr>
            <w:tcW w:w="1139" w:type="dxa"/>
            <w:shd w:val="clear" w:color="auto" w:fill="E0E0E0"/>
            <w:noWrap/>
          </w:tcPr>
          <w:p w:rsidR="00174AEA" w:rsidRPr="00687A1C" w:rsidRDefault="001802F6" w:rsidP="008A3976">
            <w:pPr>
              <w:pStyle w:val="Tabletextright"/>
            </w:pPr>
            <w:r w:rsidRPr="00687A1C">
              <w:t>409 046</w:t>
            </w:r>
          </w:p>
        </w:tc>
        <w:tc>
          <w:tcPr>
            <w:tcW w:w="1139" w:type="dxa"/>
            <w:shd w:val="clear" w:color="auto" w:fill="E0E0E0"/>
            <w:noWrap/>
          </w:tcPr>
          <w:p w:rsidR="00174AEA" w:rsidRPr="00687A1C" w:rsidRDefault="00174AEA" w:rsidP="00D8412D">
            <w:pPr>
              <w:pStyle w:val="Tabletextright"/>
            </w:pPr>
            <w:r w:rsidRPr="00687A1C">
              <w:t>300</w:t>
            </w:r>
            <w:r w:rsidR="00D8412D" w:rsidRPr="00687A1C">
              <w:rPr>
                <w:rFonts w:ascii="Calibri" w:hAnsi="Calibri" w:cs="Calibri"/>
              </w:rPr>
              <w:t xml:space="preserve"> </w:t>
            </w:r>
            <w:r w:rsidRPr="00687A1C">
              <w:t>188</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Special appropriations</w:t>
            </w:r>
          </w:p>
        </w:tc>
        <w:tc>
          <w:tcPr>
            <w:tcW w:w="1139" w:type="dxa"/>
            <w:shd w:val="clear" w:color="auto" w:fill="auto"/>
            <w:noWrap/>
          </w:tcPr>
          <w:p w:rsidR="00174AEA" w:rsidRPr="00687A1C" w:rsidRDefault="00174AEA" w:rsidP="00D8412D">
            <w:pPr>
              <w:pStyle w:val="Tabletextright"/>
            </w:pPr>
            <w:r w:rsidRPr="00687A1C">
              <w:t>151</w:t>
            </w:r>
            <w:r w:rsidR="00D8412D" w:rsidRPr="00687A1C">
              <w:rPr>
                <w:rFonts w:ascii="Calibri" w:hAnsi="Calibri" w:cs="Calibri"/>
              </w:rPr>
              <w:t xml:space="preserve"> </w:t>
            </w:r>
            <w:r w:rsidRPr="00687A1C">
              <w:t>191</w:t>
            </w:r>
          </w:p>
        </w:tc>
        <w:tc>
          <w:tcPr>
            <w:tcW w:w="1139" w:type="dxa"/>
            <w:shd w:val="clear" w:color="auto" w:fill="auto"/>
            <w:noWrap/>
          </w:tcPr>
          <w:p w:rsidR="00174AEA" w:rsidRPr="00687A1C" w:rsidRDefault="00174AEA" w:rsidP="00D8412D">
            <w:pPr>
              <w:pStyle w:val="Tabletextright"/>
            </w:pPr>
            <w:r w:rsidRPr="00687A1C">
              <w:t>105</w:t>
            </w:r>
            <w:r w:rsidR="00D8412D" w:rsidRPr="00687A1C">
              <w:rPr>
                <w:rFonts w:ascii="Calibri" w:hAnsi="Calibri" w:cs="Calibri"/>
              </w:rPr>
              <w:t xml:space="preserve"> </w:t>
            </w:r>
            <w:r w:rsidRPr="00687A1C">
              <w:t>122</w:t>
            </w: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Commonwealth grants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D8412D">
            <w:pPr>
              <w:pStyle w:val="Tabletextright"/>
            </w:pPr>
            <w:r w:rsidRPr="00687A1C">
              <w:t>15</w:t>
            </w:r>
            <w:r w:rsidR="00D8412D" w:rsidRPr="00687A1C">
              <w:rPr>
                <w:rFonts w:ascii="Calibri" w:hAnsi="Calibri" w:cs="Calibri"/>
              </w:rPr>
              <w:t xml:space="preserve"> </w:t>
            </w:r>
            <w:r w:rsidRPr="00687A1C">
              <w:t>594</w:t>
            </w:r>
            <w:r w:rsidR="00D8412D" w:rsidRPr="00687A1C">
              <w:rPr>
                <w:rFonts w:ascii="Calibri" w:hAnsi="Calibri" w:cs="Calibri"/>
              </w:rPr>
              <w:t xml:space="preserve"> </w:t>
            </w:r>
            <w:r w:rsidRPr="00687A1C">
              <w:t>841</w:t>
            </w:r>
          </w:p>
        </w:tc>
        <w:tc>
          <w:tcPr>
            <w:tcW w:w="1139" w:type="dxa"/>
            <w:shd w:val="clear" w:color="auto" w:fill="E0E0E0"/>
            <w:noWrap/>
          </w:tcPr>
          <w:p w:rsidR="00174AEA" w:rsidRPr="00687A1C" w:rsidRDefault="00174AEA" w:rsidP="00D8412D">
            <w:pPr>
              <w:pStyle w:val="Tabletextright"/>
            </w:pPr>
            <w:r w:rsidRPr="00687A1C">
              <w:t>13</w:t>
            </w:r>
            <w:r w:rsidR="00D8412D" w:rsidRPr="00687A1C">
              <w:rPr>
                <w:rFonts w:ascii="Calibri" w:hAnsi="Calibri" w:cs="Calibri"/>
              </w:rPr>
              <w:t xml:space="preserve"> </w:t>
            </w:r>
            <w:r w:rsidRPr="00687A1C">
              <w:t>619</w:t>
            </w:r>
            <w:r w:rsidR="00D8412D" w:rsidRPr="00687A1C">
              <w:rPr>
                <w:rFonts w:ascii="Calibri" w:hAnsi="Calibri" w:cs="Calibri"/>
              </w:rPr>
              <w:t xml:space="preserve"> </w:t>
            </w:r>
            <w:r w:rsidRPr="00687A1C">
              <w:t>321</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Taxation</w:t>
            </w:r>
          </w:p>
        </w:tc>
        <w:tc>
          <w:tcPr>
            <w:tcW w:w="1139" w:type="dxa"/>
            <w:shd w:val="clear" w:color="auto" w:fill="auto"/>
            <w:noWrap/>
          </w:tcPr>
          <w:p w:rsidR="00174AEA" w:rsidRPr="00687A1C" w:rsidRDefault="00174AEA" w:rsidP="00D8412D">
            <w:pPr>
              <w:pStyle w:val="Tabletextright"/>
            </w:pPr>
            <w:r w:rsidRPr="00687A1C">
              <w:t>18</w:t>
            </w:r>
            <w:r w:rsidR="00D8412D" w:rsidRPr="00687A1C">
              <w:rPr>
                <w:rFonts w:ascii="Calibri" w:hAnsi="Calibri" w:cs="Calibri"/>
              </w:rPr>
              <w:t xml:space="preserve"> </w:t>
            </w:r>
            <w:r w:rsidRPr="00687A1C">
              <w:t>542</w:t>
            </w:r>
            <w:r w:rsidR="00D8412D" w:rsidRPr="00687A1C">
              <w:rPr>
                <w:rFonts w:ascii="Calibri" w:hAnsi="Calibri" w:cs="Calibri"/>
              </w:rPr>
              <w:t xml:space="preserve"> </w:t>
            </w:r>
            <w:r w:rsidRPr="00687A1C">
              <w:t>489</w:t>
            </w:r>
          </w:p>
        </w:tc>
        <w:tc>
          <w:tcPr>
            <w:tcW w:w="1139" w:type="dxa"/>
            <w:shd w:val="clear" w:color="auto" w:fill="auto"/>
            <w:noWrap/>
          </w:tcPr>
          <w:p w:rsidR="00174AEA" w:rsidRPr="00687A1C" w:rsidRDefault="00174AEA" w:rsidP="00D8412D">
            <w:pPr>
              <w:pStyle w:val="Tabletextright"/>
            </w:pPr>
            <w:r w:rsidRPr="00687A1C">
              <w:t>17</w:t>
            </w:r>
            <w:r w:rsidR="00D8412D" w:rsidRPr="00687A1C">
              <w:rPr>
                <w:rFonts w:ascii="Calibri" w:hAnsi="Calibri" w:cs="Calibri"/>
              </w:rPr>
              <w:t xml:space="preserve"> </w:t>
            </w:r>
            <w:r w:rsidRPr="00687A1C">
              <w:t>214</w:t>
            </w:r>
            <w:r w:rsidR="00D8412D" w:rsidRPr="00687A1C">
              <w:rPr>
                <w:rFonts w:ascii="Calibri" w:hAnsi="Calibri" w:cs="Calibri"/>
              </w:rPr>
              <w:t xml:space="preserve"> </w:t>
            </w:r>
            <w:r w:rsidRPr="00687A1C">
              <w:t>000</w:t>
            </w: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Dividends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Capital asset charge</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Interest</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Other income</w:t>
            </w:r>
          </w:p>
        </w:tc>
        <w:tc>
          <w:tcPr>
            <w:tcW w:w="1139" w:type="dxa"/>
            <w:shd w:val="clear" w:color="auto" w:fill="auto"/>
            <w:noWrap/>
          </w:tcPr>
          <w:p w:rsidR="00174AEA" w:rsidRPr="00687A1C" w:rsidRDefault="00174AEA" w:rsidP="00D8412D">
            <w:pPr>
              <w:pStyle w:val="Tabletextright"/>
            </w:pPr>
            <w:r w:rsidRPr="00687A1C">
              <w:t>101</w:t>
            </w:r>
            <w:r w:rsidR="00D8412D" w:rsidRPr="00687A1C">
              <w:rPr>
                <w:rFonts w:ascii="Calibri" w:hAnsi="Calibri" w:cs="Calibri"/>
              </w:rPr>
              <w:t xml:space="preserve"> </w:t>
            </w:r>
            <w:r w:rsidRPr="00687A1C">
              <w:t>113</w:t>
            </w:r>
          </w:p>
        </w:tc>
        <w:tc>
          <w:tcPr>
            <w:tcW w:w="1139" w:type="dxa"/>
            <w:shd w:val="clear" w:color="auto" w:fill="auto"/>
            <w:noWrap/>
          </w:tcPr>
          <w:p w:rsidR="00174AEA" w:rsidRPr="00687A1C" w:rsidRDefault="00174AEA" w:rsidP="00D8412D">
            <w:pPr>
              <w:pStyle w:val="Tabletextright"/>
            </w:pPr>
            <w:r w:rsidRPr="00687A1C">
              <w:t>104</w:t>
            </w:r>
            <w:r w:rsidR="00D8412D" w:rsidRPr="00687A1C">
              <w:rPr>
                <w:rFonts w:ascii="Calibri" w:hAnsi="Calibri" w:cs="Calibri"/>
              </w:rPr>
              <w:t xml:space="preserve"> </w:t>
            </w:r>
            <w:r w:rsidRPr="00687A1C">
              <w:t>784</w:t>
            </w:r>
          </w:p>
        </w:tc>
        <w:tc>
          <w:tcPr>
            <w:tcW w:w="1139" w:type="dxa"/>
            <w:shd w:val="clear" w:color="auto" w:fill="E0E0E0"/>
            <w:noWrap/>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479</w:t>
            </w:r>
          </w:p>
        </w:tc>
        <w:tc>
          <w:tcPr>
            <w:tcW w:w="1139" w:type="dxa"/>
            <w:shd w:val="clear" w:color="auto" w:fill="E0E0E0"/>
            <w:noWrap/>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556</w:t>
            </w:r>
          </w:p>
        </w:tc>
      </w:tr>
      <w:tr w:rsidR="00174AEA" w:rsidRPr="00687A1C" w:rsidTr="008A3976">
        <w:trPr>
          <w:cantSplit/>
          <w:trHeight w:val="441"/>
        </w:trPr>
        <w:tc>
          <w:tcPr>
            <w:tcW w:w="5238" w:type="dxa"/>
            <w:shd w:val="clear" w:color="auto" w:fill="auto"/>
          </w:tcPr>
          <w:p w:rsidR="00174AEA" w:rsidRPr="00687A1C" w:rsidRDefault="00174AEA" w:rsidP="008A3976">
            <w:pPr>
              <w:pStyle w:val="Tabletext"/>
            </w:pPr>
            <w:r w:rsidRPr="00687A1C">
              <w:t>State revenues received into Consolidated Fund, net of appropriations applied within government departments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D8412D" w:rsidP="00D8412D">
            <w:pPr>
              <w:pStyle w:val="Tabletextright"/>
            </w:pPr>
            <w:r w:rsidRPr="00687A1C">
              <w:rPr>
                <w:rFonts w:ascii="Calibri" w:hAnsi="Calibri" w:cs="Calibri"/>
              </w:rPr>
              <w:t xml:space="preserve"> </w:t>
            </w: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rPr>
                <w:bCs/>
              </w:rPr>
              <w:t>Total administered income from transactions</w:t>
            </w:r>
          </w:p>
        </w:tc>
        <w:tc>
          <w:tcPr>
            <w:tcW w:w="1139" w:type="dxa"/>
            <w:shd w:val="clear" w:color="auto" w:fill="auto"/>
            <w:noWrap/>
          </w:tcPr>
          <w:p w:rsidR="00174AEA" w:rsidRPr="00687A1C" w:rsidRDefault="00174AEA" w:rsidP="00D8412D">
            <w:pPr>
              <w:pStyle w:val="Tabletextrightbold"/>
            </w:pPr>
            <w:r w:rsidRPr="00687A1C">
              <w:t>19</w:t>
            </w:r>
            <w:r w:rsidR="00D8412D" w:rsidRPr="00687A1C">
              <w:rPr>
                <w:rFonts w:ascii="Calibri" w:hAnsi="Calibri" w:cs="Calibri"/>
              </w:rPr>
              <w:t xml:space="preserve"> </w:t>
            </w:r>
            <w:r w:rsidRPr="00687A1C">
              <w:t>037</w:t>
            </w:r>
            <w:r w:rsidR="00D8412D" w:rsidRPr="00687A1C">
              <w:rPr>
                <w:rFonts w:ascii="Calibri" w:hAnsi="Calibri" w:cs="Calibri"/>
              </w:rPr>
              <w:t xml:space="preserve"> </w:t>
            </w:r>
            <w:r w:rsidRPr="00687A1C">
              <w:t>281</w:t>
            </w:r>
          </w:p>
        </w:tc>
        <w:tc>
          <w:tcPr>
            <w:tcW w:w="1139" w:type="dxa"/>
            <w:shd w:val="clear" w:color="auto" w:fill="auto"/>
            <w:noWrap/>
          </w:tcPr>
          <w:p w:rsidR="00174AEA" w:rsidRPr="00687A1C" w:rsidRDefault="00174AEA" w:rsidP="00D8412D">
            <w:pPr>
              <w:pStyle w:val="Tabletextrightbold"/>
            </w:pPr>
            <w:r w:rsidRPr="00687A1C">
              <w:t>17</w:t>
            </w:r>
            <w:r w:rsidR="00D8412D" w:rsidRPr="00687A1C">
              <w:rPr>
                <w:rFonts w:ascii="Calibri" w:hAnsi="Calibri" w:cs="Calibri"/>
              </w:rPr>
              <w:t xml:space="preserve"> </w:t>
            </w:r>
            <w:r w:rsidRPr="00687A1C">
              <w:t>595</w:t>
            </w:r>
            <w:r w:rsidR="00D8412D" w:rsidRPr="00687A1C">
              <w:rPr>
                <w:rFonts w:ascii="Calibri" w:hAnsi="Calibri" w:cs="Calibri"/>
              </w:rPr>
              <w:t xml:space="preserve"> </w:t>
            </w:r>
            <w:r w:rsidRPr="00687A1C">
              <w:t>243</w:t>
            </w:r>
          </w:p>
        </w:tc>
        <w:tc>
          <w:tcPr>
            <w:tcW w:w="1139" w:type="dxa"/>
            <w:shd w:val="clear" w:color="auto" w:fill="E0E0E0"/>
            <w:noWrap/>
          </w:tcPr>
          <w:p w:rsidR="00174AEA" w:rsidRPr="00687A1C" w:rsidRDefault="001802F6" w:rsidP="008A3976">
            <w:pPr>
              <w:pStyle w:val="Tabletextrightbold"/>
            </w:pPr>
            <w:r w:rsidRPr="00687A1C">
              <w:t>16 005 366</w:t>
            </w:r>
          </w:p>
        </w:tc>
        <w:tc>
          <w:tcPr>
            <w:tcW w:w="1139" w:type="dxa"/>
            <w:shd w:val="clear" w:color="auto" w:fill="E0E0E0"/>
            <w:noWrap/>
          </w:tcPr>
          <w:p w:rsidR="00174AEA" w:rsidRPr="00687A1C" w:rsidRDefault="00174AEA" w:rsidP="00D8412D">
            <w:pPr>
              <w:pStyle w:val="Tabletextrightbold"/>
            </w:pPr>
            <w:r w:rsidRPr="00687A1C">
              <w:t>13</w:t>
            </w:r>
            <w:r w:rsidR="00D8412D" w:rsidRPr="00687A1C">
              <w:rPr>
                <w:rFonts w:ascii="Calibri" w:hAnsi="Calibri" w:cs="Calibri"/>
              </w:rPr>
              <w:t xml:space="preserve"> </w:t>
            </w:r>
            <w:r w:rsidRPr="00687A1C">
              <w:t>927</w:t>
            </w:r>
            <w:r w:rsidR="00D8412D" w:rsidRPr="00687A1C">
              <w:rPr>
                <w:rFonts w:ascii="Calibri" w:hAnsi="Calibri" w:cs="Calibri"/>
              </w:rPr>
              <w:t xml:space="preserve"> </w:t>
            </w:r>
            <w:r w:rsidRPr="00687A1C">
              <w:t>065</w:t>
            </w:r>
          </w:p>
        </w:tc>
      </w:tr>
      <w:tr w:rsidR="00174AEA" w:rsidRPr="00687A1C" w:rsidTr="008A3976">
        <w:trPr>
          <w:cantSplit/>
          <w:trHeight w:hRule="exact" w:val="58"/>
        </w:trPr>
        <w:tc>
          <w:tcPr>
            <w:tcW w:w="5238" w:type="dxa"/>
            <w:shd w:val="clear" w:color="auto" w:fill="auto"/>
          </w:tcPr>
          <w:p w:rsidR="00174AEA" w:rsidRPr="00687A1C" w:rsidRDefault="00174AEA" w:rsidP="008A3976">
            <w:pPr>
              <w:pStyle w:val="Tabletext"/>
              <w:rPr>
                <w:sz w:val="10"/>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r>
      <w:tr w:rsidR="00174AEA" w:rsidRPr="00687A1C" w:rsidTr="008A3976">
        <w:trPr>
          <w:cantSplit/>
        </w:trPr>
        <w:tc>
          <w:tcPr>
            <w:tcW w:w="5238" w:type="dxa"/>
            <w:shd w:val="clear" w:color="auto" w:fill="auto"/>
          </w:tcPr>
          <w:p w:rsidR="00174AEA" w:rsidRPr="00687A1C" w:rsidRDefault="00174AEA" w:rsidP="008A3976">
            <w:pPr>
              <w:pStyle w:val="Tabletextbold"/>
            </w:pPr>
            <w:r w:rsidRPr="00687A1C">
              <w:t>Administered expenses from transactions</w:t>
            </w: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Grants expense</w:t>
            </w:r>
          </w:p>
        </w:tc>
        <w:tc>
          <w:tcPr>
            <w:tcW w:w="1139" w:type="dxa"/>
            <w:shd w:val="clear" w:color="auto" w:fill="auto"/>
            <w:noWrap/>
          </w:tcPr>
          <w:p w:rsidR="00174AEA" w:rsidRPr="00687A1C" w:rsidRDefault="00174AEA" w:rsidP="00D8412D">
            <w:pPr>
              <w:pStyle w:val="Tabletextright"/>
            </w:pPr>
            <w:r w:rsidRPr="00687A1C">
              <w:t>332</w:t>
            </w:r>
            <w:r w:rsidR="00D8412D" w:rsidRPr="00687A1C">
              <w:rPr>
                <w:rFonts w:ascii="Calibri" w:hAnsi="Calibri" w:cs="Calibri"/>
              </w:rPr>
              <w:t xml:space="preserve"> </w:t>
            </w:r>
            <w:r w:rsidRPr="00687A1C">
              <w:t>945</w:t>
            </w:r>
          </w:p>
        </w:tc>
        <w:tc>
          <w:tcPr>
            <w:tcW w:w="1139" w:type="dxa"/>
            <w:shd w:val="clear" w:color="auto" w:fill="auto"/>
            <w:noWrap/>
          </w:tcPr>
          <w:p w:rsidR="00174AEA" w:rsidRPr="00687A1C" w:rsidRDefault="00174AEA" w:rsidP="00D8412D">
            <w:pPr>
              <w:pStyle w:val="Tabletextright"/>
            </w:pPr>
            <w:r w:rsidRPr="00687A1C">
              <w:t>313</w:t>
            </w:r>
            <w:r w:rsidR="00D8412D" w:rsidRPr="00687A1C">
              <w:rPr>
                <w:rFonts w:ascii="Calibri" w:hAnsi="Calibri" w:cs="Calibri"/>
              </w:rPr>
              <w:t xml:space="preserve"> </w:t>
            </w:r>
            <w:r w:rsidRPr="00687A1C">
              <w:t>642</w:t>
            </w:r>
          </w:p>
        </w:tc>
        <w:tc>
          <w:tcPr>
            <w:tcW w:w="1139" w:type="dxa"/>
            <w:shd w:val="clear" w:color="auto" w:fill="E0E0E0"/>
            <w:noWrap/>
          </w:tcPr>
          <w:p w:rsidR="00174AEA" w:rsidRPr="00687A1C" w:rsidRDefault="009C1CD8" w:rsidP="00D8412D">
            <w:pPr>
              <w:pStyle w:val="Tabletextright"/>
            </w:pPr>
            <w:r w:rsidRPr="00687A1C">
              <w:t>129</w:t>
            </w:r>
            <w:r w:rsidR="00D8412D" w:rsidRPr="00687A1C">
              <w:rPr>
                <w:rFonts w:ascii="Calibri" w:hAnsi="Calibri" w:cs="Courier New"/>
              </w:rPr>
              <w:t xml:space="preserve"> </w:t>
            </w:r>
            <w:r w:rsidRPr="00687A1C">
              <w:t>104</w:t>
            </w:r>
          </w:p>
        </w:tc>
        <w:tc>
          <w:tcPr>
            <w:tcW w:w="1139" w:type="dxa"/>
            <w:shd w:val="clear" w:color="auto" w:fill="E0E0E0"/>
            <w:noWrap/>
          </w:tcPr>
          <w:p w:rsidR="00174AEA" w:rsidRPr="00687A1C" w:rsidRDefault="00174AEA" w:rsidP="00D8412D">
            <w:pPr>
              <w:pStyle w:val="Tabletextright"/>
            </w:pPr>
            <w:r w:rsidRPr="00687A1C">
              <w:t>116</w:t>
            </w:r>
            <w:r w:rsidR="00D8412D" w:rsidRPr="00687A1C">
              <w:rPr>
                <w:rFonts w:ascii="Calibri" w:hAnsi="Calibri" w:cs="Calibri"/>
              </w:rPr>
              <w:t xml:space="preserve"> </w:t>
            </w:r>
            <w:r w:rsidRPr="00687A1C">
              <w:t>129</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Interest expense</w:t>
            </w:r>
          </w:p>
        </w:tc>
        <w:tc>
          <w:tcPr>
            <w:tcW w:w="1139" w:type="dxa"/>
            <w:shd w:val="clear" w:color="auto" w:fill="auto"/>
            <w:noWrap/>
          </w:tcPr>
          <w:p w:rsidR="00174AEA" w:rsidRPr="00687A1C" w:rsidRDefault="00174AEA" w:rsidP="008A3976">
            <w:pPr>
              <w:pStyle w:val="Tabletextright"/>
            </w:pPr>
            <w:r w:rsidRPr="00687A1C">
              <w:t>793</w:t>
            </w:r>
          </w:p>
        </w:tc>
        <w:tc>
          <w:tcPr>
            <w:tcW w:w="1139" w:type="dxa"/>
            <w:shd w:val="clear" w:color="auto" w:fill="auto"/>
            <w:noWrap/>
          </w:tcPr>
          <w:p w:rsidR="00174AEA" w:rsidRPr="00687A1C" w:rsidRDefault="00174AEA" w:rsidP="008A3976">
            <w:pPr>
              <w:pStyle w:val="Tabletextright"/>
            </w:pPr>
            <w:r w:rsidRPr="00687A1C">
              <w:t>834</w:t>
            </w: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Superannuation – non-departmental</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Contribution to GST administration costs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D8412D">
            <w:pPr>
              <w:pStyle w:val="Tabletextright"/>
            </w:pPr>
            <w:r w:rsidRPr="00687A1C">
              <w:t>162</w:t>
            </w:r>
            <w:r w:rsidR="00D8412D" w:rsidRPr="00687A1C">
              <w:rPr>
                <w:rFonts w:ascii="Calibri" w:hAnsi="Calibri" w:cs="Calibri"/>
              </w:rPr>
              <w:t xml:space="preserve"> </w:t>
            </w:r>
            <w:r w:rsidRPr="00687A1C">
              <w:t>793</w:t>
            </w:r>
          </w:p>
        </w:tc>
        <w:tc>
          <w:tcPr>
            <w:tcW w:w="1139" w:type="dxa"/>
            <w:shd w:val="clear" w:color="auto" w:fill="E0E0E0"/>
            <w:noWrap/>
          </w:tcPr>
          <w:p w:rsidR="00174AEA" w:rsidRPr="00687A1C" w:rsidRDefault="00174AEA" w:rsidP="00D8412D">
            <w:pPr>
              <w:pStyle w:val="Tabletextright"/>
            </w:pPr>
            <w:r w:rsidRPr="00687A1C">
              <w:t>172</w:t>
            </w:r>
            <w:r w:rsidR="00D8412D" w:rsidRPr="00687A1C">
              <w:rPr>
                <w:rFonts w:ascii="Calibri" w:hAnsi="Calibri" w:cs="Calibri"/>
              </w:rPr>
              <w:t xml:space="preserve"> </w:t>
            </w:r>
            <w:r w:rsidRPr="00687A1C">
              <w:t>163</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 xml:space="preserve">Ex-gratia payments </w:t>
            </w:r>
          </w:p>
        </w:tc>
        <w:tc>
          <w:tcPr>
            <w:tcW w:w="1139" w:type="dxa"/>
            <w:shd w:val="clear" w:color="auto" w:fill="auto"/>
            <w:noWrap/>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056</w:t>
            </w:r>
          </w:p>
        </w:tc>
        <w:tc>
          <w:tcPr>
            <w:tcW w:w="1139" w:type="dxa"/>
            <w:shd w:val="clear" w:color="auto" w:fill="auto"/>
            <w:noWrap/>
          </w:tcPr>
          <w:p w:rsidR="00174AEA" w:rsidRPr="00687A1C" w:rsidRDefault="00174AEA" w:rsidP="00D8412D">
            <w:pPr>
              <w:pStyle w:val="Tabletextright"/>
            </w:pPr>
            <w:r w:rsidRPr="00687A1C">
              <w:t>8</w:t>
            </w:r>
            <w:r w:rsidR="00D8412D" w:rsidRPr="00687A1C">
              <w:rPr>
                <w:rFonts w:ascii="Calibri" w:hAnsi="Calibri" w:cs="Calibri"/>
              </w:rPr>
              <w:t xml:space="preserve"> </w:t>
            </w:r>
            <w:r w:rsidRPr="00687A1C">
              <w:t>257</w:t>
            </w: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 xml:space="preserve">Other expenses </w:t>
            </w:r>
          </w:p>
        </w:tc>
        <w:tc>
          <w:tcPr>
            <w:tcW w:w="1139" w:type="dxa"/>
            <w:shd w:val="clear" w:color="auto" w:fill="auto"/>
            <w:noWrap/>
          </w:tcPr>
          <w:p w:rsidR="00174AEA" w:rsidRPr="00687A1C" w:rsidRDefault="00174AEA" w:rsidP="00D8412D">
            <w:pPr>
              <w:pStyle w:val="Tabletextright"/>
            </w:pPr>
            <w:r w:rsidRPr="00687A1C">
              <w:t>22</w:t>
            </w:r>
            <w:r w:rsidR="00D8412D" w:rsidRPr="00687A1C">
              <w:rPr>
                <w:rFonts w:ascii="Calibri" w:hAnsi="Calibri" w:cs="Calibri"/>
              </w:rPr>
              <w:t xml:space="preserve"> </w:t>
            </w:r>
            <w:r w:rsidRPr="00687A1C">
              <w:t>575</w:t>
            </w:r>
          </w:p>
        </w:tc>
        <w:tc>
          <w:tcPr>
            <w:tcW w:w="1139" w:type="dxa"/>
            <w:shd w:val="clear" w:color="auto" w:fill="auto"/>
            <w:noWrap/>
          </w:tcPr>
          <w:p w:rsidR="00174AEA" w:rsidRPr="00687A1C" w:rsidRDefault="00174AEA" w:rsidP="00D8412D">
            <w:pPr>
              <w:pStyle w:val="Tabletextright"/>
            </w:pPr>
            <w:r w:rsidRPr="00687A1C">
              <w:t>23</w:t>
            </w:r>
            <w:r w:rsidR="00D8412D" w:rsidRPr="00687A1C">
              <w:rPr>
                <w:rFonts w:ascii="Calibri" w:hAnsi="Calibri" w:cs="Calibri"/>
              </w:rPr>
              <w:t xml:space="preserve"> </w:t>
            </w:r>
            <w:r w:rsidRPr="00687A1C">
              <w:t>139</w:t>
            </w:r>
          </w:p>
        </w:tc>
        <w:tc>
          <w:tcPr>
            <w:tcW w:w="1139" w:type="dxa"/>
            <w:shd w:val="clear" w:color="auto" w:fill="E0E0E0"/>
            <w:noWrap/>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017</w:t>
            </w:r>
          </w:p>
        </w:tc>
        <w:tc>
          <w:tcPr>
            <w:tcW w:w="1139" w:type="dxa"/>
            <w:shd w:val="clear" w:color="auto" w:fill="E0E0E0"/>
            <w:noWrap/>
          </w:tcPr>
          <w:p w:rsidR="00174AEA" w:rsidRPr="00687A1C" w:rsidRDefault="00174AEA" w:rsidP="00D8412D">
            <w:pPr>
              <w:pStyle w:val="Tabletextright"/>
            </w:pPr>
            <w:r w:rsidRPr="00687A1C">
              <w:t>15</w:t>
            </w:r>
            <w:r w:rsidR="00D8412D" w:rsidRPr="00687A1C">
              <w:rPr>
                <w:rFonts w:ascii="Calibri" w:hAnsi="Calibri" w:cs="Calibri"/>
              </w:rPr>
              <w:t xml:space="preserve"> </w:t>
            </w:r>
            <w:r w:rsidRPr="00687A1C">
              <w:t>453</w:t>
            </w: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Payments to Consolidated Fund</w:t>
            </w:r>
          </w:p>
        </w:tc>
        <w:tc>
          <w:tcPr>
            <w:tcW w:w="1139" w:type="dxa"/>
            <w:shd w:val="clear" w:color="auto" w:fill="auto"/>
            <w:noWrap/>
          </w:tcPr>
          <w:p w:rsidR="00174AEA" w:rsidRPr="00687A1C" w:rsidRDefault="00174AEA" w:rsidP="00D8412D">
            <w:pPr>
              <w:pStyle w:val="Tabletextright"/>
            </w:pPr>
            <w:r w:rsidRPr="00687A1C">
              <w:t>18</w:t>
            </w:r>
            <w:r w:rsidR="00D8412D" w:rsidRPr="00687A1C">
              <w:rPr>
                <w:rFonts w:ascii="Calibri" w:hAnsi="Calibri" w:cs="Calibri"/>
              </w:rPr>
              <w:t xml:space="preserve"> </w:t>
            </w:r>
            <w:r w:rsidRPr="00687A1C">
              <w:t>144</w:t>
            </w:r>
            <w:r w:rsidR="00D8412D" w:rsidRPr="00687A1C">
              <w:rPr>
                <w:rFonts w:ascii="Calibri" w:hAnsi="Calibri" w:cs="Calibri"/>
              </w:rPr>
              <w:t xml:space="preserve"> </w:t>
            </w:r>
            <w:r w:rsidRPr="00687A1C">
              <w:t>178</w:t>
            </w:r>
          </w:p>
        </w:tc>
        <w:tc>
          <w:tcPr>
            <w:tcW w:w="1139" w:type="dxa"/>
            <w:shd w:val="clear" w:color="auto" w:fill="auto"/>
            <w:noWrap/>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903</w:t>
            </w:r>
            <w:r w:rsidR="00D8412D" w:rsidRPr="00687A1C">
              <w:rPr>
                <w:rFonts w:ascii="Calibri" w:hAnsi="Calibri" w:cs="Calibri"/>
              </w:rPr>
              <w:t xml:space="preserve"> </w:t>
            </w:r>
            <w:r w:rsidRPr="00687A1C">
              <w:t>703</w:t>
            </w:r>
          </w:p>
        </w:tc>
        <w:tc>
          <w:tcPr>
            <w:tcW w:w="1139" w:type="dxa"/>
            <w:shd w:val="clear" w:color="auto" w:fill="E0E0E0"/>
            <w:noWrap/>
          </w:tcPr>
          <w:p w:rsidR="00174AEA" w:rsidRPr="00687A1C" w:rsidRDefault="00174AEA" w:rsidP="00D8412D">
            <w:pPr>
              <w:pStyle w:val="Tabletextright"/>
            </w:pPr>
            <w:r w:rsidRPr="00687A1C">
              <w:t>15</w:t>
            </w:r>
            <w:r w:rsidR="00D8412D" w:rsidRPr="00687A1C">
              <w:rPr>
                <w:rFonts w:ascii="Calibri" w:hAnsi="Calibri" w:cs="Calibri"/>
              </w:rPr>
              <w:t xml:space="preserve"> </w:t>
            </w:r>
            <w:r w:rsidRPr="00687A1C">
              <w:t>596</w:t>
            </w:r>
            <w:r w:rsidR="00D8412D" w:rsidRPr="00687A1C">
              <w:rPr>
                <w:rFonts w:ascii="Calibri" w:hAnsi="Calibri" w:cs="Calibri"/>
              </w:rPr>
              <w:t xml:space="preserve"> </w:t>
            </w:r>
            <w:r w:rsidRPr="00687A1C">
              <w:t>320</w:t>
            </w:r>
          </w:p>
        </w:tc>
        <w:tc>
          <w:tcPr>
            <w:tcW w:w="1139" w:type="dxa"/>
            <w:shd w:val="clear" w:color="auto" w:fill="E0E0E0"/>
            <w:noWrap/>
          </w:tcPr>
          <w:p w:rsidR="00174AEA" w:rsidRPr="00687A1C" w:rsidRDefault="00174AEA" w:rsidP="00D8412D">
            <w:pPr>
              <w:pStyle w:val="Tabletextright"/>
            </w:pPr>
            <w:r w:rsidRPr="00687A1C">
              <w:t>13</w:t>
            </w:r>
            <w:r w:rsidR="00D8412D" w:rsidRPr="00687A1C">
              <w:rPr>
                <w:rFonts w:ascii="Calibri" w:hAnsi="Calibri" w:cs="Calibri"/>
              </w:rPr>
              <w:t xml:space="preserve"> </w:t>
            </w:r>
            <w:r w:rsidRPr="00687A1C">
              <w:t>626</w:t>
            </w:r>
            <w:r w:rsidR="00D8412D" w:rsidRPr="00687A1C">
              <w:rPr>
                <w:rFonts w:ascii="Calibri" w:hAnsi="Calibri" w:cs="Calibri"/>
              </w:rPr>
              <w:t xml:space="preserve"> </w:t>
            </w:r>
            <w:r w:rsidRPr="00687A1C">
              <w:t>777</w:t>
            </w: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rPr>
                <w:bCs/>
              </w:rPr>
              <w:t>Total administered expenses from transactions</w:t>
            </w:r>
          </w:p>
        </w:tc>
        <w:tc>
          <w:tcPr>
            <w:tcW w:w="1139" w:type="dxa"/>
            <w:shd w:val="clear" w:color="auto" w:fill="auto"/>
            <w:noWrap/>
          </w:tcPr>
          <w:p w:rsidR="00174AEA" w:rsidRPr="00687A1C" w:rsidRDefault="00174AEA" w:rsidP="00D8412D">
            <w:pPr>
              <w:pStyle w:val="Tabletextrightbold"/>
            </w:pPr>
            <w:r w:rsidRPr="00687A1C">
              <w:t>18</w:t>
            </w:r>
            <w:r w:rsidR="00D8412D" w:rsidRPr="00687A1C">
              <w:rPr>
                <w:rFonts w:ascii="Calibri" w:hAnsi="Calibri" w:cs="Calibri"/>
              </w:rPr>
              <w:t xml:space="preserve"> </w:t>
            </w:r>
            <w:r w:rsidRPr="00687A1C">
              <w:t>504</w:t>
            </w:r>
            <w:r w:rsidR="00D8412D" w:rsidRPr="00687A1C">
              <w:rPr>
                <w:rFonts w:ascii="Calibri" w:hAnsi="Calibri" w:cs="Calibri"/>
              </w:rPr>
              <w:t xml:space="preserve"> </w:t>
            </w:r>
            <w:r w:rsidRPr="00687A1C">
              <w:t>547</w:t>
            </w:r>
          </w:p>
        </w:tc>
        <w:tc>
          <w:tcPr>
            <w:tcW w:w="1139" w:type="dxa"/>
            <w:shd w:val="clear" w:color="auto" w:fill="auto"/>
            <w:noWrap/>
          </w:tcPr>
          <w:p w:rsidR="00174AEA" w:rsidRPr="00687A1C" w:rsidRDefault="00174AEA" w:rsidP="00D8412D">
            <w:pPr>
              <w:pStyle w:val="Tabletextrightbold"/>
            </w:pPr>
            <w:r w:rsidRPr="00687A1C">
              <w:t>17</w:t>
            </w:r>
            <w:r w:rsidR="00D8412D" w:rsidRPr="00687A1C">
              <w:rPr>
                <w:rFonts w:ascii="Calibri" w:hAnsi="Calibri" w:cs="Calibri"/>
              </w:rPr>
              <w:t xml:space="preserve"> </w:t>
            </w:r>
            <w:r w:rsidRPr="00687A1C">
              <w:t>249</w:t>
            </w:r>
            <w:r w:rsidR="00D8412D" w:rsidRPr="00687A1C">
              <w:rPr>
                <w:rFonts w:ascii="Calibri" w:hAnsi="Calibri" w:cs="Calibri"/>
              </w:rPr>
              <w:t xml:space="preserve"> </w:t>
            </w:r>
            <w:r w:rsidRPr="00687A1C">
              <w:t>575</w:t>
            </w:r>
          </w:p>
        </w:tc>
        <w:tc>
          <w:tcPr>
            <w:tcW w:w="1139" w:type="dxa"/>
            <w:shd w:val="clear" w:color="auto" w:fill="E0E0E0"/>
            <w:noWrap/>
          </w:tcPr>
          <w:p w:rsidR="00174AEA" w:rsidRPr="00687A1C" w:rsidRDefault="00174AEA" w:rsidP="00D8412D">
            <w:pPr>
              <w:pStyle w:val="Tabletextrightbold"/>
            </w:pPr>
            <w:r w:rsidRPr="00687A1C">
              <w:t>15</w:t>
            </w:r>
            <w:r w:rsidR="00D8412D" w:rsidRPr="00687A1C">
              <w:rPr>
                <w:rFonts w:ascii="Calibri" w:hAnsi="Calibri" w:cs="Calibri"/>
              </w:rPr>
              <w:t xml:space="preserve"> </w:t>
            </w:r>
            <w:r w:rsidR="009C1CD8" w:rsidRPr="00687A1C">
              <w:t>889</w:t>
            </w:r>
            <w:r w:rsidR="00D8412D" w:rsidRPr="00687A1C">
              <w:rPr>
                <w:rFonts w:ascii="Calibri" w:hAnsi="Calibri" w:cs="Courier New"/>
              </w:rPr>
              <w:t xml:space="preserve"> </w:t>
            </w:r>
            <w:r w:rsidR="009C1CD8" w:rsidRPr="00687A1C">
              <w:t>234</w:t>
            </w:r>
          </w:p>
        </w:tc>
        <w:tc>
          <w:tcPr>
            <w:tcW w:w="1139" w:type="dxa"/>
            <w:shd w:val="clear" w:color="auto" w:fill="E0E0E0"/>
            <w:noWrap/>
          </w:tcPr>
          <w:p w:rsidR="00174AEA" w:rsidRPr="00687A1C" w:rsidRDefault="00174AEA" w:rsidP="00D8412D">
            <w:pPr>
              <w:pStyle w:val="Tabletextrightbold"/>
            </w:pPr>
            <w:r w:rsidRPr="00687A1C">
              <w:t>13</w:t>
            </w:r>
            <w:r w:rsidR="00D8412D" w:rsidRPr="00687A1C">
              <w:rPr>
                <w:rFonts w:ascii="Calibri" w:hAnsi="Calibri" w:cs="Calibri"/>
              </w:rPr>
              <w:t xml:space="preserve"> </w:t>
            </w:r>
            <w:r w:rsidRPr="00687A1C">
              <w:t>930</w:t>
            </w:r>
            <w:r w:rsidR="00D8412D" w:rsidRPr="00687A1C">
              <w:rPr>
                <w:rFonts w:ascii="Calibri" w:hAnsi="Calibri" w:cs="Calibri"/>
              </w:rPr>
              <w:t xml:space="preserve"> </w:t>
            </w:r>
            <w:r w:rsidRPr="00687A1C">
              <w:t>522</w:t>
            </w:r>
          </w:p>
        </w:tc>
      </w:tr>
      <w:tr w:rsidR="00174AEA" w:rsidRPr="00687A1C" w:rsidTr="008A3976">
        <w:trPr>
          <w:cantSplit/>
          <w:trHeight w:hRule="exact" w:val="58"/>
        </w:trPr>
        <w:tc>
          <w:tcPr>
            <w:tcW w:w="5238" w:type="dxa"/>
            <w:shd w:val="clear" w:color="auto" w:fill="auto"/>
          </w:tcPr>
          <w:p w:rsidR="00174AEA" w:rsidRPr="00687A1C" w:rsidRDefault="00174AEA" w:rsidP="008A3976">
            <w:pPr>
              <w:pStyle w:val="Tabletext"/>
              <w:rPr>
                <w:sz w:val="10"/>
              </w:rPr>
            </w:pPr>
          </w:p>
        </w:tc>
        <w:tc>
          <w:tcPr>
            <w:tcW w:w="1139" w:type="dxa"/>
            <w:shd w:val="clear" w:color="auto" w:fill="auto"/>
            <w:noWrap/>
          </w:tcPr>
          <w:p w:rsidR="00174AEA" w:rsidRPr="00687A1C" w:rsidRDefault="00D8412D" w:rsidP="00D8412D">
            <w:pPr>
              <w:pStyle w:val="Tabletextrightbold"/>
            </w:pPr>
            <w:r w:rsidRPr="00687A1C">
              <w:rPr>
                <w:rFonts w:ascii="Calibri" w:hAnsi="Calibri" w:cs="Calibri"/>
              </w:rPr>
              <w:t xml:space="preserve"> </w:t>
            </w:r>
          </w:p>
        </w:tc>
        <w:tc>
          <w:tcPr>
            <w:tcW w:w="1139" w:type="dxa"/>
            <w:shd w:val="clear" w:color="auto" w:fill="auto"/>
            <w:noWrap/>
          </w:tcPr>
          <w:p w:rsidR="00174AEA" w:rsidRPr="00687A1C" w:rsidRDefault="00174AEA" w:rsidP="008A3976">
            <w:pPr>
              <w:pStyle w:val="Tabletextrightbold"/>
            </w:pPr>
          </w:p>
        </w:tc>
        <w:tc>
          <w:tcPr>
            <w:tcW w:w="1139" w:type="dxa"/>
            <w:shd w:val="clear" w:color="auto" w:fill="E0E0E0"/>
            <w:noWrap/>
          </w:tcPr>
          <w:p w:rsidR="00174AEA" w:rsidRPr="00687A1C" w:rsidRDefault="00D8412D" w:rsidP="00D8412D">
            <w:pPr>
              <w:pStyle w:val="Tabletextrightbold"/>
            </w:pPr>
            <w:r w:rsidRPr="00687A1C">
              <w:rPr>
                <w:rFonts w:ascii="Calibri" w:hAnsi="Calibri" w:cs="Calibri"/>
              </w:rPr>
              <w:t xml:space="preserve"> </w:t>
            </w:r>
          </w:p>
        </w:tc>
        <w:tc>
          <w:tcPr>
            <w:tcW w:w="1139" w:type="dxa"/>
            <w:shd w:val="clear" w:color="auto" w:fill="E0E0E0"/>
            <w:noWrap/>
          </w:tcPr>
          <w:p w:rsidR="00174AEA" w:rsidRPr="00687A1C" w:rsidRDefault="00174AEA" w:rsidP="008A3976">
            <w:pPr>
              <w:pStyle w:val="Tabletextrightbold"/>
            </w:pPr>
          </w:p>
        </w:tc>
      </w:tr>
      <w:tr w:rsidR="00174AEA" w:rsidRPr="00687A1C" w:rsidTr="008A3976">
        <w:trPr>
          <w:cantSplit/>
        </w:trPr>
        <w:tc>
          <w:tcPr>
            <w:tcW w:w="5238" w:type="dxa"/>
            <w:shd w:val="clear" w:color="auto" w:fill="auto"/>
          </w:tcPr>
          <w:p w:rsidR="00174AEA" w:rsidRPr="00687A1C" w:rsidRDefault="00174AEA" w:rsidP="008A3976">
            <w:pPr>
              <w:pStyle w:val="Tabletextbold"/>
            </w:pPr>
            <w:r w:rsidRPr="00687A1C">
              <w:t>Administered net result from transactions</w:t>
            </w:r>
          </w:p>
        </w:tc>
        <w:tc>
          <w:tcPr>
            <w:tcW w:w="1139" w:type="dxa"/>
            <w:shd w:val="clear" w:color="auto" w:fill="auto"/>
            <w:noWrap/>
          </w:tcPr>
          <w:p w:rsidR="00174AEA" w:rsidRPr="00687A1C" w:rsidRDefault="00174AEA" w:rsidP="00D8412D">
            <w:pPr>
              <w:pStyle w:val="Tabletextrightbold"/>
            </w:pPr>
            <w:r w:rsidRPr="00687A1C">
              <w:t>532</w:t>
            </w:r>
            <w:r w:rsidR="00D8412D" w:rsidRPr="00687A1C">
              <w:rPr>
                <w:rFonts w:ascii="Calibri" w:hAnsi="Calibri" w:cs="Calibri"/>
              </w:rPr>
              <w:t xml:space="preserve"> </w:t>
            </w:r>
            <w:r w:rsidRPr="00687A1C">
              <w:t>734</w:t>
            </w:r>
          </w:p>
        </w:tc>
        <w:tc>
          <w:tcPr>
            <w:tcW w:w="1139" w:type="dxa"/>
            <w:shd w:val="clear" w:color="auto" w:fill="auto"/>
            <w:noWrap/>
          </w:tcPr>
          <w:p w:rsidR="00174AEA" w:rsidRPr="00687A1C" w:rsidRDefault="00174AEA" w:rsidP="00D8412D">
            <w:pPr>
              <w:pStyle w:val="Tabletextrightbold"/>
            </w:pPr>
            <w:r w:rsidRPr="00687A1C">
              <w:t>345</w:t>
            </w:r>
            <w:r w:rsidR="00D8412D" w:rsidRPr="00687A1C">
              <w:rPr>
                <w:rFonts w:ascii="Calibri" w:hAnsi="Calibri" w:cs="Calibri"/>
              </w:rPr>
              <w:t xml:space="preserve"> </w:t>
            </w:r>
            <w:r w:rsidRPr="00687A1C">
              <w:t>668</w:t>
            </w:r>
          </w:p>
        </w:tc>
        <w:tc>
          <w:tcPr>
            <w:tcW w:w="1139" w:type="dxa"/>
            <w:shd w:val="clear" w:color="auto" w:fill="E0E0E0"/>
            <w:noWrap/>
          </w:tcPr>
          <w:p w:rsidR="00174AEA" w:rsidRPr="00687A1C" w:rsidRDefault="004F1F45" w:rsidP="008A3976">
            <w:pPr>
              <w:pStyle w:val="Tabletextrightbold"/>
            </w:pPr>
            <w:r w:rsidRPr="00687A1C">
              <w:t>116 132</w:t>
            </w:r>
          </w:p>
        </w:tc>
        <w:tc>
          <w:tcPr>
            <w:tcW w:w="1139" w:type="dxa"/>
            <w:shd w:val="clear" w:color="auto" w:fill="E0E0E0"/>
            <w:noWrap/>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457)</w:t>
            </w:r>
          </w:p>
        </w:tc>
      </w:tr>
      <w:tr w:rsidR="00174AEA" w:rsidRPr="00687A1C" w:rsidTr="008A3976">
        <w:trPr>
          <w:cantSplit/>
          <w:trHeight w:hRule="exact" w:val="58"/>
        </w:trPr>
        <w:tc>
          <w:tcPr>
            <w:tcW w:w="5238" w:type="dxa"/>
            <w:shd w:val="clear" w:color="auto" w:fill="auto"/>
          </w:tcPr>
          <w:p w:rsidR="00174AEA" w:rsidRPr="00687A1C" w:rsidRDefault="00174AEA" w:rsidP="008A3976">
            <w:pPr>
              <w:pStyle w:val="Tabletext"/>
              <w:rPr>
                <w:sz w:val="10"/>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rPr>
                <w:bCs/>
              </w:rPr>
              <w:t>Other economic flows included in net result</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4F1F45">
            <w:pPr>
              <w:pStyle w:val="Tabletext"/>
            </w:pPr>
            <w:r w:rsidRPr="00687A1C">
              <w:t>Net gain</w:t>
            </w:r>
            <w:r w:rsidR="004F1F45" w:rsidRPr="00687A1C">
              <w:t xml:space="preserve"> </w:t>
            </w:r>
            <w:r w:rsidRPr="00687A1C">
              <w:t>on non-financial assets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 xml:space="preserve">Net gain/(loss) on financial instruments </w:t>
            </w:r>
          </w:p>
        </w:tc>
        <w:tc>
          <w:tcPr>
            <w:tcW w:w="1139" w:type="dxa"/>
            <w:shd w:val="clear" w:color="auto" w:fill="auto"/>
            <w:noWrap/>
          </w:tcPr>
          <w:p w:rsidR="00174AEA" w:rsidRPr="00687A1C" w:rsidRDefault="00174AEA" w:rsidP="00D8412D">
            <w:pPr>
              <w:pStyle w:val="Tabletextright"/>
            </w:pPr>
            <w:r w:rsidRPr="00687A1C">
              <w:t>(2</w:t>
            </w:r>
            <w:r w:rsidR="009C1CD8" w:rsidRPr="00687A1C">
              <w:t>5</w:t>
            </w:r>
            <w:r w:rsidR="00D8412D" w:rsidRPr="00687A1C">
              <w:rPr>
                <w:rFonts w:ascii="Calibri" w:hAnsi="Calibri" w:cs="Calibri"/>
              </w:rPr>
              <w:t xml:space="preserve"> </w:t>
            </w:r>
            <w:r w:rsidR="009C1CD8" w:rsidRPr="00687A1C">
              <w:t>970</w:t>
            </w:r>
            <w:r w:rsidRPr="00687A1C">
              <w:t>)</w:t>
            </w:r>
          </w:p>
        </w:tc>
        <w:tc>
          <w:tcPr>
            <w:tcW w:w="1139" w:type="dxa"/>
            <w:shd w:val="clear" w:color="auto" w:fill="auto"/>
            <w:noWrap/>
          </w:tcPr>
          <w:p w:rsidR="00174AEA" w:rsidRPr="00687A1C" w:rsidRDefault="00174AEA" w:rsidP="00D8412D">
            <w:pPr>
              <w:pStyle w:val="Tabletextright"/>
            </w:pPr>
            <w:r w:rsidRPr="00687A1C">
              <w:t>(37</w:t>
            </w:r>
            <w:r w:rsidR="00D8412D" w:rsidRPr="00687A1C">
              <w:rPr>
                <w:rFonts w:ascii="Calibri" w:hAnsi="Calibri" w:cs="Calibri"/>
              </w:rPr>
              <w:t xml:space="preserve"> </w:t>
            </w:r>
            <w:r w:rsidRPr="00687A1C">
              <w:t>272)</w:t>
            </w: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rPr>
                <w:bCs/>
              </w:rPr>
              <w:t>Total other economic flows included in net result</w:t>
            </w:r>
          </w:p>
        </w:tc>
        <w:tc>
          <w:tcPr>
            <w:tcW w:w="1139" w:type="dxa"/>
            <w:shd w:val="clear" w:color="auto" w:fill="auto"/>
            <w:noWrap/>
          </w:tcPr>
          <w:p w:rsidR="00174AEA" w:rsidRPr="00687A1C" w:rsidRDefault="00174AEA" w:rsidP="00D8412D">
            <w:pPr>
              <w:pStyle w:val="Tabletextrightbold"/>
            </w:pPr>
            <w:r w:rsidRPr="00687A1C">
              <w:t>(2</w:t>
            </w:r>
            <w:r w:rsidR="009C1CD8" w:rsidRPr="00687A1C">
              <w:t>5</w:t>
            </w:r>
            <w:r w:rsidR="00D8412D" w:rsidRPr="00687A1C">
              <w:rPr>
                <w:rFonts w:ascii="Calibri" w:hAnsi="Calibri" w:cs="Calibri"/>
              </w:rPr>
              <w:t xml:space="preserve"> </w:t>
            </w:r>
            <w:r w:rsidR="009C1CD8" w:rsidRPr="00687A1C">
              <w:t>970</w:t>
            </w:r>
            <w:r w:rsidRPr="00687A1C">
              <w:t>)</w:t>
            </w:r>
          </w:p>
        </w:tc>
        <w:tc>
          <w:tcPr>
            <w:tcW w:w="1139" w:type="dxa"/>
            <w:shd w:val="clear" w:color="auto" w:fill="auto"/>
            <w:noWrap/>
          </w:tcPr>
          <w:p w:rsidR="00174AEA" w:rsidRPr="00687A1C" w:rsidRDefault="00174AEA" w:rsidP="00D8412D">
            <w:pPr>
              <w:pStyle w:val="Tabletextrightbold"/>
            </w:pPr>
            <w:r w:rsidRPr="00687A1C">
              <w:t>(37</w:t>
            </w:r>
            <w:r w:rsidR="00D8412D" w:rsidRPr="00687A1C">
              <w:rPr>
                <w:rFonts w:ascii="Calibri" w:hAnsi="Calibri" w:cs="Calibri"/>
              </w:rPr>
              <w:t xml:space="preserve"> </w:t>
            </w:r>
            <w:r w:rsidRPr="00687A1C">
              <w:t>272)</w:t>
            </w:r>
          </w:p>
        </w:tc>
        <w:tc>
          <w:tcPr>
            <w:tcW w:w="1139" w:type="dxa"/>
            <w:shd w:val="clear" w:color="auto" w:fill="E0E0E0"/>
            <w:noWrap/>
          </w:tcPr>
          <w:p w:rsidR="00174AEA" w:rsidRPr="00687A1C" w:rsidRDefault="00174AEA" w:rsidP="008A3976">
            <w:pPr>
              <w:pStyle w:val="Tabletextrightbold"/>
            </w:pPr>
            <w:r w:rsidRPr="00687A1C">
              <w:t>–</w:t>
            </w:r>
          </w:p>
        </w:tc>
        <w:tc>
          <w:tcPr>
            <w:tcW w:w="1139" w:type="dxa"/>
            <w:shd w:val="clear" w:color="auto" w:fill="E0E0E0"/>
            <w:noWrap/>
          </w:tcPr>
          <w:p w:rsidR="00174AEA" w:rsidRPr="00687A1C" w:rsidRDefault="00174AEA" w:rsidP="008A3976">
            <w:pPr>
              <w:pStyle w:val="Tabletextrightbold"/>
            </w:pPr>
            <w:r w:rsidRPr="00687A1C">
              <w:t>–</w:t>
            </w:r>
          </w:p>
        </w:tc>
      </w:tr>
      <w:tr w:rsidR="00174AEA" w:rsidRPr="00687A1C" w:rsidTr="008A3976">
        <w:trPr>
          <w:cantSplit/>
          <w:trHeight w:hRule="exact" w:val="58"/>
        </w:trPr>
        <w:tc>
          <w:tcPr>
            <w:tcW w:w="5238" w:type="dxa"/>
            <w:shd w:val="clear" w:color="auto" w:fill="auto"/>
          </w:tcPr>
          <w:p w:rsidR="00174AEA" w:rsidRPr="00687A1C" w:rsidRDefault="00174AEA" w:rsidP="008A3976">
            <w:pPr>
              <w:pStyle w:val="Tabletext"/>
              <w:rPr>
                <w:sz w:val="10"/>
              </w:rPr>
            </w:pPr>
          </w:p>
        </w:tc>
        <w:tc>
          <w:tcPr>
            <w:tcW w:w="1139" w:type="dxa"/>
            <w:shd w:val="clear" w:color="auto" w:fill="auto"/>
            <w:noWrap/>
          </w:tcPr>
          <w:p w:rsidR="00174AEA" w:rsidRPr="00687A1C" w:rsidRDefault="00D8412D" w:rsidP="00D8412D">
            <w:pPr>
              <w:pStyle w:val="Tabletextrightbold"/>
            </w:pPr>
            <w:r w:rsidRPr="00687A1C">
              <w:rPr>
                <w:rFonts w:ascii="Calibri" w:hAnsi="Calibri" w:cs="Calibri"/>
              </w:rPr>
              <w:t xml:space="preserve"> </w:t>
            </w:r>
          </w:p>
        </w:tc>
        <w:tc>
          <w:tcPr>
            <w:tcW w:w="1139" w:type="dxa"/>
            <w:shd w:val="clear" w:color="auto" w:fill="auto"/>
            <w:noWrap/>
          </w:tcPr>
          <w:p w:rsidR="00174AEA" w:rsidRPr="00687A1C" w:rsidRDefault="00174AEA" w:rsidP="008A3976">
            <w:pPr>
              <w:pStyle w:val="Tabletextrightbold"/>
            </w:pPr>
          </w:p>
        </w:tc>
        <w:tc>
          <w:tcPr>
            <w:tcW w:w="1139" w:type="dxa"/>
            <w:shd w:val="clear" w:color="auto" w:fill="E0E0E0"/>
            <w:noWrap/>
          </w:tcPr>
          <w:p w:rsidR="00174AEA" w:rsidRPr="00687A1C" w:rsidRDefault="00D8412D" w:rsidP="00D8412D">
            <w:pPr>
              <w:pStyle w:val="Tabletextrightbold"/>
            </w:pPr>
            <w:r w:rsidRPr="00687A1C">
              <w:rPr>
                <w:rFonts w:ascii="Calibri" w:hAnsi="Calibri" w:cs="Calibri"/>
              </w:rPr>
              <w:t xml:space="preserve"> </w:t>
            </w:r>
          </w:p>
        </w:tc>
        <w:tc>
          <w:tcPr>
            <w:tcW w:w="1139" w:type="dxa"/>
            <w:shd w:val="clear" w:color="auto" w:fill="E0E0E0"/>
            <w:noWrap/>
          </w:tcPr>
          <w:p w:rsidR="00174AEA" w:rsidRPr="00687A1C" w:rsidRDefault="00174AEA" w:rsidP="008A3976">
            <w:pPr>
              <w:pStyle w:val="Tabletextrightbold"/>
            </w:pP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rPr>
                <w:bCs/>
              </w:rPr>
              <w:t>Administered net result</w:t>
            </w:r>
          </w:p>
        </w:tc>
        <w:tc>
          <w:tcPr>
            <w:tcW w:w="1139" w:type="dxa"/>
            <w:shd w:val="clear" w:color="auto" w:fill="auto"/>
            <w:noWrap/>
          </w:tcPr>
          <w:p w:rsidR="00174AEA" w:rsidRPr="00687A1C" w:rsidRDefault="00174AEA" w:rsidP="00D8412D">
            <w:pPr>
              <w:pStyle w:val="Tabletextrightbold"/>
            </w:pPr>
            <w:r w:rsidRPr="00687A1C">
              <w:t>506</w:t>
            </w:r>
            <w:r w:rsidR="00D8412D" w:rsidRPr="00687A1C">
              <w:rPr>
                <w:rFonts w:ascii="Calibri" w:hAnsi="Calibri" w:cs="Calibri"/>
              </w:rPr>
              <w:t xml:space="preserve"> </w:t>
            </w:r>
            <w:r w:rsidR="009C1CD8" w:rsidRPr="00687A1C">
              <w:t>764</w:t>
            </w:r>
          </w:p>
        </w:tc>
        <w:tc>
          <w:tcPr>
            <w:tcW w:w="1139" w:type="dxa"/>
            <w:shd w:val="clear" w:color="auto" w:fill="auto"/>
            <w:noWrap/>
          </w:tcPr>
          <w:p w:rsidR="00174AEA" w:rsidRPr="00687A1C" w:rsidRDefault="00174AEA" w:rsidP="00D8412D">
            <w:pPr>
              <w:pStyle w:val="Tabletextrightbold"/>
            </w:pPr>
            <w:r w:rsidRPr="00687A1C">
              <w:t>308</w:t>
            </w:r>
            <w:r w:rsidR="00D8412D" w:rsidRPr="00687A1C">
              <w:rPr>
                <w:rFonts w:ascii="Calibri" w:hAnsi="Calibri" w:cs="Calibri"/>
              </w:rPr>
              <w:t xml:space="preserve"> </w:t>
            </w:r>
            <w:r w:rsidRPr="00687A1C">
              <w:t>396</w:t>
            </w:r>
          </w:p>
        </w:tc>
        <w:tc>
          <w:tcPr>
            <w:tcW w:w="1139" w:type="dxa"/>
            <w:shd w:val="clear" w:color="auto" w:fill="E0E0E0"/>
            <w:noWrap/>
          </w:tcPr>
          <w:p w:rsidR="00174AEA" w:rsidRPr="00687A1C" w:rsidRDefault="004F1F45" w:rsidP="00537359">
            <w:pPr>
              <w:pStyle w:val="Tabletextrightbold"/>
            </w:pPr>
            <w:r w:rsidRPr="00687A1C">
              <w:t>116 132</w:t>
            </w:r>
          </w:p>
        </w:tc>
        <w:tc>
          <w:tcPr>
            <w:tcW w:w="1139" w:type="dxa"/>
            <w:shd w:val="clear" w:color="auto" w:fill="E0E0E0"/>
            <w:noWrap/>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457)</w:t>
            </w:r>
          </w:p>
        </w:tc>
      </w:tr>
      <w:tr w:rsidR="00174AEA" w:rsidRPr="00687A1C" w:rsidTr="008A3976">
        <w:trPr>
          <w:cantSplit/>
          <w:trHeight w:hRule="exact" w:val="58"/>
        </w:trPr>
        <w:tc>
          <w:tcPr>
            <w:tcW w:w="5238" w:type="dxa"/>
            <w:shd w:val="clear" w:color="auto" w:fill="auto"/>
          </w:tcPr>
          <w:p w:rsidR="00174AEA" w:rsidRPr="00687A1C" w:rsidRDefault="00174AEA" w:rsidP="008A3976">
            <w:pPr>
              <w:pStyle w:val="Tabletext"/>
              <w:rPr>
                <w:sz w:val="10"/>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rPr>
                <w:bCs/>
              </w:rPr>
              <w:t xml:space="preserve">Other economic flows </w:t>
            </w:r>
            <w:r w:rsidRPr="00687A1C">
              <w:t>–</w:t>
            </w:r>
            <w:r w:rsidRPr="00687A1C">
              <w:rPr>
                <w:bCs/>
              </w:rPr>
              <w:t xml:space="preserve"> other comprehensive income</w:t>
            </w: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auto"/>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c>
          <w:tcPr>
            <w:tcW w:w="1139" w:type="dxa"/>
            <w:shd w:val="clear" w:color="auto" w:fill="E0E0E0"/>
            <w:noWrap/>
          </w:tcPr>
          <w:p w:rsidR="00174AEA" w:rsidRPr="00687A1C" w:rsidRDefault="00174AEA" w:rsidP="008A3976">
            <w:pPr>
              <w:pStyle w:val="Tabletextright"/>
              <w:rPr>
                <w:b/>
              </w:rPr>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Remeasurement of superannuation defined benefit plans</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
            </w:pPr>
            <w:r w:rsidRPr="00687A1C">
              <w:t>Changes in financial assets available for sale reserve</w:t>
            </w:r>
          </w:p>
        </w:tc>
        <w:tc>
          <w:tcPr>
            <w:tcW w:w="1139" w:type="dxa"/>
            <w:shd w:val="clear" w:color="auto" w:fill="auto"/>
            <w:noWrap/>
          </w:tcPr>
          <w:p w:rsidR="00174AEA" w:rsidRPr="00687A1C" w:rsidRDefault="00174AEA" w:rsidP="008A3976">
            <w:pPr>
              <w:pStyle w:val="Tabletextright"/>
            </w:pPr>
          </w:p>
        </w:tc>
        <w:tc>
          <w:tcPr>
            <w:tcW w:w="1139" w:type="dxa"/>
            <w:shd w:val="clear" w:color="auto" w:fill="auto"/>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c>
          <w:tcPr>
            <w:tcW w:w="1139" w:type="dxa"/>
            <w:shd w:val="clear" w:color="auto" w:fill="E0E0E0"/>
            <w:noWrap/>
          </w:tcPr>
          <w:p w:rsidR="00174AEA" w:rsidRPr="00687A1C" w:rsidRDefault="00174AEA" w:rsidP="008A3976">
            <w:pPr>
              <w:pStyle w:val="Tabletextright"/>
            </w:pPr>
          </w:p>
        </w:tc>
      </w:tr>
      <w:tr w:rsidR="00174AEA" w:rsidRPr="00687A1C" w:rsidTr="008A3976">
        <w:trPr>
          <w:cantSplit/>
        </w:trPr>
        <w:tc>
          <w:tcPr>
            <w:tcW w:w="5238" w:type="dxa"/>
            <w:shd w:val="clear" w:color="auto" w:fill="auto"/>
          </w:tcPr>
          <w:p w:rsidR="00174AEA" w:rsidRPr="00687A1C" w:rsidRDefault="00174AEA" w:rsidP="008A3976">
            <w:pPr>
              <w:pStyle w:val="Tabletextbold"/>
              <w:rPr>
                <w:bCs/>
              </w:rPr>
            </w:pPr>
            <w:r w:rsidRPr="00687A1C">
              <w:rPr>
                <w:bCs/>
              </w:rPr>
              <w:t>Administered comprehensive result</w:t>
            </w:r>
          </w:p>
        </w:tc>
        <w:tc>
          <w:tcPr>
            <w:tcW w:w="1139" w:type="dxa"/>
            <w:shd w:val="clear" w:color="auto" w:fill="auto"/>
            <w:noWrap/>
          </w:tcPr>
          <w:p w:rsidR="00174AEA" w:rsidRPr="00687A1C" w:rsidRDefault="00174AEA" w:rsidP="00D8412D">
            <w:pPr>
              <w:pStyle w:val="Tabletextrightbold"/>
            </w:pPr>
            <w:r w:rsidRPr="00687A1C">
              <w:t>506</w:t>
            </w:r>
            <w:r w:rsidR="00D8412D" w:rsidRPr="00687A1C">
              <w:rPr>
                <w:rFonts w:ascii="Calibri" w:hAnsi="Calibri" w:cs="Calibri"/>
              </w:rPr>
              <w:t xml:space="preserve"> </w:t>
            </w:r>
            <w:r w:rsidR="009C1CD8" w:rsidRPr="00687A1C">
              <w:t>764</w:t>
            </w:r>
          </w:p>
        </w:tc>
        <w:tc>
          <w:tcPr>
            <w:tcW w:w="1139" w:type="dxa"/>
            <w:shd w:val="clear" w:color="auto" w:fill="auto"/>
            <w:noWrap/>
          </w:tcPr>
          <w:p w:rsidR="00174AEA" w:rsidRPr="00687A1C" w:rsidRDefault="00174AEA" w:rsidP="00D8412D">
            <w:pPr>
              <w:pStyle w:val="Tabletextrightbold"/>
            </w:pPr>
            <w:r w:rsidRPr="00687A1C">
              <w:t>308</w:t>
            </w:r>
            <w:r w:rsidR="00D8412D" w:rsidRPr="00687A1C">
              <w:rPr>
                <w:rFonts w:ascii="Calibri" w:hAnsi="Calibri" w:cs="Calibri"/>
              </w:rPr>
              <w:t xml:space="preserve"> </w:t>
            </w:r>
            <w:r w:rsidRPr="00687A1C">
              <w:t>396</w:t>
            </w:r>
          </w:p>
        </w:tc>
        <w:tc>
          <w:tcPr>
            <w:tcW w:w="1139" w:type="dxa"/>
            <w:shd w:val="clear" w:color="auto" w:fill="E0E0E0"/>
            <w:noWrap/>
          </w:tcPr>
          <w:p w:rsidR="00174AEA" w:rsidRPr="00687A1C" w:rsidRDefault="004F1F45" w:rsidP="00666C97">
            <w:pPr>
              <w:pStyle w:val="Tabletextrightbold"/>
            </w:pPr>
            <w:r w:rsidRPr="00687A1C">
              <w:t>116,132</w:t>
            </w:r>
          </w:p>
        </w:tc>
        <w:tc>
          <w:tcPr>
            <w:tcW w:w="1139" w:type="dxa"/>
            <w:shd w:val="clear" w:color="auto" w:fill="E0E0E0"/>
            <w:noWrap/>
          </w:tcPr>
          <w:p w:rsidR="00174AEA" w:rsidRPr="00687A1C" w:rsidRDefault="00174AEA" w:rsidP="00D8412D">
            <w:pPr>
              <w:pStyle w:val="Tabletextrightbold"/>
            </w:pPr>
            <w:r w:rsidRPr="00687A1C">
              <w:t>(3</w:t>
            </w:r>
            <w:r w:rsidR="00D8412D" w:rsidRPr="00687A1C">
              <w:rPr>
                <w:rFonts w:ascii="Calibri" w:hAnsi="Calibri" w:cs="Calibri"/>
              </w:rPr>
              <w:t xml:space="preserve"> </w:t>
            </w:r>
            <w:r w:rsidRPr="00687A1C">
              <w:t>457)</w:t>
            </w:r>
          </w:p>
        </w:tc>
      </w:tr>
    </w:tbl>
    <w:p w:rsidR="00174AEA" w:rsidRPr="00687A1C" w:rsidRDefault="00174AEA" w:rsidP="00174AEA">
      <w:pPr>
        <w:pStyle w:val="Spacer"/>
      </w:pPr>
    </w:p>
    <w:p w:rsidR="00174AEA" w:rsidRPr="00687A1C" w:rsidRDefault="00174AEA" w:rsidP="00174AEA">
      <w:pPr>
        <w:sectPr w:rsidR="00174AEA" w:rsidRPr="00687A1C" w:rsidSect="00332CFE">
          <w:type w:val="continuous"/>
          <w:pgSz w:w="11909" w:h="16834" w:code="9"/>
          <w:pgMar w:top="1728" w:right="1152" w:bottom="1152" w:left="1152" w:header="720" w:footer="288" w:gutter="0"/>
          <w:cols w:space="720"/>
          <w:noEndnote/>
        </w:sectPr>
      </w:pPr>
    </w:p>
    <w:p w:rsidR="00174AEA" w:rsidRPr="00687A1C" w:rsidRDefault="00174AEA" w:rsidP="00174AEA">
      <w:pPr>
        <w:pStyle w:val="Heading4"/>
        <w:rPr>
          <w:sz w:val="20"/>
        </w:rPr>
      </w:pPr>
    </w:p>
    <w:p w:rsidR="00174AEA" w:rsidRPr="00687A1C" w:rsidRDefault="00174AEA" w:rsidP="00174AEA">
      <w:r w:rsidRPr="00687A1C">
        <w:t>Accordingly, transactions and balances relating to these administered resources are not recognised as departmental income, expenses, assets or liabilities within the body of the financial statements, but are disclosed separately in note 4.2.1 and 4.2.2. Except as otherwise disclosed, administered transactions are accounted for on an accrual basis using the same accounting policies adopted for recognition of departmental items in the financial statements.</w:t>
      </w:r>
    </w:p>
    <w:p w:rsidR="00174AEA" w:rsidRPr="00687A1C" w:rsidRDefault="00174AEA" w:rsidP="00174AEA">
      <w:r w:rsidRPr="00687A1C">
        <w:br w:type="column"/>
      </w:r>
    </w:p>
    <w:p w:rsidR="00174AEA" w:rsidRPr="00687A1C" w:rsidRDefault="00174AEA" w:rsidP="00174AEA">
      <w:pPr>
        <w:sectPr w:rsidR="00174AEA" w:rsidRPr="00687A1C" w:rsidSect="00332CFE">
          <w:pgSz w:w="11909" w:h="16834" w:code="9"/>
          <w:pgMar w:top="1728" w:right="1152" w:bottom="1152" w:left="1152" w:header="720" w:footer="288" w:gutter="0"/>
          <w:cols w:num="2" w:space="720"/>
          <w:noEndnote/>
        </w:sectPr>
      </w:pPr>
    </w:p>
    <w:p w:rsidR="00174AEA" w:rsidRPr="00687A1C" w:rsidRDefault="00174AEA" w:rsidP="00174AEA"/>
    <w:p w:rsidR="00174AEA" w:rsidRPr="00687A1C" w:rsidRDefault="00174AEA" w:rsidP="00E327A5">
      <w:pPr>
        <w:pStyle w:val="Spacer"/>
      </w:pPr>
    </w:p>
    <w:tbl>
      <w:tblPr>
        <w:tblW w:w="0" w:type="auto"/>
        <w:tblLayout w:type="fixed"/>
        <w:tblLook w:val="0000" w:firstRow="0" w:lastRow="0" w:firstColumn="0" w:lastColumn="0" w:noHBand="0" w:noVBand="0"/>
      </w:tblPr>
      <w:tblGrid>
        <w:gridCol w:w="1278"/>
        <w:gridCol w:w="1170"/>
        <w:gridCol w:w="1138"/>
        <w:gridCol w:w="1138"/>
        <w:gridCol w:w="1138"/>
        <w:gridCol w:w="1138"/>
        <w:gridCol w:w="1138"/>
        <w:gridCol w:w="1138"/>
      </w:tblGrid>
      <w:tr w:rsidR="00174AEA" w:rsidRPr="00687A1C" w:rsidTr="008A3976">
        <w:trPr>
          <w:cantSplit/>
          <w:trHeight w:val="922"/>
        </w:trPr>
        <w:tc>
          <w:tcPr>
            <w:tcW w:w="2448" w:type="dxa"/>
            <w:gridSpan w:val="2"/>
            <w:shd w:val="clear" w:color="auto" w:fill="auto"/>
            <w:noWrap/>
            <w:vAlign w:val="bottom"/>
          </w:tcPr>
          <w:p w:rsidR="00174AEA" w:rsidRPr="00687A1C" w:rsidRDefault="00174AEA" w:rsidP="008A3976">
            <w:pPr>
              <w:pStyle w:val="Tabletextheadingcentred"/>
            </w:pPr>
            <w:r w:rsidRPr="00687A1C">
              <w:t>Improve how Government manages its balance sheet, commercial activities and public sector infrastructure</w:t>
            </w:r>
          </w:p>
        </w:tc>
        <w:tc>
          <w:tcPr>
            <w:tcW w:w="2276" w:type="dxa"/>
            <w:gridSpan w:val="2"/>
            <w:shd w:val="clear" w:color="auto" w:fill="auto"/>
            <w:noWrap/>
            <w:vAlign w:val="bottom"/>
          </w:tcPr>
          <w:p w:rsidR="00174AEA" w:rsidRPr="00687A1C" w:rsidRDefault="00174AEA" w:rsidP="008A3976">
            <w:pPr>
              <w:pStyle w:val="Tabletextheadingcentred"/>
            </w:pPr>
            <w:r w:rsidRPr="00687A1C">
              <w:t>Deliver efficient whole of government common services</w:t>
            </w:r>
          </w:p>
        </w:tc>
        <w:tc>
          <w:tcPr>
            <w:tcW w:w="2276" w:type="dxa"/>
            <w:gridSpan w:val="2"/>
            <w:shd w:val="clear" w:color="auto" w:fill="auto"/>
            <w:noWrap/>
            <w:vAlign w:val="bottom"/>
          </w:tcPr>
          <w:p w:rsidR="00174AEA" w:rsidRPr="00687A1C" w:rsidRDefault="00174AEA" w:rsidP="008A3976">
            <w:pPr>
              <w:pStyle w:val="Tabletextheadingcentred"/>
            </w:pPr>
            <w:r w:rsidRPr="00687A1C">
              <w:t xml:space="preserve">Other – Not </w:t>
            </w:r>
            <w:r w:rsidRPr="00687A1C">
              <w:br/>
              <w:t>attributable</w:t>
            </w:r>
          </w:p>
        </w:tc>
        <w:tc>
          <w:tcPr>
            <w:tcW w:w="2276" w:type="dxa"/>
            <w:gridSpan w:val="2"/>
            <w:shd w:val="clear" w:color="auto" w:fill="auto"/>
            <w:noWrap/>
            <w:vAlign w:val="bottom"/>
          </w:tcPr>
          <w:p w:rsidR="00174AEA" w:rsidRPr="00687A1C" w:rsidRDefault="00174AEA" w:rsidP="008A3976">
            <w:pPr>
              <w:pStyle w:val="Tabletextheadingcentred"/>
            </w:pPr>
            <w:r w:rsidRPr="00687A1C">
              <w:t>Departmental total</w:t>
            </w: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headingright"/>
            </w:pPr>
            <w:r w:rsidRPr="00687A1C">
              <w:t>2018</w:t>
            </w:r>
          </w:p>
        </w:tc>
        <w:tc>
          <w:tcPr>
            <w:tcW w:w="1170" w:type="dxa"/>
            <w:shd w:val="clear" w:color="auto" w:fill="auto"/>
            <w:noWrap/>
            <w:vAlign w:val="bottom"/>
          </w:tcPr>
          <w:p w:rsidR="00174AEA" w:rsidRPr="00687A1C" w:rsidRDefault="00174AEA" w:rsidP="008A3976">
            <w:pPr>
              <w:pStyle w:val="Tabletextheadingright"/>
            </w:pPr>
            <w:r w:rsidRPr="00687A1C">
              <w:t>2017</w:t>
            </w:r>
          </w:p>
        </w:tc>
        <w:tc>
          <w:tcPr>
            <w:tcW w:w="1138" w:type="dxa"/>
            <w:shd w:val="clear" w:color="auto" w:fill="auto"/>
            <w:noWrap/>
            <w:vAlign w:val="bottom"/>
          </w:tcPr>
          <w:p w:rsidR="00174AEA" w:rsidRPr="00687A1C" w:rsidRDefault="00174AEA" w:rsidP="008A3976">
            <w:pPr>
              <w:pStyle w:val="Tabletextheadingright"/>
            </w:pPr>
            <w:r w:rsidRPr="00687A1C">
              <w:t>2018</w:t>
            </w:r>
          </w:p>
        </w:tc>
        <w:tc>
          <w:tcPr>
            <w:tcW w:w="1138" w:type="dxa"/>
            <w:shd w:val="clear" w:color="auto" w:fill="auto"/>
            <w:noWrap/>
            <w:vAlign w:val="bottom"/>
          </w:tcPr>
          <w:p w:rsidR="00174AEA" w:rsidRPr="00687A1C" w:rsidRDefault="00174AEA" w:rsidP="008A3976">
            <w:pPr>
              <w:pStyle w:val="Tabletextheadingright"/>
            </w:pPr>
            <w:r w:rsidRPr="00687A1C">
              <w:t>2017</w:t>
            </w:r>
          </w:p>
        </w:tc>
        <w:tc>
          <w:tcPr>
            <w:tcW w:w="1138" w:type="dxa"/>
            <w:shd w:val="clear" w:color="auto" w:fill="auto"/>
            <w:noWrap/>
            <w:vAlign w:val="bottom"/>
          </w:tcPr>
          <w:p w:rsidR="00174AEA" w:rsidRPr="00687A1C" w:rsidRDefault="00174AEA" w:rsidP="008A3976">
            <w:pPr>
              <w:pStyle w:val="Tabletextheadingright"/>
            </w:pPr>
            <w:r w:rsidRPr="00687A1C">
              <w:t>2018</w:t>
            </w:r>
          </w:p>
        </w:tc>
        <w:tc>
          <w:tcPr>
            <w:tcW w:w="1138" w:type="dxa"/>
            <w:shd w:val="clear" w:color="auto" w:fill="auto"/>
            <w:noWrap/>
            <w:vAlign w:val="bottom"/>
          </w:tcPr>
          <w:p w:rsidR="00174AEA" w:rsidRPr="00687A1C" w:rsidRDefault="00174AEA" w:rsidP="008A3976">
            <w:pPr>
              <w:pStyle w:val="Tabletextheadingright"/>
            </w:pPr>
            <w:r w:rsidRPr="00687A1C">
              <w:t>2017</w:t>
            </w:r>
          </w:p>
        </w:tc>
        <w:tc>
          <w:tcPr>
            <w:tcW w:w="1138" w:type="dxa"/>
            <w:shd w:val="clear" w:color="auto" w:fill="auto"/>
            <w:noWrap/>
            <w:vAlign w:val="bottom"/>
          </w:tcPr>
          <w:p w:rsidR="00174AEA" w:rsidRPr="00687A1C" w:rsidRDefault="00174AEA" w:rsidP="008A3976">
            <w:pPr>
              <w:pStyle w:val="Tabletextheadingright"/>
            </w:pPr>
            <w:r w:rsidRPr="00687A1C">
              <w:t>2018</w:t>
            </w:r>
          </w:p>
        </w:tc>
        <w:tc>
          <w:tcPr>
            <w:tcW w:w="1138" w:type="dxa"/>
            <w:shd w:val="clear" w:color="auto" w:fill="auto"/>
            <w:noWrap/>
            <w:vAlign w:val="bottom"/>
          </w:tcPr>
          <w:p w:rsidR="00174AEA" w:rsidRPr="00687A1C" w:rsidRDefault="00174AEA" w:rsidP="008A3976">
            <w:pPr>
              <w:pStyle w:val="Tabletextheadingright"/>
            </w:pPr>
            <w:r w:rsidRPr="00687A1C">
              <w:t>2017</w:t>
            </w:r>
          </w:p>
        </w:tc>
      </w:tr>
      <w:tr w:rsidR="00174AEA" w:rsidRPr="00687A1C" w:rsidTr="008A3976">
        <w:trPr>
          <w:cantSplit/>
        </w:trPr>
        <w:tc>
          <w:tcPr>
            <w:tcW w:w="1278" w:type="dxa"/>
            <w:shd w:val="clear" w:color="auto" w:fill="auto"/>
            <w:noWrap/>
          </w:tcPr>
          <w:p w:rsidR="00174AEA" w:rsidRPr="00687A1C" w:rsidRDefault="00174AEA" w:rsidP="008A3976">
            <w:pPr>
              <w:pStyle w:val="Tabletextheadingright"/>
            </w:pPr>
            <w:r w:rsidRPr="00687A1C">
              <w:t>$’000</w:t>
            </w:r>
          </w:p>
        </w:tc>
        <w:tc>
          <w:tcPr>
            <w:tcW w:w="1170"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4</w:t>
            </w:r>
            <w:r w:rsidR="00D8412D" w:rsidRPr="00687A1C">
              <w:t xml:space="preserve"> </w:t>
            </w:r>
            <w:r w:rsidRPr="00687A1C">
              <w:t>744</w:t>
            </w:r>
            <w:r w:rsidR="00D8412D" w:rsidRPr="00687A1C">
              <w:t xml:space="preserve"> </w:t>
            </w:r>
            <w:r w:rsidRPr="00687A1C">
              <w:t>095</w:t>
            </w:r>
          </w:p>
        </w:tc>
        <w:tc>
          <w:tcPr>
            <w:tcW w:w="1170" w:type="dxa"/>
            <w:shd w:val="clear" w:color="auto" w:fill="auto"/>
            <w:noWrap/>
          </w:tcPr>
          <w:p w:rsidR="00174AEA" w:rsidRPr="00687A1C" w:rsidRDefault="00174AEA" w:rsidP="00D8412D">
            <w:pPr>
              <w:pStyle w:val="Tabletextright"/>
            </w:pPr>
            <w:r w:rsidRPr="00687A1C">
              <w:t>4</w:t>
            </w:r>
            <w:r w:rsidR="00D8412D" w:rsidRPr="00687A1C">
              <w:t xml:space="preserve"> </w:t>
            </w:r>
            <w:r w:rsidRPr="00687A1C">
              <w:t>065</w:t>
            </w:r>
            <w:r w:rsidR="00D8412D" w:rsidRPr="00687A1C">
              <w:t xml:space="preserve"> </w:t>
            </w:r>
            <w:r w:rsidRPr="00687A1C">
              <w:t>730</w:t>
            </w:r>
          </w:p>
        </w:tc>
        <w:tc>
          <w:tcPr>
            <w:tcW w:w="1138" w:type="dxa"/>
            <w:shd w:val="clear" w:color="auto" w:fill="E0E0E0"/>
            <w:noWrap/>
          </w:tcPr>
          <w:p w:rsidR="00174AEA" w:rsidRPr="00687A1C" w:rsidRDefault="00174AEA" w:rsidP="008A3976">
            <w:pPr>
              <w:pStyle w:val="Tabletextright"/>
            </w:pPr>
            <w:r w:rsidRPr="00687A1C">
              <w:t>57</w:t>
            </w:r>
          </w:p>
        </w:tc>
        <w:tc>
          <w:tcPr>
            <w:tcW w:w="1138" w:type="dxa"/>
            <w:shd w:val="clear" w:color="auto" w:fill="E0E0E0"/>
            <w:noWrap/>
          </w:tcPr>
          <w:p w:rsidR="00174AEA" w:rsidRPr="00687A1C" w:rsidRDefault="00174AEA" w:rsidP="008A3976">
            <w:pPr>
              <w:pStyle w:val="Tabletextright"/>
            </w:pPr>
            <w:r w:rsidRPr="00687A1C">
              <w:t>171</w:t>
            </w: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r w:rsidRPr="00687A1C">
              <w:t>–</w:t>
            </w:r>
          </w:p>
        </w:tc>
        <w:tc>
          <w:tcPr>
            <w:tcW w:w="1138" w:type="dxa"/>
            <w:shd w:val="clear" w:color="auto" w:fill="E0E0E0"/>
            <w:noWrap/>
          </w:tcPr>
          <w:p w:rsidR="00174AEA" w:rsidRPr="00687A1C" w:rsidRDefault="001802F6" w:rsidP="001802F6">
            <w:pPr>
              <w:pStyle w:val="Tabletextright"/>
            </w:pPr>
            <w:r w:rsidRPr="00687A1C">
              <w:t>5 395 686</w:t>
            </w:r>
          </w:p>
        </w:tc>
        <w:tc>
          <w:tcPr>
            <w:tcW w:w="1138" w:type="dxa"/>
            <w:shd w:val="clear" w:color="auto" w:fill="E0E0E0"/>
            <w:noWrap/>
          </w:tcPr>
          <w:p w:rsidR="00174AEA" w:rsidRPr="00687A1C" w:rsidRDefault="00174AEA" w:rsidP="00D8412D">
            <w:pPr>
              <w:pStyle w:val="Tabletextright"/>
            </w:pPr>
            <w:r w:rsidRPr="00687A1C">
              <w:t>4</w:t>
            </w:r>
            <w:r w:rsidR="00D8412D" w:rsidRPr="00687A1C">
              <w:t xml:space="preserve"> </w:t>
            </w:r>
            <w:r w:rsidRPr="00687A1C">
              <w:t>537</w:t>
            </w:r>
            <w:r w:rsidR="00D8412D" w:rsidRPr="00687A1C">
              <w:t xml:space="preserve"> </w:t>
            </w:r>
            <w:r w:rsidRPr="00687A1C">
              <w:t>426</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44</w:t>
            </w:r>
            <w:r w:rsidR="00D8412D" w:rsidRPr="00687A1C">
              <w:t xml:space="preserve"> </w:t>
            </w:r>
            <w:r w:rsidRPr="00687A1C">
              <w:t>533</w:t>
            </w:r>
          </w:p>
        </w:tc>
        <w:tc>
          <w:tcPr>
            <w:tcW w:w="1170" w:type="dxa"/>
            <w:shd w:val="clear" w:color="auto" w:fill="auto"/>
            <w:noWrap/>
          </w:tcPr>
          <w:p w:rsidR="00174AEA" w:rsidRPr="00687A1C" w:rsidRDefault="00174AEA" w:rsidP="00D8412D">
            <w:pPr>
              <w:pStyle w:val="Tabletextright"/>
            </w:pPr>
            <w:r w:rsidRPr="00687A1C">
              <w:t>5</w:t>
            </w:r>
            <w:r w:rsidR="00D8412D" w:rsidRPr="00687A1C">
              <w:t xml:space="preserve"> </w:t>
            </w:r>
            <w:r w:rsidRPr="00687A1C">
              <w:t>803</w:t>
            </w:r>
            <w:r w:rsidR="00D8412D" w:rsidRPr="00687A1C">
              <w:t xml:space="preserve"> </w:t>
            </w:r>
            <w:r w:rsidRPr="00687A1C">
              <w:t>858</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105</w:t>
            </w:r>
            <w:r w:rsidR="00D8412D" w:rsidRPr="00687A1C">
              <w:t xml:space="preserve"> </w:t>
            </w:r>
            <w:r w:rsidRPr="00687A1C">
              <w:t>058</w:t>
            </w:r>
          </w:p>
        </w:tc>
        <w:tc>
          <w:tcPr>
            <w:tcW w:w="1138"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159</w:t>
            </w:r>
            <w:r w:rsidR="00D8412D" w:rsidRPr="00687A1C">
              <w:t xml:space="preserve"> </w:t>
            </w:r>
            <w:r w:rsidRPr="00687A1C">
              <w:t>807</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300</w:t>
            </w:r>
            <w:r w:rsidR="00D8412D" w:rsidRPr="00687A1C">
              <w:t xml:space="preserve"> </w:t>
            </w:r>
            <w:r w:rsidRPr="00687A1C">
              <w:t>782</w:t>
            </w:r>
          </w:p>
        </w:tc>
        <w:tc>
          <w:tcPr>
            <w:tcW w:w="1138" w:type="dxa"/>
            <w:shd w:val="clear" w:color="auto" w:fill="E0E0E0"/>
            <w:noWrap/>
          </w:tcPr>
          <w:p w:rsidR="00174AEA" w:rsidRPr="00687A1C" w:rsidRDefault="00174AEA" w:rsidP="00D8412D">
            <w:pPr>
              <w:pStyle w:val="Tabletextright"/>
            </w:pPr>
            <w:r w:rsidRPr="00687A1C">
              <w:t>7</w:t>
            </w:r>
            <w:r w:rsidR="00D8412D" w:rsidRPr="00687A1C">
              <w:t xml:space="preserve"> </w:t>
            </w:r>
            <w:r w:rsidRPr="00687A1C">
              <w:t>068</w:t>
            </w:r>
            <w:r w:rsidR="00D8412D" w:rsidRPr="00687A1C">
              <w:t xml:space="preserve"> </w:t>
            </w:r>
            <w:r w:rsidRPr="00687A1C">
              <w:t>787</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22</w:t>
            </w:r>
            <w:r w:rsidR="00D8412D" w:rsidRPr="00687A1C">
              <w:t xml:space="preserve"> </w:t>
            </w:r>
            <w:r w:rsidRPr="00687A1C">
              <w:t>563</w:t>
            </w:r>
          </w:p>
        </w:tc>
        <w:tc>
          <w:tcPr>
            <w:tcW w:w="1170" w:type="dxa"/>
            <w:shd w:val="clear" w:color="auto" w:fill="auto"/>
            <w:noWrap/>
          </w:tcPr>
          <w:p w:rsidR="00174AEA" w:rsidRPr="00687A1C" w:rsidRDefault="00174AEA" w:rsidP="00D8412D">
            <w:pPr>
              <w:pStyle w:val="Tabletextright"/>
            </w:pPr>
            <w:r w:rsidRPr="00687A1C">
              <w:t>11</w:t>
            </w:r>
            <w:r w:rsidR="00D8412D" w:rsidRPr="00687A1C">
              <w:t xml:space="preserve"> </w:t>
            </w:r>
            <w:r w:rsidRPr="00687A1C">
              <w:t>111</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t>7</w:t>
            </w:r>
            <w:r w:rsidR="00D8412D" w:rsidRPr="00687A1C">
              <w:t xml:space="preserve"> </w:t>
            </w:r>
            <w:r w:rsidRPr="00687A1C">
              <w:t>034</w:t>
            </w:r>
            <w:r w:rsidR="00D8412D" w:rsidRPr="00687A1C">
              <w:t xml:space="preserve"> </w:t>
            </w:r>
            <w:r w:rsidRPr="00687A1C">
              <w:t>123</w:t>
            </w:r>
          </w:p>
        </w:tc>
        <w:tc>
          <w:tcPr>
            <w:tcW w:w="1138" w:type="dxa"/>
            <w:shd w:val="clear" w:color="auto" w:fill="auto"/>
            <w:noWrap/>
          </w:tcPr>
          <w:p w:rsidR="00174AEA" w:rsidRPr="00687A1C" w:rsidRDefault="00174AEA" w:rsidP="00D8412D">
            <w:pPr>
              <w:pStyle w:val="Tabletextright"/>
            </w:pPr>
            <w:r w:rsidRPr="00687A1C">
              <w:t>6</w:t>
            </w:r>
            <w:r w:rsidR="00D8412D" w:rsidRPr="00687A1C">
              <w:t xml:space="preserve"> </w:t>
            </w:r>
            <w:r w:rsidRPr="00687A1C">
              <w:t>754</w:t>
            </w:r>
            <w:r w:rsidR="00D8412D" w:rsidRPr="00687A1C">
              <w:t xml:space="preserve"> </w:t>
            </w:r>
            <w:r w:rsidRPr="00687A1C">
              <w:t>335</w:t>
            </w:r>
          </w:p>
        </w:tc>
        <w:tc>
          <w:tcPr>
            <w:tcW w:w="1138" w:type="dxa"/>
            <w:shd w:val="clear" w:color="auto" w:fill="E0E0E0"/>
            <w:noWrap/>
          </w:tcPr>
          <w:p w:rsidR="00174AEA" w:rsidRPr="00687A1C" w:rsidRDefault="00174AEA" w:rsidP="00D8412D">
            <w:pPr>
              <w:pStyle w:val="Tabletextright"/>
            </w:pPr>
            <w:r w:rsidRPr="00687A1C">
              <w:t>22</w:t>
            </w:r>
            <w:r w:rsidR="00D8412D" w:rsidRPr="00687A1C">
              <w:t xml:space="preserve"> </w:t>
            </w:r>
            <w:r w:rsidRPr="00687A1C">
              <w:t>651</w:t>
            </w:r>
            <w:r w:rsidR="00D8412D" w:rsidRPr="00687A1C">
              <w:t xml:space="preserve"> </w:t>
            </w:r>
            <w:r w:rsidRPr="00687A1C">
              <w:t>527</w:t>
            </w:r>
          </w:p>
        </w:tc>
        <w:tc>
          <w:tcPr>
            <w:tcW w:w="1138" w:type="dxa"/>
            <w:shd w:val="clear" w:color="auto" w:fill="E0E0E0"/>
            <w:noWrap/>
          </w:tcPr>
          <w:p w:rsidR="00174AEA" w:rsidRPr="00687A1C" w:rsidRDefault="00174AEA" w:rsidP="00D8412D">
            <w:pPr>
              <w:pStyle w:val="Tabletextright"/>
            </w:pPr>
            <w:r w:rsidRPr="00687A1C">
              <w:t>20</w:t>
            </w:r>
            <w:r w:rsidR="00D8412D" w:rsidRPr="00687A1C">
              <w:t xml:space="preserve"> </w:t>
            </w:r>
            <w:r w:rsidRPr="00687A1C">
              <w:t>384</w:t>
            </w:r>
            <w:r w:rsidR="00D8412D" w:rsidRPr="00687A1C">
              <w:t xml:space="preserve"> </w:t>
            </w:r>
            <w:r w:rsidRPr="00687A1C">
              <w:t>767</w:t>
            </w:r>
          </w:p>
        </w:tc>
      </w:tr>
      <w:tr w:rsidR="00174AEA" w:rsidRPr="00687A1C" w:rsidTr="008A3976">
        <w:trPr>
          <w:cantSplit/>
        </w:trPr>
        <w:tc>
          <w:tcPr>
            <w:tcW w:w="1278" w:type="dxa"/>
            <w:shd w:val="clear" w:color="auto" w:fill="auto"/>
            <w:noWrap/>
          </w:tcPr>
          <w:p w:rsidR="00174AEA" w:rsidRPr="00687A1C" w:rsidRDefault="00537359" w:rsidP="00D8412D">
            <w:pPr>
              <w:pStyle w:val="Tabletextright"/>
            </w:pPr>
            <w:r w:rsidRPr="00687A1C">
              <w:t>444</w:t>
            </w:r>
            <w:r w:rsidR="00D8412D" w:rsidRPr="00687A1C">
              <w:rPr>
                <w:rFonts w:ascii="Calibri" w:hAnsi="Calibri" w:cs="Courier New"/>
              </w:rPr>
              <w:t xml:space="preserve"> </w:t>
            </w:r>
            <w:r w:rsidRPr="00687A1C">
              <w:t>530</w:t>
            </w:r>
          </w:p>
        </w:tc>
        <w:tc>
          <w:tcPr>
            <w:tcW w:w="1170" w:type="dxa"/>
            <w:shd w:val="clear" w:color="auto" w:fill="auto"/>
            <w:noWrap/>
          </w:tcPr>
          <w:p w:rsidR="00174AEA" w:rsidRPr="00687A1C" w:rsidRDefault="00174AEA" w:rsidP="00D8412D">
            <w:pPr>
              <w:pStyle w:val="Tabletextright"/>
            </w:pPr>
            <w:r w:rsidRPr="00687A1C">
              <w:t>1</w:t>
            </w:r>
            <w:r w:rsidR="00D8412D" w:rsidRPr="00687A1C">
              <w:rPr>
                <w:rFonts w:ascii="Calibri" w:hAnsi="Calibri" w:cs="Courier New"/>
              </w:rPr>
              <w:t xml:space="preserve"> </w:t>
            </w:r>
            <w:r w:rsidRPr="00687A1C">
              <w:t>172</w:t>
            </w:r>
            <w:r w:rsidR="00D8412D" w:rsidRPr="00687A1C">
              <w:rPr>
                <w:rFonts w:ascii="Calibri" w:hAnsi="Calibri" w:cs="Courier New"/>
              </w:rPr>
              <w:t xml:space="preserve"> </w:t>
            </w:r>
            <w:r w:rsidRPr="00687A1C">
              <w:t>576</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18</w:t>
            </w:r>
            <w:r w:rsidR="00D8412D" w:rsidRPr="00687A1C">
              <w:rPr>
                <w:rFonts w:ascii="Calibri" w:hAnsi="Calibri" w:cs="Courier New"/>
              </w:rPr>
              <w:t xml:space="preserve"> </w:t>
            </w:r>
            <w:r w:rsidR="00D31006" w:rsidRPr="00687A1C">
              <w:t>987</w:t>
            </w:r>
            <w:r w:rsidR="00D8412D" w:rsidRPr="00687A1C">
              <w:rPr>
                <w:rFonts w:ascii="Calibri" w:hAnsi="Calibri" w:cs="Courier New"/>
              </w:rPr>
              <w:t xml:space="preserve"> </w:t>
            </w:r>
            <w:r w:rsidR="00D31006" w:rsidRPr="00687A1C">
              <w:t>019</w:t>
            </w:r>
          </w:p>
        </w:tc>
        <w:tc>
          <w:tcPr>
            <w:tcW w:w="1138" w:type="dxa"/>
            <w:shd w:val="clear" w:color="auto" w:fill="E0E0E0"/>
            <w:noWrap/>
          </w:tcPr>
          <w:p w:rsidR="00174AEA" w:rsidRPr="00687A1C" w:rsidRDefault="00174AEA" w:rsidP="00D8412D">
            <w:pPr>
              <w:pStyle w:val="Tabletextright"/>
            </w:pPr>
            <w:r w:rsidRPr="00687A1C">
              <w:t>18</w:t>
            </w:r>
            <w:r w:rsidR="00D8412D" w:rsidRPr="00687A1C">
              <w:rPr>
                <w:rFonts w:ascii="Calibri" w:hAnsi="Calibri" w:cs="Courier New"/>
              </w:rPr>
              <w:t xml:space="preserve"> </w:t>
            </w:r>
            <w:r w:rsidRPr="00687A1C">
              <w:t>386</w:t>
            </w:r>
            <w:r w:rsidR="00D8412D" w:rsidRPr="00687A1C">
              <w:rPr>
                <w:rFonts w:ascii="Calibri" w:hAnsi="Calibri" w:cs="Courier New"/>
              </w:rPr>
              <w:t xml:space="preserve"> </w:t>
            </w:r>
            <w:r w:rsidRPr="00687A1C">
              <w:t>576</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457</w:t>
            </w:r>
            <w:r w:rsidR="00D8412D" w:rsidRPr="00687A1C">
              <w:t xml:space="preserve"> </w:t>
            </w:r>
            <w:r w:rsidRPr="00687A1C">
              <w:t>953</w:t>
            </w:r>
          </w:p>
        </w:tc>
        <w:tc>
          <w:tcPr>
            <w:tcW w:w="1170" w:type="dxa"/>
            <w:shd w:val="clear" w:color="auto" w:fill="auto"/>
            <w:noWrap/>
          </w:tcPr>
          <w:p w:rsidR="00174AEA" w:rsidRPr="00687A1C" w:rsidRDefault="00174AEA" w:rsidP="00D8412D">
            <w:pPr>
              <w:pStyle w:val="Tabletextright"/>
            </w:pPr>
            <w:r w:rsidRPr="00687A1C">
              <w:t>369</w:t>
            </w:r>
            <w:r w:rsidR="00D8412D" w:rsidRPr="00687A1C">
              <w:t xml:space="preserve"> </w:t>
            </w:r>
            <w:r w:rsidRPr="00687A1C">
              <w:t>061</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457</w:t>
            </w:r>
            <w:r w:rsidR="00D8412D" w:rsidRPr="00687A1C">
              <w:t xml:space="preserve"> </w:t>
            </w:r>
            <w:r w:rsidRPr="00687A1C">
              <w:t>953</w:t>
            </w:r>
          </w:p>
        </w:tc>
        <w:tc>
          <w:tcPr>
            <w:tcW w:w="1138" w:type="dxa"/>
            <w:shd w:val="clear" w:color="auto" w:fill="E0E0E0"/>
            <w:noWrap/>
          </w:tcPr>
          <w:p w:rsidR="00174AEA" w:rsidRPr="00687A1C" w:rsidRDefault="00174AEA" w:rsidP="00D8412D">
            <w:pPr>
              <w:pStyle w:val="Tabletextright"/>
            </w:pPr>
            <w:r w:rsidRPr="00687A1C">
              <w:t>369</w:t>
            </w:r>
            <w:r w:rsidR="00D8412D" w:rsidRPr="00687A1C">
              <w:t xml:space="preserve"> </w:t>
            </w:r>
            <w:r w:rsidRPr="00687A1C">
              <w:t>061</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5</w:t>
            </w:r>
            <w:r w:rsidR="00D8412D" w:rsidRPr="00687A1C">
              <w:t xml:space="preserve"> </w:t>
            </w:r>
            <w:r w:rsidRPr="00687A1C">
              <w:t>406</w:t>
            </w:r>
            <w:r w:rsidR="00D8412D" w:rsidRPr="00687A1C">
              <w:t xml:space="preserve"> </w:t>
            </w:r>
            <w:r w:rsidRPr="00687A1C">
              <w:t>374</w:t>
            </w:r>
          </w:p>
        </w:tc>
        <w:tc>
          <w:tcPr>
            <w:tcW w:w="1170" w:type="dxa"/>
            <w:shd w:val="clear" w:color="auto" w:fill="auto"/>
            <w:noWrap/>
          </w:tcPr>
          <w:p w:rsidR="00174AEA" w:rsidRPr="00687A1C" w:rsidRDefault="00174AEA" w:rsidP="00D8412D">
            <w:pPr>
              <w:pStyle w:val="Tabletextright"/>
            </w:pPr>
            <w:r w:rsidRPr="00687A1C">
              <w:t>5</w:t>
            </w:r>
            <w:r w:rsidR="00D8412D" w:rsidRPr="00687A1C">
              <w:t xml:space="preserve"> </w:t>
            </w:r>
            <w:r w:rsidRPr="00687A1C">
              <w:t>125</w:t>
            </w:r>
            <w:r w:rsidR="00D8412D" w:rsidRPr="00687A1C">
              <w:t xml:space="preserve"> </w:t>
            </w:r>
            <w:r w:rsidRPr="00687A1C">
              <w:t>834</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5</w:t>
            </w:r>
            <w:r w:rsidR="00D8412D" w:rsidRPr="00687A1C">
              <w:t xml:space="preserve"> </w:t>
            </w:r>
            <w:r w:rsidRPr="00687A1C">
              <w:t>406</w:t>
            </w:r>
            <w:r w:rsidR="00D8412D" w:rsidRPr="00687A1C">
              <w:t xml:space="preserve"> </w:t>
            </w:r>
            <w:r w:rsidRPr="00687A1C">
              <w:t>374</w:t>
            </w:r>
          </w:p>
        </w:tc>
        <w:tc>
          <w:tcPr>
            <w:tcW w:w="1138" w:type="dxa"/>
            <w:shd w:val="clear" w:color="auto" w:fill="E0E0E0"/>
            <w:noWrap/>
          </w:tcPr>
          <w:p w:rsidR="00174AEA" w:rsidRPr="00687A1C" w:rsidRDefault="00174AEA" w:rsidP="00D8412D">
            <w:pPr>
              <w:pStyle w:val="Tabletextright"/>
            </w:pPr>
            <w:r w:rsidRPr="00687A1C">
              <w:t>5</w:t>
            </w:r>
            <w:r w:rsidR="00D8412D" w:rsidRPr="00687A1C">
              <w:t xml:space="preserve"> </w:t>
            </w:r>
            <w:r w:rsidRPr="00687A1C">
              <w:t>125</w:t>
            </w:r>
            <w:r w:rsidR="00D8412D" w:rsidRPr="00687A1C">
              <w:t xml:space="preserve"> </w:t>
            </w:r>
            <w:r w:rsidRPr="00687A1C">
              <w:t>834</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122</w:t>
            </w:r>
            <w:r w:rsidR="00D8412D" w:rsidRPr="00687A1C">
              <w:t xml:space="preserve"> </w:t>
            </w:r>
            <w:r w:rsidRPr="00687A1C">
              <w:t>887</w:t>
            </w:r>
          </w:p>
        </w:tc>
        <w:tc>
          <w:tcPr>
            <w:tcW w:w="1170" w:type="dxa"/>
            <w:shd w:val="clear" w:color="auto" w:fill="auto"/>
            <w:noWrap/>
          </w:tcPr>
          <w:p w:rsidR="00174AEA" w:rsidRPr="00687A1C" w:rsidRDefault="00174AEA" w:rsidP="00D8412D">
            <w:pPr>
              <w:pStyle w:val="Tabletextright"/>
            </w:pPr>
            <w:r w:rsidRPr="00687A1C">
              <w:t>132</w:t>
            </w:r>
            <w:r w:rsidR="00D8412D" w:rsidRPr="00687A1C">
              <w:t xml:space="preserve"> </w:t>
            </w:r>
            <w:r w:rsidRPr="00687A1C">
              <w:t>229</w:t>
            </w:r>
          </w:p>
        </w:tc>
        <w:tc>
          <w:tcPr>
            <w:tcW w:w="1138" w:type="dxa"/>
            <w:shd w:val="clear" w:color="auto" w:fill="E0E0E0"/>
            <w:noWrap/>
          </w:tcPr>
          <w:p w:rsidR="00174AEA" w:rsidRPr="00687A1C" w:rsidRDefault="00174AEA" w:rsidP="00D8412D">
            <w:pPr>
              <w:pStyle w:val="Tabletextright"/>
            </w:pPr>
            <w:r w:rsidRPr="00687A1C">
              <w:t>4</w:t>
            </w:r>
            <w:r w:rsidR="00D8412D" w:rsidRPr="00687A1C">
              <w:t xml:space="preserve"> </w:t>
            </w:r>
            <w:r w:rsidRPr="00687A1C">
              <w:t>217</w:t>
            </w:r>
          </w:p>
        </w:tc>
        <w:tc>
          <w:tcPr>
            <w:tcW w:w="1138" w:type="dxa"/>
            <w:shd w:val="clear" w:color="auto" w:fill="E0E0E0"/>
            <w:noWrap/>
          </w:tcPr>
          <w:p w:rsidR="00174AEA" w:rsidRPr="00687A1C" w:rsidRDefault="00174AEA" w:rsidP="00D8412D">
            <w:pPr>
              <w:pStyle w:val="Tabletextright"/>
            </w:pPr>
            <w:r w:rsidRPr="00687A1C">
              <w:t>4</w:t>
            </w:r>
            <w:r w:rsidR="00D8412D" w:rsidRPr="00687A1C">
              <w:t xml:space="preserve"> </w:t>
            </w:r>
            <w:r w:rsidRPr="00687A1C">
              <w:t>398</w:t>
            </w: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127</w:t>
            </w:r>
            <w:r w:rsidR="00D8412D" w:rsidRPr="00687A1C">
              <w:t xml:space="preserve"> </w:t>
            </w:r>
            <w:r w:rsidRPr="00687A1C">
              <w:t>104</w:t>
            </w:r>
          </w:p>
        </w:tc>
        <w:tc>
          <w:tcPr>
            <w:tcW w:w="1138" w:type="dxa"/>
            <w:shd w:val="clear" w:color="auto" w:fill="E0E0E0"/>
            <w:noWrap/>
          </w:tcPr>
          <w:p w:rsidR="00174AEA" w:rsidRPr="00687A1C" w:rsidRDefault="00174AEA" w:rsidP="00D8412D">
            <w:pPr>
              <w:pStyle w:val="Tabletextright"/>
            </w:pPr>
            <w:r w:rsidRPr="00687A1C">
              <w:t>136</w:t>
            </w:r>
            <w:r w:rsidR="00D8412D" w:rsidRPr="00687A1C">
              <w:t xml:space="preserve"> </w:t>
            </w:r>
            <w:r w:rsidRPr="00687A1C">
              <w:t>627</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6</w:t>
            </w:r>
            <w:r w:rsidR="00D8412D" w:rsidRPr="00687A1C">
              <w:t xml:space="preserve"> </w:t>
            </w:r>
            <w:r w:rsidRPr="00687A1C">
              <w:t>543</w:t>
            </w:r>
          </w:p>
        </w:tc>
        <w:tc>
          <w:tcPr>
            <w:tcW w:w="1170" w:type="dxa"/>
            <w:shd w:val="clear" w:color="auto" w:fill="auto"/>
            <w:noWrap/>
          </w:tcPr>
          <w:p w:rsidR="00174AEA" w:rsidRPr="00687A1C" w:rsidRDefault="00174AEA" w:rsidP="00D8412D">
            <w:pPr>
              <w:pStyle w:val="Tabletextright"/>
            </w:pPr>
            <w:r w:rsidRPr="00687A1C">
              <w:t>46</w:t>
            </w:r>
            <w:r w:rsidR="00D8412D" w:rsidRPr="00687A1C">
              <w:t xml:space="preserve"> </w:t>
            </w:r>
            <w:r w:rsidRPr="00687A1C">
              <w:t>627</w:t>
            </w:r>
          </w:p>
        </w:tc>
        <w:tc>
          <w:tcPr>
            <w:tcW w:w="1138" w:type="dxa"/>
            <w:shd w:val="clear" w:color="auto" w:fill="E0E0E0"/>
            <w:noWrap/>
          </w:tcPr>
          <w:p w:rsidR="00174AEA" w:rsidRPr="00687A1C" w:rsidRDefault="00174AEA" w:rsidP="008A3976">
            <w:pPr>
              <w:pStyle w:val="Tabletextright"/>
            </w:pPr>
            <w:r w:rsidRPr="00687A1C">
              <w:t>823</w:t>
            </w:r>
          </w:p>
        </w:tc>
        <w:tc>
          <w:tcPr>
            <w:tcW w:w="1138" w:type="dxa"/>
            <w:shd w:val="clear" w:color="auto" w:fill="E0E0E0"/>
            <w:noWrap/>
          </w:tcPr>
          <w:p w:rsidR="00174AEA" w:rsidRPr="00687A1C" w:rsidRDefault="00174AEA" w:rsidP="008A3976">
            <w:pPr>
              <w:pStyle w:val="Tabletextright"/>
            </w:pPr>
            <w:r w:rsidRPr="00687A1C">
              <w:t>477</w:t>
            </w: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109</w:t>
            </w:r>
            <w:r w:rsidR="00D8412D" w:rsidRPr="00687A1C">
              <w:t xml:space="preserve"> </w:t>
            </w:r>
            <w:r w:rsidRPr="00687A1C">
              <w:t>958</w:t>
            </w:r>
          </w:p>
        </w:tc>
        <w:tc>
          <w:tcPr>
            <w:tcW w:w="1138" w:type="dxa"/>
            <w:shd w:val="clear" w:color="auto" w:fill="E0E0E0"/>
            <w:noWrap/>
          </w:tcPr>
          <w:p w:rsidR="00174AEA" w:rsidRPr="00687A1C" w:rsidRDefault="00174AEA" w:rsidP="00D8412D">
            <w:pPr>
              <w:pStyle w:val="Tabletextright"/>
            </w:pPr>
            <w:r w:rsidRPr="00687A1C">
              <w:t>159</w:t>
            </w:r>
            <w:r w:rsidR="00D8412D" w:rsidRPr="00687A1C">
              <w:t xml:space="preserve"> </w:t>
            </w:r>
            <w:r w:rsidRPr="00687A1C">
              <w:t>444</w:t>
            </w:r>
          </w:p>
        </w:tc>
      </w:tr>
      <w:tr w:rsidR="00174AEA" w:rsidRPr="00687A1C" w:rsidTr="008A3976">
        <w:trPr>
          <w:cantSplit/>
          <w:trHeight w:val="446"/>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D8412D" w:rsidP="00D8412D">
            <w:pPr>
              <w:pStyle w:val="Tabletextright"/>
            </w:pPr>
            <w:r w:rsidRPr="00687A1C">
              <w:t xml:space="preserve"> </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D8412D" w:rsidP="00D8412D">
            <w:pPr>
              <w:pStyle w:val="Tabletextright"/>
            </w:pPr>
            <w:r w:rsidRPr="00687A1C">
              <w:t xml:space="preserve"> </w:t>
            </w:r>
          </w:p>
        </w:tc>
        <w:tc>
          <w:tcPr>
            <w:tcW w:w="1138" w:type="dxa"/>
            <w:shd w:val="clear" w:color="auto" w:fill="auto"/>
            <w:noWrap/>
          </w:tcPr>
          <w:p w:rsidR="00174AEA" w:rsidRPr="00687A1C" w:rsidRDefault="00DE0CB9" w:rsidP="008A3976">
            <w:pPr>
              <w:pStyle w:val="Tabletextright"/>
            </w:pPr>
            <w:r w:rsidRPr="00687A1C">
              <w:t>128 247</w:t>
            </w:r>
          </w:p>
        </w:tc>
        <w:tc>
          <w:tcPr>
            <w:tcW w:w="1138"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288</w:t>
            </w:r>
            <w:r w:rsidR="00D8412D" w:rsidRPr="00687A1C">
              <w:t xml:space="preserve"> </w:t>
            </w:r>
            <w:r w:rsidRPr="00687A1C">
              <w:t>441</w:t>
            </w:r>
          </w:p>
        </w:tc>
        <w:tc>
          <w:tcPr>
            <w:tcW w:w="1138" w:type="dxa"/>
            <w:shd w:val="clear" w:color="auto" w:fill="E0E0E0"/>
            <w:noWrap/>
          </w:tcPr>
          <w:p w:rsidR="00174AEA" w:rsidRPr="00687A1C" w:rsidRDefault="00DE0CB9" w:rsidP="008A3976">
            <w:pPr>
              <w:pStyle w:val="Tabletextright"/>
            </w:pPr>
            <w:r w:rsidRPr="00687A1C">
              <w:t>128 247</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288</w:t>
            </w:r>
            <w:r w:rsidR="00D8412D" w:rsidRPr="00687A1C">
              <w:t xml:space="preserve"> </w:t>
            </w:r>
            <w:r w:rsidRPr="00687A1C">
              <w:t>441</w:t>
            </w:r>
          </w:p>
        </w:tc>
      </w:tr>
      <w:tr w:rsidR="00174AEA" w:rsidRPr="00687A1C" w:rsidTr="008A3976">
        <w:trPr>
          <w:cantSplit/>
        </w:trPr>
        <w:tc>
          <w:tcPr>
            <w:tcW w:w="1278" w:type="dxa"/>
            <w:shd w:val="clear" w:color="auto" w:fill="auto"/>
            <w:noWrap/>
          </w:tcPr>
          <w:p w:rsidR="00174AEA" w:rsidRPr="00687A1C" w:rsidRDefault="00174AEA" w:rsidP="00D8412D">
            <w:pPr>
              <w:pStyle w:val="Tabletextrightbold"/>
            </w:pPr>
            <w:r w:rsidRPr="00687A1C">
              <w:t>11</w:t>
            </w:r>
            <w:r w:rsidR="00D8412D" w:rsidRPr="00687A1C">
              <w:rPr>
                <w:rFonts w:ascii="Calibri" w:hAnsi="Calibri" w:cs="Calibri"/>
              </w:rPr>
              <w:t xml:space="preserve"> </w:t>
            </w:r>
            <w:r w:rsidR="00537359" w:rsidRPr="00687A1C">
              <w:t>249</w:t>
            </w:r>
            <w:r w:rsidR="00D8412D" w:rsidRPr="00687A1C">
              <w:rPr>
                <w:rFonts w:ascii="Calibri" w:hAnsi="Calibri" w:cs="Courier New"/>
              </w:rPr>
              <w:t xml:space="preserve"> </w:t>
            </w:r>
            <w:r w:rsidR="00537359" w:rsidRPr="00687A1C">
              <w:t>478</w:t>
            </w:r>
          </w:p>
        </w:tc>
        <w:tc>
          <w:tcPr>
            <w:tcW w:w="1170" w:type="dxa"/>
            <w:shd w:val="clear" w:color="auto" w:fill="auto"/>
            <w:noWrap/>
          </w:tcPr>
          <w:p w:rsidR="00174AEA" w:rsidRPr="00687A1C" w:rsidRDefault="00174AEA" w:rsidP="00D8412D">
            <w:pPr>
              <w:pStyle w:val="Tabletextrightbold"/>
            </w:pPr>
            <w:r w:rsidRPr="00687A1C">
              <w:t>16</w:t>
            </w:r>
            <w:r w:rsidR="00D8412D" w:rsidRPr="00687A1C">
              <w:rPr>
                <w:rFonts w:ascii="Calibri" w:hAnsi="Calibri" w:cs="Calibri"/>
              </w:rPr>
              <w:t xml:space="preserve"> </w:t>
            </w:r>
            <w:r w:rsidRPr="00687A1C">
              <w:t>727</w:t>
            </w:r>
            <w:r w:rsidR="00D8412D" w:rsidRPr="00687A1C">
              <w:rPr>
                <w:rFonts w:ascii="Calibri" w:hAnsi="Calibri" w:cs="Calibri"/>
              </w:rPr>
              <w:t xml:space="preserve"> </w:t>
            </w:r>
            <w:r w:rsidRPr="00687A1C">
              <w:t>026</w:t>
            </w:r>
          </w:p>
        </w:tc>
        <w:tc>
          <w:tcPr>
            <w:tcW w:w="1138" w:type="dxa"/>
            <w:shd w:val="clear" w:color="auto" w:fill="E0E0E0"/>
            <w:noWrap/>
          </w:tcPr>
          <w:p w:rsidR="00174AEA" w:rsidRPr="00687A1C" w:rsidRDefault="00174AEA" w:rsidP="00D8412D">
            <w:pPr>
              <w:pStyle w:val="Tabletextrightbold"/>
            </w:pPr>
            <w:r w:rsidRPr="00687A1C">
              <w:t>5</w:t>
            </w:r>
            <w:r w:rsidR="00D8412D" w:rsidRPr="00687A1C">
              <w:rPr>
                <w:rFonts w:ascii="Calibri" w:hAnsi="Calibri" w:cs="Calibri"/>
              </w:rPr>
              <w:t xml:space="preserve"> </w:t>
            </w:r>
            <w:r w:rsidRPr="00687A1C">
              <w:t>097</w:t>
            </w:r>
          </w:p>
        </w:tc>
        <w:tc>
          <w:tcPr>
            <w:tcW w:w="1138" w:type="dxa"/>
            <w:shd w:val="clear" w:color="auto" w:fill="E0E0E0"/>
            <w:noWrap/>
          </w:tcPr>
          <w:p w:rsidR="00174AEA" w:rsidRPr="00687A1C" w:rsidRDefault="00174AEA" w:rsidP="00D8412D">
            <w:pPr>
              <w:pStyle w:val="Tabletextrightbold"/>
            </w:pPr>
            <w:r w:rsidRPr="00687A1C">
              <w:t>5</w:t>
            </w:r>
            <w:r w:rsidR="00D8412D" w:rsidRPr="00687A1C">
              <w:rPr>
                <w:rFonts w:ascii="Calibri" w:hAnsi="Calibri" w:cs="Calibri"/>
              </w:rPr>
              <w:t xml:space="preserve"> </w:t>
            </w:r>
            <w:r w:rsidRPr="00687A1C">
              <w:t>046</w:t>
            </w:r>
          </w:p>
        </w:tc>
        <w:tc>
          <w:tcPr>
            <w:tcW w:w="1138" w:type="dxa"/>
            <w:shd w:val="clear" w:color="auto" w:fill="auto"/>
            <w:noWrap/>
          </w:tcPr>
          <w:p w:rsidR="00174AEA" w:rsidRPr="00687A1C" w:rsidRDefault="001802F6" w:rsidP="004F1F45">
            <w:pPr>
              <w:pStyle w:val="Tabletextrightbold"/>
            </w:pPr>
            <w:r w:rsidRPr="00687A1C">
              <w:t xml:space="preserve">8 </w:t>
            </w:r>
            <w:r w:rsidR="00DE0CB9" w:rsidRPr="00687A1C">
              <w:t>267 428</w:t>
            </w:r>
          </w:p>
        </w:tc>
        <w:tc>
          <w:tcPr>
            <w:tcW w:w="1138" w:type="dxa"/>
            <w:shd w:val="clear" w:color="auto" w:fill="auto"/>
            <w:noWrap/>
          </w:tcPr>
          <w:p w:rsidR="00174AEA" w:rsidRPr="00687A1C" w:rsidRDefault="00174AEA" w:rsidP="00D8412D">
            <w:pPr>
              <w:pStyle w:val="Tabletextrightbold"/>
            </w:pPr>
            <w:r w:rsidRPr="00687A1C">
              <w:t>9</w:t>
            </w:r>
            <w:r w:rsidR="00D8412D" w:rsidRPr="00687A1C">
              <w:rPr>
                <w:rFonts w:ascii="Calibri" w:hAnsi="Calibri" w:cs="Calibri"/>
              </w:rPr>
              <w:t xml:space="preserve"> </w:t>
            </w:r>
            <w:r w:rsidRPr="00687A1C">
              <w:t>202</w:t>
            </w:r>
            <w:r w:rsidR="00D8412D" w:rsidRPr="00687A1C">
              <w:rPr>
                <w:rFonts w:ascii="Calibri" w:hAnsi="Calibri" w:cs="Calibri"/>
              </w:rPr>
              <w:t xml:space="preserve"> </w:t>
            </w:r>
            <w:r w:rsidRPr="00687A1C">
              <w:t>583</w:t>
            </w:r>
          </w:p>
        </w:tc>
        <w:tc>
          <w:tcPr>
            <w:tcW w:w="1138" w:type="dxa"/>
            <w:shd w:val="clear" w:color="auto" w:fill="E0E0E0"/>
            <w:noWrap/>
          </w:tcPr>
          <w:p w:rsidR="00174AEA" w:rsidRPr="00687A1C" w:rsidRDefault="004F1F45" w:rsidP="00D31006">
            <w:pPr>
              <w:pStyle w:val="Tabletextrightbold"/>
            </w:pPr>
            <w:r w:rsidRPr="00687A1C">
              <w:t xml:space="preserve">54 </w:t>
            </w:r>
            <w:r w:rsidR="00DE0CB9" w:rsidRPr="00687A1C">
              <w:t>564 650</w:t>
            </w:r>
          </w:p>
        </w:tc>
        <w:tc>
          <w:tcPr>
            <w:tcW w:w="1138" w:type="dxa"/>
            <w:shd w:val="clear" w:color="auto" w:fill="E0E0E0"/>
            <w:noWrap/>
          </w:tcPr>
          <w:p w:rsidR="00174AEA" w:rsidRPr="00687A1C" w:rsidRDefault="00174AEA" w:rsidP="00D8412D">
            <w:pPr>
              <w:pStyle w:val="Tabletextrightbold"/>
            </w:pPr>
            <w:r w:rsidRPr="00687A1C">
              <w:t>57</w:t>
            </w:r>
            <w:r w:rsidR="00D8412D" w:rsidRPr="00687A1C">
              <w:rPr>
                <w:rFonts w:ascii="Calibri" w:hAnsi="Calibri" w:cs="Calibri"/>
              </w:rPr>
              <w:t xml:space="preserve"> </w:t>
            </w:r>
            <w:r w:rsidRPr="00687A1C">
              <w:t>456</w:t>
            </w:r>
            <w:r w:rsidR="00D8412D" w:rsidRPr="00687A1C">
              <w:rPr>
                <w:rFonts w:ascii="Calibri" w:hAnsi="Calibri" w:cs="Calibri"/>
              </w:rPr>
              <w:t xml:space="preserve"> </w:t>
            </w:r>
            <w:r w:rsidRPr="00687A1C">
              <w:t>963</w:t>
            </w:r>
          </w:p>
        </w:tc>
      </w:tr>
      <w:tr w:rsidR="00174AEA" w:rsidRPr="00687A1C" w:rsidTr="008A3976">
        <w:trPr>
          <w:cantSplit/>
          <w:trHeight w:hRule="exact" w:val="58"/>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t>3</w:t>
            </w:r>
            <w:r w:rsidR="00D8412D" w:rsidRPr="00687A1C">
              <w:rPr>
                <w:rFonts w:ascii="Calibri" w:hAnsi="Calibri" w:cs="Courier New"/>
              </w:rPr>
              <w:t xml:space="preserve"> </w:t>
            </w:r>
            <w:r w:rsidR="00D31006" w:rsidRPr="00687A1C">
              <w:t>580</w:t>
            </w:r>
            <w:r w:rsidR="00D8412D" w:rsidRPr="00687A1C">
              <w:rPr>
                <w:rFonts w:ascii="Calibri" w:hAnsi="Calibri" w:cs="Courier New"/>
              </w:rPr>
              <w:t xml:space="preserve"> </w:t>
            </w:r>
            <w:r w:rsidR="00D31006" w:rsidRPr="00687A1C">
              <w:t>619</w:t>
            </w:r>
          </w:p>
        </w:tc>
        <w:tc>
          <w:tcPr>
            <w:tcW w:w="1138" w:type="dxa"/>
            <w:shd w:val="clear" w:color="auto" w:fill="auto"/>
            <w:noWrap/>
          </w:tcPr>
          <w:p w:rsidR="00174AEA" w:rsidRPr="00687A1C" w:rsidRDefault="00174AEA" w:rsidP="00D8412D">
            <w:pPr>
              <w:pStyle w:val="Tabletextright"/>
            </w:pPr>
            <w:r w:rsidRPr="00687A1C">
              <w:t>3</w:t>
            </w:r>
            <w:r w:rsidR="00D8412D" w:rsidRPr="00687A1C">
              <w:rPr>
                <w:rFonts w:ascii="Calibri" w:hAnsi="Calibri" w:cs="Courier New"/>
              </w:rPr>
              <w:t xml:space="preserve"> </w:t>
            </w:r>
            <w:r w:rsidRPr="00687A1C">
              <w:t>181</w:t>
            </w:r>
            <w:r w:rsidR="00D8412D" w:rsidRPr="00687A1C">
              <w:rPr>
                <w:rFonts w:ascii="Calibri" w:hAnsi="Calibri" w:cs="Courier New"/>
              </w:rPr>
              <w:t xml:space="preserve"> </w:t>
            </w:r>
            <w:r w:rsidRPr="00687A1C">
              <w:t>725</w:t>
            </w:r>
          </w:p>
        </w:tc>
        <w:tc>
          <w:tcPr>
            <w:tcW w:w="1138" w:type="dxa"/>
            <w:shd w:val="clear" w:color="auto" w:fill="E0E0E0"/>
            <w:noWrap/>
          </w:tcPr>
          <w:p w:rsidR="00174AEA" w:rsidRPr="00687A1C" w:rsidRDefault="00D31006" w:rsidP="00D8412D">
            <w:pPr>
              <w:pStyle w:val="Tabletextright"/>
            </w:pPr>
            <w:r w:rsidRPr="00687A1C">
              <w:t>4</w:t>
            </w:r>
            <w:r w:rsidR="00D8412D" w:rsidRPr="00687A1C">
              <w:rPr>
                <w:rFonts w:ascii="Calibri" w:hAnsi="Calibri" w:cs="Courier New"/>
              </w:rPr>
              <w:t xml:space="preserve"> </w:t>
            </w:r>
            <w:r w:rsidRPr="00687A1C">
              <w:t>042</w:t>
            </w:r>
            <w:r w:rsidR="00D8412D" w:rsidRPr="00687A1C">
              <w:rPr>
                <w:rFonts w:ascii="Calibri" w:hAnsi="Calibri" w:cs="Courier New"/>
              </w:rPr>
              <w:t xml:space="preserve"> </w:t>
            </w:r>
            <w:r w:rsidRPr="00687A1C">
              <w:t>668</w:t>
            </w:r>
          </w:p>
        </w:tc>
        <w:tc>
          <w:tcPr>
            <w:tcW w:w="1138" w:type="dxa"/>
            <w:shd w:val="clear" w:color="auto" w:fill="E0E0E0"/>
            <w:noWrap/>
          </w:tcPr>
          <w:p w:rsidR="00174AEA" w:rsidRPr="00687A1C" w:rsidRDefault="00174AEA" w:rsidP="00D8412D">
            <w:pPr>
              <w:pStyle w:val="Tabletextright"/>
            </w:pPr>
            <w:r w:rsidRPr="00687A1C">
              <w:t>3</w:t>
            </w:r>
            <w:r w:rsidR="00D8412D" w:rsidRPr="00687A1C">
              <w:rPr>
                <w:rFonts w:ascii="Calibri" w:hAnsi="Calibri" w:cs="Courier New"/>
              </w:rPr>
              <w:t xml:space="preserve"> </w:t>
            </w:r>
            <w:r w:rsidRPr="00687A1C">
              <w:t>611</w:t>
            </w:r>
            <w:r w:rsidR="00D8412D" w:rsidRPr="00687A1C">
              <w:rPr>
                <w:rFonts w:ascii="Calibri" w:hAnsi="Calibri" w:cs="Courier New"/>
              </w:rPr>
              <w:t xml:space="preserve"> </w:t>
            </w:r>
            <w:r w:rsidRPr="00687A1C">
              <w:t>496</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150</w:t>
            </w:r>
            <w:r w:rsidR="00D8412D" w:rsidRPr="00687A1C">
              <w:t xml:space="preserve"> </w:t>
            </w:r>
            <w:r w:rsidRPr="00687A1C">
              <w:t>355</w:t>
            </w:r>
          </w:p>
        </w:tc>
        <w:tc>
          <w:tcPr>
            <w:tcW w:w="1170" w:type="dxa"/>
            <w:shd w:val="clear" w:color="auto" w:fill="auto"/>
            <w:noWrap/>
          </w:tcPr>
          <w:p w:rsidR="00174AEA" w:rsidRPr="00687A1C" w:rsidRDefault="00174AEA" w:rsidP="00D8412D">
            <w:pPr>
              <w:pStyle w:val="Tabletextright"/>
            </w:pPr>
            <w:r w:rsidRPr="00687A1C">
              <w:rPr>
                <w:color w:val="333333"/>
              </w:rPr>
              <w:t>1</w:t>
            </w:r>
            <w:r w:rsidR="00D8412D" w:rsidRPr="00687A1C">
              <w:rPr>
                <w:color w:val="333333"/>
              </w:rPr>
              <w:t xml:space="preserve"> </w:t>
            </w:r>
            <w:r w:rsidRPr="00687A1C">
              <w:rPr>
                <w:color w:val="333333"/>
              </w:rPr>
              <w:t>281</w:t>
            </w:r>
            <w:r w:rsidR="00D8412D" w:rsidRPr="00687A1C">
              <w:rPr>
                <w:color w:val="333333"/>
              </w:rPr>
              <w:t xml:space="preserve"> </w:t>
            </w:r>
            <w:r w:rsidRPr="00687A1C">
              <w:rPr>
                <w:color w:val="333333"/>
              </w:rPr>
              <w:t>230</w:t>
            </w:r>
          </w:p>
        </w:tc>
        <w:tc>
          <w:tcPr>
            <w:tcW w:w="1138" w:type="dxa"/>
            <w:shd w:val="clear" w:color="auto" w:fill="E0E0E0"/>
            <w:noWrap/>
          </w:tcPr>
          <w:p w:rsidR="00174AEA" w:rsidRPr="00687A1C" w:rsidRDefault="00174AEA" w:rsidP="00D8412D">
            <w:pPr>
              <w:pStyle w:val="Tabletextright"/>
            </w:pPr>
            <w:r w:rsidRPr="00687A1C">
              <w:t>4</w:t>
            </w:r>
            <w:r w:rsidR="00D8412D" w:rsidRPr="00687A1C">
              <w:t xml:space="preserve"> </w:t>
            </w:r>
            <w:r w:rsidRPr="00687A1C">
              <w:t>910</w:t>
            </w:r>
          </w:p>
        </w:tc>
        <w:tc>
          <w:tcPr>
            <w:tcW w:w="1138" w:type="dxa"/>
            <w:shd w:val="clear" w:color="auto" w:fill="E0E0E0"/>
            <w:noWrap/>
          </w:tcPr>
          <w:p w:rsidR="00174AEA" w:rsidRPr="00687A1C" w:rsidRDefault="00174AEA" w:rsidP="00D8412D">
            <w:pPr>
              <w:pStyle w:val="Tabletextright"/>
            </w:pPr>
            <w:r w:rsidRPr="00687A1C">
              <w:t>4</w:t>
            </w:r>
            <w:r w:rsidR="00D8412D" w:rsidRPr="00687A1C">
              <w:t xml:space="preserve"> </w:t>
            </w:r>
            <w:r w:rsidRPr="00687A1C">
              <w:t>556</w:t>
            </w: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r w:rsidRPr="00687A1C">
              <w:t>762</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156</w:t>
            </w:r>
            <w:r w:rsidR="00D8412D" w:rsidRPr="00687A1C">
              <w:t xml:space="preserve"> </w:t>
            </w:r>
            <w:r w:rsidRPr="00687A1C">
              <w:t>058</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287</w:t>
            </w:r>
            <w:r w:rsidR="00D8412D" w:rsidRPr="00687A1C">
              <w:t xml:space="preserve"> </w:t>
            </w:r>
            <w:r w:rsidRPr="00687A1C">
              <w:t>382</w:t>
            </w: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164</w:t>
            </w:r>
            <w:r w:rsidR="00D8412D" w:rsidRPr="00687A1C">
              <w:t xml:space="preserve"> </w:t>
            </w:r>
            <w:r w:rsidRPr="00687A1C">
              <w:t>265</w:t>
            </w:r>
          </w:p>
        </w:tc>
        <w:tc>
          <w:tcPr>
            <w:tcW w:w="1138"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091</w:t>
            </w:r>
            <w:r w:rsidR="00D8412D" w:rsidRPr="00687A1C">
              <w:t xml:space="preserve"> </w:t>
            </w:r>
            <w:r w:rsidRPr="00687A1C">
              <w:t>458</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164</w:t>
            </w:r>
            <w:r w:rsidR="00D8412D" w:rsidRPr="00687A1C">
              <w:t xml:space="preserve"> </w:t>
            </w:r>
            <w:r w:rsidRPr="00687A1C">
              <w:t>265</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091</w:t>
            </w:r>
            <w:r w:rsidR="00D8412D" w:rsidRPr="00687A1C">
              <w:t xml:space="preserve"> </w:t>
            </w:r>
            <w:r w:rsidRPr="00687A1C">
              <w:t>458</w:t>
            </w: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162</w:t>
            </w:r>
            <w:r w:rsidR="00D8412D" w:rsidRPr="00687A1C">
              <w:t xml:space="preserve"> </w:t>
            </w:r>
            <w:r w:rsidRPr="00687A1C">
              <w:t>793</w:t>
            </w:r>
          </w:p>
        </w:tc>
        <w:tc>
          <w:tcPr>
            <w:tcW w:w="1138" w:type="dxa"/>
            <w:shd w:val="clear" w:color="auto" w:fill="E0E0E0"/>
            <w:noWrap/>
          </w:tcPr>
          <w:p w:rsidR="00174AEA" w:rsidRPr="00687A1C" w:rsidRDefault="00174AEA" w:rsidP="00D8412D">
            <w:pPr>
              <w:pStyle w:val="Tabletextright"/>
            </w:pPr>
            <w:r w:rsidRPr="00687A1C">
              <w:t>172</w:t>
            </w:r>
            <w:r w:rsidR="00D8412D" w:rsidRPr="00687A1C">
              <w:t xml:space="preserve"> </w:t>
            </w:r>
            <w:r w:rsidRPr="00687A1C">
              <w:t>163</w:t>
            </w: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4</w:t>
            </w:r>
            <w:r w:rsidR="00D8412D" w:rsidRPr="00687A1C">
              <w:t xml:space="preserve"> </w:t>
            </w:r>
            <w:r w:rsidRPr="00687A1C">
              <w:t>056</w:t>
            </w:r>
          </w:p>
        </w:tc>
        <w:tc>
          <w:tcPr>
            <w:tcW w:w="1138" w:type="dxa"/>
            <w:shd w:val="clear" w:color="auto" w:fill="E0E0E0"/>
            <w:noWrap/>
          </w:tcPr>
          <w:p w:rsidR="00174AEA" w:rsidRPr="00687A1C" w:rsidRDefault="00174AEA" w:rsidP="00D8412D">
            <w:pPr>
              <w:pStyle w:val="Tabletextright"/>
            </w:pPr>
            <w:r w:rsidRPr="00687A1C">
              <w:t>8</w:t>
            </w:r>
            <w:r w:rsidR="00D8412D" w:rsidRPr="00687A1C">
              <w:t xml:space="preserve"> </w:t>
            </w:r>
            <w:r w:rsidRPr="00687A1C">
              <w:t>257</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9</w:t>
            </w:r>
            <w:r w:rsidR="00D8412D" w:rsidRPr="00687A1C">
              <w:t xml:space="preserve"> </w:t>
            </w:r>
            <w:r w:rsidRPr="00687A1C">
              <w:t>197</w:t>
            </w:r>
          </w:p>
        </w:tc>
        <w:tc>
          <w:tcPr>
            <w:tcW w:w="1170" w:type="dxa"/>
            <w:shd w:val="clear" w:color="auto" w:fill="auto"/>
            <w:noWrap/>
          </w:tcPr>
          <w:p w:rsidR="00174AEA" w:rsidRPr="00687A1C" w:rsidRDefault="00174AEA" w:rsidP="00D8412D">
            <w:pPr>
              <w:pStyle w:val="Tabletextright"/>
            </w:pPr>
            <w:r w:rsidRPr="00687A1C">
              <w:t>34</w:t>
            </w:r>
            <w:r w:rsidR="00D8412D" w:rsidRPr="00687A1C">
              <w:t xml:space="preserve"> </w:t>
            </w:r>
            <w:r w:rsidRPr="00687A1C">
              <w:t>370</w:t>
            </w:r>
          </w:p>
        </w:tc>
        <w:tc>
          <w:tcPr>
            <w:tcW w:w="1138" w:type="dxa"/>
            <w:shd w:val="clear" w:color="auto" w:fill="E0E0E0"/>
            <w:noWrap/>
          </w:tcPr>
          <w:p w:rsidR="00174AEA" w:rsidRPr="00687A1C" w:rsidRDefault="00174AEA" w:rsidP="008A3976">
            <w:pPr>
              <w:pStyle w:val="Tabletextright"/>
            </w:pPr>
            <w:r w:rsidRPr="00687A1C">
              <w:t>150</w:t>
            </w:r>
          </w:p>
        </w:tc>
        <w:tc>
          <w:tcPr>
            <w:tcW w:w="1138" w:type="dxa"/>
            <w:shd w:val="clear" w:color="auto" w:fill="E0E0E0"/>
            <w:noWrap/>
          </w:tcPr>
          <w:p w:rsidR="00174AEA" w:rsidRPr="00687A1C" w:rsidRDefault="00174AEA" w:rsidP="008A3976">
            <w:pPr>
              <w:pStyle w:val="Tabletextright"/>
            </w:pPr>
            <w:r w:rsidRPr="00687A1C">
              <w:t>167</w:t>
            </w: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32</w:t>
            </w:r>
            <w:r w:rsidR="00D8412D" w:rsidRPr="00687A1C">
              <w:t xml:space="preserve"> </w:t>
            </w:r>
            <w:r w:rsidRPr="00687A1C">
              <w:t>939</w:t>
            </w:r>
          </w:p>
        </w:tc>
        <w:tc>
          <w:tcPr>
            <w:tcW w:w="1138" w:type="dxa"/>
            <w:shd w:val="clear" w:color="auto" w:fill="E0E0E0"/>
            <w:noWrap/>
          </w:tcPr>
          <w:p w:rsidR="00174AEA" w:rsidRPr="00687A1C" w:rsidRDefault="00174AEA" w:rsidP="00D8412D">
            <w:pPr>
              <w:pStyle w:val="Tabletextright"/>
            </w:pPr>
            <w:r w:rsidRPr="00687A1C">
              <w:t>73</w:t>
            </w:r>
            <w:r w:rsidR="00D8412D" w:rsidRPr="00687A1C">
              <w:t xml:space="preserve"> </w:t>
            </w:r>
            <w:r w:rsidRPr="00687A1C">
              <w:t>129</w:t>
            </w:r>
          </w:p>
        </w:tc>
      </w:tr>
      <w:tr w:rsidR="00174AEA" w:rsidRPr="00687A1C" w:rsidTr="008A3976">
        <w:trPr>
          <w:cantSplit/>
        </w:trPr>
        <w:tc>
          <w:tcPr>
            <w:tcW w:w="1278" w:type="dxa"/>
            <w:shd w:val="clear" w:color="auto" w:fill="auto"/>
            <w:noWrap/>
          </w:tcPr>
          <w:p w:rsidR="00174AEA" w:rsidRPr="00687A1C" w:rsidRDefault="00270A70" w:rsidP="00D8412D">
            <w:pPr>
              <w:pStyle w:val="Tabletextright"/>
            </w:pPr>
            <w:r w:rsidRPr="00687A1C">
              <w:t>10</w:t>
            </w:r>
            <w:r w:rsidR="00D8412D" w:rsidRPr="00687A1C">
              <w:rPr>
                <w:rFonts w:ascii="Calibri" w:hAnsi="Calibri" w:cs="Courier New"/>
              </w:rPr>
              <w:t xml:space="preserve"> </w:t>
            </w:r>
            <w:r w:rsidRPr="00687A1C">
              <w:t>457</w:t>
            </w:r>
            <w:r w:rsidR="00D8412D" w:rsidRPr="00687A1C">
              <w:rPr>
                <w:rFonts w:ascii="Calibri" w:hAnsi="Calibri" w:cs="Courier New"/>
              </w:rPr>
              <w:t xml:space="preserve"> </w:t>
            </w:r>
            <w:r w:rsidR="00537359" w:rsidRPr="00687A1C">
              <w:t>483</w:t>
            </w:r>
          </w:p>
        </w:tc>
        <w:tc>
          <w:tcPr>
            <w:tcW w:w="1170" w:type="dxa"/>
            <w:shd w:val="clear" w:color="auto" w:fill="auto"/>
            <w:noWrap/>
          </w:tcPr>
          <w:p w:rsidR="00174AEA" w:rsidRPr="00687A1C" w:rsidRDefault="00174AEA" w:rsidP="00D8412D">
            <w:pPr>
              <w:pStyle w:val="Tabletextright"/>
            </w:pPr>
            <w:r w:rsidRPr="00687A1C">
              <w:t>15</w:t>
            </w:r>
            <w:r w:rsidR="00D8412D" w:rsidRPr="00687A1C">
              <w:t xml:space="preserve"> </w:t>
            </w:r>
            <w:r w:rsidRPr="00687A1C">
              <w:t>787</w:t>
            </w:r>
            <w:r w:rsidR="00D8412D" w:rsidRPr="00687A1C">
              <w:t xml:space="preserve"> </w:t>
            </w:r>
            <w:r w:rsidR="00666C97" w:rsidRPr="00687A1C">
              <w:t>5</w:t>
            </w:r>
            <w:r w:rsidRPr="00687A1C">
              <w:t>09</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055</w:t>
            </w: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378</w:t>
            </w:r>
          </w:p>
        </w:tc>
        <w:tc>
          <w:tcPr>
            <w:tcW w:w="1138" w:type="dxa"/>
            <w:shd w:val="clear" w:color="auto" w:fill="auto"/>
            <w:noWrap/>
          </w:tcPr>
          <w:p w:rsidR="00174AEA" w:rsidRPr="00687A1C" w:rsidRDefault="00174AEA" w:rsidP="00D8412D">
            <w:pPr>
              <w:pStyle w:val="Tabletextright"/>
            </w:pPr>
            <w:r w:rsidRPr="00687A1C">
              <w:t>3</w:t>
            </w:r>
            <w:r w:rsidR="00D8412D" w:rsidRPr="00687A1C">
              <w:rPr>
                <w:rFonts w:ascii="Calibri" w:hAnsi="Calibri" w:cs="Courier New"/>
              </w:rPr>
              <w:t xml:space="preserve"> </w:t>
            </w:r>
            <w:r w:rsidR="00D31006" w:rsidRPr="00687A1C">
              <w:t>453</w:t>
            </w:r>
            <w:r w:rsidR="00D8412D" w:rsidRPr="00687A1C">
              <w:rPr>
                <w:rFonts w:ascii="Calibri" w:hAnsi="Calibri" w:cs="Courier New"/>
              </w:rPr>
              <w:t xml:space="preserve"> </w:t>
            </w:r>
            <w:r w:rsidR="00D31006" w:rsidRPr="00687A1C">
              <w:t>504</w:t>
            </w:r>
          </w:p>
        </w:tc>
        <w:tc>
          <w:tcPr>
            <w:tcW w:w="1138" w:type="dxa"/>
            <w:shd w:val="clear" w:color="auto" w:fill="auto"/>
            <w:noWrap/>
          </w:tcPr>
          <w:p w:rsidR="00174AEA" w:rsidRPr="00687A1C" w:rsidRDefault="00174AEA" w:rsidP="00D8412D">
            <w:pPr>
              <w:pStyle w:val="Tabletextright"/>
            </w:pPr>
            <w:r w:rsidRPr="00687A1C">
              <w:t>3</w:t>
            </w:r>
            <w:r w:rsidR="00D8412D" w:rsidRPr="00687A1C">
              <w:t xml:space="preserve"> </w:t>
            </w:r>
            <w:r w:rsidRPr="00687A1C">
              <w:t>572</w:t>
            </w:r>
            <w:r w:rsidR="00D8412D" w:rsidRPr="00687A1C">
              <w:t xml:space="preserve"> </w:t>
            </w:r>
            <w:r w:rsidRPr="00687A1C">
              <w:t>610</w:t>
            </w:r>
          </w:p>
        </w:tc>
        <w:tc>
          <w:tcPr>
            <w:tcW w:w="1138" w:type="dxa"/>
            <w:shd w:val="clear" w:color="auto" w:fill="E0E0E0"/>
            <w:noWrap/>
          </w:tcPr>
          <w:p w:rsidR="00174AEA" w:rsidRPr="00687A1C" w:rsidRDefault="00174AEA" w:rsidP="00D8412D">
            <w:pPr>
              <w:pStyle w:val="Tabletextright"/>
            </w:pPr>
            <w:r w:rsidRPr="00687A1C">
              <w:t>47</w:t>
            </w:r>
            <w:r w:rsidR="00D8412D" w:rsidRPr="00687A1C">
              <w:t xml:space="preserve"> </w:t>
            </w:r>
            <w:r w:rsidRPr="00687A1C">
              <w:t>652</w:t>
            </w:r>
            <w:r w:rsidR="00D8412D" w:rsidRPr="00687A1C">
              <w:t xml:space="preserve"> </w:t>
            </w:r>
            <w:r w:rsidRPr="00687A1C">
              <w:t>540</w:t>
            </w:r>
          </w:p>
        </w:tc>
        <w:tc>
          <w:tcPr>
            <w:tcW w:w="1138" w:type="dxa"/>
            <w:shd w:val="clear" w:color="auto" w:fill="E0E0E0"/>
            <w:noWrap/>
          </w:tcPr>
          <w:p w:rsidR="00174AEA" w:rsidRPr="00687A1C" w:rsidRDefault="00174AEA" w:rsidP="00D8412D">
            <w:pPr>
              <w:pStyle w:val="Tabletextright"/>
            </w:pPr>
            <w:r w:rsidRPr="00687A1C">
              <w:t>49</w:t>
            </w:r>
            <w:r w:rsidR="00D8412D" w:rsidRPr="00687A1C">
              <w:t xml:space="preserve"> </w:t>
            </w:r>
            <w:r w:rsidRPr="00687A1C">
              <w:t>891</w:t>
            </w:r>
            <w:r w:rsidR="00D8412D" w:rsidRPr="00687A1C">
              <w:t xml:space="preserve"> </w:t>
            </w:r>
            <w:r w:rsidRPr="00687A1C">
              <w:t>977</w:t>
            </w:r>
          </w:p>
        </w:tc>
      </w:tr>
      <w:tr w:rsidR="00174AEA" w:rsidRPr="00687A1C" w:rsidTr="008A3976">
        <w:trPr>
          <w:cantSplit/>
        </w:trPr>
        <w:tc>
          <w:tcPr>
            <w:tcW w:w="1278" w:type="dxa"/>
            <w:shd w:val="clear" w:color="auto" w:fill="auto"/>
            <w:noWrap/>
          </w:tcPr>
          <w:p w:rsidR="00174AEA" w:rsidRPr="00687A1C" w:rsidRDefault="00174AEA" w:rsidP="00D8412D">
            <w:pPr>
              <w:pStyle w:val="Tabletextrightbold"/>
            </w:pPr>
            <w:r w:rsidRPr="00687A1C">
              <w:t>11</w:t>
            </w:r>
            <w:r w:rsidR="00D8412D" w:rsidRPr="00687A1C">
              <w:rPr>
                <w:rFonts w:ascii="Calibri" w:hAnsi="Calibri" w:cs="Calibri"/>
              </w:rPr>
              <w:t xml:space="preserve"> </w:t>
            </w:r>
            <w:r w:rsidR="00537359" w:rsidRPr="00687A1C">
              <w:t>617</w:t>
            </w:r>
            <w:r w:rsidR="00D8412D" w:rsidRPr="00687A1C">
              <w:rPr>
                <w:rFonts w:ascii="Calibri" w:hAnsi="Calibri" w:cs="Calibri"/>
              </w:rPr>
              <w:t xml:space="preserve"> </w:t>
            </w:r>
            <w:r w:rsidR="00537359" w:rsidRPr="00687A1C">
              <w:t>035</w:t>
            </w:r>
          </w:p>
        </w:tc>
        <w:tc>
          <w:tcPr>
            <w:tcW w:w="1170" w:type="dxa"/>
            <w:shd w:val="clear" w:color="auto" w:fill="auto"/>
            <w:noWrap/>
          </w:tcPr>
          <w:p w:rsidR="00174AEA" w:rsidRPr="00687A1C" w:rsidRDefault="00174AEA" w:rsidP="00D8412D">
            <w:pPr>
              <w:pStyle w:val="Tabletextrightbold"/>
            </w:pPr>
            <w:r w:rsidRPr="00687A1C">
              <w:t>17</w:t>
            </w:r>
            <w:r w:rsidR="00D8412D" w:rsidRPr="00687A1C">
              <w:rPr>
                <w:rFonts w:ascii="Calibri" w:hAnsi="Calibri" w:cs="Calibri"/>
              </w:rPr>
              <w:t xml:space="preserve"> </w:t>
            </w:r>
            <w:r w:rsidRPr="00687A1C">
              <w:t>103</w:t>
            </w:r>
            <w:r w:rsidR="00D8412D" w:rsidRPr="00687A1C">
              <w:rPr>
                <w:rFonts w:ascii="Calibri" w:hAnsi="Calibri" w:cs="Calibri"/>
              </w:rPr>
              <w:t xml:space="preserve"> </w:t>
            </w:r>
            <w:r w:rsidR="00666C97" w:rsidRPr="00687A1C">
              <w:t>1</w:t>
            </w:r>
            <w:r w:rsidRPr="00687A1C">
              <w:t>09</w:t>
            </w:r>
          </w:p>
        </w:tc>
        <w:tc>
          <w:tcPr>
            <w:tcW w:w="1138" w:type="dxa"/>
            <w:shd w:val="clear" w:color="auto" w:fill="E0E0E0"/>
            <w:noWrap/>
          </w:tcPr>
          <w:p w:rsidR="00174AEA" w:rsidRPr="00687A1C" w:rsidRDefault="00174AEA" w:rsidP="00D8412D">
            <w:pPr>
              <w:pStyle w:val="Tabletextrightbold"/>
            </w:pPr>
            <w:r w:rsidRPr="00687A1C">
              <w:t>6</w:t>
            </w:r>
            <w:r w:rsidR="00D8412D" w:rsidRPr="00687A1C">
              <w:rPr>
                <w:rFonts w:ascii="Calibri" w:hAnsi="Calibri" w:cs="Calibri"/>
              </w:rPr>
              <w:t xml:space="preserve"> </w:t>
            </w:r>
            <w:r w:rsidRPr="00687A1C">
              <w:t>115</w:t>
            </w:r>
          </w:p>
        </w:tc>
        <w:tc>
          <w:tcPr>
            <w:tcW w:w="1138" w:type="dxa"/>
            <w:shd w:val="clear" w:color="auto" w:fill="E0E0E0"/>
            <w:noWrap/>
          </w:tcPr>
          <w:p w:rsidR="00174AEA" w:rsidRPr="00687A1C" w:rsidRDefault="00174AEA" w:rsidP="00D8412D">
            <w:pPr>
              <w:pStyle w:val="Tabletextrightbold"/>
            </w:pPr>
            <w:r w:rsidRPr="00687A1C">
              <w:t>6</w:t>
            </w:r>
            <w:r w:rsidR="00D8412D" w:rsidRPr="00687A1C">
              <w:rPr>
                <w:rFonts w:ascii="Calibri" w:hAnsi="Calibri" w:cs="Calibri"/>
              </w:rPr>
              <w:t xml:space="preserve"> </w:t>
            </w:r>
            <w:r w:rsidRPr="00687A1C">
              <w:t>101</w:t>
            </w:r>
          </w:p>
        </w:tc>
        <w:tc>
          <w:tcPr>
            <w:tcW w:w="1138" w:type="dxa"/>
            <w:shd w:val="clear" w:color="auto" w:fill="auto"/>
            <w:noWrap/>
          </w:tcPr>
          <w:p w:rsidR="00174AEA" w:rsidRPr="00687A1C" w:rsidRDefault="00174AEA" w:rsidP="00D8412D">
            <w:pPr>
              <w:pStyle w:val="Tabletextrightbold"/>
            </w:pPr>
            <w:r w:rsidRPr="00687A1C">
              <w:t>8</w:t>
            </w:r>
            <w:r w:rsidR="00D8412D" w:rsidRPr="00687A1C">
              <w:rPr>
                <w:rFonts w:ascii="Calibri" w:hAnsi="Calibri" w:cs="Calibri"/>
              </w:rPr>
              <w:t xml:space="preserve"> </w:t>
            </w:r>
            <w:r w:rsidRPr="00687A1C">
              <w:t>198</w:t>
            </w:r>
            <w:r w:rsidR="00D8412D" w:rsidRPr="00687A1C">
              <w:rPr>
                <w:rFonts w:ascii="Calibri" w:hAnsi="Calibri" w:cs="Calibri"/>
              </w:rPr>
              <w:t xml:space="preserve"> </w:t>
            </w:r>
            <w:r w:rsidRPr="00687A1C">
              <w:t>388</w:t>
            </w:r>
          </w:p>
        </w:tc>
        <w:tc>
          <w:tcPr>
            <w:tcW w:w="1138" w:type="dxa"/>
            <w:shd w:val="clear" w:color="auto" w:fill="auto"/>
            <w:noWrap/>
          </w:tcPr>
          <w:p w:rsidR="00174AEA" w:rsidRPr="00687A1C" w:rsidRDefault="00174AEA" w:rsidP="00D8412D">
            <w:pPr>
              <w:pStyle w:val="Tabletextrightbold"/>
            </w:pPr>
            <w:r w:rsidRPr="00687A1C">
              <w:t>7</w:t>
            </w:r>
            <w:r w:rsidR="00D8412D" w:rsidRPr="00687A1C">
              <w:rPr>
                <w:rFonts w:ascii="Calibri" w:hAnsi="Calibri" w:cs="Calibri"/>
              </w:rPr>
              <w:t xml:space="preserve"> </w:t>
            </w:r>
            <w:r w:rsidRPr="00687A1C">
              <w:t>846</w:t>
            </w:r>
            <w:r w:rsidR="00D8412D" w:rsidRPr="00687A1C">
              <w:rPr>
                <w:rFonts w:ascii="Calibri" w:hAnsi="Calibri" w:cs="Calibri"/>
              </w:rPr>
              <w:t xml:space="preserve"> </w:t>
            </w:r>
            <w:r w:rsidRPr="00687A1C">
              <w:t>555</w:t>
            </w:r>
          </w:p>
        </w:tc>
        <w:tc>
          <w:tcPr>
            <w:tcW w:w="1138" w:type="dxa"/>
            <w:shd w:val="clear" w:color="auto" w:fill="E0E0E0"/>
            <w:noWrap/>
          </w:tcPr>
          <w:p w:rsidR="00174AEA" w:rsidRPr="00687A1C" w:rsidRDefault="00174AEA" w:rsidP="00D8412D">
            <w:pPr>
              <w:pStyle w:val="Tabletextrightbold"/>
            </w:pPr>
            <w:r w:rsidRPr="00687A1C">
              <w:t>54</w:t>
            </w:r>
            <w:r w:rsidR="00D8412D" w:rsidRPr="00687A1C">
              <w:rPr>
                <w:rFonts w:ascii="Calibri" w:hAnsi="Calibri" w:cs="Calibri"/>
              </w:rPr>
              <w:t xml:space="preserve"> </w:t>
            </w:r>
            <w:r w:rsidR="00D31006" w:rsidRPr="00687A1C">
              <w:t>215</w:t>
            </w:r>
            <w:r w:rsidR="00D8412D" w:rsidRPr="00687A1C">
              <w:rPr>
                <w:rFonts w:ascii="Calibri" w:hAnsi="Calibri" w:cs="Courier New"/>
              </w:rPr>
              <w:t xml:space="preserve"> </w:t>
            </w:r>
            <w:r w:rsidRPr="00687A1C">
              <w:t>3</w:t>
            </w:r>
            <w:r w:rsidR="00D31006" w:rsidRPr="00687A1C">
              <w:t>1</w:t>
            </w:r>
            <w:r w:rsidRPr="00687A1C">
              <w:t>9</w:t>
            </w:r>
          </w:p>
        </w:tc>
        <w:tc>
          <w:tcPr>
            <w:tcW w:w="1138" w:type="dxa"/>
            <w:shd w:val="clear" w:color="auto" w:fill="E0E0E0"/>
            <w:noWrap/>
          </w:tcPr>
          <w:p w:rsidR="00174AEA" w:rsidRPr="00687A1C" w:rsidRDefault="00174AEA" w:rsidP="00D8412D">
            <w:pPr>
              <w:pStyle w:val="Tabletextrightbold"/>
            </w:pPr>
            <w:r w:rsidRPr="00687A1C">
              <w:t>56</w:t>
            </w:r>
            <w:r w:rsidR="00D8412D" w:rsidRPr="00687A1C">
              <w:rPr>
                <w:rFonts w:ascii="Calibri" w:hAnsi="Calibri" w:cs="Calibri"/>
              </w:rPr>
              <w:t xml:space="preserve"> </w:t>
            </w:r>
            <w:r w:rsidRPr="00687A1C">
              <w:t>135</w:t>
            </w:r>
            <w:r w:rsidR="00D8412D" w:rsidRPr="00687A1C">
              <w:rPr>
                <w:rFonts w:ascii="Calibri" w:hAnsi="Calibri" w:cs="Calibri"/>
              </w:rPr>
              <w:t xml:space="preserve"> </w:t>
            </w:r>
            <w:r w:rsidRPr="00687A1C">
              <w:t>862</w:t>
            </w:r>
          </w:p>
        </w:tc>
      </w:tr>
      <w:tr w:rsidR="00174AEA" w:rsidRPr="00687A1C" w:rsidTr="008A3976">
        <w:trPr>
          <w:cantSplit/>
          <w:trHeight w:hRule="exact" w:val="58"/>
        </w:trPr>
        <w:tc>
          <w:tcPr>
            <w:tcW w:w="1278" w:type="dxa"/>
            <w:shd w:val="clear" w:color="auto" w:fill="auto"/>
            <w:noWrap/>
          </w:tcPr>
          <w:p w:rsidR="00174AEA" w:rsidRPr="00687A1C" w:rsidRDefault="00D8412D" w:rsidP="00D8412D">
            <w:pPr>
              <w:pStyle w:val="Tabletextrightbold"/>
            </w:pPr>
            <w:r w:rsidRPr="00687A1C">
              <w:rPr>
                <w:rFonts w:ascii="Calibri" w:hAnsi="Calibri" w:cs="Calibri"/>
              </w:rPr>
              <w:t xml:space="preserve"> </w:t>
            </w:r>
          </w:p>
        </w:tc>
        <w:tc>
          <w:tcPr>
            <w:tcW w:w="1170" w:type="dxa"/>
            <w:shd w:val="clear" w:color="auto" w:fill="auto"/>
            <w:noWrap/>
          </w:tcPr>
          <w:p w:rsidR="00174AEA" w:rsidRPr="00687A1C" w:rsidRDefault="00174AEA" w:rsidP="008A3976">
            <w:pPr>
              <w:pStyle w:val="Tabletextrightbold"/>
            </w:pPr>
          </w:p>
        </w:tc>
        <w:tc>
          <w:tcPr>
            <w:tcW w:w="1138" w:type="dxa"/>
            <w:shd w:val="clear" w:color="auto" w:fill="E0E0E0"/>
            <w:noWrap/>
          </w:tcPr>
          <w:p w:rsidR="00174AEA" w:rsidRPr="00687A1C" w:rsidRDefault="00D8412D" w:rsidP="00D8412D">
            <w:pPr>
              <w:pStyle w:val="Tabletextrightbold"/>
            </w:pPr>
            <w:r w:rsidRPr="00687A1C">
              <w:rPr>
                <w:rFonts w:ascii="Calibri" w:hAnsi="Calibri" w:cs="Calibri"/>
              </w:rPr>
              <w:t xml:space="preserve"> </w:t>
            </w:r>
          </w:p>
        </w:tc>
        <w:tc>
          <w:tcPr>
            <w:tcW w:w="1138" w:type="dxa"/>
            <w:shd w:val="clear" w:color="auto" w:fill="E0E0E0"/>
            <w:noWrap/>
          </w:tcPr>
          <w:p w:rsidR="00174AEA" w:rsidRPr="00687A1C" w:rsidRDefault="00174AEA" w:rsidP="008A3976">
            <w:pPr>
              <w:pStyle w:val="Tabletextrightbold"/>
            </w:pPr>
          </w:p>
        </w:tc>
        <w:tc>
          <w:tcPr>
            <w:tcW w:w="1138" w:type="dxa"/>
            <w:shd w:val="clear" w:color="auto" w:fill="auto"/>
            <w:noWrap/>
          </w:tcPr>
          <w:p w:rsidR="00174AEA" w:rsidRPr="00687A1C" w:rsidRDefault="00174AEA" w:rsidP="008A3976">
            <w:pPr>
              <w:pStyle w:val="Tabletextrightbold"/>
            </w:pPr>
          </w:p>
        </w:tc>
        <w:tc>
          <w:tcPr>
            <w:tcW w:w="1138" w:type="dxa"/>
            <w:shd w:val="clear" w:color="auto" w:fill="auto"/>
            <w:noWrap/>
          </w:tcPr>
          <w:p w:rsidR="00174AEA" w:rsidRPr="00687A1C" w:rsidRDefault="00D8412D" w:rsidP="00D8412D">
            <w:pPr>
              <w:pStyle w:val="Tabletextrightbold"/>
            </w:pPr>
            <w:r w:rsidRPr="00687A1C">
              <w:rPr>
                <w:rFonts w:ascii="Calibri" w:hAnsi="Calibri" w:cs="Calibri"/>
              </w:rPr>
              <w:t xml:space="preserve"> </w:t>
            </w:r>
          </w:p>
        </w:tc>
        <w:tc>
          <w:tcPr>
            <w:tcW w:w="1138" w:type="dxa"/>
            <w:shd w:val="clear" w:color="auto" w:fill="E0E0E0"/>
            <w:noWrap/>
          </w:tcPr>
          <w:p w:rsidR="00174AEA" w:rsidRPr="00687A1C" w:rsidRDefault="00174AEA" w:rsidP="008A3976">
            <w:pPr>
              <w:pStyle w:val="Tabletextrightbold"/>
            </w:pPr>
          </w:p>
        </w:tc>
        <w:tc>
          <w:tcPr>
            <w:tcW w:w="1138" w:type="dxa"/>
            <w:shd w:val="clear" w:color="auto" w:fill="E0E0E0"/>
            <w:noWrap/>
          </w:tcPr>
          <w:p w:rsidR="00174AEA" w:rsidRPr="00687A1C" w:rsidRDefault="00174AEA" w:rsidP="008A3976">
            <w:pPr>
              <w:pStyle w:val="Tabletextrightbold"/>
            </w:pPr>
          </w:p>
        </w:tc>
      </w:tr>
      <w:tr w:rsidR="00174AEA" w:rsidRPr="00687A1C" w:rsidTr="008A3976">
        <w:trPr>
          <w:cantSplit/>
        </w:trPr>
        <w:tc>
          <w:tcPr>
            <w:tcW w:w="1278" w:type="dxa"/>
            <w:shd w:val="clear" w:color="auto" w:fill="auto"/>
            <w:noWrap/>
          </w:tcPr>
          <w:p w:rsidR="00174AEA" w:rsidRPr="00687A1C" w:rsidRDefault="00174AEA" w:rsidP="00D8412D">
            <w:pPr>
              <w:pStyle w:val="Tabletextrightbold"/>
            </w:pPr>
            <w:r w:rsidRPr="00687A1C">
              <w:t>(</w:t>
            </w:r>
            <w:r w:rsidR="00537359" w:rsidRPr="00687A1C">
              <w:t>367</w:t>
            </w:r>
            <w:r w:rsidR="00D8412D" w:rsidRPr="00687A1C">
              <w:rPr>
                <w:rFonts w:ascii="Calibri" w:hAnsi="Calibri" w:cs="Courier New"/>
              </w:rPr>
              <w:t xml:space="preserve"> </w:t>
            </w:r>
            <w:r w:rsidR="00537359" w:rsidRPr="00687A1C">
              <w:t>557</w:t>
            </w:r>
            <w:r w:rsidRPr="00687A1C">
              <w:t>)</w:t>
            </w:r>
          </w:p>
        </w:tc>
        <w:tc>
          <w:tcPr>
            <w:tcW w:w="1170" w:type="dxa"/>
            <w:shd w:val="clear" w:color="auto" w:fill="auto"/>
            <w:noWrap/>
          </w:tcPr>
          <w:p w:rsidR="00174AEA" w:rsidRPr="00687A1C" w:rsidRDefault="00174AEA" w:rsidP="00D8412D">
            <w:pPr>
              <w:pStyle w:val="Tabletextrightbold"/>
            </w:pPr>
            <w:r w:rsidRPr="00687A1C">
              <w:t>(37</w:t>
            </w:r>
            <w:r w:rsidR="00666C97" w:rsidRPr="00687A1C">
              <w:t>6</w:t>
            </w:r>
            <w:r w:rsidR="00D8412D" w:rsidRPr="00687A1C">
              <w:rPr>
                <w:rFonts w:ascii="Calibri" w:hAnsi="Calibri" w:cs="Calibri"/>
              </w:rPr>
              <w:t xml:space="preserve"> </w:t>
            </w:r>
            <w:r w:rsidR="00666C97" w:rsidRPr="00687A1C">
              <w:t>0</w:t>
            </w:r>
            <w:r w:rsidRPr="00687A1C">
              <w:t>83)</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018)</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055)</w:t>
            </w:r>
          </w:p>
        </w:tc>
        <w:tc>
          <w:tcPr>
            <w:tcW w:w="1138" w:type="dxa"/>
            <w:shd w:val="clear" w:color="auto" w:fill="auto"/>
            <w:noWrap/>
          </w:tcPr>
          <w:p w:rsidR="00174AEA" w:rsidRPr="00687A1C" w:rsidRDefault="00DE0CB9" w:rsidP="00DE0CB9">
            <w:pPr>
              <w:pStyle w:val="Tabletextrightbold"/>
            </w:pPr>
            <w:r w:rsidRPr="00687A1C">
              <w:t>69 040</w:t>
            </w:r>
          </w:p>
        </w:tc>
        <w:tc>
          <w:tcPr>
            <w:tcW w:w="1138" w:type="dxa"/>
            <w:shd w:val="clear" w:color="auto" w:fill="auto"/>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356</w:t>
            </w:r>
            <w:r w:rsidR="00D8412D" w:rsidRPr="00687A1C">
              <w:rPr>
                <w:rFonts w:ascii="Calibri" w:hAnsi="Calibri" w:cs="Calibri"/>
              </w:rPr>
              <w:t xml:space="preserve"> </w:t>
            </w:r>
            <w:r w:rsidRPr="00687A1C">
              <w:t>028</w:t>
            </w:r>
          </w:p>
        </w:tc>
        <w:tc>
          <w:tcPr>
            <w:tcW w:w="1138" w:type="dxa"/>
            <w:shd w:val="clear" w:color="auto" w:fill="E0E0E0"/>
            <w:noWrap/>
          </w:tcPr>
          <w:p w:rsidR="00174AEA" w:rsidRPr="00687A1C" w:rsidRDefault="00DE0CB9" w:rsidP="00D31006">
            <w:pPr>
              <w:pStyle w:val="Tabletextrightbold"/>
            </w:pPr>
            <w:r w:rsidRPr="00687A1C">
              <w:t>349 331</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321</w:t>
            </w:r>
            <w:r w:rsidR="00D8412D" w:rsidRPr="00687A1C">
              <w:rPr>
                <w:rFonts w:ascii="Calibri" w:hAnsi="Calibri" w:cs="Calibri"/>
              </w:rPr>
              <w:t xml:space="preserve"> </w:t>
            </w:r>
            <w:r w:rsidRPr="00687A1C">
              <w:t>101</w:t>
            </w:r>
          </w:p>
        </w:tc>
      </w:tr>
      <w:tr w:rsidR="00174AEA" w:rsidRPr="00687A1C" w:rsidTr="008A3976">
        <w:trPr>
          <w:cantSplit/>
          <w:trHeight w:hRule="exact" w:val="58"/>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490</w:t>
            </w:r>
          </w:p>
        </w:tc>
        <w:tc>
          <w:tcPr>
            <w:tcW w:w="1170" w:type="dxa"/>
            <w:shd w:val="clear" w:color="auto" w:fill="auto"/>
            <w:noWrap/>
          </w:tcPr>
          <w:p w:rsidR="00174AEA" w:rsidRPr="00687A1C" w:rsidRDefault="00174AEA" w:rsidP="00D8412D">
            <w:pPr>
              <w:pStyle w:val="Tabletextright"/>
            </w:pPr>
            <w:r w:rsidRPr="00687A1C">
              <w:t>8</w:t>
            </w:r>
            <w:r w:rsidR="00D8412D" w:rsidRPr="00687A1C">
              <w:t xml:space="preserve"> </w:t>
            </w:r>
            <w:r w:rsidRPr="00687A1C">
              <w:t>854</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D8412D">
            <w:pPr>
              <w:pStyle w:val="Tabletextright"/>
            </w:pPr>
            <w:r w:rsidRPr="00687A1C">
              <w:t>1</w:t>
            </w:r>
            <w:r w:rsidR="00D8412D" w:rsidRPr="00687A1C">
              <w:t xml:space="preserve"> </w:t>
            </w:r>
            <w:r w:rsidRPr="00687A1C">
              <w:t>490</w:t>
            </w:r>
          </w:p>
        </w:tc>
        <w:tc>
          <w:tcPr>
            <w:tcW w:w="1138" w:type="dxa"/>
            <w:shd w:val="clear" w:color="auto" w:fill="E0E0E0"/>
            <w:noWrap/>
          </w:tcPr>
          <w:p w:rsidR="00174AEA" w:rsidRPr="00687A1C" w:rsidRDefault="00174AEA" w:rsidP="00D8412D">
            <w:pPr>
              <w:pStyle w:val="Tabletextright"/>
            </w:pPr>
            <w:r w:rsidRPr="00687A1C">
              <w:t>8</w:t>
            </w:r>
            <w:r w:rsidR="00D8412D" w:rsidRPr="00687A1C">
              <w:t xml:space="preserve"> </w:t>
            </w:r>
            <w:r w:rsidRPr="00687A1C">
              <w:t>854</w:t>
            </w:r>
          </w:p>
        </w:tc>
      </w:tr>
      <w:tr w:rsidR="00174AEA" w:rsidRPr="00687A1C" w:rsidTr="008A3976">
        <w:trPr>
          <w:cantSplit/>
          <w:trHeight w:val="279"/>
        </w:trPr>
        <w:tc>
          <w:tcPr>
            <w:tcW w:w="1278" w:type="dxa"/>
            <w:shd w:val="clear" w:color="auto" w:fill="auto"/>
            <w:noWrap/>
          </w:tcPr>
          <w:p w:rsidR="00174AEA" w:rsidRPr="00687A1C" w:rsidRDefault="00174AEA" w:rsidP="00D8412D">
            <w:pPr>
              <w:pStyle w:val="Tabletextright"/>
            </w:pPr>
            <w:r w:rsidRPr="00687A1C">
              <w:t>1</w:t>
            </w:r>
            <w:r w:rsidR="00D8412D" w:rsidRPr="00687A1C">
              <w:rPr>
                <w:rFonts w:ascii="Calibri" w:hAnsi="Calibri" w:cs="Courier New"/>
              </w:rPr>
              <w:t xml:space="preserve"> </w:t>
            </w:r>
            <w:r w:rsidR="00873E2B" w:rsidRPr="00687A1C">
              <w:t>520</w:t>
            </w:r>
            <w:r w:rsidR="00D8412D" w:rsidRPr="00687A1C">
              <w:rPr>
                <w:rFonts w:ascii="Calibri" w:hAnsi="Calibri" w:cs="Courier New"/>
              </w:rPr>
              <w:t xml:space="preserve"> </w:t>
            </w:r>
            <w:r w:rsidR="00873E2B" w:rsidRPr="00687A1C">
              <w:t>013</w:t>
            </w:r>
          </w:p>
        </w:tc>
        <w:tc>
          <w:tcPr>
            <w:tcW w:w="1170" w:type="dxa"/>
            <w:shd w:val="clear" w:color="auto" w:fill="auto"/>
            <w:noWrap/>
          </w:tcPr>
          <w:p w:rsidR="00174AEA" w:rsidRPr="00687A1C" w:rsidRDefault="00174AEA" w:rsidP="00D8412D">
            <w:pPr>
              <w:pStyle w:val="Tabletextright"/>
            </w:pPr>
            <w:r w:rsidRPr="00687A1C">
              <w:t>(707</w:t>
            </w:r>
            <w:r w:rsidR="00D8412D" w:rsidRPr="00687A1C">
              <w:t xml:space="preserve"> </w:t>
            </w:r>
            <w:r w:rsidRPr="00687A1C">
              <w:t>300)</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t>87</w:t>
            </w:r>
            <w:r w:rsidR="00D8412D" w:rsidRPr="00687A1C">
              <w:t xml:space="preserve"> </w:t>
            </w:r>
            <w:r w:rsidRPr="00687A1C">
              <w:t>949</w:t>
            </w:r>
          </w:p>
        </w:tc>
        <w:tc>
          <w:tcPr>
            <w:tcW w:w="1138" w:type="dxa"/>
            <w:shd w:val="clear" w:color="auto" w:fill="E0E0E0"/>
            <w:noWrap/>
          </w:tcPr>
          <w:p w:rsidR="00174AEA" w:rsidRPr="00687A1C" w:rsidRDefault="00174AEA" w:rsidP="00D8412D">
            <w:pPr>
              <w:pStyle w:val="Tabletextright"/>
            </w:pPr>
            <w:r w:rsidRPr="00687A1C">
              <w:t>1</w:t>
            </w:r>
            <w:r w:rsidR="00D8412D" w:rsidRPr="00687A1C">
              <w:rPr>
                <w:rFonts w:ascii="Calibri" w:hAnsi="Calibri" w:cs="Courier New"/>
              </w:rPr>
              <w:t xml:space="preserve"> </w:t>
            </w:r>
            <w:r w:rsidR="00D31006" w:rsidRPr="00687A1C">
              <w:t>494</w:t>
            </w:r>
            <w:r w:rsidR="00D8412D" w:rsidRPr="00687A1C">
              <w:rPr>
                <w:rFonts w:ascii="Calibri" w:hAnsi="Calibri" w:cs="Courier New"/>
              </w:rPr>
              <w:t xml:space="preserve"> </w:t>
            </w:r>
            <w:r w:rsidR="00D31006" w:rsidRPr="00687A1C">
              <w:t>043</w:t>
            </w:r>
          </w:p>
        </w:tc>
        <w:tc>
          <w:tcPr>
            <w:tcW w:w="1138" w:type="dxa"/>
            <w:shd w:val="clear" w:color="auto" w:fill="E0E0E0"/>
            <w:noWrap/>
          </w:tcPr>
          <w:p w:rsidR="00174AEA" w:rsidRPr="00687A1C" w:rsidRDefault="00174AEA" w:rsidP="00D8412D">
            <w:pPr>
              <w:pStyle w:val="Tabletextright"/>
            </w:pPr>
            <w:r w:rsidRPr="00687A1C">
              <w:t>(656</w:t>
            </w:r>
            <w:r w:rsidR="00D8412D" w:rsidRPr="00687A1C">
              <w:t xml:space="preserve"> </w:t>
            </w:r>
            <w:r w:rsidRPr="00687A1C">
              <w:t>623)</w:t>
            </w:r>
          </w:p>
        </w:tc>
      </w:tr>
      <w:tr w:rsidR="00174AEA" w:rsidRPr="00687A1C" w:rsidTr="008A3976">
        <w:trPr>
          <w:cantSplit/>
        </w:trPr>
        <w:tc>
          <w:tcPr>
            <w:tcW w:w="1278" w:type="dxa"/>
            <w:shd w:val="clear" w:color="auto" w:fill="auto"/>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00873E2B" w:rsidRPr="00687A1C">
              <w:t>521</w:t>
            </w:r>
            <w:r w:rsidR="00D8412D" w:rsidRPr="00687A1C">
              <w:rPr>
                <w:rFonts w:ascii="Calibri" w:hAnsi="Calibri" w:cs="Calibri"/>
              </w:rPr>
              <w:t xml:space="preserve"> </w:t>
            </w:r>
            <w:r w:rsidR="00873E2B" w:rsidRPr="00687A1C">
              <w:t>503</w:t>
            </w:r>
          </w:p>
        </w:tc>
        <w:tc>
          <w:tcPr>
            <w:tcW w:w="1170" w:type="dxa"/>
            <w:shd w:val="clear" w:color="auto" w:fill="auto"/>
            <w:noWrap/>
          </w:tcPr>
          <w:p w:rsidR="00174AEA" w:rsidRPr="00687A1C" w:rsidRDefault="00174AEA" w:rsidP="00D8412D">
            <w:pPr>
              <w:pStyle w:val="Tabletextrightbold"/>
            </w:pPr>
            <w:r w:rsidRPr="00687A1C">
              <w:t>(698</w:t>
            </w:r>
            <w:r w:rsidR="00D8412D" w:rsidRPr="00687A1C">
              <w:rPr>
                <w:rFonts w:ascii="Calibri" w:hAnsi="Calibri" w:cs="Calibri"/>
              </w:rPr>
              <w:t xml:space="preserve"> </w:t>
            </w:r>
            <w:r w:rsidRPr="00687A1C">
              <w:t>446)</w:t>
            </w:r>
          </w:p>
        </w:tc>
        <w:tc>
          <w:tcPr>
            <w:tcW w:w="1138" w:type="dxa"/>
            <w:shd w:val="clear" w:color="auto" w:fill="E0E0E0"/>
            <w:noWrap/>
          </w:tcPr>
          <w:p w:rsidR="00174AEA" w:rsidRPr="00687A1C" w:rsidRDefault="00174AEA" w:rsidP="008A3976">
            <w:pPr>
              <w:pStyle w:val="Tabletextrightbold"/>
            </w:pPr>
            <w:r w:rsidRPr="00687A1C">
              <w:t>–</w:t>
            </w:r>
          </w:p>
        </w:tc>
        <w:tc>
          <w:tcPr>
            <w:tcW w:w="1138" w:type="dxa"/>
            <w:shd w:val="clear" w:color="auto" w:fill="E0E0E0"/>
            <w:noWrap/>
          </w:tcPr>
          <w:p w:rsidR="00174AEA" w:rsidRPr="00687A1C" w:rsidRDefault="00174AEA" w:rsidP="008A3976">
            <w:pPr>
              <w:pStyle w:val="Tabletextrightbold"/>
            </w:pPr>
            <w:r w:rsidRPr="00687A1C">
              <w:t>–</w:t>
            </w:r>
          </w:p>
        </w:tc>
        <w:tc>
          <w:tcPr>
            <w:tcW w:w="1138" w:type="dxa"/>
            <w:shd w:val="clear" w:color="auto" w:fill="auto"/>
            <w:noWrap/>
          </w:tcPr>
          <w:p w:rsidR="00174AEA" w:rsidRPr="00687A1C" w:rsidRDefault="00174AEA" w:rsidP="008A3976">
            <w:pPr>
              <w:pStyle w:val="Tabletextrightbold"/>
            </w:pPr>
            <w:r w:rsidRPr="00687A1C">
              <w:t>–</w:t>
            </w:r>
          </w:p>
        </w:tc>
        <w:tc>
          <w:tcPr>
            <w:tcW w:w="1138" w:type="dxa"/>
            <w:shd w:val="clear" w:color="auto" w:fill="auto"/>
            <w:noWrap/>
          </w:tcPr>
          <w:p w:rsidR="00174AEA" w:rsidRPr="00687A1C" w:rsidRDefault="00174AEA" w:rsidP="00D8412D">
            <w:pPr>
              <w:pStyle w:val="Tabletextrightbold"/>
            </w:pPr>
            <w:r w:rsidRPr="00687A1C">
              <w:t>87</w:t>
            </w:r>
            <w:r w:rsidR="00D8412D" w:rsidRPr="00687A1C">
              <w:rPr>
                <w:rFonts w:ascii="Calibri" w:hAnsi="Calibri" w:cs="Calibri"/>
              </w:rPr>
              <w:t xml:space="preserve"> </w:t>
            </w:r>
            <w:r w:rsidRPr="00687A1C">
              <w:t>949</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0016314E" w:rsidRPr="00687A1C">
              <w:t>495</w:t>
            </w:r>
            <w:r w:rsidR="00D8412D" w:rsidRPr="00687A1C">
              <w:rPr>
                <w:rFonts w:ascii="Calibri" w:hAnsi="Calibri" w:cs="Calibri"/>
              </w:rPr>
              <w:t xml:space="preserve"> </w:t>
            </w:r>
            <w:r w:rsidR="0016314E" w:rsidRPr="00687A1C">
              <w:t>533</w:t>
            </w:r>
          </w:p>
        </w:tc>
        <w:tc>
          <w:tcPr>
            <w:tcW w:w="1138" w:type="dxa"/>
            <w:shd w:val="clear" w:color="auto" w:fill="E0E0E0"/>
            <w:noWrap/>
          </w:tcPr>
          <w:p w:rsidR="00174AEA" w:rsidRPr="00687A1C" w:rsidRDefault="00174AEA" w:rsidP="00D8412D">
            <w:pPr>
              <w:pStyle w:val="Tabletextrightbold"/>
            </w:pPr>
            <w:r w:rsidRPr="00687A1C">
              <w:t>(647</w:t>
            </w:r>
            <w:r w:rsidR="00D8412D" w:rsidRPr="00687A1C">
              <w:rPr>
                <w:rFonts w:ascii="Calibri" w:hAnsi="Calibri" w:cs="Calibri"/>
              </w:rPr>
              <w:t xml:space="preserve"> </w:t>
            </w:r>
            <w:r w:rsidRPr="00687A1C">
              <w:t>769)</w:t>
            </w:r>
          </w:p>
        </w:tc>
      </w:tr>
      <w:tr w:rsidR="00174AEA" w:rsidRPr="00687A1C" w:rsidTr="008A3976">
        <w:trPr>
          <w:cantSplit/>
          <w:trHeight w:hRule="exact" w:val="58"/>
        </w:trPr>
        <w:tc>
          <w:tcPr>
            <w:tcW w:w="1278" w:type="dxa"/>
            <w:shd w:val="clear" w:color="auto" w:fill="auto"/>
            <w:noWrap/>
          </w:tcPr>
          <w:p w:rsidR="00174AEA" w:rsidRPr="00687A1C" w:rsidRDefault="00D8412D" w:rsidP="00D8412D">
            <w:pPr>
              <w:pStyle w:val="Tabletextright"/>
            </w:pPr>
            <w:r w:rsidRPr="00687A1C">
              <w:t xml:space="preserve"> </w:t>
            </w: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D8412D" w:rsidP="00D8412D">
            <w:pPr>
              <w:pStyle w:val="Tabletextright"/>
            </w:pPr>
            <w:r w:rsidRPr="00687A1C">
              <w:t xml:space="preserve"> </w:t>
            </w: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D8412D" w:rsidP="00D8412D">
            <w:pPr>
              <w:pStyle w:val="Tabletextright"/>
            </w:pPr>
            <w:r w:rsidRPr="00687A1C">
              <w:t xml:space="preserve"> </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00873E2B" w:rsidRPr="00687A1C">
              <w:t>153</w:t>
            </w:r>
            <w:r w:rsidR="00D8412D" w:rsidRPr="00687A1C">
              <w:rPr>
                <w:rFonts w:ascii="Calibri" w:hAnsi="Calibri" w:cs="Calibri"/>
              </w:rPr>
              <w:t xml:space="preserve"> </w:t>
            </w:r>
            <w:r w:rsidR="00873E2B" w:rsidRPr="00687A1C">
              <w:t>946</w:t>
            </w:r>
          </w:p>
        </w:tc>
        <w:tc>
          <w:tcPr>
            <w:tcW w:w="1170" w:type="dxa"/>
            <w:shd w:val="clear" w:color="auto" w:fill="auto"/>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074</w:t>
            </w:r>
            <w:r w:rsidR="00D8412D" w:rsidRPr="00687A1C">
              <w:rPr>
                <w:rFonts w:ascii="Calibri" w:hAnsi="Calibri" w:cs="Calibri"/>
              </w:rPr>
              <w:t xml:space="preserve"> </w:t>
            </w:r>
            <w:r w:rsidR="00666C97" w:rsidRPr="00687A1C">
              <w:rPr>
                <w:rFonts w:ascii="Calibri" w:hAnsi="Calibri" w:cs="Calibri"/>
              </w:rPr>
              <w:t>5</w:t>
            </w:r>
            <w:r w:rsidRPr="00687A1C">
              <w:t>29)</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018)</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055)</w:t>
            </w:r>
          </w:p>
        </w:tc>
        <w:tc>
          <w:tcPr>
            <w:tcW w:w="1138" w:type="dxa"/>
            <w:shd w:val="clear" w:color="auto" w:fill="auto"/>
            <w:noWrap/>
          </w:tcPr>
          <w:p w:rsidR="00174AEA" w:rsidRPr="00687A1C" w:rsidRDefault="00DE0CB9" w:rsidP="008A3976">
            <w:pPr>
              <w:pStyle w:val="Tabletextrightbold"/>
            </w:pPr>
            <w:r w:rsidRPr="00687A1C">
              <w:t>69 040</w:t>
            </w:r>
          </w:p>
        </w:tc>
        <w:tc>
          <w:tcPr>
            <w:tcW w:w="1138" w:type="dxa"/>
            <w:shd w:val="clear" w:color="auto" w:fill="auto"/>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443</w:t>
            </w:r>
            <w:r w:rsidR="00D8412D" w:rsidRPr="00687A1C">
              <w:rPr>
                <w:rFonts w:ascii="Calibri" w:hAnsi="Calibri" w:cs="Calibri"/>
              </w:rPr>
              <w:t xml:space="preserve"> </w:t>
            </w:r>
            <w:r w:rsidRPr="00687A1C">
              <w:t>977</w:t>
            </w:r>
          </w:p>
        </w:tc>
        <w:tc>
          <w:tcPr>
            <w:tcW w:w="1138" w:type="dxa"/>
            <w:shd w:val="clear" w:color="auto" w:fill="E0E0E0"/>
            <w:noWrap/>
          </w:tcPr>
          <w:p w:rsidR="00174AEA" w:rsidRPr="00687A1C" w:rsidRDefault="004F1F45" w:rsidP="0016314E">
            <w:pPr>
              <w:pStyle w:val="Tabletextrightbold"/>
            </w:pPr>
            <w:r w:rsidRPr="00687A1C">
              <w:t xml:space="preserve">1 </w:t>
            </w:r>
            <w:r w:rsidR="00DE0CB9" w:rsidRPr="00687A1C">
              <w:t>844 864</w:t>
            </w:r>
          </w:p>
        </w:tc>
        <w:tc>
          <w:tcPr>
            <w:tcW w:w="1138" w:type="dxa"/>
            <w:shd w:val="clear" w:color="auto" w:fill="E0E0E0"/>
            <w:noWrap/>
          </w:tcPr>
          <w:p w:rsidR="00174AEA" w:rsidRPr="00687A1C" w:rsidRDefault="00174AEA" w:rsidP="00D8412D">
            <w:pPr>
              <w:pStyle w:val="Tabletextrightbold"/>
            </w:pPr>
            <w:r w:rsidRPr="00687A1C">
              <w:t>673</w:t>
            </w:r>
            <w:r w:rsidR="00D8412D" w:rsidRPr="00687A1C">
              <w:rPr>
                <w:rFonts w:ascii="Calibri" w:hAnsi="Calibri" w:cs="Calibri"/>
              </w:rPr>
              <w:t xml:space="preserve"> </w:t>
            </w:r>
            <w:r w:rsidRPr="00687A1C">
              <w:t>332</w:t>
            </w:r>
          </w:p>
        </w:tc>
      </w:tr>
      <w:tr w:rsidR="00174AEA" w:rsidRPr="00687A1C" w:rsidTr="008A3976">
        <w:trPr>
          <w:cantSplit/>
          <w:trHeight w:hRule="exact" w:val="58"/>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t>(258</w:t>
            </w:r>
            <w:r w:rsidR="00D8412D" w:rsidRPr="00687A1C">
              <w:t xml:space="preserve"> </w:t>
            </w:r>
            <w:r w:rsidRPr="00687A1C">
              <w:t>099)</w:t>
            </w:r>
          </w:p>
        </w:tc>
        <w:tc>
          <w:tcPr>
            <w:tcW w:w="1138" w:type="dxa"/>
            <w:shd w:val="clear" w:color="auto" w:fill="auto"/>
            <w:noWrap/>
          </w:tcPr>
          <w:p w:rsidR="00174AEA" w:rsidRPr="00687A1C" w:rsidRDefault="00174AEA" w:rsidP="00D8412D">
            <w:pPr>
              <w:pStyle w:val="Tabletextright"/>
            </w:pPr>
            <w:r w:rsidRPr="00687A1C">
              <w:t>4</w:t>
            </w:r>
            <w:r w:rsidR="00D8412D" w:rsidRPr="00687A1C">
              <w:t xml:space="preserve"> </w:t>
            </w:r>
            <w:r w:rsidRPr="00687A1C">
              <w:t>366</w:t>
            </w:r>
            <w:r w:rsidR="00D8412D" w:rsidRPr="00687A1C">
              <w:t xml:space="preserve"> </w:t>
            </w:r>
            <w:r w:rsidRPr="00687A1C">
              <w:t>590</w:t>
            </w:r>
          </w:p>
        </w:tc>
        <w:tc>
          <w:tcPr>
            <w:tcW w:w="1138" w:type="dxa"/>
            <w:shd w:val="clear" w:color="auto" w:fill="E0E0E0"/>
            <w:noWrap/>
          </w:tcPr>
          <w:p w:rsidR="00174AEA" w:rsidRPr="00687A1C" w:rsidRDefault="00174AEA" w:rsidP="00D8412D">
            <w:pPr>
              <w:pStyle w:val="Tabletextright"/>
            </w:pPr>
            <w:r w:rsidRPr="00687A1C">
              <w:t>(258</w:t>
            </w:r>
            <w:r w:rsidR="00D8412D" w:rsidRPr="00687A1C">
              <w:t xml:space="preserve"> </w:t>
            </w:r>
            <w:r w:rsidRPr="00687A1C">
              <w:t>099)</w:t>
            </w:r>
          </w:p>
        </w:tc>
        <w:tc>
          <w:tcPr>
            <w:tcW w:w="1138" w:type="dxa"/>
            <w:shd w:val="clear" w:color="auto" w:fill="E0E0E0"/>
            <w:noWrap/>
          </w:tcPr>
          <w:p w:rsidR="00174AEA" w:rsidRPr="00687A1C" w:rsidRDefault="00174AEA" w:rsidP="00D8412D">
            <w:pPr>
              <w:pStyle w:val="Tabletextright"/>
            </w:pPr>
            <w:r w:rsidRPr="00687A1C">
              <w:t>4</w:t>
            </w:r>
            <w:r w:rsidR="00D8412D" w:rsidRPr="00687A1C">
              <w:t xml:space="preserve"> </w:t>
            </w:r>
            <w:r w:rsidRPr="00687A1C">
              <w:t>366</w:t>
            </w:r>
            <w:r w:rsidR="00D8412D" w:rsidRPr="00687A1C">
              <w:t xml:space="preserve"> </w:t>
            </w:r>
            <w:r w:rsidRPr="00687A1C">
              <w:t>590</w:t>
            </w:r>
          </w:p>
        </w:tc>
      </w:tr>
      <w:tr w:rsidR="00174AEA" w:rsidRPr="00687A1C" w:rsidTr="008A3976">
        <w:trPr>
          <w:cantSplit/>
        </w:trPr>
        <w:tc>
          <w:tcPr>
            <w:tcW w:w="1278" w:type="dxa"/>
            <w:shd w:val="clear" w:color="auto" w:fill="auto"/>
            <w:noWrap/>
          </w:tcPr>
          <w:p w:rsidR="00174AEA" w:rsidRPr="00687A1C" w:rsidRDefault="00174AEA" w:rsidP="008D312D">
            <w:pPr>
              <w:pStyle w:val="Tabletextright"/>
            </w:pPr>
            <w:r w:rsidRPr="00687A1C">
              <w:t>(5</w:t>
            </w:r>
            <w:r w:rsidR="00D8412D" w:rsidRPr="00687A1C">
              <w:rPr>
                <w:rFonts w:ascii="Calibri" w:hAnsi="Calibri" w:cs="Calibri"/>
              </w:rPr>
              <w:t xml:space="preserve"> </w:t>
            </w:r>
            <w:r w:rsidRPr="00687A1C">
              <w:t>263)</w:t>
            </w:r>
          </w:p>
        </w:tc>
        <w:tc>
          <w:tcPr>
            <w:tcW w:w="1170" w:type="dxa"/>
            <w:shd w:val="clear" w:color="auto" w:fill="auto"/>
            <w:noWrap/>
          </w:tcPr>
          <w:p w:rsidR="00174AEA" w:rsidRPr="00687A1C" w:rsidRDefault="00174AEA" w:rsidP="008D312D">
            <w:pPr>
              <w:pStyle w:val="Tabletextright"/>
            </w:pPr>
            <w:r w:rsidRPr="00687A1C">
              <w:t>–</w:t>
            </w:r>
          </w:p>
        </w:tc>
        <w:tc>
          <w:tcPr>
            <w:tcW w:w="1138" w:type="dxa"/>
            <w:shd w:val="clear" w:color="auto" w:fill="E0E0E0"/>
            <w:noWrap/>
          </w:tcPr>
          <w:p w:rsidR="00174AEA" w:rsidRPr="00687A1C" w:rsidRDefault="00D8412D" w:rsidP="008D312D">
            <w:pPr>
              <w:pStyle w:val="Tabletextright"/>
            </w:pPr>
            <w:r w:rsidRPr="00687A1C">
              <w:rPr>
                <w:rFonts w:ascii="Calibri" w:hAnsi="Calibri" w:cs="Calibri"/>
              </w:rPr>
              <w:t xml:space="preserve"> </w:t>
            </w:r>
          </w:p>
        </w:tc>
        <w:tc>
          <w:tcPr>
            <w:tcW w:w="1138" w:type="dxa"/>
            <w:shd w:val="clear" w:color="auto" w:fill="E0E0E0"/>
            <w:noWrap/>
          </w:tcPr>
          <w:p w:rsidR="00174AEA" w:rsidRPr="00687A1C" w:rsidRDefault="00D8412D" w:rsidP="008D312D">
            <w:pPr>
              <w:pStyle w:val="Tabletextright"/>
            </w:pPr>
            <w:r w:rsidRPr="00687A1C">
              <w:rPr>
                <w:rFonts w:ascii="Calibri" w:hAnsi="Calibri" w:cs="Calibri"/>
              </w:rPr>
              <w:t xml:space="preserve"> </w:t>
            </w:r>
          </w:p>
        </w:tc>
        <w:tc>
          <w:tcPr>
            <w:tcW w:w="1138" w:type="dxa"/>
            <w:shd w:val="clear" w:color="auto" w:fill="auto"/>
            <w:noWrap/>
          </w:tcPr>
          <w:p w:rsidR="00174AEA" w:rsidRPr="00687A1C" w:rsidRDefault="00D8412D" w:rsidP="008D312D">
            <w:pPr>
              <w:pStyle w:val="Tabletextright"/>
            </w:pPr>
            <w:r w:rsidRPr="00687A1C">
              <w:rPr>
                <w:rFonts w:ascii="Calibri" w:hAnsi="Calibri" w:cs="Calibri"/>
              </w:rPr>
              <w:t xml:space="preserve"> </w:t>
            </w:r>
          </w:p>
        </w:tc>
        <w:tc>
          <w:tcPr>
            <w:tcW w:w="1138" w:type="dxa"/>
            <w:shd w:val="clear" w:color="auto" w:fill="auto"/>
            <w:noWrap/>
          </w:tcPr>
          <w:p w:rsidR="00174AEA" w:rsidRPr="00687A1C" w:rsidRDefault="00D8412D" w:rsidP="008D312D">
            <w:pPr>
              <w:pStyle w:val="Tabletextright"/>
            </w:pPr>
            <w:r w:rsidRPr="00687A1C">
              <w:rPr>
                <w:rFonts w:ascii="Calibri" w:hAnsi="Calibri" w:cs="Calibri"/>
              </w:rPr>
              <w:t xml:space="preserve"> </w:t>
            </w:r>
          </w:p>
        </w:tc>
        <w:tc>
          <w:tcPr>
            <w:tcW w:w="1138" w:type="dxa"/>
            <w:shd w:val="clear" w:color="auto" w:fill="E0E0E0"/>
            <w:noWrap/>
          </w:tcPr>
          <w:p w:rsidR="00174AEA" w:rsidRPr="00687A1C" w:rsidRDefault="00174AEA" w:rsidP="008D312D">
            <w:pPr>
              <w:pStyle w:val="Tabletextright"/>
            </w:pPr>
            <w:r w:rsidRPr="00687A1C">
              <w:t>(5</w:t>
            </w:r>
            <w:r w:rsidR="00D8412D" w:rsidRPr="00687A1C">
              <w:rPr>
                <w:rFonts w:ascii="Calibri" w:hAnsi="Calibri" w:cs="Calibri"/>
              </w:rPr>
              <w:t xml:space="preserve"> </w:t>
            </w:r>
            <w:r w:rsidRPr="00687A1C">
              <w:t>263)</w:t>
            </w:r>
          </w:p>
        </w:tc>
        <w:tc>
          <w:tcPr>
            <w:tcW w:w="1138" w:type="dxa"/>
            <w:shd w:val="clear" w:color="auto" w:fill="E0E0E0"/>
            <w:noWrap/>
          </w:tcPr>
          <w:p w:rsidR="00174AEA" w:rsidRPr="00687A1C" w:rsidRDefault="00174AEA" w:rsidP="008D312D">
            <w:pPr>
              <w:pStyle w:val="Tabletextright"/>
            </w:pPr>
            <w:r w:rsidRPr="00687A1C">
              <w:t>–</w:t>
            </w:r>
          </w:p>
        </w:tc>
      </w:tr>
      <w:tr w:rsidR="00174AEA" w:rsidRPr="00687A1C" w:rsidTr="008A3976">
        <w:trPr>
          <w:cantSplit/>
          <w:trHeight w:val="279"/>
        </w:trPr>
        <w:tc>
          <w:tcPr>
            <w:tcW w:w="1278" w:type="dxa"/>
            <w:shd w:val="clear" w:color="auto" w:fill="auto"/>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00666C97" w:rsidRPr="00687A1C">
              <w:t>148</w:t>
            </w:r>
            <w:r w:rsidR="00D8412D" w:rsidRPr="00687A1C">
              <w:rPr>
                <w:rFonts w:ascii="Calibri" w:hAnsi="Calibri" w:cs="Calibri"/>
              </w:rPr>
              <w:t xml:space="preserve"> </w:t>
            </w:r>
            <w:r w:rsidR="00666C97" w:rsidRPr="00687A1C">
              <w:t>683</w:t>
            </w:r>
          </w:p>
        </w:tc>
        <w:tc>
          <w:tcPr>
            <w:tcW w:w="1170" w:type="dxa"/>
            <w:shd w:val="clear" w:color="auto" w:fill="auto"/>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074</w:t>
            </w:r>
            <w:r w:rsidR="00D8412D" w:rsidRPr="00687A1C">
              <w:rPr>
                <w:rFonts w:ascii="Calibri" w:hAnsi="Calibri" w:cs="Calibri"/>
              </w:rPr>
              <w:t xml:space="preserve"> </w:t>
            </w:r>
            <w:r w:rsidR="00666C97" w:rsidRPr="00687A1C">
              <w:t>5</w:t>
            </w:r>
            <w:r w:rsidRPr="00687A1C">
              <w:t>29)</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018)</w:t>
            </w:r>
          </w:p>
        </w:tc>
        <w:tc>
          <w:tcPr>
            <w:tcW w:w="1138" w:type="dxa"/>
            <w:shd w:val="clear" w:color="auto" w:fill="E0E0E0"/>
            <w:noWrap/>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055)</w:t>
            </w:r>
          </w:p>
        </w:tc>
        <w:tc>
          <w:tcPr>
            <w:tcW w:w="1138" w:type="dxa"/>
            <w:shd w:val="clear" w:color="auto" w:fill="auto"/>
            <w:noWrap/>
          </w:tcPr>
          <w:p w:rsidR="00174AEA" w:rsidRPr="00687A1C" w:rsidRDefault="004F1F45" w:rsidP="00DE0CB9">
            <w:pPr>
              <w:pStyle w:val="Tabletextrightbold"/>
            </w:pPr>
            <w:r w:rsidRPr="00687A1C">
              <w:t>(</w:t>
            </w:r>
            <w:r w:rsidR="00DE0CB9" w:rsidRPr="00687A1C">
              <w:t>189 059</w:t>
            </w:r>
            <w:r w:rsidRPr="00687A1C">
              <w:t>)</w:t>
            </w:r>
          </w:p>
        </w:tc>
        <w:tc>
          <w:tcPr>
            <w:tcW w:w="1138" w:type="dxa"/>
            <w:shd w:val="clear" w:color="auto" w:fill="auto"/>
            <w:noWrap/>
          </w:tcPr>
          <w:p w:rsidR="00174AEA" w:rsidRPr="00687A1C" w:rsidRDefault="00174AEA" w:rsidP="00D8412D">
            <w:pPr>
              <w:pStyle w:val="Tabletextrightbold"/>
            </w:pPr>
            <w:r w:rsidRPr="00687A1C">
              <w:t>5</w:t>
            </w:r>
            <w:r w:rsidR="00D8412D" w:rsidRPr="00687A1C">
              <w:rPr>
                <w:rFonts w:ascii="Calibri" w:hAnsi="Calibri" w:cs="Calibri"/>
              </w:rPr>
              <w:t xml:space="preserve"> </w:t>
            </w:r>
            <w:r w:rsidRPr="00687A1C">
              <w:t>810</w:t>
            </w:r>
            <w:r w:rsidR="00D8412D" w:rsidRPr="00687A1C">
              <w:rPr>
                <w:rFonts w:ascii="Calibri" w:hAnsi="Calibri" w:cs="Calibri"/>
              </w:rPr>
              <w:t xml:space="preserve"> </w:t>
            </w:r>
            <w:r w:rsidRPr="00687A1C">
              <w:t>567</w:t>
            </w:r>
          </w:p>
        </w:tc>
        <w:tc>
          <w:tcPr>
            <w:tcW w:w="1138" w:type="dxa"/>
            <w:shd w:val="clear" w:color="auto" w:fill="E0E0E0"/>
            <w:noWrap/>
          </w:tcPr>
          <w:p w:rsidR="00174AEA" w:rsidRPr="00687A1C" w:rsidRDefault="004F1F45" w:rsidP="0016314E">
            <w:pPr>
              <w:pStyle w:val="Tabletextrightbold"/>
            </w:pPr>
            <w:r w:rsidRPr="00687A1C">
              <w:t xml:space="preserve">1 </w:t>
            </w:r>
            <w:r w:rsidR="00DE0CB9" w:rsidRPr="00687A1C">
              <w:t>581 502</w:t>
            </w:r>
          </w:p>
        </w:tc>
        <w:tc>
          <w:tcPr>
            <w:tcW w:w="1138" w:type="dxa"/>
            <w:shd w:val="clear" w:color="auto" w:fill="E0E0E0"/>
            <w:noWrap/>
          </w:tcPr>
          <w:p w:rsidR="00174AEA" w:rsidRPr="00687A1C" w:rsidRDefault="00174AEA" w:rsidP="00D8412D">
            <w:pPr>
              <w:pStyle w:val="Tabletextrightbold"/>
            </w:pPr>
            <w:r w:rsidRPr="00687A1C">
              <w:t>5</w:t>
            </w:r>
            <w:r w:rsidR="00D8412D" w:rsidRPr="00687A1C">
              <w:rPr>
                <w:rFonts w:ascii="Calibri" w:hAnsi="Calibri" w:cs="Calibri"/>
              </w:rPr>
              <w:t xml:space="preserve"> </w:t>
            </w:r>
            <w:r w:rsidRPr="00687A1C">
              <w:t>039</w:t>
            </w:r>
            <w:r w:rsidR="00D8412D" w:rsidRPr="00687A1C">
              <w:rPr>
                <w:rFonts w:ascii="Calibri" w:hAnsi="Calibri" w:cs="Calibri"/>
              </w:rPr>
              <w:t xml:space="preserve"> </w:t>
            </w:r>
            <w:r w:rsidRPr="00687A1C">
              <w:t>922</w:t>
            </w:r>
          </w:p>
        </w:tc>
      </w:tr>
    </w:tbl>
    <w:p w:rsidR="00174AEA" w:rsidRPr="00687A1C" w:rsidRDefault="00174AEA" w:rsidP="00174AEA">
      <w:pPr>
        <w:sectPr w:rsidR="00174AEA" w:rsidRPr="00687A1C" w:rsidSect="00332CFE">
          <w:type w:val="continuous"/>
          <w:pgSz w:w="11909" w:h="16834" w:code="9"/>
          <w:pgMar w:top="1728" w:right="1152" w:bottom="1152" w:left="1152" w:header="720" w:footer="288" w:gutter="0"/>
          <w:cols w:space="720"/>
          <w:noEndnote/>
        </w:sectPr>
      </w:pPr>
    </w:p>
    <w:p w:rsidR="00174AEA" w:rsidRPr="00687A1C" w:rsidRDefault="00174AEA" w:rsidP="00174AEA">
      <w:pPr>
        <w:pStyle w:val="Heading4"/>
      </w:pPr>
      <w:bookmarkStart w:id="81" w:name="Administered_end"/>
      <w:r w:rsidRPr="00687A1C">
        <w:lastRenderedPageBreak/>
        <w:t>Administered income and expenses</w:t>
      </w:r>
    </w:p>
    <w:bookmarkEnd w:id="81"/>
    <w:p w:rsidR="00174AEA" w:rsidRPr="00687A1C" w:rsidRDefault="00174AEA" w:rsidP="00174AEA">
      <w:pPr>
        <w:pStyle w:val="Heading5"/>
        <w:sectPr w:rsidR="00174AEA" w:rsidRPr="00687A1C" w:rsidSect="00681F52">
          <w:pgSz w:w="11909" w:h="16834" w:code="9"/>
          <w:pgMar w:top="1728" w:right="1152" w:bottom="1152" w:left="1152" w:header="720" w:footer="288" w:gutter="0"/>
          <w:cols w:num="2" w:space="720"/>
          <w:noEndnote/>
        </w:sectPr>
      </w:pPr>
    </w:p>
    <w:p w:rsidR="00174AEA" w:rsidRPr="00687A1C" w:rsidRDefault="00174AEA" w:rsidP="00174AEA">
      <w:pPr>
        <w:pStyle w:val="Heading5"/>
      </w:pPr>
      <w:r w:rsidRPr="00687A1C">
        <w:t>Payments on behalf of the State (POBOS) Appropriations</w:t>
      </w:r>
    </w:p>
    <w:p w:rsidR="00174AEA" w:rsidRPr="00687A1C" w:rsidRDefault="00174AEA" w:rsidP="00174AEA">
      <w:r w:rsidRPr="00687A1C">
        <w:t>POBOS is an appropriation which provides for payments to be made on behalf of the State. These payments are not related to the direct provision of outputs of the Department.</w:t>
      </w:r>
    </w:p>
    <w:p w:rsidR="00174AEA" w:rsidRPr="00687A1C" w:rsidRDefault="00174AEA" w:rsidP="00174AEA">
      <w:pPr>
        <w:pStyle w:val="Heading5"/>
      </w:pPr>
      <w:r w:rsidRPr="00687A1C">
        <w:t>Special appropriations</w:t>
      </w:r>
    </w:p>
    <w:p w:rsidR="00174AEA" w:rsidRPr="00687A1C" w:rsidRDefault="00174AEA" w:rsidP="00174AEA">
      <w:r w:rsidRPr="00687A1C">
        <w:t>Special appropriations income is recognised when the amount appropriated for the purpose specified under the relevant legislation is due and payable by the Department.</w:t>
      </w:r>
    </w:p>
    <w:p w:rsidR="00174AEA" w:rsidRPr="00687A1C" w:rsidRDefault="00174AEA" w:rsidP="00174AEA">
      <w:pPr>
        <w:sectPr w:rsidR="00174AEA" w:rsidRPr="00687A1C" w:rsidSect="008A3976">
          <w:type w:val="continuous"/>
          <w:pgSz w:w="11909" w:h="16834" w:code="9"/>
          <w:pgMar w:top="1728" w:right="1152" w:bottom="1152" w:left="1152" w:header="720" w:footer="288" w:gutter="0"/>
          <w:cols w:num="2" w:space="720"/>
          <w:noEndnote/>
        </w:sectPr>
      </w:pPr>
    </w:p>
    <w:p w:rsidR="00174AEA" w:rsidRPr="00687A1C" w:rsidRDefault="00174AEA" w:rsidP="00174AEA"/>
    <w:tbl>
      <w:tblPr>
        <w:tblW w:w="0" w:type="auto"/>
        <w:tblLayout w:type="fixed"/>
        <w:tblCellMar>
          <w:left w:w="115" w:type="dxa"/>
          <w:right w:w="115" w:type="dxa"/>
        </w:tblCellMar>
        <w:tblLook w:val="0000" w:firstRow="0" w:lastRow="0" w:firstColumn="0" w:lastColumn="0" w:noHBand="0" w:noVBand="0"/>
      </w:tblPr>
      <w:tblGrid>
        <w:gridCol w:w="3865"/>
        <w:gridCol w:w="2340"/>
        <w:gridCol w:w="1110"/>
        <w:gridCol w:w="1080"/>
      </w:tblGrid>
      <w:tr w:rsidR="00174AEA" w:rsidRPr="00687A1C" w:rsidTr="008A3976">
        <w:trPr>
          <w:cantSplit/>
        </w:trPr>
        <w:tc>
          <w:tcPr>
            <w:tcW w:w="3865" w:type="dxa"/>
          </w:tcPr>
          <w:p w:rsidR="00174AEA" w:rsidRPr="00687A1C" w:rsidRDefault="00174AEA" w:rsidP="008A3976">
            <w:pPr>
              <w:pStyle w:val="Tabletextbold"/>
            </w:pPr>
            <w:r w:rsidRPr="00687A1C">
              <w:t>Authority</w:t>
            </w:r>
          </w:p>
        </w:tc>
        <w:tc>
          <w:tcPr>
            <w:tcW w:w="2340" w:type="dxa"/>
          </w:tcPr>
          <w:p w:rsidR="00174AEA" w:rsidRPr="00687A1C" w:rsidRDefault="00174AEA" w:rsidP="008A3976">
            <w:pPr>
              <w:pStyle w:val="Tabletextbold"/>
            </w:pPr>
            <w:r w:rsidRPr="00687A1C">
              <w:t>Purpose</w:t>
            </w:r>
          </w:p>
        </w:tc>
        <w:tc>
          <w:tcPr>
            <w:tcW w:w="2190" w:type="dxa"/>
            <w:gridSpan w:val="2"/>
          </w:tcPr>
          <w:p w:rsidR="00174AEA" w:rsidRPr="00687A1C" w:rsidRDefault="00174AEA" w:rsidP="008A3976">
            <w:pPr>
              <w:pStyle w:val="Tabletextheadingcentred"/>
            </w:pPr>
            <w:r w:rsidRPr="00687A1C">
              <w:t>Appropriations applied</w:t>
            </w:r>
          </w:p>
        </w:tc>
      </w:tr>
      <w:tr w:rsidR="00174AEA" w:rsidRPr="00687A1C" w:rsidTr="008A3976">
        <w:trPr>
          <w:cantSplit/>
        </w:trPr>
        <w:tc>
          <w:tcPr>
            <w:tcW w:w="3865" w:type="dxa"/>
          </w:tcPr>
          <w:p w:rsidR="00174AEA" w:rsidRPr="00687A1C" w:rsidRDefault="00174AEA" w:rsidP="008A3976">
            <w:pPr>
              <w:pStyle w:val="Tabletextbold"/>
            </w:pPr>
          </w:p>
        </w:tc>
        <w:tc>
          <w:tcPr>
            <w:tcW w:w="2340" w:type="dxa"/>
          </w:tcPr>
          <w:p w:rsidR="00174AEA" w:rsidRPr="00687A1C" w:rsidRDefault="00174AEA" w:rsidP="008A3976">
            <w:pPr>
              <w:pStyle w:val="Tabletextbold"/>
            </w:pPr>
          </w:p>
        </w:tc>
        <w:tc>
          <w:tcPr>
            <w:tcW w:w="1110" w:type="dxa"/>
          </w:tcPr>
          <w:p w:rsidR="00174AEA" w:rsidRPr="00687A1C" w:rsidRDefault="00174AEA" w:rsidP="008A3976">
            <w:pPr>
              <w:pStyle w:val="Tabletextrightbold"/>
            </w:pPr>
            <w:r w:rsidRPr="00687A1C">
              <w:t>2018</w:t>
            </w:r>
            <w:r w:rsidRPr="00687A1C">
              <w:br/>
              <w:t>$’000</w:t>
            </w:r>
          </w:p>
        </w:tc>
        <w:tc>
          <w:tcPr>
            <w:tcW w:w="1080" w:type="dxa"/>
          </w:tcPr>
          <w:p w:rsidR="00174AEA" w:rsidRPr="00687A1C" w:rsidRDefault="00174AEA" w:rsidP="008A3976">
            <w:pPr>
              <w:pStyle w:val="Tabletextrightbold"/>
            </w:pPr>
            <w:r w:rsidRPr="00687A1C">
              <w:t>2017</w:t>
            </w:r>
            <w:r w:rsidRPr="00687A1C">
              <w:br/>
              <w:t>$’000</w:t>
            </w:r>
          </w:p>
        </w:tc>
      </w:tr>
      <w:tr w:rsidR="00174AEA" w:rsidRPr="00687A1C" w:rsidTr="008A3976">
        <w:trPr>
          <w:cantSplit/>
        </w:trPr>
        <w:tc>
          <w:tcPr>
            <w:tcW w:w="3865" w:type="dxa"/>
          </w:tcPr>
          <w:p w:rsidR="00174AEA" w:rsidRPr="00687A1C" w:rsidRDefault="00174AEA" w:rsidP="008A3976">
            <w:pPr>
              <w:pStyle w:val="Tabletextbold"/>
            </w:pPr>
            <w:r w:rsidRPr="00687A1C">
              <w:t>Administered (Note 22)</w:t>
            </w:r>
          </w:p>
        </w:tc>
        <w:tc>
          <w:tcPr>
            <w:tcW w:w="2340" w:type="dxa"/>
          </w:tcPr>
          <w:p w:rsidR="00174AEA" w:rsidRPr="00687A1C" w:rsidRDefault="00174AEA" w:rsidP="008A3976">
            <w:pPr>
              <w:pStyle w:val="Tabletextbold"/>
            </w:pPr>
          </w:p>
        </w:tc>
        <w:tc>
          <w:tcPr>
            <w:tcW w:w="1110" w:type="dxa"/>
            <w:shd w:val="clear" w:color="auto" w:fill="E0E0E0"/>
          </w:tcPr>
          <w:p w:rsidR="00174AEA" w:rsidRPr="00687A1C" w:rsidRDefault="00174AEA" w:rsidP="008A3976">
            <w:pPr>
              <w:pStyle w:val="Tabletextright"/>
            </w:pPr>
          </w:p>
        </w:tc>
        <w:tc>
          <w:tcPr>
            <w:tcW w:w="1080" w:type="dxa"/>
          </w:tcPr>
          <w:p w:rsidR="00174AEA" w:rsidRPr="00687A1C" w:rsidRDefault="00174AEA" w:rsidP="008A3976">
            <w:pPr>
              <w:pStyle w:val="Tabletextright"/>
            </w:pPr>
          </w:p>
        </w:tc>
      </w:tr>
      <w:tr w:rsidR="00174AEA" w:rsidRPr="00687A1C" w:rsidTr="008A3976">
        <w:trPr>
          <w:cantSplit/>
        </w:trPr>
        <w:tc>
          <w:tcPr>
            <w:tcW w:w="3865" w:type="dxa"/>
          </w:tcPr>
          <w:p w:rsidR="00174AEA" w:rsidRPr="00687A1C" w:rsidRDefault="00174AEA" w:rsidP="008A3976">
            <w:pPr>
              <w:pStyle w:val="Tabletext"/>
            </w:pPr>
            <w:r w:rsidRPr="00687A1C">
              <w:rPr>
                <w:i/>
              </w:rPr>
              <w:t>Constitution Act, No. 8750 of 1975</w:t>
            </w:r>
            <w:r w:rsidRPr="00687A1C">
              <w:t xml:space="preserve"> – Governors’ Pensions</w:t>
            </w:r>
          </w:p>
        </w:tc>
        <w:tc>
          <w:tcPr>
            <w:tcW w:w="2340" w:type="dxa"/>
          </w:tcPr>
          <w:p w:rsidR="00174AEA" w:rsidRPr="00687A1C" w:rsidRDefault="00174AEA" w:rsidP="008A3976">
            <w:pPr>
              <w:pStyle w:val="Tabletext"/>
            </w:pPr>
            <w:r w:rsidRPr="00687A1C">
              <w:t>Governors’ pensions</w:t>
            </w:r>
          </w:p>
        </w:tc>
        <w:tc>
          <w:tcPr>
            <w:tcW w:w="1110" w:type="dxa"/>
            <w:shd w:val="clear" w:color="auto" w:fill="E0E0E0"/>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734</w:t>
            </w:r>
          </w:p>
        </w:tc>
        <w:tc>
          <w:tcPr>
            <w:tcW w:w="1080"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443</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County Court Act, No. 6230 of 1958</w:t>
            </w:r>
            <w:r w:rsidRPr="00687A1C">
              <w:t xml:space="preserve"> – Judges </w:t>
            </w:r>
          </w:p>
        </w:tc>
        <w:tc>
          <w:tcPr>
            <w:tcW w:w="2340" w:type="dxa"/>
          </w:tcPr>
          <w:p w:rsidR="00174AEA" w:rsidRPr="00687A1C" w:rsidRDefault="00174AEA" w:rsidP="008A3976">
            <w:pPr>
              <w:pStyle w:val="Tabletext"/>
            </w:pPr>
            <w:r w:rsidRPr="00687A1C">
              <w:t>Judges’ pensions</w:t>
            </w:r>
          </w:p>
        </w:tc>
        <w:tc>
          <w:tcPr>
            <w:tcW w:w="1110" w:type="dxa"/>
            <w:shd w:val="clear" w:color="auto" w:fill="E0E0E0"/>
          </w:tcPr>
          <w:p w:rsidR="00174AEA" w:rsidRPr="00687A1C" w:rsidRDefault="00174AEA" w:rsidP="00D8412D">
            <w:pPr>
              <w:pStyle w:val="Tabletextright"/>
            </w:pPr>
            <w:r w:rsidRPr="00687A1C">
              <w:t>17</w:t>
            </w:r>
            <w:r w:rsidR="00D8412D" w:rsidRPr="00687A1C">
              <w:rPr>
                <w:rFonts w:ascii="Calibri" w:hAnsi="Calibri" w:cs="Calibri"/>
              </w:rPr>
              <w:t xml:space="preserve"> </w:t>
            </w:r>
            <w:r w:rsidRPr="00687A1C">
              <w:t>408</w:t>
            </w:r>
          </w:p>
        </w:tc>
        <w:tc>
          <w:tcPr>
            <w:tcW w:w="1080" w:type="dxa"/>
          </w:tcPr>
          <w:p w:rsidR="00174AEA" w:rsidRPr="00687A1C" w:rsidRDefault="00174AEA" w:rsidP="00D8412D">
            <w:pPr>
              <w:pStyle w:val="Tabletextright"/>
            </w:pPr>
            <w:r w:rsidRPr="00687A1C">
              <w:t>14</w:t>
            </w:r>
            <w:r w:rsidR="00D8412D" w:rsidRPr="00687A1C">
              <w:rPr>
                <w:rFonts w:ascii="Calibri" w:hAnsi="Calibri" w:cs="Calibri"/>
              </w:rPr>
              <w:t xml:space="preserve"> </w:t>
            </w:r>
            <w:r w:rsidRPr="00687A1C">
              <w:t>987</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Constitution Act, No. 8750 of 1975</w:t>
            </w:r>
            <w:r w:rsidRPr="00687A1C">
              <w:t xml:space="preserve"> – Supreme Court Judges</w:t>
            </w:r>
          </w:p>
        </w:tc>
        <w:tc>
          <w:tcPr>
            <w:tcW w:w="2340" w:type="dxa"/>
          </w:tcPr>
          <w:p w:rsidR="00174AEA" w:rsidRPr="00687A1C" w:rsidRDefault="00174AEA" w:rsidP="008A3976">
            <w:pPr>
              <w:pStyle w:val="Tabletext"/>
            </w:pPr>
            <w:r w:rsidRPr="00687A1C">
              <w:t>Judges’ pensions</w:t>
            </w:r>
          </w:p>
        </w:tc>
        <w:tc>
          <w:tcPr>
            <w:tcW w:w="1110" w:type="dxa"/>
            <w:shd w:val="clear" w:color="auto" w:fill="E0E0E0"/>
          </w:tcPr>
          <w:p w:rsidR="00174AEA" w:rsidRPr="00687A1C" w:rsidRDefault="00174AEA" w:rsidP="00D8412D">
            <w:pPr>
              <w:pStyle w:val="Tabletextright"/>
            </w:pPr>
            <w:r w:rsidRPr="00687A1C">
              <w:t>12</w:t>
            </w:r>
            <w:r w:rsidR="00D8412D" w:rsidRPr="00687A1C">
              <w:rPr>
                <w:rFonts w:ascii="Calibri" w:hAnsi="Calibri" w:cs="Calibri"/>
              </w:rPr>
              <w:t xml:space="preserve"> </w:t>
            </w:r>
            <w:r w:rsidRPr="00687A1C">
              <w:t>459</w:t>
            </w:r>
          </w:p>
        </w:tc>
        <w:tc>
          <w:tcPr>
            <w:tcW w:w="1080" w:type="dxa"/>
          </w:tcPr>
          <w:p w:rsidR="00174AEA" w:rsidRPr="00687A1C" w:rsidRDefault="00174AEA" w:rsidP="00D8412D">
            <w:pPr>
              <w:pStyle w:val="Tabletextright"/>
            </w:pPr>
            <w:r w:rsidRPr="00687A1C">
              <w:t>12</w:t>
            </w:r>
            <w:r w:rsidR="00D8412D" w:rsidRPr="00687A1C">
              <w:rPr>
                <w:rFonts w:ascii="Calibri" w:hAnsi="Calibri" w:cs="Calibri"/>
              </w:rPr>
              <w:t xml:space="preserve"> </w:t>
            </w:r>
            <w:r w:rsidRPr="00687A1C">
              <w:t>484</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State Superannuation Act, No. 50 of 1988</w:t>
            </w:r>
            <w:r w:rsidR="0016314E" w:rsidRPr="00687A1C">
              <w:t>, Section</w:t>
            </w:r>
            <w:r w:rsidR="0016314E" w:rsidRPr="00687A1C">
              <w:rPr>
                <w:rFonts w:ascii="Calibri" w:hAnsi="Calibri" w:cs="Courier New"/>
              </w:rPr>
              <w:t> </w:t>
            </w:r>
            <w:r w:rsidRPr="00687A1C">
              <w:t>90(2) – Contributions</w:t>
            </w:r>
          </w:p>
        </w:tc>
        <w:tc>
          <w:tcPr>
            <w:tcW w:w="2340" w:type="dxa"/>
          </w:tcPr>
          <w:p w:rsidR="00174AEA" w:rsidRPr="00687A1C" w:rsidRDefault="00174AEA" w:rsidP="008A3976">
            <w:pPr>
              <w:pStyle w:val="Tabletext"/>
            </w:pPr>
            <w:r w:rsidRPr="00687A1C">
              <w:t>Superannuation contributions</w:t>
            </w:r>
          </w:p>
        </w:tc>
        <w:tc>
          <w:tcPr>
            <w:tcW w:w="1110" w:type="dxa"/>
            <w:shd w:val="clear" w:color="auto" w:fill="E0E0E0"/>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073</w:t>
            </w:r>
            <w:r w:rsidR="00D8412D" w:rsidRPr="00687A1C">
              <w:rPr>
                <w:rFonts w:ascii="Calibri" w:hAnsi="Calibri" w:cs="Calibri"/>
              </w:rPr>
              <w:t xml:space="preserve"> </w:t>
            </w:r>
            <w:r w:rsidR="0016314E" w:rsidRPr="00687A1C">
              <w:t>456</w:t>
            </w:r>
          </w:p>
        </w:tc>
        <w:tc>
          <w:tcPr>
            <w:tcW w:w="1080"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071</w:t>
            </w:r>
            <w:r w:rsidR="00D8412D" w:rsidRPr="00687A1C">
              <w:rPr>
                <w:rFonts w:ascii="Calibri" w:hAnsi="Calibri" w:cs="Calibri"/>
              </w:rPr>
              <w:t xml:space="preserve"> </w:t>
            </w:r>
            <w:r w:rsidRPr="00687A1C">
              <w:t>029</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State Electricity Commission Act, No.</w:t>
            </w:r>
            <w:r w:rsidRPr="00687A1C">
              <w:rPr>
                <w:rFonts w:ascii="Calibri" w:hAnsi="Calibri" w:cs="Calibri"/>
                <w:i/>
              </w:rPr>
              <w:t> </w:t>
            </w:r>
            <w:r w:rsidRPr="00687A1C">
              <w:rPr>
                <w:i/>
              </w:rPr>
              <w:t>6377</w:t>
            </w:r>
            <w:r w:rsidRPr="00687A1C">
              <w:t xml:space="preserve"> of 1958, Section 85B(2)</w:t>
            </w:r>
          </w:p>
        </w:tc>
        <w:tc>
          <w:tcPr>
            <w:tcW w:w="2340" w:type="dxa"/>
          </w:tcPr>
          <w:p w:rsidR="00174AEA" w:rsidRPr="00687A1C" w:rsidRDefault="00174AEA" w:rsidP="008A3976">
            <w:pPr>
              <w:pStyle w:val="Tabletext"/>
            </w:pPr>
            <w:r w:rsidRPr="00687A1C">
              <w:t>Indemnity</w:t>
            </w:r>
          </w:p>
        </w:tc>
        <w:tc>
          <w:tcPr>
            <w:tcW w:w="1110" w:type="dxa"/>
            <w:shd w:val="clear" w:color="auto" w:fill="E0E0E0"/>
          </w:tcPr>
          <w:p w:rsidR="00174AEA" w:rsidRPr="00687A1C" w:rsidRDefault="00174AEA" w:rsidP="008A3976">
            <w:pPr>
              <w:pStyle w:val="Tabletextright"/>
            </w:pPr>
            <w:r w:rsidRPr="00687A1C">
              <w:t>–</w:t>
            </w:r>
          </w:p>
        </w:tc>
        <w:tc>
          <w:tcPr>
            <w:tcW w:w="1080" w:type="dxa"/>
          </w:tcPr>
          <w:p w:rsidR="00174AEA" w:rsidRPr="00687A1C" w:rsidRDefault="00174AEA" w:rsidP="00D8412D">
            <w:pPr>
              <w:pStyle w:val="Tabletextright"/>
            </w:pPr>
            <w:r w:rsidRPr="00687A1C">
              <w:t>59</w:t>
            </w:r>
            <w:r w:rsidR="00D8412D" w:rsidRPr="00687A1C">
              <w:rPr>
                <w:rFonts w:ascii="Calibri" w:hAnsi="Calibri" w:cs="Calibri"/>
              </w:rPr>
              <w:t xml:space="preserve"> </w:t>
            </w:r>
            <w:r w:rsidRPr="00687A1C">
              <w:t>864</w:t>
            </w:r>
          </w:p>
        </w:tc>
      </w:tr>
      <w:tr w:rsidR="00174AEA" w:rsidRPr="00687A1C" w:rsidTr="008A3976">
        <w:trPr>
          <w:cantSplit/>
        </w:trPr>
        <w:tc>
          <w:tcPr>
            <w:tcW w:w="3865" w:type="dxa"/>
            <w:vAlign w:val="bottom"/>
          </w:tcPr>
          <w:p w:rsidR="00174AEA" w:rsidRPr="00687A1C" w:rsidRDefault="00174AEA" w:rsidP="008A3976">
            <w:pPr>
              <w:pStyle w:val="Tabletext"/>
              <w:rPr>
                <w:vertAlign w:val="superscript"/>
              </w:rPr>
            </w:pPr>
            <w:r w:rsidRPr="00687A1C">
              <w:rPr>
                <w:i/>
              </w:rPr>
              <w:t xml:space="preserve">Treasury Corporation of </w:t>
            </w:r>
            <w:r w:rsidR="0016314E" w:rsidRPr="00687A1C">
              <w:rPr>
                <w:i/>
              </w:rPr>
              <w:t>Victoria Act, No. 80 of</w:t>
            </w:r>
            <w:r w:rsidR="0016314E" w:rsidRPr="00687A1C">
              <w:rPr>
                <w:rFonts w:ascii="Calibri" w:hAnsi="Calibri" w:cs="Courier New"/>
                <w:i/>
              </w:rPr>
              <w:t> </w:t>
            </w:r>
            <w:r w:rsidRPr="00687A1C">
              <w:rPr>
                <w:i/>
              </w:rPr>
              <w:t>1992</w:t>
            </w:r>
            <w:r w:rsidRPr="00687A1C">
              <w:t>, Section 38 – Debt Retirement</w:t>
            </w:r>
          </w:p>
        </w:tc>
        <w:tc>
          <w:tcPr>
            <w:tcW w:w="2340" w:type="dxa"/>
          </w:tcPr>
          <w:p w:rsidR="00174AEA" w:rsidRPr="00687A1C" w:rsidRDefault="00174AEA" w:rsidP="008A3976">
            <w:pPr>
              <w:pStyle w:val="Tabletext"/>
            </w:pPr>
            <w:r w:rsidRPr="00687A1C">
              <w:t>Budget sector debt retirement</w:t>
            </w:r>
          </w:p>
        </w:tc>
        <w:tc>
          <w:tcPr>
            <w:tcW w:w="1110" w:type="dxa"/>
            <w:shd w:val="clear" w:color="auto" w:fill="E0E0E0"/>
          </w:tcPr>
          <w:p w:rsidR="00174AEA" w:rsidRPr="00687A1C" w:rsidRDefault="00174AEA" w:rsidP="00D8412D">
            <w:pPr>
              <w:pStyle w:val="Tabletextright"/>
            </w:pPr>
            <w:r w:rsidRPr="00687A1C">
              <w:t>20</w:t>
            </w:r>
            <w:r w:rsidR="00D8412D" w:rsidRPr="00687A1C">
              <w:rPr>
                <w:rFonts w:ascii="Calibri" w:hAnsi="Calibri" w:cs="Calibri"/>
              </w:rPr>
              <w:t xml:space="preserve"> </w:t>
            </w:r>
            <w:r w:rsidRPr="00687A1C">
              <w:t>841</w:t>
            </w:r>
          </w:p>
        </w:tc>
        <w:tc>
          <w:tcPr>
            <w:tcW w:w="1080" w:type="dxa"/>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788</w:t>
            </w:r>
            <w:r w:rsidR="00D8412D" w:rsidRPr="00687A1C">
              <w:rPr>
                <w:rFonts w:ascii="Calibri" w:hAnsi="Calibri" w:cs="Calibri"/>
              </w:rPr>
              <w:t xml:space="preserve"> </w:t>
            </w:r>
            <w:r w:rsidRPr="00687A1C">
              <w:t>224</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Taxation (Interest on Overpayments) Act, No. 35 of 1986</w:t>
            </w:r>
            <w:r w:rsidRPr="00687A1C">
              <w:t>, Section 11</w:t>
            </w:r>
          </w:p>
        </w:tc>
        <w:tc>
          <w:tcPr>
            <w:tcW w:w="2340" w:type="dxa"/>
          </w:tcPr>
          <w:p w:rsidR="00174AEA" w:rsidRPr="00687A1C" w:rsidRDefault="00174AEA" w:rsidP="008A3976">
            <w:pPr>
              <w:pStyle w:val="Tabletext"/>
            </w:pPr>
            <w:r w:rsidRPr="00687A1C">
              <w:t>Interest on overpayments of</w:t>
            </w:r>
            <w:r w:rsidRPr="00687A1C">
              <w:rPr>
                <w:rFonts w:ascii="Calibri" w:hAnsi="Calibri" w:cs="Calibri"/>
              </w:rPr>
              <w:t> </w:t>
            </w:r>
            <w:r w:rsidRPr="00687A1C">
              <w:t>tax</w:t>
            </w:r>
          </w:p>
        </w:tc>
        <w:tc>
          <w:tcPr>
            <w:tcW w:w="1110" w:type="dxa"/>
            <w:shd w:val="clear" w:color="auto" w:fill="E0E0E0"/>
          </w:tcPr>
          <w:p w:rsidR="00174AEA" w:rsidRPr="00687A1C" w:rsidRDefault="00174AEA" w:rsidP="008A3976">
            <w:pPr>
              <w:pStyle w:val="Tabletextright"/>
            </w:pPr>
            <w:r w:rsidRPr="00687A1C">
              <w:t>793</w:t>
            </w:r>
          </w:p>
        </w:tc>
        <w:tc>
          <w:tcPr>
            <w:tcW w:w="1080" w:type="dxa"/>
          </w:tcPr>
          <w:p w:rsidR="00174AEA" w:rsidRPr="00687A1C" w:rsidRDefault="00174AEA" w:rsidP="008A3976">
            <w:pPr>
              <w:pStyle w:val="Tabletextright"/>
            </w:pPr>
            <w:r w:rsidRPr="00687A1C">
              <w:t>835</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State Owned Enterprises Act, No. 90 of 1992</w:t>
            </w:r>
            <w:r w:rsidRPr="00687A1C">
              <w:t>, Section 88</w:t>
            </w:r>
          </w:p>
        </w:tc>
        <w:tc>
          <w:tcPr>
            <w:tcW w:w="2340" w:type="dxa"/>
          </w:tcPr>
          <w:p w:rsidR="00174AEA" w:rsidRPr="00687A1C" w:rsidRDefault="00174AEA" w:rsidP="008A3976">
            <w:pPr>
              <w:pStyle w:val="Tabletext"/>
            </w:pPr>
            <w:r w:rsidRPr="00687A1C">
              <w:t>State equivalent tax refunds</w:t>
            </w:r>
          </w:p>
        </w:tc>
        <w:tc>
          <w:tcPr>
            <w:tcW w:w="1110" w:type="dxa"/>
            <w:shd w:val="clear" w:color="auto" w:fill="E0E0E0"/>
          </w:tcPr>
          <w:p w:rsidR="00174AEA" w:rsidRPr="00687A1C" w:rsidRDefault="00174AEA" w:rsidP="00D8412D">
            <w:pPr>
              <w:pStyle w:val="Tabletextright"/>
            </w:pPr>
            <w:r w:rsidRPr="00687A1C">
              <w:t>13</w:t>
            </w:r>
            <w:r w:rsidR="00D8412D" w:rsidRPr="00687A1C">
              <w:rPr>
                <w:rFonts w:ascii="Calibri" w:hAnsi="Calibri" w:cs="Calibri"/>
              </w:rPr>
              <w:t xml:space="preserve"> </w:t>
            </w:r>
            <w:r w:rsidRPr="00687A1C">
              <w:t>152</w:t>
            </w:r>
          </w:p>
        </w:tc>
        <w:tc>
          <w:tcPr>
            <w:tcW w:w="1080" w:type="dxa"/>
          </w:tcPr>
          <w:p w:rsidR="00174AEA" w:rsidRPr="00687A1C" w:rsidRDefault="00174AEA" w:rsidP="00D8412D">
            <w:pPr>
              <w:pStyle w:val="Tabletextright"/>
            </w:pPr>
            <w:r w:rsidRPr="00687A1C">
              <w:t>8</w:t>
            </w:r>
            <w:r w:rsidR="00D8412D" w:rsidRPr="00687A1C">
              <w:rPr>
                <w:rFonts w:ascii="Calibri" w:hAnsi="Calibri" w:cs="Calibri"/>
              </w:rPr>
              <w:t xml:space="preserve"> </w:t>
            </w:r>
            <w:r w:rsidRPr="00687A1C">
              <w:t>987</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Liquor Control Reform Act, No. 94 of 1998</w:t>
            </w:r>
            <w:r w:rsidRPr="00687A1C">
              <w:t>, Section</w:t>
            </w:r>
            <w:r w:rsidRPr="00687A1C">
              <w:rPr>
                <w:rFonts w:ascii="Calibri" w:hAnsi="Calibri" w:cs="Calibri"/>
              </w:rPr>
              <w:t> </w:t>
            </w:r>
            <w:r w:rsidRPr="00687A1C">
              <w:t>177(2)</w:t>
            </w:r>
          </w:p>
        </w:tc>
        <w:tc>
          <w:tcPr>
            <w:tcW w:w="2340" w:type="dxa"/>
          </w:tcPr>
          <w:p w:rsidR="00174AEA" w:rsidRPr="00687A1C" w:rsidRDefault="00174AEA" w:rsidP="008A3976">
            <w:pPr>
              <w:pStyle w:val="Tabletext"/>
            </w:pPr>
            <w:r w:rsidRPr="00687A1C">
              <w:t>Safety net payments</w:t>
            </w:r>
          </w:p>
        </w:tc>
        <w:tc>
          <w:tcPr>
            <w:tcW w:w="1110" w:type="dxa"/>
            <w:shd w:val="clear" w:color="auto" w:fill="E0E0E0"/>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468</w:t>
            </w:r>
          </w:p>
        </w:tc>
        <w:tc>
          <w:tcPr>
            <w:tcW w:w="1080" w:type="dxa"/>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500</w:t>
            </w:r>
          </w:p>
        </w:tc>
      </w:tr>
      <w:tr w:rsidR="00174AEA" w:rsidRPr="00687A1C" w:rsidTr="008A3976">
        <w:trPr>
          <w:cantSplit/>
        </w:trPr>
        <w:tc>
          <w:tcPr>
            <w:tcW w:w="3865" w:type="dxa"/>
            <w:vAlign w:val="bottom"/>
          </w:tcPr>
          <w:p w:rsidR="00174AEA" w:rsidRPr="00687A1C" w:rsidRDefault="00174AEA" w:rsidP="004F1F45">
            <w:pPr>
              <w:pStyle w:val="Tabletext"/>
            </w:pPr>
            <w:r w:rsidRPr="00687A1C">
              <w:rPr>
                <w:i/>
              </w:rPr>
              <w:t>Gambling Regulation Act, No. 114 of 2003</w:t>
            </w:r>
            <w:r w:rsidRPr="00687A1C">
              <w:t>, Section</w:t>
            </w:r>
            <w:r w:rsidRPr="00687A1C">
              <w:rPr>
                <w:rFonts w:ascii="Calibri" w:hAnsi="Calibri" w:cs="Calibri"/>
              </w:rPr>
              <w:t> </w:t>
            </w:r>
            <w:r w:rsidRPr="00687A1C">
              <w:t>3.6.12</w:t>
            </w:r>
            <w:r w:rsidRPr="00687A1C">
              <w:rPr>
                <w:vertAlign w:val="superscript"/>
              </w:rPr>
              <w:t>(</w:t>
            </w:r>
            <w:r w:rsidR="004F1F45" w:rsidRPr="00687A1C">
              <w:rPr>
                <w:vertAlign w:val="superscript"/>
              </w:rPr>
              <w:t>a</w:t>
            </w:r>
            <w:r w:rsidRPr="00687A1C">
              <w:rPr>
                <w:vertAlign w:val="superscript"/>
              </w:rPr>
              <w:t>)</w:t>
            </w:r>
          </w:p>
        </w:tc>
        <w:tc>
          <w:tcPr>
            <w:tcW w:w="2340" w:type="dxa"/>
          </w:tcPr>
          <w:p w:rsidR="00174AEA" w:rsidRPr="00687A1C" w:rsidRDefault="00174AEA" w:rsidP="008A3976">
            <w:pPr>
              <w:pStyle w:val="Tabletext"/>
            </w:pPr>
            <w:r w:rsidRPr="00687A1C">
              <w:t>Payments to Community Support Fund</w:t>
            </w:r>
          </w:p>
        </w:tc>
        <w:tc>
          <w:tcPr>
            <w:tcW w:w="1110" w:type="dxa"/>
            <w:shd w:val="clear" w:color="auto" w:fill="E0E0E0"/>
          </w:tcPr>
          <w:p w:rsidR="00174AEA" w:rsidRPr="00687A1C" w:rsidRDefault="00174AEA" w:rsidP="00D8412D">
            <w:pPr>
              <w:pStyle w:val="Tabletextright"/>
            </w:pPr>
            <w:r w:rsidRPr="00687A1C">
              <w:t>146</w:t>
            </w:r>
            <w:r w:rsidR="00D8412D" w:rsidRPr="00687A1C">
              <w:rPr>
                <w:rFonts w:ascii="Calibri" w:hAnsi="Calibri" w:cs="Calibri"/>
              </w:rPr>
              <w:t xml:space="preserve"> </w:t>
            </w:r>
            <w:r w:rsidRPr="00687A1C">
              <w:t>159</w:t>
            </w:r>
          </w:p>
        </w:tc>
        <w:tc>
          <w:tcPr>
            <w:tcW w:w="1080" w:type="dxa"/>
          </w:tcPr>
          <w:p w:rsidR="00174AEA" w:rsidRPr="00687A1C" w:rsidRDefault="00174AEA" w:rsidP="00D8412D">
            <w:pPr>
              <w:pStyle w:val="Tabletextright"/>
            </w:pPr>
            <w:r w:rsidRPr="00687A1C">
              <w:t>96</w:t>
            </w:r>
            <w:r w:rsidR="00D8412D" w:rsidRPr="00687A1C">
              <w:rPr>
                <w:rFonts w:ascii="Calibri" w:hAnsi="Calibri" w:cs="Calibri"/>
              </w:rPr>
              <w:t xml:space="preserve"> </w:t>
            </w:r>
            <w:r w:rsidRPr="00687A1C">
              <w:t>892</w:t>
            </w:r>
          </w:p>
        </w:tc>
      </w:tr>
      <w:tr w:rsidR="00174AEA" w:rsidRPr="00687A1C" w:rsidTr="008A3976">
        <w:trPr>
          <w:cantSplit/>
        </w:trPr>
        <w:tc>
          <w:tcPr>
            <w:tcW w:w="3865" w:type="dxa"/>
            <w:vAlign w:val="bottom"/>
          </w:tcPr>
          <w:p w:rsidR="00174AEA" w:rsidRPr="00687A1C" w:rsidRDefault="00174AEA" w:rsidP="008A3976">
            <w:pPr>
              <w:pStyle w:val="Tabletext"/>
            </w:pPr>
            <w:r w:rsidRPr="00687A1C">
              <w:rPr>
                <w:i/>
              </w:rPr>
              <w:t>Financial Management Act, No. 18 of 1994</w:t>
            </w:r>
            <w:r w:rsidRPr="00687A1C">
              <w:t>, Section 39</w:t>
            </w:r>
          </w:p>
        </w:tc>
        <w:tc>
          <w:tcPr>
            <w:tcW w:w="2340" w:type="dxa"/>
          </w:tcPr>
          <w:p w:rsidR="00174AEA" w:rsidRPr="00687A1C" w:rsidRDefault="00174AEA" w:rsidP="008A3976">
            <w:pPr>
              <w:pStyle w:val="Tabletext"/>
            </w:pPr>
            <w:r w:rsidRPr="00687A1C">
              <w:t>Interest on advances</w:t>
            </w:r>
          </w:p>
        </w:tc>
        <w:tc>
          <w:tcPr>
            <w:tcW w:w="1110" w:type="dxa"/>
            <w:shd w:val="clear" w:color="auto" w:fill="E0E0E0"/>
          </w:tcPr>
          <w:p w:rsidR="00174AEA" w:rsidRPr="00687A1C" w:rsidRDefault="00174AEA" w:rsidP="00D8412D">
            <w:pPr>
              <w:pStyle w:val="Tabletextright"/>
            </w:pPr>
            <w:r w:rsidRPr="00687A1C">
              <w:t>10</w:t>
            </w:r>
            <w:r w:rsidR="00D8412D" w:rsidRPr="00687A1C">
              <w:rPr>
                <w:rFonts w:ascii="Calibri" w:hAnsi="Calibri" w:cs="Calibri"/>
              </w:rPr>
              <w:t xml:space="preserve"> </w:t>
            </w:r>
            <w:r w:rsidRPr="00687A1C">
              <w:t>540</w:t>
            </w:r>
          </w:p>
        </w:tc>
        <w:tc>
          <w:tcPr>
            <w:tcW w:w="1080" w:type="dxa"/>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646</w:t>
            </w:r>
          </w:p>
        </w:tc>
      </w:tr>
      <w:tr w:rsidR="00174AEA" w:rsidRPr="00687A1C" w:rsidTr="008A3976">
        <w:trPr>
          <w:cantSplit/>
        </w:trPr>
        <w:tc>
          <w:tcPr>
            <w:tcW w:w="3865" w:type="dxa"/>
            <w:vAlign w:val="bottom"/>
          </w:tcPr>
          <w:p w:rsidR="00174AEA" w:rsidRPr="00687A1C" w:rsidRDefault="00174AEA" w:rsidP="008A3976">
            <w:pPr>
              <w:pStyle w:val="Tabletext"/>
              <w:rPr>
                <w:i/>
              </w:rPr>
            </w:pPr>
            <w:r w:rsidRPr="00687A1C">
              <w:rPr>
                <w:i/>
              </w:rPr>
              <w:t>Taxation Administration Act 1997</w:t>
            </w:r>
            <w:r w:rsidRPr="00687A1C">
              <w:t>, Section 121</w:t>
            </w:r>
          </w:p>
        </w:tc>
        <w:tc>
          <w:tcPr>
            <w:tcW w:w="2340" w:type="dxa"/>
          </w:tcPr>
          <w:p w:rsidR="00174AEA" w:rsidRPr="00687A1C" w:rsidRDefault="00174AEA" w:rsidP="008A3976">
            <w:pPr>
              <w:pStyle w:val="Tabletext"/>
            </w:pPr>
            <w:r w:rsidRPr="00687A1C">
              <w:t>Court costs</w:t>
            </w:r>
          </w:p>
        </w:tc>
        <w:tc>
          <w:tcPr>
            <w:tcW w:w="1110" w:type="dxa"/>
            <w:shd w:val="clear" w:color="auto" w:fill="E0E0E0"/>
          </w:tcPr>
          <w:p w:rsidR="00174AEA" w:rsidRPr="00687A1C" w:rsidRDefault="00174AEA" w:rsidP="008A3976">
            <w:pPr>
              <w:pStyle w:val="Tabletextright"/>
            </w:pPr>
            <w:r w:rsidRPr="00687A1C">
              <w:t>772</w:t>
            </w:r>
          </w:p>
        </w:tc>
        <w:tc>
          <w:tcPr>
            <w:tcW w:w="1080" w:type="dxa"/>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896</w:t>
            </w:r>
          </w:p>
        </w:tc>
      </w:tr>
      <w:tr w:rsidR="00174AEA" w:rsidRPr="00687A1C" w:rsidTr="008A3976">
        <w:trPr>
          <w:cantSplit/>
          <w:trHeight w:hRule="exact" w:val="120"/>
        </w:trPr>
        <w:tc>
          <w:tcPr>
            <w:tcW w:w="3865" w:type="dxa"/>
            <w:vAlign w:val="bottom"/>
          </w:tcPr>
          <w:p w:rsidR="00174AEA" w:rsidRPr="00687A1C" w:rsidRDefault="00174AEA" w:rsidP="008A3976">
            <w:pPr>
              <w:rPr>
                <w:b/>
              </w:rPr>
            </w:pPr>
          </w:p>
        </w:tc>
        <w:tc>
          <w:tcPr>
            <w:tcW w:w="2340" w:type="dxa"/>
            <w:vAlign w:val="bottom"/>
          </w:tcPr>
          <w:p w:rsidR="00174AEA" w:rsidRPr="00687A1C" w:rsidRDefault="00174AEA" w:rsidP="008A3976">
            <w:pPr>
              <w:pStyle w:val="Tabletext"/>
              <w:rPr>
                <w:b/>
              </w:rPr>
            </w:pPr>
          </w:p>
        </w:tc>
        <w:tc>
          <w:tcPr>
            <w:tcW w:w="1110" w:type="dxa"/>
            <w:shd w:val="clear" w:color="auto" w:fill="E0E0E0"/>
            <w:vAlign w:val="bottom"/>
          </w:tcPr>
          <w:p w:rsidR="00174AEA" w:rsidRPr="00687A1C" w:rsidRDefault="00174AEA" w:rsidP="008A3976">
            <w:pPr>
              <w:pStyle w:val="Tabletextright"/>
            </w:pPr>
          </w:p>
        </w:tc>
        <w:tc>
          <w:tcPr>
            <w:tcW w:w="1080" w:type="dxa"/>
          </w:tcPr>
          <w:p w:rsidR="00174AEA" w:rsidRPr="00687A1C" w:rsidRDefault="00174AEA" w:rsidP="008A3976">
            <w:pPr>
              <w:pStyle w:val="Tabletextright"/>
            </w:pPr>
          </w:p>
        </w:tc>
      </w:tr>
      <w:tr w:rsidR="00174AEA" w:rsidRPr="00687A1C" w:rsidTr="008A3976">
        <w:trPr>
          <w:cantSplit/>
        </w:trPr>
        <w:tc>
          <w:tcPr>
            <w:tcW w:w="3865" w:type="dxa"/>
            <w:vAlign w:val="bottom"/>
          </w:tcPr>
          <w:p w:rsidR="00174AEA" w:rsidRPr="00687A1C" w:rsidRDefault="00174AEA" w:rsidP="008A3976">
            <w:pPr>
              <w:pStyle w:val="Tabletextbold"/>
            </w:pPr>
            <w:r w:rsidRPr="00687A1C">
              <w:t>Total special appropriations</w:t>
            </w:r>
          </w:p>
        </w:tc>
        <w:tc>
          <w:tcPr>
            <w:tcW w:w="2340" w:type="dxa"/>
            <w:vAlign w:val="bottom"/>
          </w:tcPr>
          <w:p w:rsidR="00174AEA" w:rsidRPr="00687A1C" w:rsidRDefault="00174AEA" w:rsidP="008A3976">
            <w:pPr>
              <w:pStyle w:val="Tabletext"/>
              <w:rPr>
                <w:b/>
              </w:rPr>
            </w:pPr>
          </w:p>
        </w:tc>
        <w:tc>
          <w:tcPr>
            <w:tcW w:w="1110" w:type="dxa"/>
            <w:shd w:val="clear" w:color="auto" w:fill="E0E0E0"/>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300</w:t>
            </w:r>
            <w:r w:rsidR="00D8412D" w:rsidRPr="00687A1C">
              <w:rPr>
                <w:rFonts w:ascii="Calibri" w:hAnsi="Calibri" w:cs="Calibri"/>
              </w:rPr>
              <w:t xml:space="preserve"> </w:t>
            </w:r>
            <w:r w:rsidRPr="00687A1C">
              <w:t>782</w:t>
            </w:r>
          </w:p>
        </w:tc>
        <w:tc>
          <w:tcPr>
            <w:tcW w:w="1080" w:type="dxa"/>
          </w:tcPr>
          <w:p w:rsidR="00174AEA" w:rsidRPr="00687A1C" w:rsidRDefault="00174AEA" w:rsidP="00D8412D">
            <w:pPr>
              <w:pStyle w:val="Tabletextrightbold"/>
            </w:pPr>
            <w:r w:rsidRPr="00687A1C">
              <w:t>7</w:t>
            </w:r>
            <w:r w:rsidR="00D8412D" w:rsidRPr="00687A1C">
              <w:rPr>
                <w:rFonts w:ascii="Calibri" w:hAnsi="Calibri" w:cs="Calibri"/>
              </w:rPr>
              <w:t xml:space="preserve"> </w:t>
            </w:r>
            <w:r w:rsidRPr="00687A1C">
              <w:t>068</w:t>
            </w:r>
            <w:r w:rsidR="00D8412D" w:rsidRPr="00687A1C">
              <w:rPr>
                <w:rFonts w:ascii="Calibri" w:hAnsi="Calibri" w:cs="Calibri"/>
              </w:rPr>
              <w:t xml:space="preserve"> </w:t>
            </w:r>
            <w:r w:rsidRPr="00687A1C">
              <w:t>787</w:t>
            </w:r>
          </w:p>
        </w:tc>
      </w:tr>
    </w:tbl>
    <w:p w:rsidR="00174AEA" w:rsidRPr="00687A1C" w:rsidRDefault="00174AEA" w:rsidP="00174AEA">
      <w:pPr>
        <w:pStyle w:val="Notes"/>
      </w:pPr>
      <w:r w:rsidRPr="00687A1C">
        <w:t>Notes:</w:t>
      </w:r>
    </w:p>
    <w:p w:rsidR="00174AEA" w:rsidRPr="00687A1C" w:rsidRDefault="00174AEA" w:rsidP="00174AEA">
      <w:pPr>
        <w:pStyle w:val="Notes"/>
      </w:pPr>
      <w:r w:rsidRPr="00687A1C">
        <w:t>(</w:t>
      </w:r>
      <w:r w:rsidR="004F1F45" w:rsidRPr="00687A1C">
        <w:t>a</w:t>
      </w:r>
      <w:r w:rsidRPr="00687A1C">
        <w:t>) In 2017-18, an additional $45</w:t>
      </w:r>
      <w:r w:rsidR="006F069A" w:rsidRPr="00687A1C">
        <w:rPr>
          <w:rFonts w:ascii="Calibri" w:hAnsi="Calibri" w:cs="Calibri"/>
        </w:rPr>
        <w:t> </w:t>
      </w:r>
      <w:r w:rsidR="006F069A" w:rsidRPr="00687A1C">
        <w:t>million</w:t>
      </w:r>
      <w:r w:rsidRPr="00687A1C">
        <w:t xml:space="preserve"> of electronic gaming machines revenue </w:t>
      </w:r>
      <w:r w:rsidR="004F1F45" w:rsidRPr="00687A1C">
        <w:t>w</w:t>
      </w:r>
      <w:r w:rsidRPr="00687A1C">
        <w:t xml:space="preserve">as accessed by the Community Support Fund, following the lapsing of section 3.6.12(1A) of the </w:t>
      </w:r>
      <w:r w:rsidRPr="00687A1C">
        <w:rPr>
          <w:i/>
        </w:rPr>
        <w:t>Gambling Regulation Act 2003</w:t>
      </w:r>
      <w:r w:rsidRPr="00687A1C">
        <w:t xml:space="preserve"> at 30 June 2017. The Treasurer approved the allocation of this funding to </w:t>
      </w:r>
      <w:r w:rsidR="00185EB9" w:rsidRPr="00687A1C">
        <w:t xml:space="preserve">the </w:t>
      </w:r>
      <w:r w:rsidRPr="00687A1C">
        <w:t>Department of Health and Human Services for the Drug and Alcohol Treatment Services Program, and offset the program’s existing annual output appropriation funding by the same amount.</w:t>
      </w:r>
    </w:p>
    <w:p w:rsidR="00174AEA" w:rsidRPr="00687A1C" w:rsidRDefault="00174AEA" w:rsidP="00174AEA"/>
    <w:p w:rsidR="00174AEA" w:rsidRPr="00687A1C" w:rsidRDefault="00174AEA" w:rsidP="00174AEA">
      <w:pPr>
        <w:sectPr w:rsidR="00174AEA" w:rsidRPr="00687A1C" w:rsidSect="002753E8">
          <w:type w:val="continuous"/>
          <w:pgSz w:w="11909" w:h="16834" w:code="9"/>
          <w:pgMar w:top="1728" w:right="1152" w:bottom="1152" w:left="1152" w:header="720" w:footer="288" w:gutter="0"/>
          <w:cols w:space="720"/>
          <w:noEndnote/>
        </w:sectPr>
      </w:pPr>
    </w:p>
    <w:p w:rsidR="00174AEA" w:rsidRPr="00687A1C" w:rsidRDefault="00174AEA" w:rsidP="00174AEA">
      <w:pPr>
        <w:pStyle w:val="Heading4"/>
      </w:pPr>
      <w:r w:rsidRPr="00687A1C">
        <w:lastRenderedPageBreak/>
        <w:t>Commonwealth grants</w:t>
      </w:r>
    </w:p>
    <w:p w:rsidR="00174AEA" w:rsidRPr="00687A1C" w:rsidRDefault="00174AEA" w:rsidP="00174AEA">
      <w:r w:rsidRPr="00687A1C">
        <w:t>The Department’s administered grants mainly comprise funds provided by the Commonwealth to assist the State in meeting general or specific service delivery obligations, primarily for the purpose of aiding in the financing of operations, capital purposes and/or for on passing to other recipients.</w:t>
      </w:r>
    </w:p>
    <w:p w:rsidR="00174AEA" w:rsidRPr="00687A1C" w:rsidRDefault="00174AEA" w:rsidP="00174AEA">
      <w:pPr>
        <w:pStyle w:val="Heading4"/>
      </w:pPr>
      <w:r w:rsidRPr="00687A1C">
        <w:t>Taxation (includes taxes, fines, regulatory fees and other state revenue)</w:t>
      </w:r>
    </w:p>
    <w:p w:rsidR="00174AEA" w:rsidRPr="00687A1C" w:rsidRDefault="00174AEA" w:rsidP="00174AEA">
      <w:r w:rsidRPr="00687A1C">
        <w:t xml:space="preserve">State taxation revenue is recognised by the State on receipt of a taxpayer’s self-assessment, or the time the taxpayer’s obligation to pay arises pursuant to the issue of an assessment, whichever is earlier. Revenue in relation to the Growth Area Infrastructure Contribution (GAIC) is recognised on the occurrence of the first GAIC taxable event. Revenue in relation to the Fire Services Property Levy is recognised on receipt from a municipal council of an annual estimate of liability, a payment, or an annual reconciliation. Fines and regulatory fees revenue is recognised at the time the fine or regulatory fee is issued. </w:t>
      </w:r>
    </w:p>
    <w:p w:rsidR="00174AEA" w:rsidRPr="00687A1C" w:rsidRDefault="00174AEA" w:rsidP="00174AEA">
      <w:r w:rsidRPr="00687A1C">
        <w:t>Income tax equivalent and rate equivalent revenue are recognised when the right to receive the payment is established.</w:t>
      </w:r>
    </w:p>
    <w:p w:rsidR="00174AEA" w:rsidRPr="00687A1C" w:rsidRDefault="00174AEA" w:rsidP="00174AEA">
      <w:pPr>
        <w:pStyle w:val="Heading4"/>
      </w:pPr>
      <w:r w:rsidRPr="00687A1C">
        <w:t>Dividends</w:t>
      </w:r>
    </w:p>
    <w:p w:rsidR="00174AEA" w:rsidRPr="00687A1C" w:rsidRDefault="00174AEA" w:rsidP="00174AEA">
      <w:r w:rsidRPr="00687A1C">
        <w:t>Dividends are recognised when the right to receive the payment is established.</w:t>
      </w:r>
    </w:p>
    <w:p w:rsidR="00174AEA" w:rsidRPr="00687A1C" w:rsidRDefault="00174AEA" w:rsidP="00174AEA">
      <w:pPr>
        <w:pStyle w:val="Heading4"/>
      </w:pPr>
      <w:r w:rsidRPr="00687A1C">
        <w:t>Capital asset charge</w:t>
      </w:r>
    </w:p>
    <w:p w:rsidR="00174AEA" w:rsidRPr="00687A1C" w:rsidRDefault="00174AEA" w:rsidP="00174AEA">
      <w:r w:rsidRPr="00687A1C">
        <w:t>This revenue represents the amount levied by the State on departments and relevant agencies for the opportunity cost of capital used in service delivery.</w:t>
      </w:r>
    </w:p>
    <w:p w:rsidR="00174AEA" w:rsidRPr="00687A1C" w:rsidRDefault="00174AEA" w:rsidP="00174AEA">
      <w:pPr>
        <w:pStyle w:val="Heading4"/>
      </w:pPr>
      <w:r w:rsidRPr="00687A1C">
        <w:br w:type="column"/>
      </w:r>
      <w:r w:rsidRPr="00687A1C">
        <w:t>Interest income</w:t>
      </w:r>
    </w:p>
    <w:p w:rsidR="00174AEA" w:rsidRPr="00687A1C" w:rsidRDefault="00174AEA" w:rsidP="00174AEA">
      <w:r w:rsidRPr="00687A1C">
        <w:t>Interest income includes interest received on bank term deposits and other investments, and the unwinding over time of discounts on financial assets including interest on finance leases. Interest income is recognised on a time proportionate basis that takes into account the effective yield on the financial asset.</w:t>
      </w:r>
    </w:p>
    <w:p w:rsidR="00174AEA" w:rsidRPr="00687A1C" w:rsidRDefault="00174AEA" w:rsidP="00174AEA">
      <w:pPr>
        <w:pStyle w:val="Heading4"/>
      </w:pPr>
      <w:r w:rsidRPr="00687A1C">
        <w:t>Other income</w:t>
      </w:r>
    </w:p>
    <w:p w:rsidR="00174AEA" w:rsidRPr="00687A1C" w:rsidRDefault="00174AEA" w:rsidP="00174AEA">
      <w:r w:rsidRPr="00687A1C">
        <w:t>Other income relates to other miscellaneous non-operating revenue.</w:t>
      </w:r>
    </w:p>
    <w:p w:rsidR="00174AEA" w:rsidRPr="00687A1C" w:rsidRDefault="00174AEA" w:rsidP="00174AEA">
      <w:pPr>
        <w:pStyle w:val="Heading4"/>
      </w:pPr>
      <w:r w:rsidRPr="00687A1C">
        <w:t>Grants expense</w:t>
      </w:r>
    </w:p>
    <w:p w:rsidR="00174AEA" w:rsidRPr="00687A1C" w:rsidRDefault="00174AEA" w:rsidP="00174AEA">
      <w:r w:rsidRPr="00687A1C">
        <w:t>Grants can either be operating or capital in nature. Grants can be paid as general purpose grants, which refer to grants that are not subject to conditions regarding their use. Alternatively, they may be paid as specific purpose grants which are paid for a particular purpose and/or have conditions attached regarding their use.</w:t>
      </w:r>
    </w:p>
    <w:p w:rsidR="00174AEA" w:rsidRPr="00687A1C" w:rsidRDefault="00174AEA" w:rsidP="00174AEA">
      <w:pPr>
        <w:pStyle w:val="Heading4"/>
      </w:pPr>
      <w:r w:rsidRPr="00687A1C">
        <w:t>Contribution to GST administration costs</w:t>
      </w:r>
    </w:p>
    <w:p w:rsidR="00174AEA" w:rsidRPr="00687A1C" w:rsidRDefault="00174AEA" w:rsidP="00174AEA">
      <w:r w:rsidRPr="00687A1C">
        <w:t>Payments to the Commonwealth for the State’s share of the cost of administering goods and services tax (GST).</w:t>
      </w:r>
    </w:p>
    <w:p w:rsidR="00174AEA" w:rsidRPr="00687A1C" w:rsidRDefault="00174AEA" w:rsidP="00174AEA">
      <w:pPr>
        <w:pStyle w:val="Heading4"/>
      </w:pPr>
      <w:r w:rsidRPr="00687A1C">
        <w:t>Other economic flows included in net result</w:t>
      </w:r>
    </w:p>
    <w:p w:rsidR="00174AEA" w:rsidRPr="00687A1C" w:rsidRDefault="00174AEA" w:rsidP="00174AEA">
      <w:r w:rsidRPr="00687A1C">
        <w:t>Net realised and unrealised gains and losses on the revaluation of investments</w:t>
      </w:r>
      <w:r w:rsidR="000413BE" w:rsidRPr="00687A1C">
        <w:t>,</w:t>
      </w:r>
      <w:r w:rsidRPr="00687A1C">
        <w:t xml:space="preserve"> which do not form part of income from transactions</w:t>
      </w:r>
      <w:r w:rsidR="000413BE" w:rsidRPr="00687A1C">
        <w:t>,</w:t>
      </w:r>
      <w:r w:rsidRPr="00687A1C">
        <w:t xml:space="preserve"> are reported as part of income from other economic flows in the net result or as unrealised gains and losses taken direct to equity, forming part of the total change in net worth in the comprehensive result</w:t>
      </w:r>
      <w:r w:rsidR="000413BE" w:rsidRPr="00687A1C">
        <w:t>.</w:t>
      </w:r>
    </w:p>
    <w:p w:rsidR="00174AEA" w:rsidRPr="00687A1C" w:rsidRDefault="00174AEA" w:rsidP="00174AEA"/>
    <w:p w:rsidR="00174AEA" w:rsidRPr="00687A1C" w:rsidRDefault="00174AEA" w:rsidP="00174AEA">
      <w:pPr>
        <w:sectPr w:rsidR="00174AEA" w:rsidRPr="00687A1C" w:rsidSect="00105A1F">
          <w:headerReference w:type="even" r:id="rId57"/>
          <w:headerReference w:type="default" r:id="rId58"/>
          <w:footerReference w:type="even" r:id="rId59"/>
          <w:footerReference w:type="default" r:id="rId60"/>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lastRenderedPageBreak/>
        <w:t>Administered assets and liabilities as at 30 June 2018</w:t>
      </w:r>
    </w:p>
    <w:tbl>
      <w:tblPr>
        <w:tblW w:w="0" w:type="auto"/>
        <w:tblLayout w:type="fixed"/>
        <w:tblLook w:val="0000" w:firstRow="0" w:lastRow="0" w:firstColumn="0" w:lastColumn="0" w:noHBand="0" w:noVBand="0"/>
      </w:tblPr>
      <w:tblGrid>
        <w:gridCol w:w="4788"/>
        <w:gridCol w:w="1260"/>
        <w:gridCol w:w="1260"/>
        <w:gridCol w:w="1243"/>
        <w:gridCol w:w="1243"/>
      </w:tblGrid>
      <w:tr w:rsidR="00174AEA" w:rsidRPr="00687A1C" w:rsidTr="008A3976">
        <w:trPr>
          <w:cantSplit/>
        </w:trPr>
        <w:tc>
          <w:tcPr>
            <w:tcW w:w="4788" w:type="dxa"/>
            <w:shd w:val="clear" w:color="auto" w:fill="auto"/>
            <w:noWrap/>
          </w:tcPr>
          <w:p w:rsidR="00174AEA" w:rsidRPr="00687A1C" w:rsidRDefault="00174AEA" w:rsidP="008A3976">
            <w:pPr>
              <w:pStyle w:val="Tabletext"/>
            </w:pPr>
          </w:p>
        </w:tc>
        <w:tc>
          <w:tcPr>
            <w:tcW w:w="2520" w:type="dxa"/>
            <w:gridSpan w:val="2"/>
            <w:shd w:val="clear" w:color="auto" w:fill="auto"/>
            <w:noWrap/>
            <w:vAlign w:val="bottom"/>
          </w:tcPr>
          <w:p w:rsidR="00174AEA" w:rsidRPr="00687A1C" w:rsidRDefault="00174AEA" w:rsidP="008A3976">
            <w:pPr>
              <w:pStyle w:val="Tabletextheadingcentred"/>
            </w:pPr>
            <w:r w:rsidRPr="00687A1C">
              <w:br/>
            </w:r>
            <w:r w:rsidRPr="00687A1C">
              <w:br/>
              <w:t>Optimise Victoria's fiscal resources</w:t>
            </w:r>
          </w:p>
        </w:tc>
        <w:tc>
          <w:tcPr>
            <w:tcW w:w="2486" w:type="dxa"/>
            <w:gridSpan w:val="2"/>
            <w:shd w:val="clear" w:color="auto" w:fill="auto"/>
            <w:noWrap/>
            <w:vAlign w:val="bottom"/>
          </w:tcPr>
          <w:p w:rsidR="00174AEA" w:rsidRPr="00687A1C" w:rsidRDefault="00174AEA" w:rsidP="008A3976">
            <w:pPr>
              <w:pStyle w:val="Tabletextheadingcentred"/>
            </w:pPr>
            <w:r w:rsidRPr="00687A1C">
              <w:t>Strengthen Victoria’s economic performance</w:t>
            </w:r>
          </w:p>
        </w:tc>
      </w:tr>
      <w:tr w:rsidR="00174AEA" w:rsidRPr="00687A1C" w:rsidTr="008A3976">
        <w:trPr>
          <w:cantSplit/>
        </w:trPr>
        <w:tc>
          <w:tcPr>
            <w:tcW w:w="4788" w:type="dxa"/>
            <w:shd w:val="clear" w:color="auto" w:fill="auto"/>
            <w:noWrap/>
          </w:tcPr>
          <w:p w:rsidR="00174AEA" w:rsidRPr="00687A1C" w:rsidRDefault="00174AEA" w:rsidP="008A3976">
            <w:pPr>
              <w:pStyle w:val="Tabletext"/>
            </w:pPr>
          </w:p>
        </w:tc>
        <w:tc>
          <w:tcPr>
            <w:tcW w:w="1260" w:type="dxa"/>
            <w:shd w:val="clear" w:color="auto" w:fill="auto"/>
            <w:noWrap/>
          </w:tcPr>
          <w:p w:rsidR="00174AEA" w:rsidRPr="00687A1C" w:rsidRDefault="00174AEA" w:rsidP="008A3976">
            <w:pPr>
              <w:pStyle w:val="Tabletextheadingright"/>
            </w:pPr>
            <w:r w:rsidRPr="00687A1C">
              <w:t>2018</w:t>
            </w:r>
          </w:p>
        </w:tc>
        <w:tc>
          <w:tcPr>
            <w:tcW w:w="1260" w:type="dxa"/>
            <w:shd w:val="clear" w:color="auto" w:fill="auto"/>
            <w:noWrap/>
            <w:vAlign w:val="bottom"/>
          </w:tcPr>
          <w:p w:rsidR="00174AEA" w:rsidRPr="00687A1C" w:rsidRDefault="00174AEA" w:rsidP="008A3976">
            <w:pPr>
              <w:pStyle w:val="Tabletextheadingright"/>
            </w:pPr>
            <w:r w:rsidRPr="00687A1C">
              <w:t>2017</w:t>
            </w:r>
          </w:p>
        </w:tc>
        <w:tc>
          <w:tcPr>
            <w:tcW w:w="1243" w:type="dxa"/>
            <w:shd w:val="clear" w:color="auto" w:fill="auto"/>
            <w:noWrap/>
            <w:vAlign w:val="bottom"/>
          </w:tcPr>
          <w:p w:rsidR="00174AEA" w:rsidRPr="00687A1C" w:rsidRDefault="00174AEA" w:rsidP="008A3976">
            <w:pPr>
              <w:pStyle w:val="Tabletextheadingright"/>
            </w:pPr>
            <w:r w:rsidRPr="00687A1C">
              <w:t>2018</w:t>
            </w:r>
          </w:p>
        </w:tc>
        <w:tc>
          <w:tcPr>
            <w:tcW w:w="1243" w:type="dxa"/>
            <w:shd w:val="clear" w:color="auto" w:fill="auto"/>
            <w:noWrap/>
            <w:vAlign w:val="bottom"/>
          </w:tcPr>
          <w:p w:rsidR="00174AEA" w:rsidRPr="00687A1C" w:rsidRDefault="00174AEA" w:rsidP="008A3976">
            <w:pPr>
              <w:pStyle w:val="Tabletextheadingright"/>
            </w:pPr>
            <w:r w:rsidRPr="00687A1C">
              <w:t>2017</w:t>
            </w:r>
          </w:p>
        </w:tc>
      </w:tr>
      <w:tr w:rsidR="00174AEA" w:rsidRPr="00687A1C" w:rsidTr="008A3976">
        <w:trPr>
          <w:cantSplit/>
        </w:trPr>
        <w:tc>
          <w:tcPr>
            <w:tcW w:w="4788" w:type="dxa"/>
            <w:shd w:val="clear" w:color="auto" w:fill="auto"/>
            <w:noWrap/>
          </w:tcPr>
          <w:p w:rsidR="00174AEA" w:rsidRPr="00687A1C" w:rsidRDefault="00174AEA" w:rsidP="008A3976">
            <w:pPr>
              <w:pStyle w:val="Tabletext"/>
            </w:pPr>
          </w:p>
        </w:tc>
        <w:tc>
          <w:tcPr>
            <w:tcW w:w="1260" w:type="dxa"/>
            <w:shd w:val="clear" w:color="auto" w:fill="auto"/>
            <w:noWrap/>
          </w:tcPr>
          <w:p w:rsidR="00174AEA" w:rsidRPr="00687A1C" w:rsidRDefault="00174AEA" w:rsidP="008A3976">
            <w:pPr>
              <w:pStyle w:val="Tabletextheadingright"/>
            </w:pPr>
            <w:r w:rsidRPr="00687A1C">
              <w:t>$’000</w:t>
            </w:r>
          </w:p>
        </w:tc>
        <w:tc>
          <w:tcPr>
            <w:tcW w:w="1260" w:type="dxa"/>
            <w:shd w:val="clear" w:color="auto" w:fill="auto"/>
            <w:noWrap/>
          </w:tcPr>
          <w:p w:rsidR="00174AEA" w:rsidRPr="00687A1C" w:rsidRDefault="00174AEA" w:rsidP="008A3976">
            <w:pPr>
              <w:pStyle w:val="Tabletextheadingright"/>
            </w:pPr>
            <w:r w:rsidRPr="00687A1C">
              <w:t>$’000</w:t>
            </w:r>
          </w:p>
        </w:tc>
        <w:tc>
          <w:tcPr>
            <w:tcW w:w="1243" w:type="dxa"/>
            <w:shd w:val="clear" w:color="auto" w:fill="auto"/>
            <w:noWrap/>
          </w:tcPr>
          <w:p w:rsidR="00174AEA" w:rsidRPr="00687A1C" w:rsidRDefault="00174AEA" w:rsidP="008A3976">
            <w:pPr>
              <w:pStyle w:val="Tabletextheadingright"/>
            </w:pPr>
            <w:r w:rsidRPr="00687A1C">
              <w:t>$’000</w:t>
            </w:r>
          </w:p>
        </w:tc>
        <w:tc>
          <w:tcPr>
            <w:tcW w:w="1243" w:type="dxa"/>
            <w:shd w:val="clear" w:color="auto" w:fill="auto"/>
            <w:noWrap/>
          </w:tcPr>
          <w:p w:rsidR="00174AEA" w:rsidRPr="00687A1C" w:rsidRDefault="00174AEA" w:rsidP="008A3976">
            <w:pPr>
              <w:pStyle w:val="Tabletextheadingright"/>
            </w:pPr>
            <w:r w:rsidRPr="00687A1C">
              <w:t>$’000</w:t>
            </w: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Administered assets</w:t>
            </w:r>
          </w:p>
        </w:tc>
        <w:tc>
          <w:tcPr>
            <w:tcW w:w="1260" w:type="dxa"/>
            <w:shd w:val="clear" w:color="auto" w:fill="auto"/>
            <w:noWrap/>
          </w:tcPr>
          <w:p w:rsidR="00174AEA" w:rsidRPr="00687A1C" w:rsidRDefault="00174AEA" w:rsidP="008A3976">
            <w:pPr>
              <w:pStyle w:val="Tabletextright"/>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Financial assets</w:t>
            </w:r>
          </w:p>
        </w:tc>
        <w:tc>
          <w:tcPr>
            <w:tcW w:w="1260" w:type="dxa"/>
            <w:shd w:val="clear" w:color="auto" w:fill="auto"/>
            <w:noWrap/>
          </w:tcPr>
          <w:p w:rsidR="00174AEA" w:rsidRPr="00687A1C" w:rsidRDefault="00174AEA" w:rsidP="008A3976">
            <w:pPr>
              <w:pStyle w:val="Tabletextright"/>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Cash and deposits</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Receivables</w:t>
            </w:r>
          </w:p>
        </w:tc>
        <w:tc>
          <w:tcPr>
            <w:tcW w:w="1260" w:type="dxa"/>
            <w:shd w:val="clear" w:color="auto" w:fill="auto"/>
            <w:noWrap/>
          </w:tcPr>
          <w:p w:rsidR="00174AEA" w:rsidRPr="00687A1C" w:rsidRDefault="00174AEA" w:rsidP="00D8412D">
            <w:pPr>
              <w:pStyle w:val="Tabletextright"/>
            </w:pPr>
            <w:r w:rsidRPr="00687A1C">
              <w:rPr>
                <w:bCs/>
              </w:rPr>
              <w:t>2</w:t>
            </w:r>
            <w:r w:rsidR="00D8412D" w:rsidRPr="00687A1C">
              <w:rPr>
                <w:bCs/>
              </w:rPr>
              <w:t xml:space="preserve"> </w:t>
            </w:r>
            <w:r w:rsidRPr="00687A1C">
              <w:rPr>
                <w:bCs/>
              </w:rPr>
              <w:t>464</w:t>
            </w:r>
            <w:r w:rsidR="00D8412D" w:rsidRPr="00687A1C">
              <w:rPr>
                <w:bCs/>
              </w:rPr>
              <w:t xml:space="preserve"> </w:t>
            </w:r>
            <w:r w:rsidRPr="00687A1C">
              <w:rPr>
                <w:bCs/>
              </w:rPr>
              <w:t>494</w:t>
            </w:r>
          </w:p>
        </w:tc>
        <w:tc>
          <w:tcPr>
            <w:tcW w:w="1260" w:type="dxa"/>
            <w:shd w:val="clear" w:color="auto" w:fill="auto"/>
            <w:noWrap/>
          </w:tcPr>
          <w:p w:rsidR="00174AEA" w:rsidRPr="00687A1C" w:rsidRDefault="00174AEA" w:rsidP="00D8412D">
            <w:pPr>
              <w:pStyle w:val="Tabletextright"/>
            </w:pPr>
            <w:r w:rsidRPr="00687A1C">
              <w:t>1</w:t>
            </w:r>
            <w:r w:rsidR="00D8412D" w:rsidRPr="00687A1C">
              <w:t xml:space="preserve"> </w:t>
            </w:r>
            <w:r w:rsidRPr="00687A1C">
              <w:t>999</w:t>
            </w:r>
            <w:r w:rsidR="00D8412D" w:rsidRPr="00687A1C">
              <w:t xml:space="preserve"> </w:t>
            </w:r>
            <w:r w:rsidRPr="00687A1C">
              <w:t>355</w:t>
            </w:r>
          </w:p>
        </w:tc>
        <w:tc>
          <w:tcPr>
            <w:tcW w:w="1243" w:type="dxa"/>
            <w:shd w:val="clear" w:color="auto" w:fill="E0E0E0"/>
            <w:noWrap/>
          </w:tcPr>
          <w:p w:rsidR="00174AEA" w:rsidRPr="00687A1C" w:rsidRDefault="00174AEA" w:rsidP="00D8412D">
            <w:pPr>
              <w:pStyle w:val="Tabletextright"/>
            </w:pPr>
            <w:r w:rsidRPr="00687A1C">
              <w:rPr>
                <w:bCs/>
              </w:rPr>
              <w:t>21</w:t>
            </w:r>
            <w:r w:rsidR="00D8412D" w:rsidRPr="00687A1C">
              <w:rPr>
                <w:bCs/>
              </w:rPr>
              <w:t xml:space="preserve"> </w:t>
            </w:r>
            <w:r w:rsidRPr="00687A1C">
              <w:rPr>
                <w:bCs/>
              </w:rPr>
              <w:t>342</w:t>
            </w:r>
          </w:p>
        </w:tc>
        <w:tc>
          <w:tcPr>
            <w:tcW w:w="1243" w:type="dxa"/>
            <w:shd w:val="clear" w:color="auto" w:fill="E0E0E0"/>
            <w:noWrap/>
          </w:tcPr>
          <w:p w:rsidR="00174AEA" w:rsidRPr="00687A1C" w:rsidRDefault="00174AEA" w:rsidP="00D8412D">
            <w:pPr>
              <w:pStyle w:val="Tabletextright"/>
            </w:pPr>
            <w:r w:rsidRPr="00687A1C">
              <w:t>81</w:t>
            </w:r>
            <w:r w:rsidR="00D8412D" w:rsidRPr="00687A1C">
              <w:t xml:space="preserve"> </w:t>
            </w:r>
            <w:r w:rsidRPr="00687A1C">
              <w:t>700</w:t>
            </w: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Advances paid</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Investments in controlled entities</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Investment in associate entity</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Other investments</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Total financial assets</w:t>
            </w:r>
          </w:p>
        </w:tc>
        <w:tc>
          <w:tcPr>
            <w:tcW w:w="1260" w:type="dxa"/>
            <w:shd w:val="clear" w:color="auto" w:fill="auto"/>
            <w:noWrap/>
          </w:tcPr>
          <w:p w:rsidR="00174AEA" w:rsidRPr="00687A1C" w:rsidRDefault="00174AEA" w:rsidP="00D8412D">
            <w:pPr>
              <w:pStyle w:val="Tabletextright"/>
            </w:pPr>
            <w:r w:rsidRPr="00687A1C">
              <w:rPr>
                <w:b/>
                <w:bCs/>
              </w:rPr>
              <w:t>2</w:t>
            </w:r>
            <w:r w:rsidR="00D8412D" w:rsidRPr="00687A1C">
              <w:rPr>
                <w:b/>
                <w:bCs/>
              </w:rPr>
              <w:t xml:space="preserve"> </w:t>
            </w:r>
            <w:r w:rsidRPr="00687A1C">
              <w:rPr>
                <w:b/>
                <w:bCs/>
              </w:rPr>
              <w:t>464</w:t>
            </w:r>
            <w:r w:rsidR="00D8412D" w:rsidRPr="00687A1C">
              <w:rPr>
                <w:b/>
                <w:bCs/>
              </w:rPr>
              <w:t xml:space="preserve"> </w:t>
            </w:r>
            <w:r w:rsidRPr="00687A1C">
              <w:rPr>
                <w:b/>
                <w:bCs/>
              </w:rPr>
              <w:t>494</w:t>
            </w:r>
          </w:p>
        </w:tc>
        <w:tc>
          <w:tcPr>
            <w:tcW w:w="1260" w:type="dxa"/>
            <w:shd w:val="clear" w:color="auto" w:fill="auto"/>
            <w:noWrap/>
          </w:tcPr>
          <w:p w:rsidR="00174AEA" w:rsidRPr="00687A1C" w:rsidRDefault="00174AEA" w:rsidP="00D8412D">
            <w:pPr>
              <w:pStyle w:val="Tabletextright"/>
            </w:pPr>
            <w:r w:rsidRPr="00687A1C">
              <w:rPr>
                <w:b/>
                <w:bCs/>
              </w:rPr>
              <w:t>1</w:t>
            </w:r>
            <w:r w:rsidR="00D8412D" w:rsidRPr="00687A1C">
              <w:rPr>
                <w:b/>
                <w:bCs/>
              </w:rPr>
              <w:t xml:space="preserve"> </w:t>
            </w:r>
            <w:r w:rsidRPr="00687A1C">
              <w:rPr>
                <w:b/>
                <w:bCs/>
              </w:rPr>
              <w:t>999</w:t>
            </w:r>
            <w:r w:rsidR="00D8412D" w:rsidRPr="00687A1C">
              <w:rPr>
                <w:b/>
                <w:bCs/>
              </w:rPr>
              <w:t xml:space="preserve"> </w:t>
            </w:r>
            <w:r w:rsidRPr="00687A1C">
              <w:rPr>
                <w:b/>
                <w:bCs/>
              </w:rPr>
              <w:t>355</w:t>
            </w:r>
          </w:p>
        </w:tc>
        <w:tc>
          <w:tcPr>
            <w:tcW w:w="1243" w:type="dxa"/>
            <w:shd w:val="clear" w:color="auto" w:fill="E0E0E0"/>
            <w:noWrap/>
          </w:tcPr>
          <w:p w:rsidR="00174AEA" w:rsidRPr="00687A1C" w:rsidRDefault="00174AEA" w:rsidP="00D8412D">
            <w:pPr>
              <w:pStyle w:val="Tabletextright"/>
            </w:pPr>
            <w:r w:rsidRPr="00687A1C">
              <w:rPr>
                <w:b/>
                <w:bCs/>
              </w:rPr>
              <w:t>21</w:t>
            </w:r>
            <w:r w:rsidR="00D8412D" w:rsidRPr="00687A1C">
              <w:rPr>
                <w:b/>
                <w:bCs/>
              </w:rPr>
              <w:t xml:space="preserve"> </w:t>
            </w:r>
            <w:r w:rsidRPr="00687A1C">
              <w:rPr>
                <w:b/>
                <w:bCs/>
              </w:rPr>
              <w:t>342</w:t>
            </w:r>
          </w:p>
        </w:tc>
        <w:tc>
          <w:tcPr>
            <w:tcW w:w="1243" w:type="dxa"/>
            <w:shd w:val="clear" w:color="auto" w:fill="E0E0E0"/>
            <w:noWrap/>
          </w:tcPr>
          <w:p w:rsidR="00174AEA" w:rsidRPr="00687A1C" w:rsidRDefault="00174AEA" w:rsidP="00D8412D">
            <w:pPr>
              <w:pStyle w:val="Tabletextright"/>
            </w:pPr>
            <w:r w:rsidRPr="00687A1C">
              <w:rPr>
                <w:b/>
                <w:bCs/>
              </w:rPr>
              <w:t>81</w:t>
            </w:r>
            <w:r w:rsidR="00D8412D" w:rsidRPr="00687A1C">
              <w:rPr>
                <w:b/>
                <w:bCs/>
              </w:rPr>
              <w:t xml:space="preserve"> </w:t>
            </w:r>
            <w:r w:rsidRPr="00687A1C">
              <w:rPr>
                <w:b/>
                <w:bCs/>
              </w:rPr>
              <w:t>700</w:t>
            </w:r>
          </w:p>
        </w:tc>
      </w:tr>
      <w:tr w:rsidR="00174AEA" w:rsidRPr="00687A1C" w:rsidTr="008A3976">
        <w:trPr>
          <w:cantSplit/>
        </w:trPr>
        <w:tc>
          <w:tcPr>
            <w:tcW w:w="4788" w:type="dxa"/>
            <w:shd w:val="clear" w:color="auto" w:fill="auto"/>
          </w:tcPr>
          <w:p w:rsidR="00174AEA" w:rsidRPr="00687A1C" w:rsidRDefault="00174AEA" w:rsidP="008A3976">
            <w:pPr>
              <w:pStyle w:val="Tabletext"/>
            </w:pP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Non</w:t>
            </w:r>
            <w:r w:rsidRPr="00687A1C">
              <w:noBreakHyphen/>
              <w:t>financial assets</w:t>
            </w:r>
          </w:p>
        </w:tc>
        <w:tc>
          <w:tcPr>
            <w:tcW w:w="1260" w:type="dxa"/>
            <w:shd w:val="clear" w:color="auto" w:fill="auto"/>
            <w:noWrap/>
          </w:tcPr>
          <w:p w:rsidR="00174AEA" w:rsidRPr="00687A1C" w:rsidRDefault="00D8412D" w:rsidP="00D8412D">
            <w:pPr>
              <w:pStyle w:val="Tabletextright"/>
            </w:pPr>
            <w:r w:rsidRPr="00687A1C">
              <w:rPr>
                <w:b/>
                <w:bCs/>
              </w:rPr>
              <w:t xml:space="preserve"> </w:t>
            </w:r>
          </w:p>
        </w:tc>
        <w:tc>
          <w:tcPr>
            <w:tcW w:w="1260" w:type="dxa"/>
            <w:shd w:val="clear" w:color="auto" w:fill="auto"/>
            <w:noWrap/>
          </w:tcPr>
          <w:p w:rsidR="00174AEA" w:rsidRPr="00687A1C" w:rsidRDefault="00D8412D" w:rsidP="00D8412D">
            <w:pPr>
              <w:pStyle w:val="Tabletextright"/>
            </w:pPr>
            <w:r w:rsidRPr="00687A1C">
              <w:t xml:space="preserve"> </w:t>
            </w:r>
          </w:p>
        </w:tc>
        <w:tc>
          <w:tcPr>
            <w:tcW w:w="1243" w:type="dxa"/>
            <w:shd w:val="clear" w:color="auto" w:fill="E0E0E0"/>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Prepayments</w:t>
            </w:r>
          </w:p>
        </w:tc>
        <w:tc>
          <w:tcPr>
            <w:tcW w:w="1260" w:type="dxa"/>
            <w:shd w:val="clear" w:color="auto" w:fill="auto"/>
            <w:noWrap/>
          </w:tcPr>
          <w:p w:rsidR="00174AEA" w:rsidRPr="00687A1C" w:rsidRDefault="00174AEA" w:rsidP="008A3976">
            <w:pPr>
              <w:pStyle w:val="Tabletextright"/>
              <w:rPr>
                <w:b/>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D8412D">
            <w:pPr>
              <w:pStyle w:val="Tabletextright"/>
            </w:pPr>
            <w:r w:rsidRPr="00687A1C">
              <w:rPr>
                <w:bCs/>
              </w:rPr>
              <w:t>27</w:t>
            </w:r>
            <w:r w:rsidR="00D8412D" w:rsidRPr="00687A1C">
              <w:rPr>
                <w:bCs/>
              </w:rPr>
              <w:t xml:space="preserve"> </w:t>
            </w:r>
            <w:r w:rsidRPr="00687A1C">
              <w:rPr>
                <w:bCs/>
              </w:rPr>
              <w:t>770</w:t>
            </w:r>
          </w:p>
        </w:tc>
        <w:tc>
          <w:tcPr>
            <w:tcW w:w="1243" w:type="dxa"/>
            <w:shd w:val="clear" w:color="auto" w:fill="E0E0E0"/>
            <w:noWrap/>
          </w:tcPr>
          <w:p w:rsidR="00174AEA" w:rsidRPr="00687A1C" w:rsidRDefault="00174AEA" w:rsidP="008A3976">
            <w:pPr>
              <w:pStyle w:val="Tabletextright"/>
            </w:pPr>
            <w:r w:rsidRPr="00687A1C">
              <w:t>–</w:t>
            </w: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Total non-financial assets</w:t>
            </w:r>
          </w:p>
        </w:tc>
        <w:tc>
          <w:tcPr>
            <w:tcW w:w="1260" w:type="dxa"/>
            <w:shd w:val="clear" w:color="auto" w:fill="auto"/>
            <w:noWrap/>
          </w:tcPr>
          <w:p w:rsidR="00174AEA" w:rsidRPr="00687A1C" w:rsidRDefault="00174AEA" w:rsidP="008A3976">
            <w:pPr>
              <w:pStyle w:val="Tabletextrightbold"/>
            </w:pPr>
            <w:r w:rsidRPr="00687A1C">
              <w:t>–</w:t>
            </w:r>
          </w:p>
        </w:tc>
        <w:tc>
          <w:tcPr>
            <w:tcW w:w="1260" w:type="dxa"/>
            <w:shd w:val="clear" w:color="auto" w:fill="auto"/>
            <w:noWrap/>
          </w:tcPr>
          <w:p w:rsidR="00174AEA" w:rsidRPr="00687A1C" w:rsidRDefault="00174AEA" w:rsidP="008A3976">
            <w:pPr>
              <w:pStyle w:val="Tabletextrightbold"/>
            </w:pPr>
            <w:r w:rsidRPr="00687A1C">
              <w:t>–</w:t>
            </w:r>
          </w:p>
        </w:tc>
        <w:tc>
          <w:tcPr>
            <w:tcW w:w="1243" w:type="dxa"/>
            <w:shd w:val="clear" w:color="auto" w:fill="E0E0E0"/>
            <w:noWrap/>
          </w:tcPr>
          <w:p w:rsidR="00174AEA" w:rsidRPr="00687A1C" w:rsidRDefault="00174AEA" w:rsidP="00D8412D">
            <w:pPr>
              <w:pStyle w:val="Tabletextrightbold"/>
            </w:pPr>
            <w:r w:rsidRPr="00687A1C">
              <w:t>27</w:t>
            </w:r>
            <w:r w:rsidR="00D8412D" w:rsidRPr="00687A1C">
              <w:rPr>
                <w:rFonts w:ascii="Calibri" w:hAnsi="Calibri" w:cs="Calibri"/>
              </w:rPr>
              <w:t xml:space="preserve"> </w:t>
            </w:r>
            <w:r w:rsidRPr="00687A1C">
              <w:t>770</w:t>
            </w:r>
          </w:p>
        </w:tc>
        <w:tc>
          <w:tcPr>
            <w:tcW w:w="1243" w:type="dxa"/>
            <w:shd w:val="clear" w:color="auto" w:fill="E0E0E0"/>
            <w:noWrap/>
          </w:tcPr>
          <w:p w:rsidR="00174AEA" w:rsidRPr="00687A1C" w:rsidRDefault="00174AEA" w:rsidP="008A3976">
            <w:pPr>
              <w:pStyle w:val="Tabletextrightbold"/>
            </w:pPr>
            <w:r w:rsidRPr="00687A1C">
              <w:t>–</w:t>
            </w: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Total administered assets</w:t>
            </w:r>
          </w:p>
        </w:tc>
        <w:tc>
          <w:tcPr>
            <w:tcW w:w="1260" w:type="dxa"/>
            <w:shd w:val="clear" w:color="auto" w:fill="auto"/>
            <w:noWrap/>
          </w:tcPr>
          <w:p w:rsidR="00174AEA" w:rsidRPr="00687A1C" w:rsidRDefault="00174AEA" w:rsidP="00D8412D">
            <w:pPr>
              <w:pStyle w:val="Tabletextright"/>
            </w:pPr>
            <w:r w:rsidRPr="00687A1C">
              <w:rPr>
                <w:b/>
                <w:bCs/>
              </w:rPr>
              <w:t>2</w:t>
            </w:r>
            <w:r w:rsidR="00D8412D" w:rsidRPr="00687A1C">
              <w:rPr>
                <w:b/>
                <w:bCs/>
              </w:rPr>
              <w:t xml:space="preserve"> </w:t>
            </w:r>
            <w:r w:rsidRPr="00687A1C">
              <w:rPr>
                <w:b/>
                <w:bCs/>
              </w:rPr>
              <w:t>464</w:t>
            </w:r>
            <w:r w:rsidR="00D8412D" w:rsidRPr="00687A1C">
              <w:rPr>
                <w:b/>
                <w:bCs/>
              </w:rPr>
              <w:t xml:space="preserve"> </w:t>
            </w:r>
            <w:r w:rsidRPr="00687A1C">
              <w:rPr>
                <w:b/>
                <w:bCs/>
              </w:rPr>
              <w:t>494</w:t>
            </w:r>
          </w:p>
        </w:tc>
        <w:tc>
          <w:tcPr>
            <w:tcW w:w="1260" w:type="dxa"/>
            <w:shd w:val="clear" w:color="auto" w:fill="auto"/>
            <w:noWrap/>
          </w:tcPr>
          <w:p w:rsidR="00174AEA" w:rsidRPr="00687A1C" w:rsidRDefault="00174AEA" w:rsidP="00D8412D">
            <w:pPr>
              <w:pStyle w:val="Tabletextright"/>
            </w:pPr>
            <w:r w:rsidRPr="00687A1C">
              <w:rPr>
                <w:b/>
                <w:bCs/>
              </w:rPr>
              <w:t>1</w:t>
            </w:r>
            <w:r w:rsidR="00D8412D" w:rsidRPr="00687A1C">
              <w:rPr>
                <w:b/>
                <w:bCs/>
              </w:rPr>
              <w:t xml:space="preserve"> </w:t>
            </w:r>
            <w:r w:rsidRPr="00687A1C">
              <w:rPr>
                <w:b/>
                <w:bCs/>
              </w:rPr>
              <w:t>999</w:t>
            </w:r>
            <w:r w:rsidR="00D8412D" w:rsidRPr="00687A1C">
              <w:rPr>
                <w:b/>
                <w:bCs/>
              </w:rPr>
              <w:t xml:space="preserve"> </w:t>
            </w:r>
            <w:r w:rsidRPr="00687A1C">
              <w:rPr>
                <w:b/>
                <w:bCs/>
              </w:rPr>
              <w:t>355</w:t>
            </w:r>
          </w:p>
        </w:tc>
        <w:tc>
          <w:tcPr>
            <w:tcW w:w="1243" w:type="dxa"/>
            <w:shd w:val="clear" w:color="auto" w:fill="E0E0E0"/>
            <w:noWrap/>
          </w:tcPr>
          <w:p w:rsidR="00174AEA" w:rsidRPr="00687A1C" w:rsidRDefault="00174AEA" w:rsidP="00D8412D">
            <w:pPr>
              <w:pStyle w:val="Tabletextright"/>
            </w:pPr>
            <w:r w:rsidRPr="00687A1C">
              <w:rPr>
                <w:b/>
                <w:bCs/>
              </w:rPr>
              <w:t>49</w:t>
            </w:r>
            <w:r w:rsidR="00D8412D" w:rsidRPr="00687A1C">
              <w:rPr>
                <w:b/>
                <w:bCs/>
              </w:rPr>
              <w:t xml:space="preserve"> </w:t>
            </w:r>
            <w:r w:rsidRPr="00687A1C">
              <w:rPr>
                <w:b/>
                <w:bCs/>
              </w:rPr>
              <w:t>112</w:t>
            </w:r>
          </w:p>
        </w:tc>
        <w:tc>
          <w:tcPr>
            <w:tcW w:w="1243" w:type="dxa"/>
            <w:shd w:val="clear" w:color="auto" w:fill="E0E0E0"/>
            <w:noWrap/>
          </w:tcPr>
          <w:p w:rsidR="00174AEA" w:rsidRPr="00687A1C" w:rsidRDefault="00174AEA" w:rsidP="00D8412D">
            <w:pPr>
              <w:pStyle w:val="Tabletextright"/>
            </w:pPr>
            <w:r w:rsidRPr="00687A1C">
              <w:rPr>
                <w:b/>
                <w:bCs/>
              </w:rPr>
              <w:t>81</w:t>
            </w:r>
            <w:r w:rsidR="00D8412D" w:rsidRPr="00687A1C">
              <w:rPr>
                <w:b/>
                <w:bCs/>
              </w:rPr>
              <w:t xml:space="preserve"> </w:t>
            </w:r>
            <w:r w:rsidRPr="00687A1C">
              <w:rPr>
                <w:b/>
                <w:bCs/>
              </w:rPr>
              <w:t>700</w:t>
            </w:r>
          </w:p>
        </w:tc>
      </w:tr>
      <w:tr w:rsidR="00174AEA" w:rsidRPr="00687A1C" w:rsidTr="008A3976">
        <w:trPr>
          <w:cantSplit/>
        </w:trPr>
        <w:tc>
          <w:tcPr>
            <w:tcW w:w="4788" w:type="dxa"/>
            <w:shd w:val="clear" w:color="auto" w:fill="auto"/>
          </w:tcPr>
          <w:p w:rsidR="00174AEA" w:rsidRPr="00687A1C" w:rsidRDefault="00174AEA" w:rsidP="008A3976">
            <w:pPr>
              <w:pStyle w:val="Tabletext"/>
            </w:pPr>
          </w:p>
        </w:tc>
        <w:tc>
          <w:tcPr>
            <w:tcW w:w="1260" w:type="dxa"/>
            <w:shd w:val="clear" w:color="auto" w:fill="auto"/>
            <w:noWrap/>
          </w:tcPr>
          <w:p w:rsidR="00174AEA" w:rsidRPr="00687A1C" w:rsidRDefault="00D8412D" w:rsidP="00D8412D">
            <w:pPr>
              <w:pStyle w:val="Tabletextright"/>
            </w:pPr>
            <w:r w:rsidRPr="00687A1C">
              <w:rPr>
                <w:b/>
                <w:bCs/>
              </w:rPr>
              <w:t xml:space="preserve"> </w:t>
            </w:r>
          </w:p>
        </w:tc>
        <w:tc>
          <w:tcPr>
            <w:tcW w:w="1260" w:type="dxa"/>
            <w:shd w:val="clear" w:color="auto" w:fill="auto"/>
            <w:noWrap/>
          </w:tcPr>
          <w:p w:rsidR="00174AEA" w:rsidRPr="00687A1C" w:rsidRDefault="00D8412D" w:rsidP="00D8412D">
            <w:pPr>
              <w:pStyle w:val="Tabletextright"/>
            </w:pPr>
            <w:r w:rsidRPr="00687A1C">
              <w:t xml:space="preserve"> </w:t>
            </w:r>
          </w:p>
        </w:tc>
        <w:tc>
          <w:tcPr>
            <w:tcW w:w="1243" w:type="dxa"/>
            <w:shd w:val="clear" w:color="auto" w:fill="E0E0E0"/>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Administered liabilities</w:t>
            </w:r>
          </w:p>
        </w:tc>
        <w:tc>
          <w:tcPr>
            <w:tcW w:w="1260" w:type="dxa"/>
            <w:shd w:val="clear" w:color="auto" w:fill="auto"/>
            <w:noWrap/>
          </w:tcPr>
          <w:p w:rsidR="00174AEA" w:rsidRPr="00687A1C" w:rsidRDefault="00D8412D" w:rsidP="00D8412D">
            <w:pPr>
              <w:pStyle w:val="Tabletextright"/>
            </w:pPr>
            <w:r w:rsidRPr="00687A1C">
              <w:rPr>
                <w:b/>
                <w:bCs/>
              </w:rPr>
              <w:t xml:space="preserve"> </w:t>
            </w:r>
          </w:p>
        </w:tc>
        <w:tc>
          <w:tcPr>
            <w:tcW w:w="1260" w:type="dxa"/>
            <w:shd w:val="clear" w:color="auto" w:fill="auto"/>
            <w:noWrap/>
          </w:tcPr>
          <w:p w:rsidR="00174AEA" w:rsidRPr="00687A1C" w:rsidRDefault="00D8412D" w:rsidP="00D8412D">
            <w:pPr>
              <w:pStyle w:val="Tabletextright"/>
            </w:pPr>
            <w:r w:rsidRPr="00687A1C">
              <w:t xml:space="preserve"> </w:t>
            </w:r>
          </w:p>
        </w:tc>
        <w:tc>
          <w:tcPr>
            <w:tcW w:w="1243" w:type="dxa"/>
            <w:shd w:val="clear" w:color="auto" w:fill="E0E0E0"/>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Payables</w:t>
            </w:r>
          </w:p>
        </w:tc>
        <w:tc>
          <w:tcPr>
            <w:tcW w:w="1260" w:type="dxa"/>
            <w:shd w:val="clear" w:color="auto" w:fill="auto"/>
            <w:noWrap/>
          </w:tcPr>
          <w:p w:rsidR="00174AEA" w:rsidRPr="00687A1C" w:rsidRDefault="00174AEA" w:rsidP="00D8412D">
            <w:pPr>
              <w:pStyle w:val="Tabletextright"/>
            </w:pPr>
            <w:r w:rsidRPr="00687A1C">
              <w:rPr>
                <w:bCs/>
              </w:rPr>
              <w:t>8</w:t>
            </w:r>
            <w:r w:rsidR="00D8412D" w:rsidRPr="00687A1C">
              <w:rPr>
                <w:rFonts w:ascii="Calibri" w:hAnsi="Calibri" w:cs="Courier New"/>
                <w:bCs/>
              </w:rPr>
              <w:t xml:space="preserve"> </w:t>
            </w:r>
            <w:r w:rsidRPr="00687A1C">
              <w:rPr>
                <w:bCs/>
              </w:rPr>
              <w:t>960</w:t>
            </w:r>
          </w:p>
        </w:tc>
        <w:tc>
          <w:tcPr>
            <w:tcW w:w="1260" w:type="dxa"/>
            <w:shd w:val="clear" w:color="auto" w:fill="auto"/>
            <w:noWrap/>
          </w:tcPr>
          <w:p w:rsidR="00174AEA" w:rsidRPr="00687A1C" w:rsidRDefault="00174AEA" w:rsidP="00D8412D">
            <w:pPr>
              <w:pStyle w:val="Tabletextright"/>
            </w:pPr>
            <w:r w:rsidRPr="00687A1C">
              <w:t>8</w:t>
            </w:r>
            <w:r w:rsidR="00D8412D" w:rsidRPr="00687A1C">
              <w:rPr>
                <w:rFonts w:ascii="Calibri" w:hAnsi="Calibri" w:cs="Courier New"/>
              </w:rPr>
              <w:t xml:space="preserve"> </w:t>
            </w:r>
            <w:r w:rsidRPr="00687A1C">
              <w:t>129</w:t>
            </w:r>
          </w:p>
        </w:tc>
        <w:tc>
          <w:tcPr>
            <w:tcW w:w="1243" w:type="dxa"/>
            <w:shd w:val="clear" w:color="auto" w:fill="E0E0E0"/>
            <w:noWrap/>
          </w:tcPr>
          <w:p w:rsidR="00174AEA" w:rsidRPr="00687A1C" w:rsidRDefault="00174AEA" w:rsidP="00D8412D">
            <w:pPr>
              <w:pStyle w:val="Tabletextright"/>
            </w:pPr>
            <w:r w:rsidRPr="00687A1C">
              <w:t>7</w:t>
            </w:r>
            <w:r w:rsidR="000B6D9C" w:rsidRPr="00687A1C">
              <w:t>1</w:t>
            </w:r>
            <w:r w:rsidR="00D8412D" w:rsidRPr="00687A1C">
              <w:rPr>
                <w:rFonts w:ascii="Calibri" w:hAnsi="Calibri" w:cs="Courier New"/>
              </w:rPr>
              <w:t xml:space="preserve"> </w:t>
            </w:r>
            <w:r w:rsidR="000B6D9C" w:rsidRPr="00687A1C">
              <w:t>3</w:t>
            </w:r>
            <w:r w:rsidRPr="00687A1C">
              <w:t>79</w:t>
            </w:r>
          </w:p>
        </w:tc>
        <w:tc>
          <w:tcPr>
            <w:tcW w:w="1243" w:type="dxa"/>
            <w:shd w:val="clear" w:color="auto" w:fill="E0E0E0"/>
            <w:noWrap/>
          </w:tcPr>
          <w:p w:rsidR="00174AEA" w:rsidRPr="00687A1C" w:rsidRDefault="00174AEA" w:rsidP="00D8412D">
            <w:pPr>
              <w:pStyle w:val="Tabletextright"/>
            </w:pPr>
            <w:r w:rsidRPr="00687A1C">
              <w:t>17</w:t>
            </w:r>
            <w:r w:rsidR="00D8412D" w:rsidRPr="00687A1C">
              <w:rPr>
                <w:rFonts w:ascii="Calibri" w:hAnsi="Calibri" w:cs="Courier New"/>
              </w:rPr>
              <w:t xml:space="preserve"> </w:t>
            </w:r>
            <w:r w:rsidRPr="00687A1C">
              <w:t>425</w:t>
            </w: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Advances received</w:t>
            </w:r>
          </w:p>
        </w:tc>
        <w:tc>
          <w:tcPr>
            <w:tcW w:w="1260" w:type="dxa"/>
            <w:shd w:val="clear" w:color="auto" w:fill="auto"/>
            <w:noWrap/>
          </w:tcPr>
          <w:p w:rsidR="00174AEA" w:rsidRPr="00687A1C" w:rsidRDefault="00174AEA" w:rsidP="008A3976">
            <w:pPr>
              <w:pStyle w:val="Tabletextright"/>
              <w:rPr>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Public Account SAU liability</w:t>
            </w:r>
          </w:p>
        </w:tc>
        <w:tc>
          <w:tcPr>
            <w:tcW w:w="1260" w:type="dxa"/>
            <w:shd w:val="clear" w:color="auto" w:fill="auto"/>
            <w:noWrap/>
          </w:tcPr>
          <w:p w:rsidR="00174AEA" w:rsidRPr="00687A1C" w:rsidRDefault="00174AEA" w:rsidP="008A3976">
            <w:pPr>
              <w:pStyle w:val="Tabletextright"/>
              <w:rPr>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Provisions</w:t>
            </w:r>
          </w:p>
        </w:tc>
        <w:tc>
          <w:tcPr>
            <w:tcW w:w="1260" w:type="dxa"/>
            <w:shd w:val="clear" w:color="auto" w:fill="auto"/>
            <w:noWrap/>
          </w:tcPr>
          <w:p w:rsidR="00174AEA" w:rsidRPr="00687A1C" w:rsidRDefault="000B6D9C" w:rsidP="000B6D9C">
            <w:pPr>
              <w:pStyle w:val="Tabletextright"/>
              <w:rPr>
                <w:bCs/>
              </w:rPr>
            </w:pPr>
            <w:r w:rsidRPr="00687A1C">
              <w:rPr>
                <w:bCs/>
              </w:rPr>
              <w:t>27</w:t>
            </w:r>
          </w:p>
        </w:tc>
        <w:tc>
          <w:tcPr>
            <w:tcW w:w="1260" w:type="dxa"/>
            <w:shd w:val="clear" w:color="auto" w:fill="auto"/>
            <w:noWrap/>
          </w:tcPr>
          <w:p w:rsidR="00174AEA" w:rsidRPr="00687A1C" w:rsidRDefault="00174AEA" w:rsidP="00D8412D">
            <w:pPr>
              <w:pStyle w:val="Tabletextright"/>
            </w:pPr>
            <w:r w:rsidRPr="00687A1C">
              <w:t>45</w:t>
            </w:r>
            <w:r w:rsidR="00D8412D" w:rsidRPr="00687A1C">
              <w:rPr>
                <w:rFonts w:ascii="Calibri" w:hAnsi="Calibri" w:cs="Courier New"/>
              </w:rPr>
              <w:t xml:space="preserve"> </w:t>
            </w:r>
            <w:r w:rsidRPr="00687A1C">
              <w:t>031</w:t>
            </w:r>
          </w:p>
        </w:tc>
        <w:tc>
          <w:tcPr>
            <w:tcW w:w="1243" w:type="dxa"/>
            <w:shd w:val="clear" w:color="auto" w:fill="E0E0E0"/>
            <w:noWrap/>
          </w:tcPr>
          <w:p w:rsidR="00174AEA" w:rsidRPr="00687A1C" w:rsidRDefault="000B6D9C" w:rsidP="000B6D9C">
            <w:pPr>
              <w:pStyle w:val="Tabletextright"/>
            </w:pPr>
            <w:r w:rsidRPr="00687A1C">
              <w:t>95 190</w:t>
            </w:r>
          </w:p>
        </w:tc>
        <w:tc>
          <w:tcPr>
            <w:tcW w:w="1243" w:type="dxa"/>
            <w:shd w:val="clear" w:color="auto" w:fill="E0E0E0"/>
            <w:noWrap/>
          </w:tcPr>
          <w:p w:rsidR="00174AEA" w:rsidRPr="00687A1C" w:rsidRDefault="000B6D9C" w:rsidP="000B6D9C">
            <w:pPr>
              <w:pStyle w:val="Tabletextright"/>
            </w:pPr>
            <w:r w:rsidRPr="00687A1C">
              <w:t>–</w:t>
            </w: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Unearned income</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0B6D9C">
            <w:pPr>
              <w:pStyle w:val="Tabletextright"/>
            </w:pPr>
          </w:p>
        </w:tc>
        <w:tc>
          <w:tcPr>
            <w:tcW w:w="1243" w:type="dxa"/>
            <w:shd w:val="clear" w:color="auto" w:fill="E0E0E0"/>
            <w:noWrap/>
          </w:tcPr>
          <w:p w:rsidR="00174AEA" w:rsidRPr="00687A1C" w:rsidRDefault="00174AEA" w:rsidP="000B6D9C">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Advances for capital works</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0B6D9C">
            <w:pPr>
              <w:pStyle w:val="Tabletextright"/>
            </w:pPr>
          </w:p>
        </w:tc>
        <w:tc>
          <w:tcPr>
            <w:tcW w:w="1243" w:type="dxa"/>
            <w:shd w:val="clear" w:color="auto" w:fill="E0E0E0"/>
            <w:noWrap/>
          </w:tcPr>
          <w:p w:rsidR="00174AEA" w:rsidRPr="00687A1C" w:rsidRDefault="00174AEA" w:rsidP="000B6D9C">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Borrowings</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0B6D9C">
            <w:pPr>
              <w:pStyle w:val="Tabletextright"/>
            </w:pPr>
          </w:p>
        </w:tc>
        <w:tc>
          <w:tcPr>
            <w:tcW w:w="1243" w:type="dxa"/>
            <w:shd w:val="clear" w:color="auto" w:fill="E0E0E0"/>
            <w:noWrap/>
          </w:tcPr>
          <w:p w:rsidR="00174AEA" w:rsidRPr="00687A1C" w:rsidRDefault="00174AEA" w:rsidP="000B6D9C">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
            </w:pPr>
            <w:r w:rsidRPr="00687A1C">
              <w:t>Superannuation liability</w:t>
            </w: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0B6D9C">
            <w:pPr>
              <w:pStyle w:val="Tabletextright"/>
            </w:pPr>
          </w:p>
        </w:tc>
        <w:tc>
          <w:tcPr>
            <w:tcW w:w="1243" w:type="dxa"/>
            <w:shd w:val="clear" w:color="auto" w:fill="E0E0E0"/>
            <w:noWrap/>
          </w:tcPr>
          <w:p w:rsidR="00174AEA" w:rsidRPr="00687A1C" w:rsidRDefault="00174AEA" w:rsidP="000B6D9C">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Total administered liabilities</w:t>
            </w:r>
          </w:p>
        </w:tc>
        <w:tc>
          <w:tcPr>
            <w:tcW w:w="1260" w:type="dxa"/>
            <w:shd w:val="clear" w:color="auto" w:fill="auto"/>
            <w:noWrap/>
          </w:tcPr>
          <w:p w:rsidR="00174AEA" w:rsidRPr="00687A1C" w:rsidRDefault="00270A70" w:rsidP="00D8412D">
            <w:pPr>
              <w:pStyle w:val="Tabletextright"/>
            </w:pPr>
            <w:r w:rsidRPr="00687A1C">
              <w:rPr>
                <w:b/>
                <w:bCs/>
              </w:rPr>
              <w:t>8</w:t>
            </w:r>
            <w:r w:rsidR="00D8412D" w:rsidRPr="00687A1C">
              <w:rPr>
                <w:rFonts w:ascii="Calibri" w:hAnsi="Calibri" w:cs="Courier New"/>
                <w:b/>
                <w:bCs/>
              </w:rPr>
              <w:t xml:space="preserve"> </w:t>
            </w:r>
            <w:r w:rsidR="00174AEA" w:rsidRPr="00687A1C">
              <w:rPr>
                <w:b/>
                <w:bCs/>
              </w:rPr>
              <w:t>9</w:t>
            </w:r>
            <w:r w:rsidRPr="00687A1C">
              <w:rPr>
                <w:b/>
                <w:bCs/>
              </w:rPr>
              <w:t>87</w:t>
            </w:r>
          </w:p>
        </w:tc>
        <w:tc>
          <w:tcPr>
            <w:tcW w:w="1260" w:type="dxa"/>
            <w:shd w:val="clear" w:color="auto" w:fill="auto"/>
            <w:noWrap/>
          </w:tcPr>
          <w:p w:rsidR="00174AEA" w:rsidRPr="00687A1C" w:rsidRDefault="00174AEA" w:rsidP="00D8412D">
            <w:pPr>
              <w:pStyle w:val="Tabletextright"/>
            </w:pPr>
            <w:r w:rsidRPr="00687A1C">
              <w:rPr>
                <w:b/>
                <w:bCs/>
              </w:rPr>
              <w:t>53</w:t>
            </w:r>
            <w:r w:rsidR="00D8412D" w:rsidRPr="00687A1C">
              <w:rPr>
                <w:b/>
                <w:bCs/>
              </w:rPr>
              <w:t xml:space="preserve"> </w:t>
            </w:r>
            <w:r w:rsidRPr="00687A1C">
              <w:rPr>
                <w:b/>
                <w:bCs/>
              </w:rPr>
              <w:t>160</w:t>
            </w:r>
          </w:p>
        </w:tc>
        <w:tc>
          <w:tcPr>
            <w:tcW w:w="1243" w:type="dxa"/>
            <w:shd w:val="clear" w:color="auto" w:fill="E0E0E0"/>
            <w:noWrap/>
          </w:tcPr>
          <w:p w:rsidR="00174AEA" w:rsidRPr="00687A1C" w:rsidRDefault="000B6D9C" w:rsidP="00D8412D">
            <w:pPr>
              <w:pStyle w:val="Tabletextright"/>
            </w:pPr>
            <w:r w:rsidRPr="00687A1C">
              <w:rPr>
                <w:b/>
                <w:bCs/>
              </w:rPr>
              <w:t>166</w:t>
            </w:r>
            <w:r w:rsidR="00D8412D" w:rsidRPr="00687A1C">
              <w:rPr>
                <w:rFonts w:ascii="Calibri" w:hAnsi="Calibri" w:cs="Courier New"/>
                <w:b/>
                <w:bCs/>
              </w:rPr>
              <w:t xml:space="preserve"> </w:t>
            </w:r>
            <w:r w:rsidRPr="00687A1C">
              <w:rPr>
                <w:b/>
                <w:bCs/>
              </w:rPr>
              <w:t>569</w:t>
            </w:r>
          </w:p>
        </w:tc>
        <w:tc>
          <w:tcPr>
            <w:tcW w:w="1243" w:type="dxa"/>
            <w:shd w:val="clear" w:color="auto" w:fill="E0E0E0"/>
            <w:noWrap/>
          </w:tcPr>
          <w:p w:rsidR="00174AEA" w:rsidRPr="00687A1C" w:rsidRDefault="00174AEA" w:rsidP="00D8412D">
            <w:pPr>
              <w:pStyle w:val="Tabletextright"/>
            </w:pPr>
            <w:r w:rsidRPr="00687A1C">
              <w:rPr>
                <w:b/>
                <w:bCs/>
              </w:rPr>
              <w:t>17</w:t>
            </w:r>
            <w:r w:rsidR="00D8412D" w:rsidRPr="00687A1C">
              <w:rPr>
                <w:b/>
                <w:bCs/>
              </w:rPr>
              <w:t xml:space="preserve"> </w:t>
            </w:r>
            <w:r w:rsidRPr="00687A1C">
              <w:rPr>
                <w:b/>
                <w:bCs/>
              </w:rPr>
              <w:t>425</w:t>
            </w:r>
          </w:p>
        </w:tc>
      </w:tr>
      <w:tr w:rsidR="00174AEA" w:rsidRPr="00687A1C" w:rsidTr="008A3976">
        <w:trPr>
          <w:cantSplit/>
        </w:trPr>
        <w:tc>
          <w:tcPr>
            <w:tcW w:w="4788" w:type="dxa"/>
            <w:shd w:val="clear" w:color="auto" w:fill="auto"/>
          </w:tcPr>
          <w:p w:rsidR="00174AEA" w:rsidRPr="00687A1C" w:rsidRDefault="00174AEA" w:rsidP="008A3976">
            <w:pPr>
              <w:pStyle w:val="Tabletext"/>
            </w:pPr>
          </w:p>
        </w:tc>
        <w:tc>
          <w:tcPr>
            <w:tcW w:w="1260" w:type="dxa"/>
            <w:shd w:val="clear" w:color="auto" w:fill="auto"/>
            <w:noWrap/>
          </w:tcPr>
          <w:p w:rsidR="00174AEA" w:rsidRPr="00687A1C" w:rsidRDefault="00174AEA" w:rsidP="008A3976">
            <w:pPr>
              <w:pStyle w:val="Tabletextright"/>
              <w:rPr>
                <w:b/>
                <w:bCs/>
              </w:rPr>
            </w:pPr>
          </w:p>
        </w:tc>
        <w:tc>
          <w:tcPr>
            <w:tcW w:w="1260" w:type="dxa"/>
            <w:shd w:val="clear" w:color="auto" w:fill="auto"/>
            <w:noWrap/>
          </w:tcPr>
          <w:p w:rsidR="00174AEA" w:rsidRPr="00687A1C" w:rsidRDefault="00174AEA" w:rsidP="008A3976">
            <w:pPr>
              <w:pStyle w:val="Tabletextright"/>
            </w:pPr>
          </w:p>
        </w:tc>
        <w:tc>
          <w:tcPr>
            <w:tcW w:w="1243" w:type="dxa"/>
            <w:shd w:val="clear" w:color="auto" w:fill="E0E0E0"/>
            <w:noWrap/>
          </w:tcPr>
          <w:p w:rsidR="00174AEA" w:rsidRPr="00687A1C" w:rsidRDefault="00174AEA" w:rsidP="008A3976">
            <w:pPr>
              <w:pStyle w:val="Tabletextright"/>
              <w:rPr>
                <w:b/>
                <w:bCs/>
              </w:rPr>
            </w:pPr>
          </w:p>
        </w:tc>
        <w:tc>
          <w:tcPr>
            <w:tcW w:w="1243" w:type="dxa"/>
            <w:shd w:val="clear" w:color="auto" w:fill="E0E0E0"/>
            <w:noWrap/>
          </w:tcPr>
          <w:p w:rsidR="00174AEA" w:rsidRPr="00687A1C" w:rsidRDefault="00174AEA" w:rsidP="008A3976">
            <w:pPr>
              <w:pStyle w:val="Tabletextright"/>
            </w:pPr>
          </w:p>
        </w:tc>
      </w:tr>
      <w:tr w:rsidR="00174AEA" w:rsidRPr="00687A1C" w:rsidTr="008A3976">
        <w:trPr>
          <w:cantSplit/>
        </w:trPr>
        <w:tc>
          <w:tcPr>
            <w:tcW w:w="4788" w:type="dxa"/>
            <w:shd w:val="clear" w:color="auto" w:fill="auto"/>
          </w:tcPr>
          <w:p w:rsidR="00174AEA" w:rsidRPr="00687A1C" w:rsidRDefault="00174AEA" w:rsidP="008A3976">
            <w:pPr>
              <w:pStyle w:val="Tabletextbold"/>
            </w:pPr>
            <w:r w:rsidRPr="00687A1C">
              <w:t>Net administered assets</w:t>
            </w:r>
          </w:p>
        </w:tc>
        <w:tc>
          <w:tcPr>
            <w:tcW w:w="1260" w:type="dxa"/>
            <w:shd w:val="clear" w:color="auto" w:fill="auto"/>
            <w:noWrap/>
          </w:tcPr>
          <w:p w:rsidR="00174AEA" w:rsidRPr="00687A1C" w:rsidRDefault="00174AEA" w:rsidP="00D8412D">
            <w:pPr>
              <w:pStyle w:val="Tabletextright"/>
            </w:pPr>
            <w:r w:rsidRPr="00687A1C">
              <w:rPr>
                <w:b/>
                <w:bCs/>
              </w:rPr>
              <w:t>2</w:t>
            </w:r>
            <w:r w:rsidR="00D8412D" w:rsidRPr="00687A1C">
              <w:rPr>
                <w:rFonts w:ascii="Courier New" w:hAnsi="Courier New" w:cs="Courier New"/>
                <w:b/>
                <w:bCs/>
              </w:rPr>
              <w:t xml:space="preserve"> </w:t>
            </w:r>
            <w:r w:rsidRPr="00687A1C">
              <w:rPr>
                <w:b/>
                <w:bCs/>
              </w:rPr>
              <w:t>455</w:t>
            </w:r>
            <w:r w:rsidR="00D8412D" w:rsidRPr="00687A1C">
              <w:rPr>
                <w:rFonts w:ascii="Calibri" w:hAnsi="Calibri" w:cs="Courier New"/>
                <w:b/>
                <w:bCs/>
              </w:rPr>
              <w:t xml:space="preserve"> </w:t>
            </w:r>
            <w:r w:rsidR="00270A70" w:rsidRPr="00687A1C">
              <w:rPr>
                <w:b/>
                <w:bCs/>
              </w:rPr>
              <w:t>507</w:t>
            </w:r>
          </w:p>
        </w:tc>
        <w:tc>
          <w:tcPr>
            <w:tcW w:w="1260" w:type="dxa"/>
            <w:shd w:val="clear" w:color="auto" w:fill="auto"/>
            <w:noWrap/>
          </w:tcPr>
          <w:p w:rsidR="00174AEA" w:rsidRPr="00687A1C" w:rsidRDefault="00174AEA" w:rsidP="00D8412D">
            <w:pPr>
              <w:pStyle w:val="Tabletextright"/>
            </w:pPr>
            <w:r w:rsidRPr="00687A1C">
              <w:rPr>
                <w:b/>
                <w:bCs/>
              </w:rPr>
              <w:t>1</w:t>
            </w:r>
            <w:r w:rsidR="00D8412D" w:rsidRPr="00687A1C">
              <w:rPr>
                <w:b/>
                <w:bCs/>
              </w:rPr>
              <w:t xml:space="preserve"> </w:t>
            </w:r>
            <w:r w:rsidRPr="00687A1C">
              <w:rPr>
                <w:b/>
                <w:bCs/>
              </w:rPr>
              <w:t>946</w:t>
            </w:r>
            <w:r w:rsidR="00D8412D" w:rsidRPr="00687A1C">
              <w:rPr>
                <w:b/>
                <w:bCs/>
              </w:rPr>
              <w:t xml:space="preserve"> </w:t>
            </w:r>
            <w:r w:rsidRPr="00687A1C">
              <w:rPr>
                <w:b/>
                <w:bCs/>
              </w:rPr>
              <w:t>195</w:t>
            </w:r>
          </w:p>
        </w:tc>
        <w:tc>
          <w:tcPr>
            <w:tcW w:w="1243" w:type="dxa"/>
            <w:shd w:val="clear" w:color="auto" w:fill="E0E0E0"/>
            <w:noWrap/>
          </w:tcPr>
          <w:p w:rsidR="00174AEA" w:rsidRPr="00687A1C" w:rsidRDefault="000B6D9C" w:rsidP="00D8412D">
            <w:pPr>
              <w:pStyle w:val="Tabletextright"/>
            </w:pPr>
            <w:r w:rsidRPr="00687A1C">
              <w:rPr>
                <w:b/>
                <w:bCs/>
              </w:rPr>
              <w:t>(117</w:t>
            </w:r>
            <w:r w:rsidR="00D8412D" w:rsidRPr="00687A1C">
              <w:rPr>
                <w:rFonts w:ascii="Calibri" w:hAnsi="Calibri" w:cs="Courier New"/>
                <w:b/>
                <w:bCs/>
              </w:rPr>
              <w:t xml:space="preserve"> </w:t>
            </w:r>
            <w:r w:rsidRPr="00687A1C">
              <w:rPr>
                <w:b/>
                <w:bCs/>
              </w:rPr>
              <w:t>457</w:t>
            </w:r>
            <w:r w:rsidR="00174AEA" w:rsidRPr="00687A1C">
              <w:rPr>
                <w:b/>
                <w:bCs/>
              </w:rPr>
              <w:t>)</w:t>
            </w:r>
          </w:p>
        </w:tc>
        <w:tc>
          <w:tcPr>
            <w:tcW w:w="1243" w:type="dxa"/>
            <w:shd w:val="clear" w:color="auto" w:fill="E0E0E0"/>
            <w:noWrap/>
          </w:tcPr>
          <w:p w:rsidR="00174AEA" w:rsidRPr="00687A1C" w:rsidRDefault="00174AEA" w:rsidP="00D8412D">
            <w:pPr>
              <w:pStyle w:val="Tabletextright"/>
            </w:pPr>
            <w:r w:rsidRPr="00687A1C">
              <w:rPr>
                <w:b/>
                <w:bCs/>
              </w:rPr>
              <w:t>64</w:t>
            </w:r>
            <w:r w:rsidR="00D8412D" w:rsidRPr="00687A1C">
              <w:rPr>
                <w:b/>
                <w:bCs/>
              </w:rPr>
              <w:t xml:space="preserve"> </w:t>
            </w:r>
            <w:r w:rsidRPr="00687A1C">
              <w:rPr>
                <w:b/>
                <w:bCs/>
              </w:rPr>
              <w:t>275</w:t>
            </w:r>
          </w:p>
        </w:tc>
      </w:tr>
    </w:tbl>
    <w:p w:rsidR="00174AEA" w:rsidRPr="00687A1C" w:rsidRDefault="00174AEA" w:rsidP="00174AEA">
      <w:pPr>
        <w:spacing w:before="0" w:after="0"/>
      </w:pPr>
      <w:r w:rsidRPr="00687A1C">
        <w:br w:type="page"/>
      </w:r>
    </w:p>
    <w:p w:rsidR="00174AEA" w:rsidRPr="00687A1C" w:rsidRDefault="00174AEA" w:rsidP="00174AEA">
      <w:pPr>
        <w:pStyle w:val="Heading3"/>
        <w:spacing w:after="100"/>
      </w:pPr>
    </w:p>
    <w:tbl>
      <w:tblPr>
        <w:tblW w:w="0" w:type="auto"/>
        <w:tblLayout w:type="fixed"/>
        <w:tblLook w:val="0000" w:firstRow="0" w:lastRow="0" w:firstColumn="0" w:lastColumn="0" w:noHBand="0" w:noVBand="0"/>
      </w:tblPr>
      <w:tblGrid>
        <w:gridCol w:w="1278"/>
        <w:gridCol w:w="1170"/>
        <w:gridCol w:w="1138"/>
        <w:gridCol w:w="1138"/>
        <w:gridCol w:w="1138"/>
        <w:gridCol w:w="1138"/>
        <w:gridCol w:w="1275"/>
        <w:gridCol w:w="1275"/>
      </w:tblGrid>
      <w:tr w:rsidR="00174AEA" w:rsidRPr="00687A1C" w:rsidTr="008A3976">
        <w:trPr>
          <w:cantSplit/>
        </w:trPr>
        <w:tc>
          <w:tcPr>
            <w:tcW w:w="2448" w:type="dxa"/>
            <w:gridSpan w:val="2"/>
            <w:shd w:val="clear" w:color="auto" w:fill="auto"/>
            <w:noWrap/>
            <w:vAlign w:val="bottom"/>
          </w:tcPr>
          <w:p w:rsidR="00174AEA" w:rsidRPr="00687A1C" w:rsidRDefault="00174AEA" w:rsidP="008A3976">
            <w:pPr>
              <w:pStyle w:val="Tabletextheadingcentred"/>
            </w:pPr>
            <w:r w:rsidRPr="00687A1C">
              <w:t>Improve how Government manages its balance sheet, commercial activities and public sector infrastructure</w:t>
            </w:r>
          </w:p>
        </w:tc>
        <w:tc>
          <w:tcPr>
            <w:tcW w:w="2276" w:type="dxa"/>
            <w:gridSpan w:val="2"/>
            <w:shd w:val="clear" w:color="auto" w:fill="auto"/>
            <w:noWrap/>
            <w:vAlign w:val="bottom"/>
          </w:tcPr>
          <w:p w:rsidR="00174AEA" w:rsidRPr="00687A1C" w:rsidRDefault="00174AEA" w:rsidP="008A3976">
            <w:pPr>
              <w:pStyle w:val="Tabletextheadingcentred"/>
            </w:pPr>
            <w:r w:rsidRPr="00687A1C">
              <w:t>Deliver efficient whole of government common services</w:t>
            </w:r>
          </w:p>
        </w:tc>
        <w:tc>
          <w:tcPr>
            <w:tcW w:w="2276" w:type="dxa"/>
            <w:gridSpan w:val="2"/>
            <w:shd w:val="clear" w:color="auto" w:fill="auto"/>
            <w:noWrap/>
            <w:vAlign w:val="bottom"/>
          </w:tcPr>
          <w:p w:rsidR="00174AEA" w:rsidRPr="00687A1C" w:rsidRDefault="00174AEA" w:rsidP="008A3976">
            <w:pPr>
              <w:pStyle w:val="Tabletextheadingcentred"/>
            </w:pPr>
            <w:r w:rsidRPr="00687A1C">
              <w:t xml:space="preserve">Other – Not </w:t>
            </w:r>
            <w:r w:rsidRPr="00687A1C">
              <w:br/>
              <w:t>attributable</w:t>
            </w:r>
          </w:p>
        </w:tc>
        <w:tc>
          <w:tcPr>
            <w:tcW w:w="2550" w:type="dxa"/>
            <w:gridSpan w:val="2"/>
            <w:shd w:val="clear" w:color="auto" w:fill="auto"/>
            <w:noWrap/>
            <w:vAlign w:val="bottom"/>
          </w:tcPr>
          <w:p w:rsidR="00174AEA" w:rsidRPr="00687A1C" w:rsidRDefault="00174AEA" w:rsidP="008A3976">
            <w:pPr>
              <w:pStyle w:val="Tabletextheadingcentred"/>
            </w:pPr>
            <w:r w:rsidRPr="00687A1C">
              <w:t>Departmental total</w:t>
            </w:r>
          </w:p>
        </w:tc>
      </w:tr>
      <w:tr w:rsidR="00174AEA" w:rsidRPr="00687A1C" w:rsidTr="008A3976">
        <w:trPr>
          <w:cantSplit/>
        </w:trPr>
        <w:tc>
          <w:tcPr>
            <w:tcW w:w="1278" w:type="dxa"/>
            <w:shd w:val="clear" w:color="auto" w:fill="auto"/>
            <w:noWrap/>
            <w:vAlign w:val="bottom"/>
          </w:tcPr>
          <w:p w:rsidR="00174AEA" w:rsidRPr="00687A1C" w:rsidRDefault="00174AEA" w:rsidP="008A3976">
            <w:pPr>
              <w:pStyle w:val="Tabletextheadingright"/>
            </w:pPr>
            <w:r w:rsidRPr="00687A1C">
              <w:t>2018</w:t>
            </w:r>
          </w:p>
        </w:tc>
        <w:tc>
          <w:tcPr>
            <w:tcW w:w="1170" w:type="dxa"/>
            <w:shd w:val="clear" w:color="auto" w:fill="auto"/>
            <w:noWrap/>
            <w:vAlign w:val="bottom"/>
          </w:tcPr>
          <w:p w:rsidR="00174AEA" w:rsidRPr="00687A1C" w:rsidRDefault="00174AEA" w:rsidP="008A3976">
            <w:pPr>
              <w:pStyle w:val="Tabletextheadingright"/>
            </w:pPr>
            <w:r w:rsidRPr="00687A1C">
              <w:t>2017</w:t>
            </w:r>
          </w:p>
        </w:tc>
        <w:tc>
          <w:tcPr>
            <w:tcW w:w="1138" w:type="dxa"/>
            <w:shd w:val="clear" w:color="auto" w:fill="auto"/>
            <w:noWrap/>
            <w:vAlign w:val="bottom"/>
          </w:tcPr>
          <w:p w:rsidR="00174AEA" w:rsidRPr="00687A1C" w:rsidRDefault="00174AEA" w:rsidP="008A3976">
            <w:pPr>
              <w:pStyle w:val="Tabletextheadingright"/>
            </w:pPr>
            <w:r w:rsidRPr="00687A1C">
              <w:t>2018</w:t>
            </w:r>
          </w:p>
        </w:tc>
        <w:tc>
          <w:tcPr>
            <w:tcW w:w="1138" w:type="dxa"/>
            <w:shd w:val="clear" w:color="auto" w:fill="auto"/>
            <w:noWrap/>
            <w:vAlign w:val="bottom"/>
          </w:tcPr>
          <w:p w:rsidR="00174AEA" w:rsidRPr="00687A1C" w:rsidRDefault="00174AEA" w:rsidP="008A3976">
            <w:pPr>
              <w:pStyle w:val="Tabletextheadingright"/>
            </w:pPr>
            <w:r w:rsidRPr="00687A1C">
              <w:t>2017</w:t>
            </w:r>
          </w:p>
        </w:tc>
        <w:tc>
          <w:tcPr>
            <w:tcW w:w="1138" w:type="dxa"/>
            <w:shd w:val="clear" w:color="auto" w:fill="auto"/>
            <w:noWrap/>
            <w:vAlign w:val="bottom"/>
          </w:tcPr>
          <w:p w:rsidR="00174AEA" w:rsidRPr="00687A1C" w:rsidRDefault="00174AEA" w:rsidP="008A3976">
            <w:pPr>
              <w:pStyle w:val="Tabletextheadingright"/>
            </w:pPr>
            <w:r w:rsidRPr="00687A1C">
              <w:t>2018</w:t>
            </w:r>
          </w:p>
        </w:tc>
        <w:tc>
          <w:tcPr>
            <w:tcW w:w="1138" w:type="dxa"/>
            <w:shd w:val="clear" w:color="auto" w:fill="auto"/>
            <w:noWrap/>
            <w:vAlign w:val="bottom"/>
          </w:tcPr>
          <w:p w:rsidR="00174AEA" w:rsidRPr="00687A1C" w:rsidRDefault="00174AEA" w:rsidP="008A3976">
            <w:pPr>
              <w:pStyle w:val="Tabletextheadingright"/>
            </w:pPr>
            <w:r w:rsidRPr="00687A1C">
              <w:t>2017</w:t>
            </w:r>
          </w:p>
        </w:tc>
        <w:tc>
          <w:tcPr>
            <w:tcW w:w="1275" w:type="dxa"/>
            <w:shd w:val="clear" w:color="auto" w:fill="auto"/>
            <w:noWrap/>
            <w:vAlign w:val="bottom"/>
          </w:tcPr>
          <w:p w:rsidR="00174AEA" w:rsidRPr="00687A1C" w:rsidRDefault="00174AEA" w:rsidP="008A3976">
            <w:pPr>
              <w:pStyle w:val="Tabletextheadingright"/>
            </w:pPr>
            <w:r w:rsidRPr="00687A1C">
              <w:t>2018</w:t>
            </w:r>
          </w:p>
        </w:tc>
        <w:tc>
          <w:tcPr>
            <w:tcW w:w="1275" w:type="dxa"/>
            <w:shd w:val="clear" w:color="auto" w:fill="auto"/>
            <w:noWrap/>
            <w:vAlign w:val="bottom"/>
          </w:tcPr>
          <w:p w:rsidR="00174AEA" w:rsidRPr="00687A1C" w:rsidRDefault="00174AEA" w:rsidP="008A3976">
            <w:pPr>
              <w:pStyle w:val="Tabletextheadingright"/>
            </w:pPr>
            <w:r w:rsidRPr="00687A1C">
              <w:t>2017</w:t>
            </w:r>
          </w:p>
        </w:tc>
      </w:tr>
      <w:tr w:rsidR="00174AEA" w:rsidRPr="00687A1C" w:rsidTr="008A3976">
        <w:trPr>
          <w:cantSplit/>
        </w:trPr>
        <w:tc>
          <w:tcPr>
            <w:tcW w:w="1278" w:type="dxa"/>
            <w:shd w:val="clear" w:color="auto" w:fill="auto"/>
            <w:noWrap/>
          </w:tcPr>
          <w:p w:rsidR="00174AEA" w:rsidRPr="00687A1C" w:rsidRDefault="00174AEA" w:rsidP="008A3976">
            <w:pPr>
              <w:pStyle w:val="Tabletextheadingright"/>
            </w:pPr>
            <w:r w:rsidRPr="00687A1C">
              <w:t>$’000</w:t>
            </w:r>
          </w:p>
        </w:tc>
        <w:tc>
          <w:tcPr>
            <w:tcW w:w="1170"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138" w:type="dxa"/>
            <w:shd w:val="clear" w:color="auto" w:fill="auto"/>
            <w:noWrap/>
          </w:tcPr>
          <w:p w:rsidR="00174AEA" w:rsidRPr="00687A1C" w:rsidRDefault="00174AEA" w:rsidP="008A3976">
            <w:pPr>
              <w:pStyle w:val="Tabletextheadingright"/>
            </w:pPr>
            <w:r w:rsidRPr="00687A1C">
              <w:t>$’000</w:t>
            </w:r>
          </w:p>
        </w:tc>
        <w:tc>
          <w:tcPr>
            <w:tcW w:w="1275" w:type="dxa"/>
            <w:shd w:val="clear" w:color="auto" w:fill="auto"/>
            <w:noWrap/>
          </w:tcPr>
          <w:p w:rsidR="00174AEA" w:rsidRPr="00687A1C" w:rsidRDefault="00174AEA" w:rsidP="008A3976">
            <w:pPr>
              <w:pStyle w:val="Tabletextheadingright"/>
            </w:pPr>
            <w:r w:rsidRPr="00687A1C">
              <w:t>$’000</w:t>
            </w:r>
          </w:p>
        </w:tc>
        <w:tc>
          <w:tcPr>
            <w:tcW w:w="1275" w:type="dxa"/>
            <w:shd w:val="clear" w:color="auto" w:fill="auto"/>
            <w:noWrap/>
          </w:tcPr>
          <w:p w:rsidR="00174AEA" w:rsidRPr="00687A1C" w:rsidRDefault="00174AEA" w:rsidP="008A3976">
            <w:pPr>
              <w:pStyle w:val="Tabletextheadingright"/>
            </w:pPr>
            <w:r w:rsidRPr="00687A1C">
              <w:t>$’000</w:t>
            </w: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t>2</w:t>
            </w:r>
            <w:r w:rsidR="00D8412D" w:rsidRPr="00687A1C">
              <w:rPr>
                <w:rFonts w:ascii="Calibri" w:hAnsi="Calibri" w:cs="Courier New"/>
              </w:rPr>
              <w:t xml:space="preserve"> </w:t>
            </w:r>
            <w:r w:rsidR="000B6D9C" w:rsidRPr="00687A1C">
              <w:t>258</w:t>
            </w:r>
            <w:r w:rsidR="00D8412D" w:rsidRPr="00687A1C">
              <w:rPr>
                <w:rFonts w:ascii="Calibri" w:hAnsi="Calibri" w:cs="Courier New"/>
              </w:rPr>
              <w:t xml:space="preserve"> </w:t>
            </w:r>
            <w:r w:rsidR="000B6D9C" w:rsidRPr="00687A1C">
              <w:t>096</w:t>
            </w:r>
          </w:p>
        </w:tc>
        <w:tc>
          <w:tcPr>
            <w:tcW w:w="1170" w:type="dxa"/>
            <w:shd w:val="clear" w:color="auto" w:fill="auto"/>
            <w:noWrap/>
          </w:tcPr>
          <w:p w:rsidR="00174AEA" w:rsidRPr="00687A1C" w:rsidRDefault="00174AEA" w:rsidP="00D8412D">
            <w:pPr>
              <w:pStyle w:val="Tabletextright"/>
            </w:pPr>
            <w:r w:rsidRPr="00687A1C">
              <w:t>2</w:t>
            </w:r>
            <w:r w:rsidR="00D8412D" w:rsidRPr="00687A1C">
              <w:t xml:space="preserve"> </w:t>
            </w:r>
            <w:r w:rsidRPr="00687A1C">
              <w:t>230</w:t>
            </w:r>
            <w:r w:rsidR="00D8412D" w:rsidRPr="00687A1C">
              <w:t xml:space="preserve"> </w:t>
            </w:r>
            <w:r w:rsidRPr="00687A1C">
              <w:t>445</w:t>
            </w: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786A8E" w:rsidP="008A3976">
            <w:pPr>
              <w:pStyle w:val="Tabletextright"/>
              <w:rPr>
                <w:bCs/>
              </w:rPr>
            </w:pPr>
            <w:r w:rsidRPr="00687A1C">
              <w:rPr>
                <w:bCs/>
              </w:rPr>
              <w:t>102 868</w:t>
            </w:r>
          </w:p>
        </w:tc>
        <w:tc>
          <w:tcPr>
            <w:tcW w:w="1138" w:type="dxa"/>
            <w:shd w:val="clear" w:color="auto" w:fill="auto"/>
            <w:noWrap/>
          </w:tcPr>
          <w:p w:rsidR="00174AEA" w:rsidRPr="00687A1C" w:rsidRDefault="00174AEA" w:rsidP="00D8412D">
            <w:pPr>
              <w:pStyle w:val="Tabletextright"/>
            </w:pPr>
            <w:r w:rsidRPr="00687A1C">
              <w:t>233</w:t>
            </w:r>
            <w:r w:rsidR="00D8412D" w:rsidRPr="00687A1C">
              <w:t xml:space="preserve"> </w:t>
            </w:r>
            <w:r w:rsidRPr="00687A1C">
              <w:t>556</w:t>
            </w:r>
          </w:p>
        </w:tc>
        <w:tc>
          <w:tcPr>
            <w:tcW w:w="1275" w:type="dxa"/>
            <w:shd w:val="clear" w:color="auto" w:fill="E0E0E0"/>
            <w:noWrap/>
          </w:tcPr>
          <w:p w:rsidR="00174AEA" w:rsidRPr="00687A1C" w:rsidRDefault="00174AEA" w:rsidP="008A3976">
            <w:pPr>
              <w:pStyle w:val="Tabletextright"/>
              <w:rPr>
                <w:bCs/>
              </w:rPr>
            </w:pPr>
            <w:r w:rsidRPr="00687A1C">
              <w:rPr>
                <w:bCs/>
              </w:rPr>
              <w:t>2</w:t>
            </w:r>
            <w:r w:rsidR="00786A8E" w:rsidRPr="00687A1C">
              <w:rPr>
                <w:bCs/>
              </w:rPr>
              <w:t xml:space="preserve"> </w:t>
            </w:r>
            <w:r w:rsidR="00413594" w:rsidRPr="00687A1C">
              <w:rPr>
                <w:bCs/>
              </w:rPr>
              <w:t>360 964</w:t>
            </w:r>
          </w:p>
        </w:tc>
        <w:tc>
          <w:tcPr>
            <w:tcW w:w="1275" w:type="dxa"/>
            <w:shd w:val="clear" w:color="auto" w:fill="E0E0E0"/>
            <w:noWrap/>
          </w:tcPr>
          <w:p w:rsidR="00174AEA" w:rsidRPr="00687A1C" w:rsidRDefault="00174AEA" w:rsidP="00D8412D">
            <w:pPr>
              <w:pStyle w:val="Tabletextright"/>
            </w:pPr>
            <w:r w:rsidRPr="00687A1C">
              <w:t>2</w:t>
            </w:r>
            <w:r w:rsidR="00D8412D" w:rsidRPr="00687A1C">
              <w:t xml:space="preserve"> </w:t>
            </w:r>
            <w:r w:rsidR="005952EF" w:rsidRPr="00687A1C">
              <w:t>464</w:t>
            </w:r>
            <w:r w:rsidR="00D8412D" w:rsidRPr="00687A1C">
              <w:rPr>
                <w:rFonts w:ascii="Calibri" w:hAnsi="Calibri" w:cs="Courier New"/>
              </w:rPr>
              <w:t xml:space="preserve"> </w:t>
            </w:r>
            <w:r w:rsidR="005952EF" w:rsidRPr="00687A1C">
              <w:t>001</w:t>
            </w:r>
          </w:p>
        </w:tc>
      </w:tr>
      <w:tr w:rsidR="00174AEA" w:rsidRPr="00687A1C" w:rsidTr="008A3976">
        <w:trPr>
          <w:cantSplit/>
        </w:trPr>
        <w:tc>
          <w:tcPr>
            <w:tcW w:w="1278" w:type="dxa"/>
            <w:shd w:val="clear" w:color="auto" w:fill="auto"/>
            <w:noWrap/>
          </w:tcPr>
          <w:p w:rsidR="00174AEA" w:rsidRPr="00687A1C" w:rsidRDefault="000B6D9C" w:rsidP="00D8412D">
            <w:pPr>
              <w:pStyle w:val="Tabletextright"/>
            </w:pPr>
            <w:r w:rsidRPr="00687A1C">
              <w:rPr>
                <w:bCs/>
              </w:rPr>
              <w:t>169</w:t>
            </w:r>
            <w:r w:rsidR="00D8412D" w:rsidRPr="00687A1C">
              <w:rPr>
                <w:rFonts w:ascii="Calibri" w:hAnsi="Calibri" w:cs="Courier New"/>
                <w:bCs/>
              </w:rPr>
              <w:t xml:space="preserve"> </w:t>
            </w:r>
            <w:r w:rsidRPr="00687A1C">
              <w:rPr>
                <w:bCs/>
              </w:rPr>
              <w:t>736</w:t>
            </w:r>
          </w:p>
        </w:tc>
        <w:tc>
          <w:tcPr>
            <w:tcW w:w="1170" w:type="dxa"/>
            <w:shd w:val="clear" w:color="auto" w:fill="auto"/>
            <w:noWrap/>
          </w:tcPr>
          <w:p w:rsidR="00174AEA" w:rsidRPr="00687A1C" w:rsidRDefault="00174AEA" w:rsidP="00D8412D">
            <w:pPr>
              <w:pStyle w:val="Tabletextright"/>
            </w:pPr>
            <w:r w:rsidRPr="00687A1C">
              <w:t>153</w:t>
            </w:r>
            <w:r w:rsidR="00D8412D" w:rsidRPr="00687A1C">
              <w:t xml:space="preserve"> </w:t>
            </w:r>
            <w:r w:rsidRPr="00687A1C">
              <w:t>327</w:t>
            </w:r>
          </w:p>
        </w:tc>
        <w:tc>
          <w:tcPr>
            <w:tcW w:w="1138" w:type="dxa"/>
            <w:shd w:val="clear" w:color="auto" w:fill="E0E0E0"/>
            <w:noWrap/>
          </w:tcPr>
          <w:p w:rsidR="00174AEA" w:rsidRPr="00687A1C" w:rsidRDefault="00174AEA" w:rsidP="00D8412D">
            <w:pPr>
              <w:pStyle w:val="Tabletextright"/>
            </w:pPr>
            <w:r w:rsidRPr="00687A1C">
              <w:rPr>
                <w:bCs/>
              </w:rPr>
              <w:t>251</w:t>
            </w:r>
            <w:r w:rsidR="00D8412D" w:rsidRPr="00687A1C">
              <w:rPr>
                <w:bCs/>
              </w:rPr>
              <w:t xml:space="preserve"> </w:t>
            </w:r>
            <w:r w:rsidRPr="00687A1C">
              <w:rPr>
                <w:bCs/>
              </w:rPr>
              <w:t>458</w:t>
            </w:r>
          </w:p>
        </w:tc>
        <w:tc>
          <w:tcPr>
            <w:tcW w:w="1138" w:type="dxa"/>
            <w:shd w:val="clear" w:color="auto" w:fill="E0E0E0"/>
            <w:noWrap/>
          </w:tcPr>
          <w:p w:rsidR="00174AEA" w:rsidRPr="00687A1C" w:rsidRDefault="00174AEA" w:rsidP="00D8412D">
            <w:pPr>
              <w:pStyle w:val="Tabletextright"/>
            </w:pPr>
            <w:r w:rsidRPr="00687A1C">
              <w:t>231</w:t>
            </w:r>
            <w:r w:rsidR="00D8412D" w:rsidRPr="00687A1C">
              <w:t xml:space="preserve"> </w:t>
            </w:r>
            <w:r w:rsidRPr="00687A1C">
              <w:t xml:space="preserve"> 400</w:t>
            </w: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D8412D">
            <w:pPr>
              <w:pStyle w:val="Tabletextright"/>
            </w:pPr>
            <w:r w:rsidRPr="00687A1C">
              <w:t>488</w:t>
            </w:r>
            <w:r w:rsidR="00D8412D" w:rsidRPr="00687A1C">
              <w:t xml:space="preserve"> </w:t>
            </w:r>
            <w:r w:rsidRPr="00687A1C">
              <w:t>195</w:t>
            </w:r>
          </w:p>
        </w:tc>
        <w:tc>
          <w:tcPr>
            <w:tcW w:w="1275" w:type="dxa"/>
            <w:shd w:val="clear" w:color="auto" w:fill="E0E0E0"/>
            <w:noWrap/>
          </w:tcPr>
          <w:p w:rsidR="00174AEA" w:rsidRPr="00687A1C" w:rsidRDefault="00174AEA" w:rsidP="00D8412D">
            <w:pPr>
              <w:pStyle w:val="Tabletextright"/>
            </w:pPr>
            <w:r w:rsidRPr="00687A1C">
              <w:rPr>
                <w:bCs/>
              </w:rPr>
              <w:t>2</w:t>
            </w:r>
            <w:r w:rsidR="00D8412D" w:rsidRPr="00687A1C">
              <w:rPr>
                <w:bCs/>
              </w:rPr>
              <w:t xml:space="preserve"> </w:t>
            </w:r>
            <w:r w:rsidR="005952EF" w:rsidRPr="00687A1C">
              <w:rPr>
                <w:bCs/>
              </w:rPr>
              <w:t>907</w:t>
            </w:r>
            <w:r w:rsidR="00D8412D" w:rsidRPr="00687A1C">
              <w:rPr>
                <w:rFonts w:ascii="Calibri" w:hAnsi="Calibri" w:cs="Courier New"/>
                <w:bCs/>
              </w:rPr>
              <w:t xml:space="preserve"> </w:t>
            </w:r>
            <w:r w:rsidR="005952EF" w:rsidRPr="00687A1C">
              <w:rPr>
                <w:bCs/>
              </w:rPr>
              <w:t>030</w:t>
            </w:r>
          </w:p>
        </w:tc>
        <w:tc>
          <w:tcPr>
            <w:tcW w:w="1275" w:type="dxa"/>
            <w:shd w:val="clear" w:color="auto" w:fill="E0E0E0"/>
            <w:noWrap/>
          </w:tcPr>
          <w:p w:rsidR="00174AEA" w:rsidRPr="00687A1C" w:rsidRDefault="00174AEA" w:rsidP="00D8412D">
            <w:pPr>
              <w:pStyle w:val="Tabletextright"/>
            </w:pPr>
            <w:r w:rsidRPr="00687A1C">
              <w:t>2</w:t>
            </w:r>
            <w:r w:rsidR="00D8412D" w:rsidRPr="00687A1C">
              <w:rPr>
                <w:rFonts w:ascii="Calibri" w:hAnsi="Calibri" w:cs="Courier New"/>
              </w:rPr>
              <w:t xml:space="preserve"> </w:t>
            </w:r>
            <w:r w:rsidRPr="00687A1C">
              <w:t>953</w:t>
            </w:r>
            <w:r w:rsidR="00D8412D" w:rsidRPr="00687A1C">
              <w:rPr>
                <w:rFonts w:ascii="Calibri" w:hAnsi="Calibri" w:cs="Courier New"/>
              </w:rPr>
              <w:t xml:space="preserve"> </w:t>
            </w:r>
            <w:r w:rsidRPr="00687A1C">
              <w:t>9</w:t>
            </w:r>
            <w:r w:rsidR="005952EF" w:rsidRPr="00687A1C">
              <w:t>7</w:t>
            </w:r>
            <w:r w:rsidRPr="00687A1C">
              <w:t>7</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Cs/>
              </w:rPr>
              <w:t>5</w:t>
            </w:r>
            <w:r w:rsidR="00D8412D" w:rsidRPr="00687A1C">
              <w:rPr>
                <w:bCs/>
              </w:rPr>
              <w:t xml:space="preserve"> </w:t>
            </w:r>
            <w:r w:rsidRPr="00687A1C">
              <w:rPr>
                <w:bCs/>
              </w:rPr>
              <w:t>304</w:t>
            </w:r>
            <w:r w:rsidR="00D8412D" w:rsidRPr="00687A1C">
              <w:rPr>
                <w:bCs/>
              </w:rPr>
              <w:t xml:space="preserve"> </w:t>
            </w:r>
            <w:r w:rsidRPr="00687A1C">
              <w:rPr>
                <w:bCs/>
              </w:rPr>
              <w:t>401</w:t>
            </w:r>
          </w:p>
        </w:tc>
        <w:tc>
          <w:tcPr>
            <w:tcW w:w="1170" w:type="dxa"/>
            <w:shd w:val="clear" w:color="auto" w:fill="auto"/>
            <w:noWrap/>
          </w:tcPr>
          <w:p w:rsidR="00174AEA" w:rsidRPr="00687A1C" w:rsidRDefault="00174AEA" w:rsidP="00D8412D">
            <w:pPr>
              <w:pStyle w:val="Tabletextright"/>
            </w:pPr>
            <w:r w:rsidRPr="00687A1C">
              <w:t>8</w:t>
            </w:r>
            <w:r w:rsidR="00D8412D" w:rsidRPr="00687A1C">
              <w:t xml:space="preserve"> </w:t>
            </w:r>
            <w:r w:rsidRPr="00687A1C">
              <w:t>271</w:t>
            </w:r>
            <w:r w:rsidR="00D8412D" w:rsidRPr="00687A1C">
              <w:t xml:space="preserve"> </w:t>
            </w:r>
            <w:r w:rsidRPr="00687A1C">
              <w:t>119</w:t>
            </w: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pPr>
            <w:r w:rsidRPr="00687A1C">
              <w:t>–</w:t>
            </w:r>
          </w:p>
        </w:tc>
        <w:tc>
          <w:tcPr>
            <w:tcW w:w="1275" w:type="dxa"/>
            <w:shd w:val="clear" w:color="auto" w:fill="E0E0E0"/>
            <w:noWrap/>
          </w:tcPr>
          <w:p w:rsidR="00174AEA" w:rsidRPr="00687A1C" w:rsidRDefault="00174AEA" w:rsidP="00D8412D">
            <w:pPr>
              <w:pStyle w:val="Tabletextright"/>
            </w:pPr>
            <w:r w:rsidRPr="00687A1C">
              <w:rPr>
                <w:bCs/>
              </w:rPr>
              <w:t>5</w:t>
            </w:r>
            <w:r w:rsidR="00D8412D" w:rsidRPr="00687A1C">
              <w:rPr>
                <w:bCs/>
              </w:rPr>
              <w:t xml:space="preserve"> </w:t>
            </w:r>
            <w:r w:rsidRPr="00687A1C">
              <w:rPr>
                <w:bCs/>
              </w:rPr>
              <w:t>304</w:t>
            </w:r>
            <w:r w:rsidR="00D8412D" w:rsidRPr="00687A1C">
              <w:rPr>
                <w:bCs/>
              </w:rPr>
              <w:t xml:space="preserve"> </w:t>
            </w:r>
            <w:r w:rsidRPr="00687A1C">
              <w:rPr>
                <w:bCs/>
              </w:rPr>
              <w:t>401</w:t>
            </w:r>
          </w:p>
        </w:tc>
        <w:tc>
          <w:tcPr>
            <w:tcW w:w="1275" w:type="dxa"/>
            <w:shd w:val="clear" w:color="auto" w:fill="E0E0E0"/>
            <w:noWrap/>
          </w:tcPr>
          <w:p w:rsidR="00174AEA" w:rsidRPr="00687A1C" w:rsidRDefault="00174AEA" w:rsidP="00D8412D">
            <w:pPr>
              <w:pStyle w:val="Tabletextright"/>
            </w:pPr>
            <w:r w:rsidRPr="00687A1C">
              <w:t>8</w:t>
            </w:r>
            <w:r w:rsidR="00D8412D" w:rsidRPr="00687A1C">
              <w:t xml:space="preserve"> </w:t>
            </w:r>
            <w:r w:rsidRPr="00687A1C">
              <w:t>271</w:t>
            </w:r>
            <w:r w:rsidR="00D8412D" w:rsidRPr="00687A1C">
              <w:t xml:space="preserve"> </w:t>
            </w:r>
            <w:r w:rsidRPr="00687A1C">
              <w:t>119</w:t>
            </w:r>
          </w:p>
        </w:tc>
      </w:tr>
      <w:tr w:rsidR="00174AEA" w:rsidRPr="00687A1C" w:rsidTr="008A3976">
        <w:trPr>
          <w:cantSplit/>
        </w:trPr>
        <w:tc>
          <w:tcPr>
            <w:tcW w:w="1278" w:type="dxa"/>
            <w:shd w:val="clear" w:color="auto" w:fill="auto"/>
            <w:noWrap/>
          </w:tcPr>
          <w:p w:rsidR="00174AEA" w:rsidRPr="00687A1C" w:rsidRDefault="00174AEA" w:rsidP="008A3976">
            <w:pPr>
              <w:pStyle w:val="Tabletextright"/>
              <w:rPr>
                <w:bCs/>
              </w:rPr>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DE0CB9" w:rsidP="008A3976">
            <w:pPr>
              <w:pStyle w:val="Tabletextright"/>
              <w:rPr>
                <w:bCs/>
              </w:rPr>
            </w:pPr>
            <w:r w:rsidRPr="00687A1C">
              <w:rPr>
                <w:bCs/>
              </w:rPr>
              <w:t>104 988 735</w:t>
            </w:r>
          </w:p>
        </w:tc>
        <w:tc>
          <w:tcPr>
            <w:tcW w:w="1138" w:type="dxa"/>
            <w:shd w:val="clear" w:color="auto" w:fill="auto"/>
            <w:noWrap/>
          </w:tcPr>
          <w:p w:rsidR="00174AEA" w:rsidRPr="00687A1C" w:rsidRDefault="00174AEA" w:rsidP="00D8412D">
            <w:pPr>
              <w:pStyle w:val="Tabletextright"/>
            </w:pPr>
            <w:r w:rsidRPr="00687A1C">
              <w:t>98</w:t>
            </w:r>
            <w:r w:rsidR="00D8412D" w:rsidRPr="00687A1C">
              <w:t xml:space="preserve"> </w:t>
            </w:r>
            <w:r w:rsidRPr="00687A1C">
              <w:t>935</w:t>
            </w:r>
            <w:r w:rsidR="00D8412D" w:rsidRPr="00687A1C">
              <w:t xml:space="preserve"> </w:t>
            </w:r>
            <w:r w:rsidRPr="00687A1C">
              <w:t>760</w:t>
            </w:r>
          </w:p>
        </w:tc>
        <w:tc>
          <w:tcPr>
            <w:tcW w:w="1275" w:type="dxa"/>
            <w:shd w:val="clear" w:color="auto" w:fill="E0E0E0"/>
            <w:noWrap/>
          </w:tcPr>
          <w:p w:rsidR="00174AEA" w:rsidRPr="00687A1C" w:rsidRDefault="00DE0CB9" w:rsidP="008A3976">
            <w:pPr>
              <w:pStyle w:val="Tabletextright"/>
              <w:rPr>
                <w:bCs/>
              </w:rPr>
            </w:pPr>
            <w:r w:rsidRPr="00687A1C">
              <w:rPr>
                <w:bCs/>
              </w:rPr>
              <w:t>104 988 735</w:t>
            </w:r>
          </w:p>
        </w:tc>
        <w:tc>
          <w:tcPr>
            <w:tcW w:w="1275" w:type="dxa"/>
            <w:shd w:val="clear" w:color="auto" w:fill="E0E0E0"/>
            <w:noWrap/>
          </w:tcPr>
          <w:p w:rsidR="00174AEA" w:rsidRPr="00687A1C" w:rsidRDefault="00174AEA" w:rsidP="00D8412D">
            <w:pPr>
              <w:pStyle w:val="Tabletextright"/>
            </w:pPr>
            <w:r w:rsidRPr="00687A1C">
              <w:t>98</w:t>
            </w:r>
            <w:r w:rsidR="00D8412D" w:rsidRPr="00687A1C">
              <w:t xml:space="preserve"> </w:t>
            </w:r>
            <w:r w:rsidRPr="00687A1C">
              <w:t>935</w:t>
            </w:r>
            <w:r w:rsidR="00D8412D" w:rsidRPr="00687A1C">
              <w:t xml:space="preserve"> </w:t>
            </w:r>
            <w:r w:rsidRPr="00687A1C">
              <w:t>760</w:t>
            </w:r>
          </w:p>
        </w:tc>
      </w:tr>
      <w:tr w:rsidR="00174AEA" w:rsidRPr="00687A1C" w:rsidTr="008A3976">
        <w:trPr>
          <w:cantSplit/>
        </w:trPr>
        <w:tc>
          <w:tcPr>
            <w:tcW w:w="1278" w:type="dxa"/>
            <w:shd w:val="clear" w:color="auto" w:fill="auto"/>
            <w:noWrap/>
          </w:tcPr>
          <w:p w:rsidR="00174AEA" w:rsidRPr="00687A1C" w:rsidRDefault="00174AEA" w:rsidP="008A3976">
            <w:pPr>
              <w:pStyle w:val="Tabletextright"/>
              <w:rPr>
                <w:bCs/>
              </w:rPr>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rPr>
                <w:bCs/>
              </w:rPr>
              <w:t>7</w:t>
            </w:r>
            <w:r w:rsidR="00D8412D" w:rsidRPr="00687A1C">
              <w:rPr>
                <w:bCs/>
              </w:rPr>
              <w:t xml:space="preserve"> </w:t>
            </w:r>
            <w:r w:rsidRPr="00687A1C">
              <w:rPr>
                <w:bCs/>
              </w:rPr>
              <w:t>041</w:t>
            </w:r>
          </w:p>
        </w:tc>
        <w:tc>
          <w:tcPr>
            <w:tcW w:w="1138" w:type="dxa"/>
            <w:shd w:val="clear" w:color="auto" w:fill="auto"/>
            <w:noWrap/>
          </w:tcPr>
          <w:p w:rsidR="00174AEA" w:rsidRPr="00687A1C" w:rsidRDefault="00174AEA" w:rsidP="00D8412D">
            <w:pPr>
              <w:pStyle w:val="Tabletextright"/>
            </w:pPr>
            <w:r w:rsidRPr="00687A1C">
              <w:t>12</w:t>
            </w:r>
            <w:r w:rsidR="00D8412D" w:rsidRPr="00687A1C">
              <w:t xml:space="preserve"> </w:t>
            </w:r>
            <w:r w:rsidRPr="00687A1C">
              <w:t>500</w:t>
            </w:r>
          </w:p>
        </w:tc>
        <w:tc>
          <w:tcPr>
            <w:tcW w:w="1275" w:type="dxa"/>
            <w:shd w:val="clear" w:color="auto" w:fill="E0E0E0"/>
            <w:noWrap/>
          </w:tcPr>
          <w:p w:rsidR="00174AEA" w:rsidRPr="00687A1C" w:rsidRDefault="00174AEA" w:rsidP="00D8412D">
            <w:pPr>
              <w:pStyle w:val="Tabletextright"/>
            </w:pPr>
            <w:r w:rsidRPr="00687A1C">
              <w:rPr>
                <w:bCs/>
              </w:rPr>
              <w:t>7</w:t>
            </w:r>
            <w:r w:rsidR="00D8412D" w:rsidRPr="00687A1C">
              <w:rPr>
                <w:bCs/>
              </w:rPr>
              <w:t xml:space="preserve"> </w:t>
            </w:r>
            <w:r w:rsidRPr="00687A1C">
              <w:rPr>
                <w:bCs/>
              </w:rPr>
              <w:t>041</w:t>
            </w:r>
          </w:p>
        </w:tc>
        <w:tc>
          <w:tcPr>
            <w:tcW w:w="1275" w:type="dxa"/>
            <w:shd w:val="clear" w:color="auto" w:fill="E0E0E0"/>
            <w:noWrap/>
          </w:tcPr>
          <w:p w:rsidR="00174AEA" w:rsidRPr="00687A1C" w:rsidRDefault="00174AEA" w:rsidP="00D8412D">
            <w:pPr>
              <w:pStyle w:val="Tabletextright"/>
            </w:pPr>
            <w:r w:rsidRPr="00687A1C">
              <w:t>12</w:t>
            </w:r>
            <w:r w:rsidR="00D8412D" w:rsidRPr="00687A1C">
              <w:t xml:space="preserve"> </w:t>
            </w:r>
            <w:r w:rsidRPr="00687A1C">
              <w:t>500</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Cs/>
              </w:rPr>
              <w:t>427</w:t>
            </w:r>
            <w:r w:rsidR="00D8412D" w:rsidRPr="00687A1C">
              <w:rPr>
                <w:bCs/>
              </w:rPr>
              <w:t xml:space="preserve"> </w:t>
            </w:r>
            <w:r w:rsidRPr="00687A1C">
              <w:rPr>
                <w:bCs/>
              </w:rPr>
              <w:t>777</w:t>
            </w:r>
          </w:p>
        </w:tc>
        <w:tc>
          <w:tcPr>
            <w:tcW w:w="1170" w:type="dxa"/>
            <w:shd w:val="clear" w:color="auto" w:fill="auto"/>
            <w:noWrap/>
          </w:tcPr>
          <w:p w:rsidR="00174AEA" w:rsidRPr="00687A1C" w:rsidRDefault="00174AEA" w:rsidP="00D8412D">
            <w:pPr>
              <w:pStyle w:val="Tabletextright"/>
            </w:pPr>
            <w:r w:rsidRPr="00687A1C">
              <w:t>100</w:t>
            </w:r>
            <w:r w:rsidR="00D8412D" w:rsidRPr="00687A1C">
              <w:t xml:space="preserve"> </w:t>
            </w:r>
            <w:r w:rsidRPr="00687A1C">
              <w:t>000</w:t>
            </w: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rPr>
                <w:b/>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D8412D">
            <w:pPr>
              <w:pStyle w:val="Tabletextright"/>
            </w:pPr>
            <w:r w:rsidRPr="00687A1C">
              <w:rPr>
                <w:bCs/>
              </w:rPr>
              <w:t>427</w:t>
            </w:r>
            <w:r w:rsidR="00D8412D" w:rsidRPr="00687A1C">
              <w:rPr>
                <w:bCs/>
              </w:rPr>
              <w:t xml:space="preserve"> </w:t>
            </w:r>
            <w:r w:rsidRPr="00687A1C">
              <w:rPr>
                <w:bCs/>
              </w:rPr>
              <w:t>777</w:t>
            </w:r>
          </w:p>
        </w:tc>
        <w:tc>
          <w:tcPr>
            <w:tcW w:w="1275" w:type="dxa"/>
            <w:shd w:val="clear" w:color="auto" w:fill="E0E0E0"/>
            <w:noWrap/>
          </w:tcPr>
          <w:p w:rsidR="00174AEA" w:rsidRPr="00687A1C" w:rsidRDefault="00174AEA" w:rsidP="00D8412D">
            <w:pPr>
              <w:pStyle w:val="Tabletextright"/>
            </w:pPr>
            <w:r w:rsidRPr="00687A1C">
              <w:t>100</w:t>
            </w:r>
            <w:r w:rsidR="00D8412D" w:rsidRPr="00687A1C">
              <w:t xml:space="preserve"> </w:t>
            </w:r>
            <w:r w:rsidRPr="00687A1C">
              <w:t>000</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
                <w:bCs/>
              </w:rPr>
              <w:t>8</w:t>
            </w:r>
            <w:r w:rsidR="00D8412D" w:rsidRPr="00687A1C">
              <w:rPr>
                <w:b/>
                <w:bCs/>
              </w:rPr>
              <w:t xml:space="preserve"> </w:t>
            </w:r>
            <w:r w:rsidR="000B6D9C" w:rsidRPr="00687A1C">
              <w:rPr>
                <w:b/>
                <w:bCs/>
              </w:rPr>
              <w:t>160</w:t>
            </w:r>
            <w:r w:rsidR="00D8412D" w:rsidRPr="00687A1C">
              <w:rPr>
                <w:rFonts w:ascii="Calibri" w:hAnsi="Calibri" w:cs="Courier New"/>
                <w:b/>
                <w:bCs/>
              </w:rPr>
              <w:t xml:space="preserve"> </w:t>
            </w:r>
            <w:r w:rsidR="000B6D9C" w:rsidRPr="00687A1C">
              <w:rPr>
                <w:b/>
                <w:bCs/>
              </w:rPr>
              <w:t>010</w:t>
            </w:r>
          </w:p>
        </w:tc>
        <w:tc>
          <w:tcPr>
            <w:tcW w:w="1170" w:type="dxa"/>
            <w:shd w:val="clear" w:color="auto" w:fill="auto"/>
            <w:noWrap/>
          </w:tcPr>
          <w:p w:rsidR="00174AEA" w:rsidRPr="00687A1C" w:rsidRDefault="00174AEA" w:rsidP="00D8412D">
            <w:pPr>
              <w:pStyle w:val="Tabletextright"/>
            </w:pPr>
            <w:r w:rsidRPr="00687A1C">
              <w:rPr>
                <w:b/>
                <w:bCs/>
              </w:rPr>
              <w:t>10</w:t>
            </w:r>
            <w:r w:rsidR="00D8412D" w:rsidRPr="00687A1C">
              <w:rPr>
                <w:b/>
                <w:bCs/>
              </w:rPr>
              <w:t xml:space="preserve"> </w:t>
            </w:r>
            <w:r w:rsidRPr="00687A1C">
              <w:rPr>
                <w:b/>
                <w:bCs/>
              </w:rPr>
              <w:t>754</w:t>
            </w:r>
            <w:r w:rsidR="00D8412D" w:rsidRPr="00687A1C">
              <w:rPr>
                <w:b/>
                <w:bCs/>
              </w:rPr>
              <w:t xml:space="preserve"> </w:t>
            </w:r>
            <w:r w:rsidRPr="00687A1C">
              <w:rPr>
                <w:b/>
                <w:bCs/>
              </w:rPr>
              <w:t>891</w:t>
            </w:r>
          </w:p>
        </w:tc>
        <w:tc>
          <w:tcPr>
            <w:tcW w:w="1138" w:type="dxa"/>
            <w:shd w:val="clear" w:color="auto" w:fill="E0E0E0"/>
            <w:noWrap/>
          </w:tcPr>
          <w:p w:rsidR="00174AEA" w:rsidRPr="00687A1C" w:rsidRDefault="00174AEA" w:rsidP="00D8412D">
            <w:pPr>
              <w:pStyle w:val="Tabletextright"/>
            </w:pPr>
            <w:r w:rsidRPr="00687A1C">
              <w:rPr>
                <w:b/>
                <w:bCs/>
              </w:rPr>
              <w:t>2</w:t>
            </w:r>
            <w:r w:rsidR="005952EF" w:rsidRPr="00687A1C">
              <w:rPr>
                <w:b/>
                <w:bCs/>
              </w:rPr>
              <w:t>51</w:t>
            </w:r>
            <w:r w:rsidR="00D8412D" w:rsidRPr="00687A1C">
              <w:rPr>
                <w:rFonts w:ascii="Calibri" w:hAnsi="Calibri" w:cs="Courier New"/>
                <w:b/>
                <w:bCs/>
              </w:rPr>
              <w:t xml:space="preserve"> </w:t>
            </w:r>
            <w:r w:rsidR="005952EF" w:rsidRPr="00687A1C">
              <w:rPr>
                <w:b/>
                <w:bCs/>
              </w:rPr>
              <w:t>458</w:t>
            </w:r>
          </w:p>
        </w:tc>
        <w:tc>
          <w:tcPr>
            <w:tcW w:w="1138" w:type="dxa"/>
            <w:shd w:val="clear" w:color="auto" w:fill="E0E0E0"/>
            <w:noWrap/>
          </w:tcPr>
          <w:p w:rsidR="00174AEA" w:rsidRPr="00687A1C" w:rsidRDefault="00174AEA" w:rsidP="00D8412D">
            <w:pPr>
              <w:pStyle w:val="Tabletextright"/>
            </w:pPr>
            <w:r w:rsidRPr="00687A1C">
              <w:rPr>
                <w:b/>
                <w:bCs/>
              </w:rPr>
              <w:t>2</w:t>
            </w:r>
            <w:r w:rsidR="005952EF" w:rsidRPr="00687A1C">
              <w:rPr>
                <w:b/>
                <w:bCs/>
              </w:rPr>
              <w:t>31</w:t>
            </w:r>
            <w:r w:rsidR="00D8412D" w:rsidRPr="00687A1C">
              <w:rPr>
                <w:rFonts w:ascii="Calibri" w:hAnsi="Calibri" w:cs="Courier New"/>
                <w:b/>
                <w:bCs/>
              </w:rPr>
              <w:t xml:space="preserve"> </w:t>
            </w:r>
            <w:r w:rsidR="005952EF" w:rsidRPr="00687A1C">
              <w:rPr>
                <w:b/>
                <w:bCs/>
              </w:rPr>
              <w:t>400</w:t>
            </w:r>
          </w:p>
        </w:tc>
        <w:tc>
          <w:tcPr>
            <w:tcW w:w="1138" w:type="dxa"/>
            <w:shd w:val="clear" w:color="auto" w:fill="auto"/>
            <w:noWrap/>
          </w:tcPr>
          <w:p w:rsidR="00174AEA" w:rsidRPr="00687A1C" w:rsidRDefault="00DE0CB9" w:rsidP="008A3976">
            <w:pPr>
              <w:pStyle w:val="Tabletextright"/>
              <w:rPr>
                <w:b/>
                <w:bCs/>
              </w:rPr>
            </w:pPr>
            <w:r w:rsidRPr="00687A1C">
              <w:rPr>
                <w:b/>
                <w:bCs/>
              </w:rPr>
              <w:t>105 098 644</w:t>
            </w:r>
          </w:p>
        </w:tc>
        <w:tc>
          <w:tcPr>
            <w:tcW w:w="1138" w:type="dxa"/>
            <w:shd w:val="clear" w:color="auto" w:fill="auto"/>
            <w:noWrap/>
          </w:tcPr>
          <w:p w:rsidR="00174AEA" w:rsidRPr="00687A1C" w:rsidRDefault="00174AEA" w:rsidP="00D8412D">
            <w:pPr>
              <w:pStyle w:val="Tabletextright"/>
            </w:pPr>
            <w:r w:rsidRPr="00687A1C">
              <w:rPr>
                <w:b/>
                <w:bCs/>
              </w:rPr>
              <w:t>99</w:t>
            </w:r>
            <w:r w:rsidR="00D8412D" w:rsidRPr="00687A1C">
              <w:rPr>
                <w:b/>
                <w:bCs/>
              </w:rPr>
              <w:t xml:space="preserve"> </w:t>
            </w:r>
            <w:r w:rsidRPr="00687A1C">
              <w:rPr>
                <w:b/>
                <w:bCs/>
              </w:rPr>
              <w:t>670</w:t>
            </w:r>
            <w:r w:rsidR="00D8412D" w:rsidRPr="00687A1C">
              <w:rPr>
                <w:b/>
                <w:bCs/>
              </w:rPr>
              <w:t xml:space="preserve"> </w:t>
            </w:r>
            <w:r w:rsidRPr="00687A1C">
              <w:rPr>
                <w:b/>
                <w:bCs/>
              </w:rPr>
              <w:t>011</w:t>
            </w:r>
          </w:p>
        </w:tc>
        <w:tc>
          <w:tcPr>
            <w:tcW w:w="1275" w:type="dxa"/>
            <w:shd w:val="clear" w:color="auto" w:fill="E0E0E0"/>
            <w:noWrap/>
          </w:tcPr>
          <w:p w:rsidR="00174AEA" w:rsidRPr="00687A1C" w:rsidRDefault="00DE0CB9" w:rsidP="00D8412D">
            <w:pPr>
              <w:pStyle w:val="Tabletextright"/>
            </w:pPr>
            <w:r w:rsidRPr="00687A1C">
              <w:rPr>
                <w:b/>
                <w:bCs/>
              </w:rPr>
              <w:t>115 995 948</w:t>
            </w:r>
          </w:p>
        </w:tc>
        <w:tc>
          <w:tcPr>
            <w:tcW w:w="1275" w:type="dxa"/>
            <w:shd w:val="clear" w:color="auto" w:fill="E0E0E0"/>
            <w:noWrap/>
          </w:tcPr>
          <w:p w:rsidR="00174AEA" w:rsidRPr="00687A1C" w:rsidRDefault="00174AEA" w:rsidP="00D8412D">
            <w:pPr>
              <w:pStyle w:val="Tabletextright"/>
            </w:pPr>
            <w:r w:rsidRPr="00687A1C">
              <w:rPr>
                <w:b/>
                <w:bCs/>
              </w:rPr>
              <w:t>112</w:t>
            </w:r>
            <w:r w:rsidR="00D8412D" w:rsidRPr="00687A1C">
              <w:rPr>
                <w:b/>
                <w:bCs/>
              </w:rPr>
              <w:t xml:space="preserve"> </w:t>
            </w:r>
            <w:r w:rsidR="005952EF" w:rsidRPr="00687A1C">
              <w:rPr>
                <w:b/>
                <w:bCs/>
              </w:rPr>
              <w:t>737</w:t>
            </w:r>
            <w:r w:rsidR="00D8412D" w:rsidRPr="00687A1C">
              <w:rPr>
                <w:rFonts w:ascii="Calibri" w:hAnsi="Calibri" w:cs="Courier New"/>
                <w:b/>
                <w:bCs/>
              </w:rPr>
              <w:t xml:space="preserve"> </w:t>
            </w:r>
            <w:r w:rsidR="005952EF" w:rsidRPr="00687A1C">
              <w:rPr>
                <w:b/>
                <w:bCs/>
              </w:rPr>
              <w:t>357</w:t>
            </w:r>
          </w:p>
        </w:tc>
      </w:tr>
      <w:tr w:rsidR="00174AEA" w:rsidRPr="00687A1C" w:rsidTr="008A3976">
        <w:trPr>
          <w:cantSplit/>
        </w:trPr>
        <w:tc>
          <w:tcPr>
            <w:tcW w:w="1278" w:type="dxa"/>
            <w:shd w:val="clear" w:color="auto" w:fill="auto"/>
            <w:noWrap/>
          </w:tcPr>
          <w:p w:rsidR="00174AEA" w:rsidRPr="00687A1C" w:rsidRDefault="00174AEA" w:rsidP="008A3976">
            <w:pPr>
              <w:pStyle w:val="Tabletextright"/>
              <w:rPr>
                <w:b/>
                <w:bCs/>
              </w:rPr>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rPr>
                <w:b/>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D8412D" w:rsidP="00D8412D">
            <w:pPr>
              <w:pStyle w:val="Tabletextright"/>
            </w:pPr>
            <w:r w:rsidRPr="00687A1C">
              <w:rPr>
                <w:rFonts w:ascii="Calibri" w:hAnsi="Calibri" w:cs="Calibri"/>
              </w:rPr>
              <w:t xml:space="preserve"> </w:t>
            </w:r>
          </w:p>
        </w:tc>
        <w:tc>
          <w:tcPr>
            <w:tcW w:w="1170" w:type="dxa"/>
            <w:shd w:val="clear" w:color="auto" w:fill="auto"/>
            <w:noWrap/>
          </w:tcPr>
          <w:p w:rsidR="00174AEA" w:rsidRPr="00687A1C" w:rsidRDefault="00D8412D" w:rsidP="00D8412D">
            <w:pPr>
              <w:pStyle w:val="Tabletextright"/>
            </w:pPr>
            <w:r w:rsidRPr="00687A1C">
              <w:rPr>
                <w:rFonts w:ascii="Calibri" w:hAnsi="Calibri" w:cs="Calibri"/>
              </w:rPr>
              <w:t xml:space="preserve"> </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D8412D" w:rsidP="00D8412D">
            <w:pPr>
              <w:pStyle w:val="Tabletextright"/>
            </w:pPr>
            <w:r w:rsidRPr="00687A1C">
              <w:rPr>
                <w:rFonts w:ascii="Calibri" w:hAnsi="Calibri" w:cs="Calibri"/>
              </w:rPr>
              <w:t xml:space="preserve"> </w:t>
            </w:r>
          </w:p>
        </w:tc>
        <w:tc>
          <w:tcPr>
            <w:tcW w:w="1138" w:type="dxa"/>
            <w:shd w:val="clear" w:color="auto" w:fill="auto"/>
            <w:noWrap/>
          </w:tcPr>
          <w:p w:rsidR="00174AEA" w:rsidRPr="00687A1C" w:rsidRDefault="00D8412D" w:rsidP="00D8412D">
            <w:pPr>
              <w:pStyle w:val="Tabletextright"/>
            </w:pPr>
            <w:r w:rsidRPr="00687A1C">
              <w:rPr>
                <w:rFonts w:ascii="Calibri" w:hAnsi="Calibri" w:cs="Calibri"/>
              </w:rPr>
              <w:t xml:space="preserve"> </w:t>
            </w:r>
          </w:p>
        </w:tc>
        <w:tc>
          <w:tcPr>
            <w:tcW w:w="1275" w:type="dxa"/>
            <w:shd w:val="clear" w:color="auto" w:fill="E0E0E0"/>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8A3976">
            <w:pPr>
              <w:pStyle w:val="Tabletextright"/>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r w:rsidRPr="00687A1C">
              <w:t>–</w:t>
            </w: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D8412D">
            <w:pPr>
              <w:pStyle w:val="Tabletextright"/>
            </w:pPr>
            <w:r w:rsidRPr="00687A1C">
              <w:t>27</w:t>
            </w:r>
            <w:r w:rsidR="00D8412D" w:rsidRPr="00687A1C">
              <w:rPr>
                <w:rFonts w:ascii="Calibri" w:hAnsi="Calibri" w:cs="Calibri"/>
              </w:rPr>
              <w:t xml:space="preserve"> </w:t>
            </w:r>
            <w:r w:rsidRPr="00687A1C">
              <w:t>770</w:t>
            </w:r>
          </w:p>
        </w:tc>
        <w:tc>
          <w:tcPr>
            <w:tcW w:w="1275" w:type="dxa"/>
            <w:shd w:val="clear" w:color="auto" w:fill="E0E0E0"/>
            <w:noWrap/>
          </w:tcPr>
          <w:p w:rsidR="00174AEA" w:rsidRPr="00687A1C" w:rsidRDefault="00174AEA" w:rsidP="008A3976">
            <w:pPr>
              <w:pStyle w:val="Tabletextright"/>
            </w:pPr>
            <w:r w:rsidRPr="00687A1C">
              <w:t>–</w:t>
            </w:r>
          </w:p>
        </w:tc>
      </w:tr>
      <w:tr w:rsidR="00174AEA" w:rsidRPr="00687A1C" w:rsidTr="008A3976">
        <w:trPr>
          <w:cantSplit/>
        </w:trPr>
        <w:tc>
          <w:tcPr>
            <w:tcW w:w="1278" w:type="dxa"/>
            <w:shd w:val="clear" w:color="auto" w:fill="auto"/>
            <w:noWrap/>
          </w:tcPr>
          <w:p w:rsidR="00174AEA" w:rsidRPr="00687A1C" w:rsidRDefault="00174AEA" w:rsidP="008A3976">
            <w:pPr>
              <w:pStyle w:val="Tabletextright"/>
              <w:rPr>
                <w:b/>
                <w:bCs/>
              </w:rPr>
            </w:pPr>
            <w:r w:rsidRPr="00687A1C">
              <w:rPr>
                <w:b/>
                <w:bCs/>
              </w:rPr>
              <w:t>–</w:t>
            </w:r>
          </w:p>
        </w:tc>
        <w:tc>
          <w:tcPr>
            <w:tcW w:w="1170" w:type="dxa"/>
            <w:shd w:val="clear" w:color="auto" w:fill="auto"/>
            <w:noWrap/>
          </w:tcPr>
          <w:p w:rsidR="00174AEA" w:rsidRPr="00687A1C" w:rsidRDefault="00174AEA" w:rsidP="008A3976">
            <w:pPr>
              <w:pStyle w:val="Tabletextright"/>
            </w:pPr>
            <w:r w:rsidRPr="00687A1C">
              <w:t>–</w:t>
            </w:r>
          </w:p>
        </w:tc>
        <w:tc>
          <w:tcPr>
            <w:tcW w:w="1138" w:type="dxa"/>
            <w:shd w:val="clear" w:color="auto" w:fill="E0E0E0"/>
            <w:noWrap/>
          </w:tcPr>
          <w:p w:rsidR="00174AEA" w:rsidRPr="00687A1C" w:rsidRDefault="00174AEA" w:rsidP="008A3976">
            <w:pPr>
              <w:pStyle w:val="Tabletextright"/>
              <w:rPr>
                <w:b/>
                <w:bCs/>
              </w:rPr>
            </w:pPr>
            <w:r w:rsidRPr="00687A1C">
              <w:rPr>
                <w:b/>
                <w:bCs/>
              </w:rPr>
              <w:t>–</w:t>
            </w:r>
          </w:p>
        </w:tc>
        <w:tc>
          <w:tcPr>
            <w:tcW w:w="1138" w:type="dxa"/>
            <w:shd w:val="clear" w:color="auto" w:fill="E0E0E0"/>
            <w:noWrap/>
          </w:tcPr>
          <w:p w:rsidR="00174AEA" w:rsidRPr="00687A1C" w:rsidRDefault="00174AEA" w:rsidP="008A3976">
            <w:pPr>
              <w:pStyle w:val="Tabletextright"/>
            </w:pPr>
            <w:r w:rsidRPr="00687A1C">
              <w:t>–</w:t>
            </w:r>
          </w:p>
        </w:tc>
        <w:tc>
          <w:tcPr>
            <w:tcW w:w="1138" w:type="dxa"/>
            <w:shd w:val="clear" w:color="auto" w:fill="auto"/>
            <w:noWrap/>
          </w:tcPr>
          <w:p w:rsidR="00174AEA" w:rsidRPr="00687A1C" w:rsidRDefault="00174AEA" w:rsidP="008A3976">
            <w:pPr>
              <w:pStyle w:val="Tabletextright"/>
              <w:rPr>
                <w:b/>
                <w:bCs/>
              </w:rPr>
            </w:pPr>
            <w:r w:rsidRPr="00687A1C">
              <w:rPr>
                <w:b/>
                <w:bCs/>
              </w:rPr>
              <w:t>–</w:t>
            </w:r>
          </w:p>
        </w:tc>
        <w:tc>
          <w:tcPr>
            <w:tcW w:w="1138" w:type="dxa"/>
            <w:shd w:val="clear" w:color="auto" w:fill="auto"/>
            <w:noWrap/>
          </w:tcPr>
          <w:p w:rsidR="00174AEA" w:rsidRPr="00687A1C" w:rsidRDefault="00174AEA" w:rsidP="008A3976">
            <w:pPr>
              <w:pStyle w:val="Tabletextright"/>
            </w:pPr>
            <w:r w:rsidRPr="00687A1C">
              <w:t>–</w:t>
            </w:r>
          </w:p>
        </w:tc>
        <w:tc>
          <w:tcPr>
            <w:tcW w:w="1275" w:type="dxa"/>
            <w:shd w:val="clear" w:color="auto" w:fill="E0E0E0"/>
            <w:noWrap/>
          </w:tcPr>
          <w:p w:rsidR="00174AEA" w:rsidRPr="00687A1C" w:rsidRDefault="00174AEA" w:rsidP="00D8412D">
            <w:pPr>
              <w:pStyle w:val="Tabletextright"/>
            </w:pPr>
            <w:r w:rsidRPr="00687A1C">
              <w:rPr>
                <w:b/>
                <w:bCs/>
              </w:rPr>
              <w:t>27</w:t>
            </w:r>
            <w:r w:rsidR="00D8412D" w:rsidRPr="00687A1C">
              <w:rPr>
                <w:b/>
                <w:bCs/>
              </w:rPr>
              <w:t xml:space="preserve"> </w:t>
            </w:r>
            <w:r w:rsidRPr="00687A1C">
              <w:rPr>
                <w:b/>
                <w:bCs/>
              </w:rPr>
              <w:t>770</w:t>
            </w:r>
          </w:p>
        </w:tc>
        <w:tc>
          <w:tcPr>
            <w:tcW w:w="1275" w:type="dxa"/>
            <w:shd w:val="clear" w:color="auto" w:fill="E0E0E0"/>
            <w:noWrap/>
          </w:tcPr>
          <w:p w:rsidR="00174AEA" w:rsidRPr="00687A1C" w:rsidRDefault="00174AEA" w:rsidP="008A3976">
            <w:pPr>
              <w:pStyle w:val="Tabletextright"/>
            </w:pPr>
            <w:r w:rsidRPr="00687A1C">
              <w:t>–</w:t>
            </w:r>
          </w:p>
        </w:tc>
      </w:tr>
      <w:tr w:rsidR="000B6D9C" w:rsidRPr="00687A1C" w:rsidTr="008A3976">
        <w:trPr>
          <w:cantSplit/>
        </w:trPr>
        <w:tc>
          <w:tcPr>
            <w:tcW w:w="1278" w:type="dxa"/>
            <w:shd w:val="clear" w:color="auto" w:fill="auto"/>
            <w:noWrap/>
          </w:tcPr>
          <w:p w:rsidR="000B6D9C" w:rsidRPr="00687A1C" w:rsidRDefault="000B6D9C" w:rsidP="00D8412D">
            <w:pPr>
              <w:pStyle w:val="Tabletextrightbold"/>
            </w:pPr>
            <w:r w:rsidRPr="00687A1C">
              <w:t>8</w:t>
            </w:r>
            <w:r w:rsidR="00D8412D" w:rsidRPr="00687A1C">
              <w:rPr>
                <w:rFonts w:ascii="Calibri" w:hAnsi="Calibri" w:cs="Courier New"/>
              </w:rPr>
              <w:t xml:space="preserve"> </w:t>
            </w:r>
            <w:r w:rsidRPr="00687A1C">
              <w:t>160</w:t>
            </w:r>
            <w:r w:rsidR="00D8412D" w:rsidRPr="00687A1C">
              <w:rPr>
                <w:rFonts w:ascii="Calibri" w:hAnsi="Calibri" w:cs="Courier New"/>
              </w:rPr>
              <w:t xml:space="preserve"> </w:t>
            </w:r>
            <w:r w:rsidRPr="00687A1C">
              <w:t>010</w:t>
            </w:r>
          </w:p>
        </w:tc>
        <w:tc>
          <w:tcPr>
            <w:tcW w:w="1170" w:type="dxa"/>
            <w:shd w:val="clear" w:color="auto" w:fill="auto"/>
            <w:noWrap/>
          </w:tcPr>
          <w:p w:rsidR="000B6D9C" w:rsidRPr="00687A1C" w:rsidRDefault="000B6D9C" w:rsidP="00D8412D">
            <w:pPr>
              <w:pStyle w:val="Tabletextrightbold"/>
            </w:pPr>
            <w:r w:rsidRPr="00687A1C">
              <w:t>10</w:t>
            </w:r>
            <w:r w:rsidR="00D8412D" w:rsidRPr="00687A1C">
              <w:rPr>
                <w:rFonts w:ascii="Calibri" w:hAnsi="Calibri" w:cs="Courier New"/>
              </w:rPr>
              <w:t xml:space="preserve"> </w:t>
            </w:r>
            <w:r w:rsidRPr="00687A1C">
              <w:t>754</w:t>
            </w:r>
            <w:r w:rsidR="00D8412D" w:rsidRPr="00687A1C">
              <w:rPr>
                <w:rFonts w:ascii="Calibri" w:hAnsi="Calibri" w:cs="Courier New"/>
              </w:rPr>
              <w:t xml:space="preserve"> </w:t>
            </w:r>
            <w:r w:rsidRPr="00687A1C">
              <w:t>891</w:t>
            </w:r>
          </w:p>
        </w:tc>
        <w:tc>
          <w:tcPr>
            <w:tcW w:w="1138" w:type="dxa"/>
            <w:shd w:val="clear" w:color="auto" w:fill="E0E0E0"/>
            <w:noWrap/>
          </w:tcPr>
          <w:p w:rsidR="000B6D9C" w:rsidRPr="00687A1C" w:rsidRDefault="005952EF" w:rsidP="00D8412D">
            <w:pPr>
              <w:pStyle w:val="Tabletextrightbold"/>
            </w:pPr>
            <w:r w:rsidRPr="00687A1C">
              <w:t>251</w:t>
            </w:r>
            <w:r w:rsidR="00D8412D" w:rsidRPr="00687A1C">
              <w:rPr>
                <w:rFonts w:ascii="Calibri" w:hAnsi="Calibri" w:cs="Courier New"/>
              </w:rPr>
              <w:t xml:space="preserve"> </w:t>
            </w:r>
            <w:r w:rsidRPr="00687A1C">
              <w:t>458</w:t>
            </w:r>
          </w:p>
        </w:tc>
        <w:tc>
          <w:tcPr>
            <w:tcW w:w="1138" w:type="dxa"/>
            <w:shd w:val="clear" w:color="auto" w:fill="E0E0E0"/>
            <w:noWrap/>
          </w:tcPr>
          <w:p w:rsidR="000B6D9C" w:rsidRPr="00687A1C" w:rsidRDefault="005952EF" w:rsidP="00D8412D">
            <w:pPr>
              <w:pStyle w:val="Tabletextrightbold"/>
            </w:pPr>
            <w:r w:rsidRPr="00687A1C">
              <w:t>231</w:t>
            </w:r>
            <w:r w:rsidR="00D8412D" w:rsidRPr="00687A1C">
              <w:rPr>
                <w:rFonts w:ascii="Calibri" w:hAnsi="Calibri" w:cs="Courier New"/>
              </w:rPr>
              <w:t xml:space="preserve"> </w:t>
            </w:r>
            <w:r w:rsidRPr="00687A1C">
              <w:t>400</w:t>
            </w:r>
          </w:p>
        </w:tc>
        <w:tc>
          <w:tcPr>
            <w:tcW w:w="1138" w:type="dxa"/>
            <w:shd w:val="clear" w:color="auto" w:fill="auto"/>
            <w:noWrap/>
          </w:tcPr>
          <w:p w:rsidR="000B6D9C" w:rsidRPr="00687A1C" w:rsidRDefault="00DE0CB9" w:rsidP="005952EF">
            <w:pPr>
              <w:pStyle w:val="Tabletextrightbold"/>
            </w:pPr>
            <w:r w:rsidRPr="00687A1C">
              <w:t>105 098 644</w:t>
            </w:r>
          </w:p>
        </w:tc>
        <w:tc>
          <w:tcPr>
            <w:tcW w:w="1138" w:type="dxa"/>
            <w:shd w:val="clear" w:color="auto" w:fill="auto"/>
            <w:noWrap/>
          </w:tcPr>
          <w:p w:rsidR="000B6D9C" w:rsidRPr="00687A1C" w:rsidRDefault="000B6D9C" w:rsidP="00D8412D">
            <w:pPr>
              <w:pStyle w:val="Tabletextrightbold"/>
            </w:pPr>
            <w:r w:rsidRPr="00687A1C">
              <w:t>99</w:t>
            </w:r>
            <w:r w:rsidR="00D8412D" w:rsidRPr="00687A1C">
              <w:rPr>
                <w:rFonts w:ascii="Calibri" w:hAnsi="Calibri" w:cs="Courier New"/>
              </w:rPr>
              <w:t xml:space="preserve"> </w:t>
            </w:r>
            <w:r w:rsidRPr="00687A1C">
              <w:t>670</w:t>
            </w:r>
            <w:r w:rsidR="00D8412D" w:rsidRPr="00687A1C">
              <w:rPr>
                <w:rFonts w:ascii="Calibri" w:hAnsi="Calibri" w:cs="Courier New"/>
              </w:rPr>
              <w:t xml:space="preserve"> </w:t>
            </w:r>
            <w:r w:rsidRPr="00687A1C">
              <w:t>011</w:t>
            </w:r>
          </w:p>
        </w:tc>
        <w:tc>
          <w:tcPr>
            <w:tcW w:w="1275" w:type="dxa"/>
            <w:shd w:val="clear" w:color="auto" w:fill="E0E0E0"/>
            <w:noWrap/>
          </w:tcPr>
          <w:p w:rsidR="000B6D9C" w:rsidRPr="00687A1C" w:rsidRDefault="00DE0CB9" w:rsidP="00D8412D">
            <w:pPr>
              <w:pStyle w:val="Tabletextrightbold"/>
            </w:pPr>
            <w:r w:rsidRPr="00687A1C">
              <w:t>116 023 718</w:t>
            </w:r>
          </w:p>
        </w:tc>
        <w:tc>
          <w:tcPr>
            <w:tcW w:w="1275" w:type="dxa"/>
            <w:shd w:val="clear" w:color="auto" w:fill="E0E0E0"/>
            <w:noWrap/>
          </w:tcPr>
          <w:p w:rsidR="000B6D9C" w:rsidRPr="00687A1C" w:rsidRDefault="000B6D9C" w:rsidP="00D8412D">
            <w:pPr>
              <w:pStyle w:val="Tabletextrightbold"/>
            </w:pPr>
            <w:r w:rsidRPr="00687A1C">
              <w:t>112</w:t>
            </w:r>
            <w:r w:rsidR="00D8412D" w:rsidRPr="00687A1C">
              <w:rPr>
                <w:rFonts w:ascii="Calibri" w:hAnsi="Calibri" w:cs="Courier New"/>
              </w:rPr>
              <w:t xml:space="preserve"> </w:t>
            </w:r>
            <w:r w:rsidRPr="00687A1C">
              <w:t>7</w:t>
            </w:r>
            <w:r w:rsidR="00270A70" w:rsidRPr="00687A1C">
              <w:t>37</w:t>
            </w:r>
            <w:r w:rsidR="00D8412D" w:rsidRPr="00687A1C">
              <w:rPr>
                <w:rFonts w:ascii="Calibri" w:hAnsi="Calibri" w:cs="Courier New"/>
              </w:rPr>
              <w:t xml:space="preserve"> </w:t>
            </w:r>
            <w:r w:rsidR="00270A70" w:rsidRPr="00687A1C">
              <w:t>357</w:t>
            </w:r>
          </w:p>
        </w:tc>
      </w:tr>
      <w:tr w:rsidR="00174AEA" w:rsidRPr="00687A1C" w:rsidTr="008A3976">
        <w:trPr>
          <w:cantSplit/>
        </w:trPr>
        <w:tc>
          <w:tcPr>
            <w:tcW w:w="1278" w:type="dxa"/>
            <w:shd w:val="clear" w:color="auto" w:fill="auto"/>
            <w:noWrap/>
          </w:tcPr>
          <w:p w:rsidR="00174AEA" w:rsidRPr="00687A1C" w:rsidRDefault="00D8412D" w:rsidP="00D8412D">
            <w:pPr>
              <w:pStyle w:val="Tabletextright"/>
            </w:pPr>
            <w:r w:rsidRPr="00687A1C">
              <w:rPr>
                <w:b/>
                <w:bCs/>
              </w:rPr>
              <w:t xml:space="preserve"> </w:t>
            </w:r>
          </w:p>
        </w:tc>
        <w:tc>
          <w:tcPr>
            <w:tcW w:w="1170" w:type="dxa"/>
            <w:shd w:val="clear" w:color="auto" w:fill="auto"/>
            <w:noWrap/>
          </w:tcPr>
          <w:p w:rsidR="00174AEA" w:rsidRPr="00687A1C" w:rsidRDefault="00D8412D" w:rsidP="00D8412D">
            <w:pPr>
              <w:pStyle w:val="Tabletextright"/>
            </w:pPr>
            <w:r w:rsidRPr="00687A1C">
              <w:t xml:space="preserve"> </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D8412D" w:rsidP="00D8412D">
            <w:pPr>
              <w:pStyle w:val="Tabletextright"/>
            </w:pPr>
            <w:r w:rsidRPr="00687A1C">
              <w:rPr>
                <w:b/>
                <w:bCs/>
              </w:rPr>
              <w:t xml:space="preserve"> </w:t>
            </w:r>
          </w:p>
        </w:tc>
        <w:tc>
          <w:tcPr>
            <w:tcW w:w="1138" w:type="dxa"/>
            <w:shd w:val="clear" w:color="auto" w:fill="auto"/>
            <w:noWrap/>
          </w:tcPr>
          <w:p w:rsidR="00174AEA" w:rsidRPr="00687A1C" w:rsidRDefault="00D8412D" w:rsidP="00D8412D">
            <w:pPr>
              <w:pStyle w:val="Tabletextright"/>
            </w:pPr>
            <w:r w:rsidRPr="00687A1C">
              <w:t xml:space="preserve"> </w:t>
            </w:r>
          </w:p>
        </w:tc>
        <w:tc>
          <w:tcPr>
            <w:tcW w:w="1275" w:type="dxa"/>
            <w:shd w:val="clear" w:color="auto" w:fill="E0E0E0"/>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D8412D" w:rsidP="00D8412D">
            <w:pPr>
              <w:pStyle w:val="Tabletextright"/>
            </w:pPr>
            <w:r w:rsidRPr="00687A1C">
              <w:rPr>
                <w:b/>
                <w:bCs/>
              </w:rPr>
              <w:t xml:space="preserve"> </w:t>
            </w:r>
          </w:p>
        </w:tc>
        <w:tc>
          <w:tcPr>
            <w:tcW w:w="1170" w:type="dxa"/>
            <w:shd w:val="clear" w:color="auto" w:fill="auto"/>
            <w:noWrap/>
          </w:tcPr>
          <w:p w:rsidR="00174AEA" w:rsidRPr="00687A1C" w:rsidRDefault="00D8412D" w:rsidP="00D8412D">
            <w:pPr>
              <w:pStyle w:val="Tabletextright"/>
            </w:pPr>
            <w:r w:rsidRPr="00687A1C">
              <w:t xml:space="preserve"> </w:t>
            </w:r>
          </w:p>
        </w:tc>
        <w:tc>
          <w:tcPr>
            <w:tcW w:w="1138" w:type="dxa"/>
            <w:shd w:val="clear" w:color="auto" w:fill="E0E0E0"/>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D8412D" w:rsidP="00D8412D">
            <w:pPr>
              <w:pStyle w:val="Tabletextright"/>
            </w:pPr>
            <w:r w:rsidRPr="00687A1C">
              <w:rPr>
                <w:b/>
                <w:bCs/>
              </w:rPr>
              <w:t xml:space="preserve"> </w:t>
            </w:r>
          </w:p>
        </w:tc>
        <w:tc>
          <w:tcPr>
            <w:tcW w:w="1138" w:type="dxa"/>
            <w:shd w:val="clear" w:color="auto" w:fill="auto"/>
            <w:noWrap/>
          </w:tcPr>
          <w:p w:rsidR="00174AEA" w:rsidRPr="00687A1C" w:rsidRDefault="00D8412D" w:rsidP="00D8412D">
            <w:pPr>
              <w:pStyle w:val="Tabletextright"/>
            </w:pPr>
            <w:r w:rsidRPr="00687A1C">
              <w:t xml:space="preserve"> </w:t>
            </w:r>
          </w:p>
        </w:tc>
        <w:tc>
          <w:tcPr>
            <w:tcW w:w="1275" w:type="dxa"/>
            <w:shd w:val="clear" w:color="auto" w:fill="E0E0E0"/>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pP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Cs/>
              </w:rPr>
              <w:t>126</w:t>
            </w:r>
            <w:r w:rsidR="00D8412D" w:rsidRPr="00687A1C">
              <w:rPr>
                <w:bCs/>
              </w:rPr>
              <w:t xml:space="preserve"> </w:t>
            </w:r>
            <w:r w:rsidRPr="00687A1C">
              <w:rPr>
                <w:bCs/>
              </w:rPr>
              <w:t>573</w:t>
            </w:r>
          </w:p>
        </w:tc>
        <w:tc>
          <w:tcPr>
            <w:tcW w:w="1170" w:type="dxa"/>
            <w:shd w:val="clear" w:color="auto" w:fill="auto"/>
            <w:noWrap/>
          </w:tcPr>
          <w:p w:rsidR="00174AEA" w:rsidRPr="00687A1C" w:rsidRDefault="00174AEA" w:rsidP="00D8412D">
            <w:pPr>
              <w:pStyle w:val="Tabletextright"/>
            </w:pPr>
            <w:r w:rsidRPr="00687A1C">
              <w:t>57</w:t>
            </w:r>
            <w:r w:rsidR="00D8412D" w:rsidRPr="00687A1C">
              <w:t xml:space="preserve"> </w:t>
            </w:r>
            <w:r w:rsidRPr="00687A1C">
              <w:t>185</w:t>
            </w:r>
          </w:p>
        </w:tc>
        <w:tc>
          <w:tcPr>
            <w:tcW w:w="1138" w:type="dxa"/>
            <w:shd w:val="clear" w:color="auto" w:fill="E0E0E0"/>
            <w:noWrap/>
          </w:tcPr>
          <w:p w:rsidR="00174AEA" w:rsidRPr="00687A1C" w:rsidRDefault="00174AEA" w:rsidP="00D8412D">
            <w:pPr>
              <w:pStyle w:val="Tabletextright"/>
            </w:pPr>
            <w:r w:rsidRPr="00687A1C">
              <w:rPr>
                <w:bCs/>
              </w:rPr>
              <w:t>20</w:t>
            </w:r>
            <w:r w:rsidR="00D8412D" w:rsidRPr="00687A1C">
              <w:rPr>
                <w:bCs/>
              </w:rPr>
              <w:t xml:space="preserve"> </w:t>
            </w:r>
            <w:r w:rsidRPr="00687A1C">
              <w:rPr>
                <w:bCs/>
              </w:rPr>
              <w:t>894</w:t>
            </w:r>
          </w:p>
        </w:tc>
        <w:tc>
          <w:tcPr>
            <w:tcW w:w="1138" w:type="dxa"/>
            <w:shd w:val="clear" w:color="auto" w:fill="E0E0E0"/>
            <w:noWrap/>
          </w:tcPr>
          <w:p w:rsidR="00174AEA" w:rsidRPr="00687A1C" w:rsidRDefault="00174AEA" w:rsidP="00D8412D">
            <w:pPr>
              <w:pStyle w:val="Tabletextright"/>
            </w:pPr>
            <w:r w:rsidRPr="00687A1C">
              <w:t>21</w:t>
            </w:r>
            <w:r w:rsidR="00D8412D" w:rsidRPr="00687A1C">
              <w:t xml:space="preserve"> </w:t>
            </w:r>
            <w:r w:rsidRPr="00687A1C">
              <w:t>717</w:t>
            </w:r>
          </w:p>
        </w:tc>
        <w:tc>
          <w:tcPr>
            <w:tcW w:w="1138" w:type="dxa"/>
            <w:shd w:val="clear" w:color="auto" w:fill="auto"/>
            <w:noWrap/>
          </w:tcPr>
          <w:p w:rsidR="00174AEA" w:rsidRPr="00687A1C" w:rsidRDefault="00413594" w:rsidP="008A3976">
            <w:pPr>
              <w:pStyle w:val="Tabletextright"/>
              <w:rPr>
                <w:bCs/>
              </w:rPr>
            </w:pPr>
            <w:r w:rsidRPr="00687A1C">
              <w:rPr>
                <w:bCs/>
              </w:rPr>
              <w:t>10 273</w:t>
            </w:r>
          </w:p>
        </w:tc>
        <w:tc>
          <w:tcPr>
            <w:tcW w:w="1138" w:type="dxa"/>
            <w:shd w:val="clear" w:color="auto" w:fill="auto"/>
            <w:noWrap/>
          </w:tcPr>
          <w:p w:rsidR="00174AEA" w:rsidRPr="00687A1C" w:rsidRDefault="00174AEA" w:rsidP="00D8412D">
            <w:pPr>
              <w:pStyle w:val="Tabletextright"/>
            </w:pPr>
            <w:r w:rsidRPr="00687A1C">
              <w:t>18</w:t>
            </w:r>
            <w:r w:rsidR="00D8412D" w:rsidRPr="00687A1C">
              <w:t xml:space="preserve"> </w:t>
            </w:r>
            <w:r w:rsidRPr="00687A1C">
              <w:t>781</w:t>
            </w:r>
          </w:p>
        </w:tc>
        <w:tc>
          <w:tcPr>
            <w:tcW w:w="1275" w:type="dxa"/>
            <w:shd w:val="clear" w:color="auto" w:fill="E0E0E0"/>
            <w:noWrap/>
          </w:tcPr>
          <w:p w:rsidR="00174AEA" w:rsidRPr="00687A1C" w:rsidRDefault="00413594" w:rsidP="008A3976">
            <w:pPr>
              <w:pStyle w:val="Tabletextright"/>
              <w:rPr>
                <w:bCs/>
              </w:rPr>
            </w:pPr>
            <w:r w:rsidRPr="00687A1C">
              <w:rPr>
                <w:bCs/>
              </w:rPr>
              <w:t>238 079</w:t>
            </w:r>
          </w:p>
        </w:tc>
        <w:tc>
          <w:tcPr>
            <w:tcW w:w="1275" w:type="dxa"/>
            <w:shd w:val="clear" w:color="auto" w:fill="E0E0E0"/>
            <w:noWrap/>
          </w:tcPr>
          <w:p w:rsidR="00174AEA" w:rsidRPr="00687A1C" w:rsidRDefault="00174AEA" w:rsidP="00D8412D">
            <w:pPr>
              <w:pStyle w:val="Tabletextright"/>
            </w:pPr>
            <w:r w:rsidRPr="00687A1C">
              <w:t>123</w:t>
            </w:r>
            <w:r w:rsidR="00D8412D" w:rsidRPr="00687A1C">
              <w:t xml:space="preserve"> </w:t>
            </w:r>
            <w:r w:rsidRPr="00687A1C">
              <w:t>237</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Cs/>
              </w:rPr>
              <w:t>5</w:t>
            </w:r>
            <w:r w:rsidR="00D8412D" w:rsidRPr="00687A1C">
              <w:rPr>
                <w:bCs/>
              </w:rPr>
              <w:t xml:space="preserve"> </w:t>
            </w:r>
            <w:r w:rsidRPr="00687A1C">
              <w:rPr>
                <w:bCs/>
              </w:rPr>
              <w:t>304</w:t>
            </w:r>
            <w:r w:rsidR="00D8412D" w:rsidRPr="00687A1C">
              <w:rPr>
                <w:bCs/>
              </w:rPr>
              <w:t xml:space="preserve"> </w:t>
            </w:r>
            <w:r w:rsidRPr="00687A1C">
              <w:rPr>
                <w:bCs/>
              </w:rPr>
              <w:t>401</w:t>
            </w:r>
          </w:p>
        </w:tc>
        <w:tc>
          <w:tcPr>
            <w:tcW w:w="1170" w:type="dxa"/>
            <w:shd w:val="clear" w:color="auto" w:fill="auto"/>
            <w:noWrap/>
          </w:tcPr>
          <w:p w:rsidR="00174AEA" w:rsidRPr="00687A1C" w:rsidRDefault="00174AEA" w:rsidP="00D8412D">
            <w:pPr>
              <w:pStyle w:val="Tabletextright"/>
            </w:pPr>
            <w:r w:rsidRPr="00687A1C">
              <w:t>8</w:t>
            </w:r>
            <w:r w:rsidR="00D8412D" w:rsidRPr="00687A1C">
              <w:t xml:space="preserve"> </w:t>
            </w:r>
            <w:r w:rsidRPr="00687A1C">
              <w:t>271</w:t>
            </w:r>
            <w:r w:rsidR="00D8412D" w:rsidRPr="00687A1C">
              <w:t xml:space="preserve"> </w:t>
            </w:r>
            <w:r w:rsidRPr="00687A1C">
              <w:t>119</w:t>
            </w: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D8412D">
            <w:pPr>
              <w:pStyle w:val="Tabletextright"/>
            </w:pPr>
            <w:r w:rsidRPr="00687A1C">
              <w:rPr>
                <w:bCs/>
              </w:rPr>
              <w:t>5</w:t>
            </w:r>
            <w:r w:rsidR="00D8412D" w:rsidRPr="00687A1C">
              <w:rPr>
                <w:bCs/>
              </w:rPr>
              <w:t xml:space="preserve"> </w:t>
            </w:r>
            <w:r w:rsidRPr="00687A1C">
              <w:rPr>
                <w:bCs/>
              </w:rPr>
              <w:t>304</w:t>
            </w:r>
            <w:r w:rsidR="00D8412D" w:rsidRPr="00687A1C">
              <w:rPr>
                <w:bCs/>
              </w:rPr>
              <w:t xml:space="preserve"> </w:t>
            </w:r>
            <w:r w:rsidRPr="00687A1C">
              <w:rPr>
                <w:bCs/>
              </w:rPr>
              <w:t>401</w:t>
            </w:r>
          </w:p>
        </w:tc>
        <w:tc>
          <w:tcPr>
            <w:tcW w:w="1275" w:type="dxa"/>
            <w:shd w:val="clear" w:color="auto" w:fill="E0E0E0"/>
            <w:noWrap/>
          </w:tcPr>
          <w:p w:rsidR="00174AEA" w:rsidRPr="00687A1C" w:rsidRDefault="00174AEA" w:rsidP="00D8412D">
            <w:pPr>
              <w:pStyle w:val="Tabletextright"/>
            </w:pPr>
            <w:r w:rsidRPr="00687A1C">
              <w:t>8</w:t>
            </w:r>
            <w:r w:rsidR="00D8412D" w:rsidRPr="00687A1C">
              <w:t xml:space="preserve"> </w:t>
            </w:r>
            <w:r w:rsidRPr="00687A1C">
              <w:t>271</w:t>
            </w:r>
            <w:r w:rsidR="00D8412D" w:rsidRPr="00687A1C">
              <w:t xml:space="preserve"> </w:t>
            </w:r>
            <w:r w:rsidRPr="00687A1C">
              <w:t>119</w:t>
            </w:r>
          </w:p>
        </w:tc>
      </w:tr>
      <w:tr w:rsidR="00174AEA" w:rsidRPr="00687A1C" w:rsidTr="008A3976">
        <w:trPr>
          <w:cantSplit/>
        </w:trPr>
        <w:tc>
          <w:tcPr>
            <w:tcW w:w="1278" w:type="dxa"/>
            <w:shd w:val="clear" w:color="auto" w:fill="auto"/>
            <w:noWrap/>
          </w:tcPr>
          <w:p w:rsidR="00174AEA" w:rsidRPr="00687A1C" w:rsidRDefault="00174AEA" w:rsidP="008A3976">
            <w:pPr>
              <w:pStyle w:val="Tabletextright"/>
              <w:rPr>
                <w:bCs/>
              </w:rPr>
            </w:pP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413594" w:rsidP="008A3976">
            <w:pPr>
              <w:pStyle w:val="Tabletextright"/>
              <w:rPr>
                <w:bCs/>
              </w:rPr>
            </w:pPr>
            <w:r w:rsidRPr="00687A1C">
              <w:rPr>
                <w:bCs/>
              </w:rPr>
              <w:t xml:space="preserve">9 </w:t>
            </w:r>
            <w:r w:rsidR="00DE0CB9" w:rsidRPr="00687A1C">
              <w:rPr>
                <w:bCs/>
              </w:rPr>
              <w:t>287 686</w:t>
            </w:r>
          </w:p>
        </w:tc>
        <w:tc>
          <w:tcPr>
            <w:tcW w:w="1138" w:type="dxa"/>
            <w:shd w:val="clear" w:color="auto" w:fill="auto"/>
            <w:noWrap/>
          </w:tcPr>
          <w:p w:rsidR="00174AEA" w:rsidRPr="00687A1C" w:rsidRDefault="00174AEA" w:rsidP="00D8412D">
            <w:pPr>
              <w:pStyle w:val="Tabletextright"/>
            </w:pPr>
            <w:r w:rsidRPr="00687A1C">
              <w:t>9</w:t>
            </w:r>
            <w:r w:rsidR="00D8412D" w:rsidRPr="00687A1C">
              <w:t xml:space="preserve"> </w:t>
            </w:r>
            <w:r w:rsidR="005952EF" w:rsidRPr="00687A1C">
              <w:t>463</w:t>
            </w:r>
            <w:r w:rsidR="00D8412D" w:rsidRPr="00687A1C">
              <w:rPr>
                <w:rFonts w:ascii="Calibri" w:hAnsi="Calibri" w:cs="Courier New"/>
              </w:rPr>
              <w:t xml:space="preserve"> </w:t>
            </w:r>
            <w:r w:rsidR="005952EF" w:rsidRPr="00687A1C">
              <w:t>721</w:t>
            </w:r>
          </w:p>
        </w:tc>
        <w:tc>
          <w:tcPr>
            <w:tcW w:w="1275" w:type="dxa"/>
            <w:shd w:val="clear" w:color="auto" w:fill="E0E0E0"/>
            <w:noWrap/>
          </w:tcPr>
          <w:p w:rsidR="00174AEA" w:rsidRPr="00687A1C" w:rsidRDefault="00413594" w:rsidP="008A3976">
            <w:pPr>
              <w:pStyle w:val="Tabletextright"/>
              <w:rPr>
                <w:bCs/>
              </w:rPr>
            </w:pPr>
            <w:r w:rsidRPr="00687A1C">
              <w:rPr>
                <w:bCs/>
              </w:rPr>
              <w:t xml:space="preserve">9 </w:t>
            </w:r>
            <w:r w:rsidR="00DE0CB9" w:rsidRPr="00687A1C">
              <w:rPr>
                <w:bCs/>
              </w:rPr>
              <w:t>287 686</w:t>
            </w:r>
          </w:p>
        </w:tc>
        <w:tc>
          <w:tcPr>
            <w:tcW w:w="1275" w:type="dxa"/>
            <w:shd w:val="clear" w:color="auto" w:fill="E0E0E0"/>
            <w:noWrap/>
          </w:tcPr>
          <w:p w:rsidR="00174AEA" w:rsidRPr="00687A1C" w:rsidRDefault="00174AEA" w:rsidP="00D8412D">
            <w:pPr>
              <w:pStyle w:val="Tabletextright"/>
            </w:pPr>
            <w:r w:rsidRPr="00687A1C">
              <w:t>9</w:t>
            </w:r>
            <w:r w:rsidR="00D8412D" w:rsidRPr="00687A1C">
              <w:t xml:space="preserve"> </w:t>
            </w:r>
            <w:r w:rsidR="005952EF" w:rsidRPr="00687A1C">
              <w:t>463</w:t>
            </w:r>
            <w:r w:rsidR="00D8412D" w:rsidRPr="00687A1C">
              <w:rPr>
                <w:rFonts w:ascii="Calibri" w:hAnsi="Calibri" w:cs="Courier New"/>
              </w:rPr>
              <w:t xml:space="preserve"> </w:t>
            </w:r>
            <w:r w:rsidR="005952EF" w:rsidRPr="00687A1C">
              <w:t>721</w:t>
            </w:r>
          </w:p>
        </w:tc>
      </w:tr>
      <w:tr w:rsidR="00174AEA" w:rsidRPr="00687A1C" w:rsidTr="008A3976">
        <w:trPr>
          <w:cantSplit/>
        </w:trPr>
        <w:tc>
          <w:tcPr>
            <w:tcW w:w="1278" w:type="dxa"/>
            <w:shd w:val="clear" w:color="auto" w:fill="auto"/>
            <w:noWrap/>
          </w:tcPr>
          <w:p w:rsidR="00174AEA" w:rsidRPr="00687A1C" w:rsidRDefault="00174AEA" w:rsidP="008A3976">
            <w:pPr>
              <w:pStyle w:val="Tabletextright"/>
              <w:rPr>
                <w:bCs/>
              </w:rPr>
            </w:pPr>
            <w:r w:rsidRPr="00687A1C">
              <w:rPr>
                <w:bCs/>
              </w:rPr>
              <w:t>57</w:t>
            </w:r>
          </w:p>
        </w:tc>
        <w:tc>
          <w:tcPr>
            <w:tcW w:w="1170" w:type="dxa"/>
            <w:shd w:val="clear" w:color="auto" w:fill="auto"/>
            <w:noWrap/>
          </w:tcPr>
          <w:p w:rsidR="00174AEA" w:rsidRPr="00687A1C" w:rsidRDefault="00174AEA" w:rsidP="008A3976">
            <w:pPr>
              <w:pStyle w:val="Tabletextright"/>
            </w:pPr>
            <w:r w:rsidRPr="00687A1C">
              <w:t>230</w:t>
            </w: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5952EF" w:rsidP="00D8412D">
            <w:pPr>
              <w:pStyle w:val="Tabletextright"/>
            </w:pPr>
            <w:r w:rsidRPr="00687A1C">
              <w:rPr>
                <w:bCs/>
              </w:rPr>
              <w:t>95</w:t>
            </w:r>
            <w:r w:rsidR="00D8412D" w:rsidRPr="00687A1C">
              <w:rPr>
                <w:rFonts w:ascii="Calibri" w:hAnsi="Calibri" w:cs="Courier New"/>
                <w:bCs/>
              </w:rPr>
              <w:t xml:space="preserve"> </w:t>
            </w:r>
            <w:r w:rsidRPr="00687A1C">
              <w:rPr>
                <w:bCs/>
              </w:rPr>
              <w:t>274</w:t>
            </w:r>
          </w:p>
        </w:tc>
        <w:tc>
          <w:tcPr>
            <w:tcW w:w="1275" w:type="dxa"/>
            <w:shd w:val="clear" w:color="auto" w:fill="E0E0E0"/>
            <w:noWrap/>
          </w:tcPr>
          <w:p w:rsidR="00174AEA" w:rsidRPr="00687A1C" w:rsidRDefault="00174AEA" w:rsidP="00D8412D">
            <w:pPr>
              <w:pStyle w:val="Tabletextright"/>
            </w:pPr>
            <w:r w:rsidRPr="00687A1C">
              <w:t>45</w:t>
            </w:r>
            <w:r w:rsidR="00D8412D" w:rsidRPr="00687A1C">
              <w:t xml:space="preserve"> </w:t>
            </w:r>
            <w:r w:rsidRPr="00687A1C">
              <w:t>261</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Cs/>
              </w:rPr>
              <w:t>73</w:t>
            </w:r>
            <w:r w:rsidR="00D8412D" w:rsidRPr="00687A1C">
              <w:rPr>
                <w:bCs/>
              </w:rPr>
              <w:t xml:space="preserve"> </w:t>
            </w:r>
            <w:r w:rsidRPr="00687A1C">
              <w:rPr>
                <w:bCs/>
              </w:rPr>
              <w:t>306</w:t>
            </w:r>
          </w:p>
        </w:tc>
        <w:tc>
          <w:tcPr>
            <w:tcW w:w="1170" w:type="dxa"/>
            <w:shd w:val="clear" w:color="auto" w:fill="auto"/>
            <w:noWrap/>
          </w:tcPr>
          <w:p w:rsidR="00174AEA" w:rsidRPr="00687A1C" w:rsidRDefault="00174AEA" w:rsidP="00D8412D">
            <w:pPr>
              <w:pStyle w:val="Tabletextright"/>
            </w:pPr>
            <w:r w:rsidRPr="00687A1C">
              <w:t>62</w:t>
            </w:r>
            <w:r w:rsidR="00D8412D" w:rsidRPr="00687A1C">
              <w:t xml:space="preserve"> </w:t>
            </w:r>
            <w:r w:rsidRPr="00687A1C">
              <w:t>465</w:t>
            </w:r>
          </w:p>
        </w:tc>
        <w:tc>
          <w:tcPr>
            <w:tcW w:w="1138" w:type="dxa"/>
            <w:shd w:val="clear" w:color="auto" w:fill="E0E0E0"/>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D8412D">
            <w:pPr>
              <w:pStyle w:val="Tabletextright"/>
            </w:pPr>
            <w:r w:rsidRPr="00687A1C">
              <w:rPr>
                <w:bCs/>
              </w:rPr>
              <w:t>73</w:t>
            </w:r>
            <w:r w:rsidR="00D8412D" w:rsidRPr="00687A1C">
              <w:rPr>
                <w:bCs/>
              </w:rPr>
              <w:t xml:space="preserve"> </w:t>
            </w:r>
            <w:r w:rsidRPr="00687A1C">
              <w:rPr>
                <w:bCs/>
              </w:rPr>
              <w:t>306</w:t>
            </w:r>
          </w:p>
        </w:tc>
        <w:tc>
          <w:tcPr>
            <w:tcW w:w="1275" w:type="dxa"/>
            <w:shd w:val="clear" w:color="auto" w:fill="E0E0E0"/>
            <w:noWrap/>
          </w:tcPr>
          <w:p w:rsidR="00174AEA" w:rsidRPr="00687A1C" w:rsidRDefault="00174AEA" w:rsidP="00D8412D">
            <w:pPr>
              <w:pStyle w:val="Tabletextright"/>
            </w:pPr>
            <w:r w:rsidRPr="00687A1C">
              <w:t>62</w:t>
            </w:r>
            <w:r w:rsidR="00D8412D" w:rsidRPr="00687A1C">
              <w:t xml:space="preserve"> </w:t>
            </w:r>
            <w:r w:rsidRPr="00687A1C">
              <w:t>465</w:t>
            </w:r>
          </w:p>
        </w:tc>
      </w:tr>
      <w:tr w:rsidR="00174AEA" w:rsidRPr="00687A1C" w:rsidTr="008A3976">
        <w:trPr>
          <w:cantSplit/>
        </w:trPr>
        <w:tc>
          <w:tcPr>
            <w:tcW w:w="1278" w:type="dxa"/>
            <w:shd w:val="clear" w:color="auto" w:fill="auto"/>
            <w:noWrap/>
          </w:tcPr>
          <w:p w:rsidR="00174AEA" w:rsidRPr="00687A1C" w:rsidRDefault="00174AEA" w:rsidP="008A3976">
            <w:pPr>
              <w:pStyle w:val="Tabletextright"/>
              <w:rPr>
                <w:bCs/>
              </w:rPr>
            </w:pPr>
          </w:p>
        </w:tc>
        <w:tc>
          <w:tcPr>
            <w:tcW w:w="1170" w:type="dxa"/>
            <w:shd w:val="clear" w:color="auto" w:fill="auto"/>
            <w:noWrap/>
          </w:tcPr>
          <w:p w:rsidR="00174AEA" w:rsidRPr="00687A1C" w:rsidRDefault="00174AEA" w:rsidP="008A3976">
            <w:pPr>
              <w:pStyle w:val="Tabletextright"/>
              <w:rPr>
                <w:bCs/>
              </w:rPr>
            </w:pPr>
          </w:p>
        </w:tc>
        <w:tc>
          <w:tcPr>
            <w:tcW w:w="1138" w:type="dxa"/>
            <w:shd w:val="clear" w:color="auto" w:fill="E0E0E0"/>
            <w:noWrap/>
          </w:tcPr>
          <w:p w:rsidR="00174AEA" w:rsidRPr="00687A1C" w:rsidRDefault="00174AEA" w:rsidP="00D8412D">
            <w:pPr>
              <w:pStyle w:val="Tabletextright"/>
            </w:pPr>
            <w:r w:rsidRPr="00687A1C">
              <w:rPr>
                <w:bCs/>
              </w:rPr>
              <w:t>47</w:t>
            </w:r>
            <w:r w:rsidR="00D8412D" w:rsidRPr="00687A1C">
              <w:rPr>
                <w:bCs/>
              </w:rPr>
              <w:t xml:space="preserve"> </w:t>
            </w:r>
            <w:r w:rsidRPr="00687A1C">
              <w:rPr>
                <w:bCs/>
              </w:rPr>
              <w:t>123</w:t>
            </w:r>
          </w:p>
        </w:tc>
        <w:tc>
          <w:tcPr>
            <w:tcW w:w="1138" w:type="dxa"/>
            <w:shd w:val="clear" w:color="auto" w:fill="E0E0E0"/>
            <w:noWrap/>
          </w:tcPr>
          <w:p w:rsidR="00174AEA" w:rsidRPr="00687A1C" w:rsidRDefault="00174AEA" w:rsidP="00D8412D">
            <w:pPr>
              <w:pStyle w:val="Tabletextright"/>
            </w:pPr>
            <w:r w:rsidRPr="00687A1C">
              <w:t>55</w:t>
            </w:r>
            <w:r w:rsidR="00D8412D" w:rsidRPr="00687A1C">
              <w:t xml:space="preserve"> </w:t>
            </w:r>
            <w:r w:rsidRPr="00687A1C">
              <w:t>248</w:t>
            </w: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D8412D">
            <w:pPr>
              <w:pStyle w:val="Tabletextright"/>
            </w:pPr>
            <w:r w:rsidRPr="00687A1C">
              <w:rPr>
                <w:bCs/>
              </w:rPr>
              <w:t>47</w:t>
            </w:r>
            <w:r w:rsidR="00D8412D" w:rsidRPr="00687A1C">
              <w:rPr>
                <w:bCs/>
              </w:rPr>
              <w:t xml:space="preserve"> </w:t>
            </w:r>
            <w:r w:rsidRPr="00687A1C">
              <w:rPr>
                <w:bCs/>
              </w:rPr>
              <w:t>123</w:t>
            </w:r>
          </w:p>
        </w:tc>
        <w:tc>
          <w:tcPr>
            <w:tcW w:w="1275" w:type="dxa"/>
            <w:shd w:val="clear" w:color="auto" w:fill="E0E0E0"/>
            <w:noWrap/>
          </w:tcPr>
          <w:p w:rsidR="00174AEA" w:rsidRPr="00687A1C" w:rsidRDefault="00174AEA" w:rsidP="00D8412D">
            <w:pPr>
              <w:pStyle w:val="Tabletextright"/>
            </w:pPr>
            <w:r w:rsidRPr="00687A1C">
              <w:t>55</w:t>
            </w:r>
            <w:r w:rsidR="00D8412D" w:rsidRPr="00687A1C">
              <w:t xml:space="preserve"> </w:t>
            </w:r>
            <w:r w:rsidRPr="00687A1C">
              <w:t>248</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Cs/>
              </w:rPr>
              <w:t>23</w:t>
            </w:r>
            <w:r w:rsidR="00D8412D" w:rsidRPr="00687A1C">
              <w:rPr>
                <w:bCs/>
              </w:rPr>
              <w:t xml:space="preserve"> </w:t>
            </w:r>
            <w:r w:rsidRPr="00687A1C">
              <w:rPr>
                <w:bCs/>
              </w:rPr>
              <w:t>140</w:t>
            </w:r>
            <w:r w:rsidR="00D8412D" w:rsidRPr="00687A1C">
              <w:rPr>
                <w:bCs/>
              </w:rPr>
              <w:t xml:space="preserve"> </w:t>
            </w:r>
            <w:r w:rsidRPr="00687A1C">
              <w:rPr>
                <w:bCs/>
              </w:rPr>
              <w:t>908</w:t>
            </w:r>
          </w:p>
        </w:tc>
        <w:tc>
          <w:tcPr>
            <w:tcW w:w="1170" w:type="dxa"/>
            <w:shd w:val="clear" w:color="auto" w:fill="auto"/>
            <w:noWrap/>
          </w:tcPr>
          <w:p w:rsidR="00174AEA" w:rsidRPr="00687A1C" w:rsidRDefault="00174AEA" w:rsidP="00D8412D">
            <w:pPr>
              <w:pStyle w:val="Tabletextright"/>
            </w:pPr>
            <w:r w:rsidRPr="00687A1C">
              <w:t>18</w:t>
            </w:r>
            <w:r w:rsidR="00D8412D" w:rsidRPr="00687A1C">
              <w:t xml:space="preserve"> </w:t>
            </w:r>
            <w:r w:rsidRPr="00687A1C">
              <w:t>833</w:t>
            </w:r>
            <w:r w:rsidR="00D8412D" w:rsidRPr="00687A1C">
              <w:t xml:space="preserve"> </w:t>
            </w:r>
            <w:r w:rsidRPr="00687A1C">
              <w:t>381</w:t>
            </w:r>
          </w:p>
        </w:tc>
        <w:tc>
          <w:tcPr>
            <w:tcW w:w="1138" w:type="dxa"/>
            <w:shd w:val="clear" w:color="auto" w:fill="E0E0E0"/>
            <w:noWrap/>
          </w:tcPr>
          <w:p w:rsidR="00174AEA" w:rsidRPr="00687A1C" w:rsidRDefault="00174AEA" w:rsidP="00D8412D">
            <w:pPr>
              <w:pStyle w:val="Tabletextright"/>
            </w:pPr>
            <w:r w:rsidRPr="00687A1C">
              <w:rPr>
                <w:bCs/>
              </w:rPr>
              <w:t>226</w:t>
            </w:r>
            <w:r w:rsidR="00D8412D" w:rsidRPr="00687A1C">
              <w:rPr>
                <w:bCs/>
              </w:rPr>
              <w:t xml:space="preserve"> </w:t>
            </w:r>
            <w:r w:rsidRPr="00687A1C">
              <w:rPr>
                <w:bCs/>
              </w:rPr>
              <w:t>292</w:t>
            </w:r>
          </w:p>
        </w:tc>
        <w:tc>
          <w:tcPr>
            <w:tcW w:w="1138" w:type="dxa"/>
            <w:shd w:val="clear" w:color="auto" w:fill="E0E0E0"/>
            <w:noWrap/>
          </w:tcPr>
          <w:p w:rsidR="00174AEA" w:rsidRPr="00687A1C" w:rsidRDefault="00174AEA" w:rsidP="00D8412D">
            <w:pPr>
              <w:pStyle w:val="Tabletextright"/>
            </w:pPr>
            <w:r w:rsidRPr="00687A1C">
              <w:t>226</w:t>
            </w:r>
            <w:r w:rsidR="00D8412D" w:rsidRPr="00687A1C">
              <w:t xml:space="preserve"> </w:t>
            </w:r>
            <w:r w:rsidRPr="00687A1C">
              <w:t>293</w:t>
            </w:r>
          </w:p>
        </w:tc>
        <w:tc>
          <w:tcPr>
            <w:tcW w:w="1138" w:type="dxa"/>
            <w:shd w:val="clear" w:color="auto" w:fill="auto"/>
            <w:noWrap/>
          </w:tcPr>
          <w:p w:rsidR="00174AEA" w:rsidRPr="00687A1C" w:rsidRDefault="00174AEA" w:rsidP="008A3976">
            <w:pPr>
              <w:pStyle w:val="Tabletextright"/>
              <w:rPr>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D8412D">
            <w:pPr>
              <w:pStyle w:val="Tabletextright"/>
            </w:pPr>
            <w:r w:rsidRPr="00687A1C">
              <w:rPr>
                <w:bCs/>
              </w:rPr>
              <w:t>23</w:t>
            </w:r>
            <w:r w:rsidR="00D8412D" w:rsidRPr="00687A1C">
              <w:rPr>
                <w:bCs/>
              </w:rPr>
              <w:t xml:space="preserve"> </w:t>
            </w:r>
            <w:r w:rsidRPr="00687A1C">
              <w:rPr>
                <w:bCs/>
              </w:rPr>
              <w:t>367</w:t>
            </w:r>
            <w:r w:rsidR="00D8412D" w:rsidRPr="00687A1C">
              <w:rPr>
                <w:bCs/>
              </w:rPr>
              <w:t xml:space="preserve"> </w:t>
            </w:r>
            <w:r w:rsidRPr="00687A1C">
              <w:rPr>
                <w:bCs/>
              </w:rPr>
              <w:t>200</w:t>
            </w:r>
          </w:p>
        </w:tc>
        <w:tc>
          <w:tcPr>
            <w:tcW w:w="1275" w:type="dxa"/>
            <w:shd w:val="clear" w:color="auto" w:fill="E0E0E0"/>
            <w:noWrap/>
          </w:tcPr>
          <w:p w:rsidR="00174AEA" w:rsidRPr="00687A1C" w:rsidRDefault="00174AEA" w:rsidP="00D8412D">
            <w:pPr>
              <w:pStyle w:val="Tabletextright"/>
            </w:pPr>
            <w:r w:rsidRPr="00687A1C">
              <w:t>19</w:t>
            </w:r>
            <w:r w:rsidR="00D8412D" w:rsidRPr="00687A1C">
              <w:t xml:space="preserve"> </w:t>
            </w:r>
            <w:r w:rsidRPr="00687A1C">
              <w:t>059</w:t>
            </w:r>
            <w:r w:rsidR="00D8412D" w:rsidRPr="00687A1C">
              <w:t xml:space="preserve"> </w:t>
            </w:r>
            <w:r w:rsidRPr="00687A1C">
              <w:t>674</w:t>
            </w:r>
          </w:p>
        </w:tc>
      </w:tr>
      <w:tr w:rsidR="00174AEA" w:rsidRPr="00687A1C" w:rsidTr="008A3976">
        <w:trPr>
          <w:cantSplit/>
        </w:trPr>
        <w:tc>
          <w:tcPr>
            <w:tcW w:w="1278" w:type="dxa"/>
            <w:shd w:val="clear" w:color="auto" w:fill="auto"/>
            <w:noWrap/>
          </w:tcPr>
          <w:p w:rsidR="00174AEA" w:rsidRPr="00687A1C" w:rsidRDefault="00D8412D" w:rsidP="00D8412D">
            <w:pPr>
              <w:pStyle w:val="Tabletextright"/>
            </w:pPr>
            <w:r w:rsidRPr="00687A1C">
              <w:rPr>
                <w:b/>
                <w:bCs/>
              </w:rPr>
              <w:t xml:space="preserve"> </w:t>
            </w: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pPr>
          </w:p>
        </w:tc>
        <w:tc>
          <w:tcPr>
            <w:tcW w:w="1138" w:type="dxa"/>
            <w:shd w:val="clear" w:color="auto" w:fill="auto"/>
            <w:noWrap/>
          </w:tcPr>
          <w:p w:rsidR="00174AEA" w:rsidRPr="00687A1C" w:rsidRDefault="00174AEA" w:rsidP="00D8412D">
            <w:pPr>
              <w:pStyle w:val="Tabletextright"/>
            </w:pPr>
            <w:r w:rsidRPr="00687A1C">
              <w:rPr>
                <w:bCs/>
              </w:rPr>
              <w:t>25</w:t>
            </w:r>
            <w:r w:rsidR="00D8412D" w:rsidRPr="00687A1C">
              <w:rPr>
                <w:bCs/>
              </w:rPr>
              <w:t xml:space="preserve"> </w:t>
            </w:r>
            <w:r w:rsidRPr="00687A1C">
              <w:rPr>
                <w:bCs/>
              </w:rPr>
              <w:t>205</w:t>
            </w:r>
            <w:r w:rsidR="00D8412D" w:rsidRPr="00687A1C">
              <w:rPr>
                <w:bCs/>
              </w:rPr>
              <w:t xml:space="preserve"> </w:t>
            </w:r>
            <w:r w:rsidRPr="00687A1C">
              <w:rPr>
                <w:bCs/>
              </w:rPr>
              <w:t>357</w:t>
            </w:r>
          </w:p>
        </w:tc>
        <w:tc>
          <w:tcPr>
            <w:tcW w:w="1138" w:type="dxa"/>
            <w:shd w:val="clear" w:color="auto" w:fill="auto"/>
            <w:noWrap/>
          </w:tcPr>
          <w:p w:rsidR="00174AEA" w:rsidRPr="00687A1C" w:rsidRDefault="00174AEA" w:rsidP="00D8412D">
            <w:pPr>
              <w:pStyle w:val="Tabletextright"/>
            </w:pPr>
            <w:r w:rsidRPr="00687A1C">
              <w:t>24</w:t>
            </w:r>
            <w:r w:rsidR="00D8412D" w:rsidRPr="00687A1C">
              <w:t xml:space="preserve"> </w:t>
            </w:r>
            <w:r w:rsidRPr="00687A1C">
              <w:t>900</w:t>
            </w:r>
            <w:r w:rsidR="00D8412D" w:rsidRPr="00687A1C">
              <w:t xml:space="preserve"> </w:t>
            </w:r>
            <w:r w:rsidRPr="00687A1C">
              <w:t>518</w:t>
            </w:r>
          </w:p>
        </w:tc>
        <w:tc>
          <w:tcPr>
            <w:tcW w:w="1275" w:type="dxa"/>
            <w:shd w:val="clear" w:color="auto" w:fill="E0E0E0"/>
            <w:noWrap/>
          </w:tcPr>
          <w:p w:rsidR="00174AEA" w:rsidRPr="00687A1C" w:rsidRDefault="00174AEA" w:rsidP="00D8412D">
            <w:pPr>
              <w:pStyle w:val="Tabletextright"/>
            </w:pPr>
            <w:r w:rsidRPr="00687A1C">
              <w:rPr>
                <w:bCs/>
              </w:rPr>
              <w:t>25</w:t>
            </w:r>
            <w:r w:rsidR="00D8412D" w:rsidRPr="00687A1C">
              <w:rPr>
                <w:bCs/>
              </w:rPr>
              <w:t xml:space="preserve"> </w:t>
            </w:r>
            <w:r w:rsidRPr="00687A1C">
              <w:rPr>
                <w:bCs/>
              </w:rPr>
              <w:t>205</w:t>
            </w:r>
            <w:r w:rsidR="00D8412D" w:rsidRPr="00687A1C">
              <w:rPr>
                <w:bCs/>
              </w:rPr>
              <w:t xml:space="preserve"> </w:t>
            </w:r>
            <w:r w:rsidRPr="00687A1C">
              <w:rPr>
                <w:bCs/>
              </w:rPr>
              <w:t>357</w:t>
            </w:r>
          </w:p>
        </w:tc>
        <w:tc>
          <w:tcPr>
            <w:tcW w:w="1275" w:type="dxa"/>
            <w:shd w:val="clear" w:color="auto" w:fill="E0E0E0"/>
            <w:noWrap/>
          </w:tcPr>
          <w:p w:rsidR="00174AEA" w:rsidRPr="00687A1C" w:rsidRDefault="00174AEA" w:rsidP="00D8412D">
            <w:pPr>
              <w:pStyle w:val="Tabletextright"/>
            </w:pPr>
            <w:r w:rsidRPr="00687A1C">
              <w:t>24</w:t>
            </w:r>
            <w:r w:rsidR="00D8412D" w:rsidRPr="00687A1C">
              <w:t xml:space="preserve"> </w:t>
            </w:r>
            <w:r w:rsidRPr="00687A1C">
              <w:t>900</w:t>
            </w:r>
            <w:r w:rsidR="00D8412D" w:rsidRPr="00687A1C">
              <w:t xml:space="preserve"> </w:t>
            </w:r>
            <w:r w:rsidRPr="00687A1C">
              <w:t>518</w:t>
            </w:r>
          </w:p>
        </w:tc>
      </w:tr>
      <w:tr w:rsidR="00174AEA" w:rsidRPr="00687A1C" w:rsidTr="008A3976">
        <w:trPr>
          <w:cantSplit/>
        </w:trPr>
        <w:tc>
          <w:tcPr>
            <w:tcW w:w="1278" w:type="dxa"/>
            <w:shd w:val="clear" w:color="auto" w:fill="auto"/>
            <w:noWrap/>
          </w:tcPr>
          <w:p w:rsidR="00174AEA" w:rsidRPr="00687A1C" w:rsidRDefault="00174AEA" w:rsidP="00D8412D">
            <w:pPr>
              <w:pStyle w:val="Tabletextright"/>
            </w:pPr>
            <w:r w:rsidRPr="00687A1C">
              <w:rPr>
                <w:b/>
                <w:bCs/>
              </w:rPr>
              <w:t>28</w:t>
            </w:r>
            <w:r w:rsidR="00D8412D" w:rsidRPr="00687A1C">
              <w:rPr>
                <w:b/>
                <w:bCs/>
              </w:rPr>
              <w:t xml:space="preserve"> </w:t>
            </w:r>
            <w:r w:rsidRPr="00687A1C">
              <w:rPr>
                <w:b/>
                <w:bCs/>
              </w:rPr>
              <w:t>645</w:t>
            </w:r>
            <w:r w:rsidR="00D8412D" w:rsidRPr="00687A1C">
              <w:rPr>
                <w:b/>
                <w:bCs/>
              </w:rPr>
              <w:t xml:space="preserve"> </w:t>
            </w:r>
            <w:r w:rsidRPr="00687A1C">
              <w:rPr>
                <w:b/>
                <w:bCs/>
              </w:rPr>
              <w:t>245</w:t>
            </w:r>
          </w:p>
        </w:tc>
        <w:tc>
          <w:tcPr>
            <w:tcW w:w="1170" w:type="dxa"/>
            <w:shd w:val="clear" w:color="auto" w:fill="auto"/>
            <w:noWrap/>
          </w:tcPr>
          <w:p w:rsidR="00174AEA" w:rsidRPr="00687A1C" w:rsidRDefault="00174AEA" w:rsidP="00D8412D">
            <w:pPr>
              <w:pStyle w:val="Tabletextright"/>
            </w:pPr>
            <w:r w:rsidRPr="00687A1C">
              <w:rPr>
                <w:b/>
                <w:bCs/>
              </w:rPr>
              <w:t>27</w:t>
            </w:r>
            <w:r w:rsidR="00D8412D" w:rsidRPr="00687A1C">
              <w:rPr>
                <w:b/>
                <w:bCs/>
              </w:rPr>
              <w:t xml:space="preserve"> </w:t>
            </w:r>
            <w:r w:rsidRPr="00687A1C">
              <w:rPr>
                <w:b/>
                <w:bCs/>
              </w:rPr>
              <w:t>224</w:t>
            </w:r>
            <w:r w:rsidR="00D8412D" w:rsidRPr="00687A1C">
              <w:rPr>
                <w:b/>
                <w:bCs/>
              </w:rPr>
              <w:t xml:space="preserve"> </w:t>
            </w:r>
            <w:r w:rsidRPr="00687A1C">
              <w:rPr>
                <w:b/>
                <w:bCs/>
              </w:rPr>
              <w:t>380</w:t>
            </w:r>
          </w:p>
        </w:tc>
        <w:tc>
          <w:tcPr>
            <w:tcW w:w="1138" w:type="dxa"/>
            <w:shd w:val="clear" w:color="auto" w:fill="E0E0E0"/>
            <w:noWrap/>
          </w:tcPr>
          <w:p w:rsidR="00174AEA" w:rsidRPr="00687A1C" w:rsidRDefault="00174AEA" w:rsidP="00D8412D">
            <w:pPr>
              <w:pStyle w:val="Tabletextright"/>
            </w:pPr>
            <w:r w:rsidRPr="00687A1C">
              <w:rPr>
                <w:b/>
                <w:bCs/>
              </w:rPr>
              <w:t>294</w:t>
            </w:r>
            <w:r w:rsidR="00D8412D" w:rsidRPr="00687A1C">
              <w:rPr>
                <w:b/>
                <w:bCs/>
              </w:rPr>
              <w:t xml:space="preserve"> </w:t>
            </w:r>
            <w:r w:rsidRPr="00687A1C">
              <w:rPr>
                <w:b/>
                <w:bCs/>
              </w:rPr>
              <w:t>309</w:t>
            </w:r>
          </w:p>
        </w:tc>
        <w:tc>
          <w:tcPr>
            <w:tcW w:w="1138" w:type="dxa"/>
            <w:shd w:val="clear" w:color="auto" w:fill="E0E0E0"/>
            <w:noWrap/>
          </w:tcPr>
          <w:p w:rsidR="00174AEA" w:rsidRPr="00687A1C" w:rsidRDefault="00174AEA" w:rsidP="00D8412D">
            <w:pPr>
              <w:pStyle w:val="Tabletextright"/>
            </w:pPr>
            <w:r w:rsidRPr="00687A1C">
              <w:rPr>
                <w:b/>
                <w:bCs/>
              </w:rPr>
              <w:t>303</w:t>
            </w:r>
            <w:r w:rsidR="00D8412D" w:rsidRPr="00687A1C">
              <w:rPr>
                <w:b/>
                <w:bCs/>
              </w:rPr>
              <w:t xml:space="preserve"> </w:t>
            </w:r>
            <w:r w:rsidRPr="00687A1C">
              <w:rPr>
                <w:b/>
                <w:bCs/>
              </w:rPr>
              <w:t>258</w:t>
            </w:r>
          </w:p>
        </w:tc>
        <w:tc>
          <w:tcPr>
            <w:tcW w:w="1138" w:type="dxa"/>
            <w:shd w:val="clear" w:color="auto" w:fill="auto"/>
            <w:noWrap/>
          </w:tcPr>
          <w:p w:rsidR="00174AEA" w:rsidRPr="00687A1C" w:rsidRDefault="00413594" w:rsidP="00413594">
            <w:pPr>
              <w:pStyle w:val="Tabletextrightbold"/>
            </w:pPr>
            <w:r w:rsidRPr="00687A1C">
              <w:t xml:space="preserve">34 </w:t>
            </w:r>
            <w:r w:rsidR="00DE0CB9" w:rsidRPr="00687A1C">
              <w:t>503 316</w:t>
            </w:r>
          </w:p>
        </w:tc>
        <w:tc>
          <w:tcPr>
            <w:tcW w:w="1138" w:type="dxa"/>
            <w:shd w:val="clear" w:color="auto" w:fill="auto"/>
            <w:noWrap/>
          </w:tcPr>
          <w:p w:rsidR="00174AEA" w:rsidRPr="00687A1C" w:rsidRDefault="00174AEA" w:rsidP="00D8412D">
            <w:pPr>
              <w:pStyle w:val="Tabletextright"/>
            </w:pPr>
            <w:r w:rsidRPr="00687A1C">
              <w:rPr>
                <w:b/>
                <w:bCs/>
              </w:rPr>
              <w:t>34</w:t>
            </w:r>
            <w:r w:rsidR="00D8412D" w:rsidRPr="00687A1C">
              <w:rPr>
                <w:b/>
                <w:bCs/>
              </w:rPr>
              <w:t xml:space="preserve"> </w:t>
            </w:r>
            <w:r w:rsidR="005952EF" w:rsidRPr="00687A1C">
              <w:rPr>
                <w:b/>
                <w:bCs/>
              </w:rPr>
              <w:t>383</w:t>
            </w:r>
            <w:r w:rsidR="00D8412D" w:rsidRPr="00687A1C">
              <w:rPr>
                <w:rFonts w:ascii="Calibri" w:hAnsi="Calibri" w:cs="Courier New"/>
                <w:b/>
                <w:bCs/>
              </w:rPr>
              <w:t xml:space="preserve"> </w:t>
            </w:r>
            <w:r w:rsidR="005952EF" w:rsidRPr="00687A1C">
              <w:rPr>
                <w:b/>
                <w:bCs/>
              </w:rPr>
              <w:t>020</w:t>
            </w:r>
          </w:p>
        </w:tc>
        <w:tc>
          <w:tcPr>
            <w:tcW w:w="1275" w:type="dxa"/>
            <w:shd w:val="clear" w:color="auto" w:fill="E0E0E0"/>
            <w:noWrap/>
          </w:tcPr>
          <w:p w:rsidR="00174AEA" w:rsidRPr="00687A1C" w:rsidRDefault="005952EF" w:rsidP="00D8412D">
            <w:pPr>
              <w:pStyle w:val="Tabletextright"/>
            </w:pPr>
            <w:r w:rsidRPr="00687A1C">
              <w:rPr>
                <w:b/>
                <w:bCs/>
              </w:rPr>
              <w:t>63</w:t>
            </w:r>
            <w:r w:rsidR="00D8412D" w:rsidRPr="00687A1C">
              <w:rPr>
                <w:rFonts w:ascii="Calibri" w:hAnsi="Calibri" w:cs="Courier New"/>
                <w:b/>
                <w:bCs/>
              </w:rPr>
              <w:t xml:space="preserve"> </w:t>
            </w:r>
            <w:r w:rsidR="00DE0CB9" w:rsidRPr="00687A1C">
              <w:rPr>
                <w:b/>
                <w:bCs/>
              </w:rPr>
              <w:t>618 426</w:t>
            </w:r>
          </w:p>
        </w:tc>
        <w:tc>
          <w:tcPr>
            <w:tcW w:w="1275" w:type="dxa"/>
            <w:shd w:val="clear" w:color="auto" w:fill="E0E0E0"/>
            <w:noWrap/>
          </w:tcPr>
          <w:p w:rsidR="00174AEA" w:rsidRPr="00687A1C" w:rsidRDefault="005952EF" w:rsidP="00D8412D">
            <w:pPr>
              <w:pStyle w:val="Tabletextright"/>
            </w:pPr>
            <w:r w:rsidRPr="00687A1C">
              <w:rPr>
                <w:b/>
                <w:bCs/>
              </w:rPr>
              <w:t>61</w:t>
            </w:r>
            <w:r w:rsidR="00D8412D" w:rsidRPr="00687A1C">
              <w:rPr>
                <w:rFonts w:ascii="Calibri" w:hAnsi="Calibri" w:cs="Courier New"/>
                <w:b/>
                <w:bCs/>
              </w:rPr>
              <w:t xml:space="preserve"> </w:t>
            </w:r>
            <w:r w:rsidRPr="00687A1C">
              <w:rPr>
                <w:b/>
                <w:bCs/>
              </w:rPr>
              <w:t>981</w:t>
            </w:r>
            <w:r w:rsidR="00D8412D" w:rsidRPr="00687A1C">
              <w:rPr>
                <w:rFonts w:ascii="Calibri" w:hAnsi="Calibri" w:cs="Courier New"/>
                <w:b/>
                <w:bCs/>
              </w:rPr>
              <w:t xml:space="preserve"> </w:t>
            </w:r>
            <w:r w:rsidRPr="00687A1C">
              <w:rPr>
                <w:b/>
                <w:bCs/>
              </w:rPr>
              <w:t>243</w:t>
            </w:r>
          </w:p>
        </w:tc>
      </w:tr>
      <w:tr w:rsidR="00174AEA" w:rsidRPr="00687A1C" w:rsidTr="008A3976">
        <w:trPr>
          <w:cantSplit/>
          <w:trHeight w:val="87"/>
        </w:trPr>
        <w:tc>
          <w:tcPr>
            <w:tcW w:w="1278" w:type="dxa"/>
            <w:shd w:val="clear" w:color="auto" w:fill="auto"/>
            <w:noWrap/>
          </w:tcPr>
          <w:p w:rsidR="00174AEA" w:rsidRPr="00687A1C" w:rsidRDefault="00D8412D" w:rsidP="00D8412D">
            <w:pPr>
              <w:pStyle w:val="Tabletextright"/>
            </w:pPr>
            <w:r w:rsidRPr="00687A1C">
              <w:rPr>
                <w:b/>
                <w:bCs/>
              </w:rPr>
              <w:t xml:space="preserve"> </w:t>
            </w:r>
          </w:p>
        </w:tc>
        <w:tc>
          <w:tcPr>
            <w:tcW w:w="1170" w:type="dxa"/>
            <w:shd w:val="clear" w:color="auto" w:fill="auto"/>
            <w:noWrap/>
          </w:tcPr>
          <w:p w:rsidR="00174AEA" w:rsidRPr="00687A1C" w:rsidRDefault="00174AEA" w:rsidP="008A3976">
            <w:pPr>
              <w:pStyle w:val="Tabletextright"/>
            </w:pPr>
          </w:p>
        </w:tc>
        <w:tc>
          <w:tcPr>
            <w:tcW w:w="1138" w:type="dxa"/>
            <w:shd w:val="clear" w:color="auto" w:fill="E0E0E0"/>
            <w:noWrap/>
          </w:tcPr>
          <w:p w:rsidR="00174AEA" w:rsidRPr="00687A1C" w:rsidRDefault="00174AEA" w:rsidP="008A3976">
            <w:pPr>
              <w:pStyle w:val="Tabletextright"/>
              <w:rPr>
                <w:b/>
                <w:bCs/>
              </w:rPr>
            </w:pPr>
          </w:p>
        </w:tc>
        <w:tc>
          <w:tcPr>
            <w:tcW w:w="1138" w:type="dxa"/>
            <w:shd w:val="clear" w:color="auto" w:fill="E0E0E0"/>
            <w:noWrap/>
          </w:tcPr>
          <w:p w:rsidR="00174AEA" w:rsidRPr="00687A1C" w:rsidRDefault="00174AEA" w:rsidP="008A3976">
            <w:pPr>
              <w:pStyle w:val="Tabletextright"/>
              <w:rPr>
                <w:rFonts w:ascii="Calibri" w:hAnsi="Calibri" w:cs="Courier New"/>
              </w:rPr>
            </w:pPr>
          </w:p>
        </w:tc>
        <w:tc>
          <w:tcPr>
            <w:tcW w:w="1138" w:type="dxa"/>
            <w:shd w:val="clear" w:color="auto" w:fill="auto"/>
            <w:noWrap/>
          </w:tcPr>
          <w:p w:rsidR="00174AEA" w:rsidRPr="00687A1C" w:rsidRDefault="00174AEA" w:rsidP="008A3976">
            <w:pPr>
              <w:pStyle w:val="Tabletextright"/>
              <w:rPr>
                <w:b/>
                <w:bCs/>
              </w:rPr>
            </w:pPr>
          </w:p>
        </w:tc>
        <w:tc>
          <w:tcPr>
            <w:tcW w:w="1138" w:type="dxa"/>
            <w:shd w:val="clear" w:color="auto" w:fill="auto"/>
            <w:noWrap/>
          </w:tcPr>
          <w:p w:rsidR="00174AEA" w:rsidRPr="00687A1C" w:rsidRDefault="00174AEA" w:rsidP="008A3976">
            <w:pPr>
              <w:pStyle w:val="Tabletextright"/>
            </w:pPr>
          </w:p>
        </w:tc>
        <w:tc>
          <w:tcPr>
            <w:tcW w:w="1275" w:type="dxa"/>
            <w:shd w:val="clear" w:color="auto" w:fill="E0E0E0"/>
            <w:noWrap/>
          </w:tcPr>
          <w:p w:rsidR="00174AEA" w:rsidRPr="00687A1C" w:rsidRDefault="00174AEA" w:rsidP="008A3976">
            <w:pPr>
              <w:pStyle w:val="Tabletextright"/>
              <w:rPr>
                <w:b/>
                <w:bCs/>
              </w:rPr>
            </w:pPr>
          </w:p>
        </w:tc>
        <w:tc>
          <w:tcPr>
            <w:tcW w:w="1275" w:type="dxa"/>
            <w:shd w:val="clear" w:color="auto" w:fill="E0E0E0"/>
            <w:noWrap/>
          </w:tcPr>
          <w:p w:rsidR="00174AEA" w:rsidRPr="00687A1C" w:rsidRDefault="00174AEA" w:rsidP="008A3976">
            <w:pPr>
              <w:pStyle w:val="Tabletextright"/>
            </w:pPr>
          </w:p>
        </w:tc>
      </w:tr>
      <w:tr w:rsidR="00174AEA" w:rsidRPr="00687A1C" w:rsidTr="008A3976">
        <w:trPr>
          <w:cantSplit/>
          <w:trHeight w:val="87"/>
        </w:trPr>
        <w:tc>
          <w:tcPr>
            <w:tcW w:w="1278" w:type="dxa"/>
            <w:shd w:val="clear" w:color="auto" w:fill="auto"/>
            <w:noWrap/>
          </w:tcPr>
          <w:p w:rsidR="00174AEA" w:rsidRPr="00687A1C" w:rsidRDefault="00174AEA" w:rsidP="00D8412D">
            <w:pPr>
              <w:pStyle w:val="Tabletextrightbold"/>
            </w:pPr>
            <w:r w:rsidRPr="00687A1C">
              <w:t>(20</w:t>
            </w:r>
            <w:r w:rsidR="00D8412D" w:rsidRPr="00687A1C">
              <w:rPr>
                <w:rFonts w:ascii="Calibri" w:hAnsi="Calibri" w:cs="Courier New"/>
              </w:rPr>
              <w:t xml:space="preserve"> </w:t>
            </w:r>
            <w:r w:rsidR="000B6D9C" w:rsidRPr="00687A1C">
              <w:t>485</w:t>
            </w:r>
            <w:r w:rsidR="00D8412D" w:rsidRPr="00687A1C">
              <w:rPr>
                <w:rFonts w:ascii="Calibri" w:hAnsi="Calibri" w:cs="Courier New"/>
              </w:rPr>
              <w:t xml:space="preserve"> </w:t>
            </w:r>
            <w:r w:rsidR="000B6D9C" w:rsidRPr="00687A1C">
              <w:t>235</w:t>
            </w:r>
            <w:r w:rsidRPr="00687A1C">
              <w:t>)</w:t>
            </w:r>
          </w:p>
        </w:tc>
        <w:tc>
          <w:tcPr>
            <w:tcW w:w="1170" w:type="dxa"/>
            <w:shd w:val="clear" w:color="auto" w:fill="auto"/>
            <w:noWrap/>
          </w:tcPr>
          <w:p w:rsidR="00174AEA" w:rsidRPr="00687A1C" w:rsidRDefault="00174AEA" w:rsidP="00D8412D">
            <w:pPr>
              <w:pStyle w:val="Tabletextrightbold"/>
            </w:pPr>
            <w:r w:rsidRPr="00687A1C">
              <w:t>(16</w:t>
            </w:r>
            <w:r w:rsidR="00D8412D" w:rsidRPr="00687A1C">
              <w:rPr>
                <w:rFonts w:ascii="Calibri" w:hAnsi="Calibri" w:cs="Courier New"/>
              </w:rPr>
              <w:t xml:space="preserve"> </w:t>
            </w:r>
            <w:r w:rsidRPr="00687A1C">
              <w:t>469</w:t>
            </w:r>
            <w:r w:rsidR="00D8412D" w:rsidRPr="00687A1C">
              <w:rPr>
                <w:rFonts w:ascii="Calibri" w:hAnsi="Calibri" w:cs="Courier New"/>
              </w:rPr>
              <w:t xml:space="preserve"> </w:t>
            </w:r>
            <w:r w:rsidRPr="00687A1C">
              <w:t>489)</w:t>
            </w:r>
            <w:r w:rsidRPr="00687A1C" w:rsidDel="00A11330">
              <w:t xml:space="preserve"> </w:t>
            </w:r>
          </w:p>
        </w:tc>
        <w:tc>
          <w:tcPr>
            <w:tcW w:w="1138" w:type="dxa"/>
            <w:shd w:val="clear" w:color="auto" w:fill="E0E0E0"/>
            <w:noWrap/>
          </w:tcPr>
          <w:p w:rsidR="00174AEA" w:rsidRPr="00687A1C" w:rsidRDefault="005952EF" w:rsidP="00D8412D">
            <w:pPr>
              <w:pStyle w:val="Tabletextrightbold"/>
            </w:pPr>
            <w:r w:rsidRPr="00687A1C">
              <w:t>(42</w:t>
            </w:r>
            <w:r w:rsidR="00D8412D" w:rsidRPr="00687A1C">
              <w:rPr>
                <w:rFonts w:ascii="Calibri" w:hAnsi="Calibri" w:cs="Courier New"/>
              </w:rPr>
              <w:t xml:space="preserve"> </w:t>
            </w:r>
            <w:r w:rsidRPr="00687A1C">
              <w:t>851)</w:t>
            </w:r>
          </w:p>
        </w:tc>
        <w:tc>
          <w:tcPr>
            <w:tcW w:w="1138" w:type="dxa"/>
            <w:shd w:val="clear" w:color="auto" w:fill="E0E0E0"/>
            <w:noWrap/>
          </w:tcPr>
          <w:p w:rsidR="00174AEA" w:rsidRPr="00687A1C" w:rsidRDefault="005952EF" w:rsidP="00D8412D">
            <w:pPr>
              <w:pStyle w:val="Tabletextrightbold"/>
            </w:pPr>
            <w:r w:rsidRPr="00687A1C">
              <w:t>(</w:t>
            </w:r>
            <w:r w:rsidR="00270A70" w:rsidRPr="00687A1C">
              <w:t>7</w:t>
            </w:r>
            <w:r w:rsidRPr="00687A1C">
              <w:t>1</w:t>
            </w:r>
            <w:r w:rsidR="00D8412D" w:rsidRPr="00687A1C">
              <w:rPr>
                <w:rFonts w:ascii="Calibri" w:hAnsi="Calibri" w:cs="Courier New"/>
              </w:rPr>
              <w:t xml:space="preserve"> </w:t>
            </w:r>
            <w:r w:rsidRPr="00687A1C">
              <w:t>858)</w:t>
            </w:r>
          </w:p>
        </w:tc>
        <w:tc>
          <w:tcPr>
            <w:tcW w:w="1138" w:type="dxa"/>
            <w:shd w:val="clear" w:color="auto" w:fill="auto"/>
            <w:noWrap/>
          </w:tcPr>
          <w:p w:rsidR="00174AEA" w:rsidRPr="00687A1C" w:rsidRDefault="00DE0CB9" w:rsidP="00D8412D">
            <w:pPr>
              <w:pStyle w:val="Tabletextrightbold"/>
            </w:pPr>
            <w:r w:rsidRPr="00687A1C">
              <w:t>70 595 328</w:t>
            </w:r>
          </w:p>
        </w:tc>
        <w:tc>
          <w:tcPr>
            <w:tcW w:w="1138" w:type="dxa"/>
            <w:shd w:val="clear" w:color="auto" w:fill="auto"/>
            <w:noWrap/>
          </w:tcPr>
          <w:p w:rsidR="00174AEA" w:rsidRPr="00687A1C" w:rsidRDefault="00174AEA" w:rsidP="00D8412D">
            <w:pPr>
              <w:pStyle w:val="Tabletextrightbold"/>
            </w:pPr>
            <w:r w:rsidRPr="00687A1C">
              <w:t>65</w:t>
            </w:r>
            <w:r w:rsidR="00D8412D" w:rsidRPr="00687A1C">
              <w:rPr>
                <w:rFonts w:ascii="Calibri" w:hAnsi="Calibri" w:cs="Courier New"/>
              </w:rPr>
              <w:t xml:space="preserve"> </w:t>
            </w:r>
            <w:r w:rsidR="005952EF" w:rsidRPr="00687A1C">
              <w:t>286</w:t>
            </w:r>
            <w:r w:rsidR="00D8412D" w:rsidRPr="00687A1C">
              <w:rPr>
                <w:rFonts w:ascii="Calibri" w:hAnsi="Calibri" w:cs="Courier New"/>
              </w:rPr>
              <w:t xml:space="preserve"> </w:t>
            </w:r>
            <w:r w:rsidR="005952EF" w:rsidRPr="00687A1C">
              <w:t>991</w:t>
            </w:r>
          </w:p>
        </w:tc>
        <w:tc>
          <w:tcPr>
            <w:tcW w:w="1275" w:type="dxa"/>
            <w:shd w:val="clear" w:color="auto" w:fill="E0E0E0"/>
            <w:noWrap/>
          </w:tcPr>
          <w:p w:rsidR="00174AEA" w:rsidRPr="00687A1C" w:rsidRDefault="00DE0CB9" w:rsidP="00D8412D">
            <w:pPr>
              <w:pStyle w:val="Tabletextrightbold"/>
            </w:pPr>
            <w:r w:rsidRPr="00687A1C">
              <w:t>52 405 292</w:t>
            </w:r>
          </w:p>
        </w:tc>
        <w:tc>
          <w:tcPr>
            <w:tcW w:w="1275" w:type="dxa"/>
            <w:shd w:val="clear" w:color="auto" w:fill="E0E0E0"/>
            <w:noWrap/>
          </w:tcPr>
          <w:p w:rsidR="00174AEA" w:rsidRPr="00687A1C" w:rsidRDefault="00174AEA" w:rsidP="00D8412D">
            <w:pPr>
              <w:pStyle w:val="Tabletextrightbold"/>
            </w:pPr>
            <w:r w:rsidRPr="00687A1C">
              <w:t>50</w:t>
            </w:r>
            <w:r w:rsidR="00D8412D" w:rsidRPr="00687A1C">
              <w:rPr>
                <w:rFonts w:ascii="Calibri" w:hAnsi="Calibri" w:cs="Courier New"/>
              </w:rPr>
              <w:t xml:space="preserve"> </w:t>
            </w:r>
            <w:r w:rsidRPr="00687A1C">
              <w:t>756</w:t>
            </w:r>
            <w:r w:rsidR="00D8412D" w:rsidRPr="00687A1C">
              <w:rPr>
                <w:rFonts w:ascii="Calibri" w:hAnsi="Calibri" w:cs="Courier New"/>
              </w:rPr>
              <w:t xml:space="preserve"> </w:t>
            </w:r>
            <w:r w:rsidRPr="00687A1C">
              <w:t>1</w:t>
            </w:r>
            <w:r w:rsidR="005952EF" w:rsidRPr="00687A1C">
              <w:t>1</w:t>
            </w:r>
            <w:r w:rsidRPr="00687A1C">
              <w:t>4</w:t>
            </w:r>
          </w:p>
        </w:tc>
      </w:tr>
    </w:tbl>
    <w:p w:rsidR="00174AEA" w:rsidRPr="00687A1C" w:rsidRDefault="00174AEA" w:rsidP="00174AEA"/>
    <w:p w:rsidR="00174AEA" w:rsidRPr="00687A1C" w:rsidRDefault="00174AEA" w:rsidP="00174AEA">
      <w:pPr>
        <w:sectPr w:rsidR="00174AEA" w:rsidRPr="00687A1C" w:rsidSect="0078409C">
          <w:pgSz w:w="11909" w:h="16834" w:code="9"/>
          <w:pgMar w:top="1728" w:right="1152" w:bottom="1152" w:left="1152" w:header="720" w:footer="288" w:gutter="0"/>
          <w:cols w:space="720"/>
          <w:noEndnote/>
        </w:sectPr>
      </w:pPr>
    </w:p>
    <w:p w:rsidR="00174AEA" w:rsidRPr="00687A1C" w:rsidRDefault="00174AEA" w:rsidP="00174AEA">
      <w:pPr>
        <w:pStyle w:val="Heading4"/>
      </w:pPr>
      <w:r w:rsidRPr="00687A1C">
        <w:lastRenderedPageBreak/>
        <w:t>Administered assets and liabilities</w:t>
      </w:r>
    </w:p>
    <w:p w:rsidR="00174AEA" w:rsidRPr="00687A1C" w:rsidRDefault="00174AEA" w:rsidP="00174AEA">
      <w:pPr>
        <w:pStyle w:val="Heading5"/>
      </w:pPr>
      <w:r w:rsidRPr="00687A1C">
        <w:t>Receivables</w:t>
      </w:r>
    </w:p>
    <w:p w:rsidR="00174AEA" w:rsidRPr="00687A1C" w:rsidRDefault="00174AEA" w:rsidP="00174AEA">
      <w:r w:rsidRPr="00687A1C">
        <w:t xml:space="preserve">Receivables mainly comprise receivables relating to taxation, dividends, grants and the Department’s finance lease arrangements relating to the State’s motor vehicle fleet. Finance lease receivables are initially recorded at amounts equal to the present value of the minimum lease payments receivable plus the present value of any unguaranteed residual value expected to accrue at the end of the lease term. Finance lease payments are allocated between interest revenue and reduction of the lease receivable over the term of the lease in order to reflect a constant periodic rate of return on the net investment outstanding in respect of the lease. </w:t>
      </w:r>
    </w:p>
    <w:p w:rsidR="00174AEA" w:rsidRPr="00687A1C" w:rsidRDefault="00174AEA" w:rsidP="00174AEA">
      <w:pPr>
        <w:pStyle w:val="Heading5"/>
      </w:pPr>
      <w:r w:rsidRPr="00687A1C">
        <w:t>Advances paid</w:t>
      </w:r>
    </w:p>
    <w:p w:rsidR="00174AEA" w:rsidRPr="00687A1C" w:rsidRDefault="00174AEA" w:rsidP="00174AEA">
      <w:r w:rsidRPr="00687A1C">
        <w:t xml:space="preserve">These are advances from the Victorian Transport Fund paid to the Port Lessor Pty Ltd, an entity within the Department of Economic Development, Jobs, Transport and Resources (DEDJTR) portfolio under a formal loan/advance agreement at an agreed commercial rate of interest. Advances are initially measured at fair value and subsequently measured at amortised cost. </w:t>
      </w:r>
    </w:p>
    <w:p w:rsidR="00174AEA" w:rsidRPr="00687A1C" w:rsidRDefault="00174AEA" w:rsidP="00174AEA">
      <w:pPr>
        <w:pStyle w:val="Heading5"/>
      </w:pPr>
      <w:r w:rsidRPr="00687A1C">
        <w:t>Investment in controlled entities</w:t>
      </w:r>
    </w:p>
    <w:p w:rsidR="00174AEA" w:rsidRPr="00687A1C" w:rsidRDefault="00174AEA" w:rsidP="00174AEA">
      <w:r w:rsidRPr="00687A1C">
        <w:t>This relates to the State’s equity investment in entities controlled by the State, in its capacity as owner and is carried at cost.</w:t>
      </w:r>
    </w:p>
    <w:p w:rsidR="00174AEA" w:rsidRPr="00687A1C" w:rsidRDefault="00174AEA" w:rsidP="00174AEA">
      <w:pPr>
        <w:pStyle w:val="Heading5"/>
      </w:pPr>
      <w:r w:rsidRPr="00687A1C">
        <w:t>Investment in associate entity</w:t>
      </w:r>
    </w:p>
    <w:p w:rsidR="00174AEA" w:rsidRPr="00687A1C" w:rsidRDefault="00174AEA" w:rsidP="00174AEA">
      <w:r w:rsidRPr="00687A1C">
        <w:t>On 1 July 2016, an investment in Property Exchange Australia Limited (PEXA) (formerly known as National E-Conveyancing Development Limited) was transferred from the Department of Environment, Land, Water and Planning (DELWP) to the Department. PEXA was established in January 2010 to develop a single national electronic conveyancing system for settling property transactions. While the State’s ownership interest in PEXA is less than 20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the investment is accounted for using the equity method as the State has significant influence through its representation on the Board of Directors and participation in policy making processes.</w:t>
      </w:r>
    </w:p>
    <w:p w:rsidR="00174AEA" w:rsidRPr="00687A1C" w:rsidRDefault="00174AEA" w:rsidP="00174AEA">
      <w:r w:rsidRPr="00687A1C">
        <w:t>Under this method, the State’s share of the post-acquisition profits or losses of associates is recognised in the net result as other economic flows. The share of post-acquisition movements in revaluation surpluses and any other reserves is recognised in both the comprehensive operating statement and the statement of changes in equity. The cumulative post acquisition movements are adjusted against the cost of the investment.</w:t>
      </w:r>
    </w:p>
    <w:p w:rsidR="00174AEA" w:rsidRPr="00687A1C" w:rsidRDefault="00174AEA" w:rsidP="00174AEA">
      <w:pPr>
        <w:pStyle w:val="Heading5"/>
      </w:pPr>
      <w:r w:rsidRPr="00687A1C">
        <w:br w:type="column"/>
      </w:r>
      <w:r w:rsidRPr="00687A1C">
        <w:t>Other investments</w:t>
      </w:r>
    </w:p>
    <w:p w:rsidR="00174AEA" w:rsidRPr="00687A1C" w:rsidRDefault="00174AEA" w:rsidP="00174AEA">
      <w:r w:rsidRPr="00687A1C">
        <w:t>Other investments are</w:t>
      </w:r>
      <w:r w:rsidRPr="00687A1C">
        <w:rPr>
          <w:b/>
        </w:rPr>
        <w:t xml:space="preserve"> ‘</w:t>
      </w:r>
      <w:r w:rsidRPr="00687A1C">
        <w:t>available</w:t>
      </w:r>
      <w:r w:rsidRPr="00687A1C">
        <w:noBreakHyphen/>
        <w:t>for</w:t>
      </w:r>
      <w:r w:rsidRPr="00687A1C">
        <w:noBreakHyphen/>
        <w:t>sale’ financial instrument assets. Such assets are initially recognised at fair value. Subsequent to initial recognition, they are measured at fair value with gains and losses arising from changes in fair value, recognised in ‘Other economic flows – other comprehensive income’ until the investments are disposed. Movements resulting from impairment are recognised in the net result as other economic flows. On disposal, the cumulative gain or loss previously recognised in ‘other economic flows – other comprehensive income’ is transferred to other economic flows in the net result.</w:t>
      </w:r>
    </w:p>
    <w:p w:rsidR="00174AEA" w:rsidRPr="00687A1C" w:rsidRDefault="00174AEA" w:rsidP="00174AEA">
      <w:pPr>
        <w:pStyle w:val="Heading5"/>
      </w:pPr>
      <w:r w:rsidRPr="00687A1C">
        <w:t>Public Account SAU liability</w:t>
      </w:r>
    </w:p>
    <w:p w:rsidR="00174AEA" w:rsidRPr="00687A1C" w:rsidRDefault="00174AEA" w:rsidP="00174AEA">
      <w:pPr>
        <w:rPr>
          <w:snapToGrid w:val="0"/>
        </w:rPr>
      </w:pPr>
      <w:r w:rsidRPr="00687A1C">
        <w:rPr>
          <w:snapToGrid w:val="0"/>
        </w:rPr>
        <w:t>These are the outstanding liabilities to other departments in respect of (a) amounts appropriated from the Consolidated Fund but remaining undrawn at the end of the year, net of Public Account advances to other departments, and (b) Trust Account funds held on their behalf within the Public Account.</w:t>
      </w:r>
    </w:p>
    <w:p w:rsidR="00174AEA" w:rsidRPr="00687A1C" w:rsidRDefault="00174AEA" w:rsidP="00174AEA">
      <w:pPr>
        <w:pStyle w:val="Heading5"/>
      </w:pPr>
      <w:r w:rsidRPr="00687A1C">
        <w:t>Unearned income</w:t>
      </w:r>
    </w:p>
    <w:p w:rsidR="00174AEA" w:rsidRPr="00687A1C" w:rsidRDefault="00174AEA" w:rsidP="00174AEA">
      <w:r w:rsidRPr="00687A1C">
        <w:t xml:space="preserve">This mainly represents the upfront payment of a </w:t>
      </w:r>
      <w:r w:rsidR="000413BE" w:rsidRPr="00687A1C">
        <w:br/>
      </w:r>
      <w:r w:rsidRPr="00687A1C">
        <w:t>30 year lease obligation resulting from the sale of the State’s hydroelectricity scheme – Southern Hydro Limited</w:t>
      </w:r>
      <w:r w:rsidR="002767F2" w:rsidRPr="00687A1C">
        <w:t>.</w:t>
      </w:r>
      <w:r w:rsidRPr="00687A1C">
        <w:t xml:space="preserve"> Revenue is recognised on a straight</w:t>
      </w:r>
      <w:r w:rsidR="000413BE" w:rsidRPr="00687A1C">
        <w:t>-</w:t>
      </w:r>
      <w:r w:rsidRPr="00687A1C">
        <w:t>line method over the lease period.</w:t>
      </w:r>
    </w:p>
    <w:p w:rsidR="00174AEA" w:rsidRPr="00687A1C" w:rsidRDefault="00174AEA" w:rsidP="00174AEA">
      <w:pPr>
        <w:pStyle w:val="Heading5"/>
      </w:pPr>
      <w:r w:rsidRPr="00687A1C">
        <w:t>Borrowings</w:t>
      </w:r>
    </w:p>
    <w:p w:rsidR="00174AEA" w:rsidRPr="00687A1C" w:rsidRDefault="00174AEA" w:rsidP="00174AEA">
      <w:r w:rsidRPr="00687A1C">
        <w:t>Borrowings are recorded initially at fair value, being the cost of the borrowings, net of transaction costs. The measurement basis subsequent to initial recognition is at amortised cost.</w:t>
      </w:r>
      <w:r w:rsidRPr="00687A1C" w:rsidDel="00536A03">
        <w:t xml:space="preserve"> </w:t>
      </w:r>
      <w:r w:rsidRPr="00687A1C">
        <w:t xml:space="preserve">Any difference between the initial recognised amount and the redemption value is recognised in </w:t>
      </w:r>
      <w:r w:rsidR="004D3E00" w:rsidRPr="00687A1C">
        <w:t xml:space="preserve">the </w:t>
      </w:r>
      <w:r w:rsidRPr="00687A1C">
        <w:t>net result over the period of the borrowings using the effective interest rate method.</w:t>
      </w:r>
    </w:p>
    <w:p w:rsidR="00174AEA" w:rsidRPr="00687A1C" w:rsidRDefault="00174AEA" w:rsidP="00174AEA">
      <w:r w:rsidRPr="00687A1C">
        <w:t xml:space="preserve">Borrowings refer to interest bearing liabilities mainly </w:t>
      </w:r>
      <w:r w:rsidR="00E12EA3" w:rsidRPr="00687A1C">
        <w:t xml:space="preserve">for </w:t>
      </w:r>
      <w:r w:rsidRPr="00687A1C">
        <w:t>the Budget Sector Debt Portfolio (BSDP), finance leases and other interest bearing arrangements. Borrowings exclude liabilities raised from other government entities, which are classified as advances received.</w:t>
      </w:r>
    </w:p>
    <w:p w:rsidR="00174AEA" w:rsidRPr="00687A1C" w:rsidRDefault="00174AEA" w:rsidP="00174AEA">
      <w:r w:rsidRPr="00687A1C">
        <w:t>Management of the BSDP is based on the key objectives of achieving relative certainty of interest cost over the budgeting period while minimising net borrowing costs, and conservatively managing the financial and operational risks of the budget sector treasury operations.</w:t>
      </w:r>
    </w:p>
    <w:p w:rsidR="00174AEA" w:rsidRPr="00687A1C" w:rsidRDefault="00174AEA" w:rsidP="00174AEA">
      <w:r w:rsidRPr="00687A1C">
        <w:br w:type="column"/>
      </w:r>
      <w:r w:rsidRPr="00687A1C">
        <w:lastRenderedPageBreak/>
        <w:t>The BSDP is primarily composed of fixed rate borrowing facilities that have an even maturity profile. This ensures that a relatively small proportion of the BSDP is subject to re-pricing in any one period, with the effect that BSDP interest costs are not subject to large fluctuations as a result of movements in market interest rates. Since borrowings in the BSDP are held to maturity, the BSDP is accounted for on an historical cost basis. This is categorised as financial liabilities carried at amortised cost.</w:t>
      </w:r>
    </w:p>
    <w:p w:rsidR="00174AEA" w:rsidRPr="00687A1C" w:rsidRDefault="00174AEA" w:rsidP="00174AEA">
      <w:pPr>
        <w:pStyle w:val="Heading5"/>
      </w:pPr>
      <w:r w:rsidRPr="00687A1C">
        <w:t>Advances received</w:t>
      </w:r>
    </w:p>
    <w:p w:rsidR="00174AEA" w:rsidRPr="00687A1C" w:rsidRDefault="00174AEA" w:rsidP="00174AEA">
      <w:r w:rsidRPr="00687A1C">
        <w:t xml:space="preserve">Advances received are from Port Lessor Pty Ltd. The advance received is under a loan agreement based on similar terms and conditions as the advances paid from </w:t>
      </w:r>
      <w:r w:rsidR="0092078A">
        <w:t xml:space="preserve">the </w:t>
      </w:r>
      <w:r w:rsidRPr="00687A1C">
        <w:t>Victorian Transport Fund with a small interest rate spread and is categorised as financial liabilities at amortised cost.</w:t>
      </w:r>
    </w:p>
    <w:p w:rsidR="00174AEA" w:rsidRPr="00687A1C" w:rsidRDefault="00174AEA" w:rsidP="00174AEA">
      <w:pPr>
        <w:pStyle w:val="Heading5"/>
      </w:pPr>
      <w:r w:rsidRPr="00687A1C">
        <w:t>Advances for capital works</w:t>
      </w:r>
    </w:p>
    <w:p w:rsidR="00174AEA" w:rsidRPr="00687A1C" w:rsidRDefault="00174AEA" w:rsidP="00174AEA">
      <w:r w:rsidRPr="00687A1C">
        <w:t>Funds received in advance for capital works managed on behalf of other departments and agencies are recognised as current liabilities until the associated capital expenditure is incurred. Advances for capital works are managed through the Finance Agency Trust.</w:t>
      </w:r>
    </w:p>
    <w:p w:rsidR="00174AEA" w:rsidRPr="00687A1C" w:rsidRDefault="00174AEA" w:rsidP="00174AEA">
      <w:pPr>
        <w:pStyle w:val="Heading5"/>
      </w:pPr>
      <w:r w:rsidRPr="00687A1C">
        <w:t>Superannuation liability</w:t>
      </w:r>
    </w:p>
    <w:p w:rsidR="00174AEA" w:rsidRPr="00687A1C" w:rsidRDefault="00174AEA" w:rsidP="00174AEA">
      <w:r w:rsidRPr="00687A1C">
        <w:t xml:space="preserve">A liability or asset in respect of defined benefit superannuation plans is recognised in the statement of administered assets and liabilities, and is determined in accordance with AASB 119 </w:t>
      </w:r>
      <w:r w:rsidRPr="00687A1C">
        <w:rPr>
          <w:i/>
        </w:rPr>
        <w:t>Employee Benefits</w:t>
      </w:r>
      <w:r w:rsidRPr="00687A1C">
        <w:t>, with actuarial valuations being carried out at each reporting date. Accrued benefits are measured as the net present value of estimated future benefit payments to members arising from their membership of the scheme up to the end of the reporting period. Re-measurements of the liability are recognised in full in the statement of administered income and expenses in the period in which they occur. Past service cost is recognised immediately to the extent that the benefits are already vested, and otherwise is amortised on a straight-line basis over the average period until the benefits become vested.</w:t>
      </w:r>
    </w:p>
    <w:p w:rsidR="00174AEA" w:rsidRPr="00687A1C" w:rsidRDefault="00174AEA" w:rsidP="00174AEA">
      <w:r w:rsidRPr="00687A1C">
        <w:t xml:space="preserve">The superannuation liability recognised in the administered balance sheet represents the present value of the defined benefit obligation, adjusted for unrecognised past service cost, net of the fair value of the plan assets. This liability mainly represents the State’s superannuation liability with respect to superannuation funds operated principally for general government sector employees, being the State’s share </w:t>
      </w:r>
      <w:r w:rsidRPr="00687A1C">
        <w:t xml:space="preserve">of the shortfall between the total net assets of the State’s general government sector superannuation funds at 30 June 2018 and the present value of total benefits that members have accrued up to that date, as determined by an actuarial assessment. The balance of the superannuation liability with respect to these funds is to be met by Commonwealth funded agencies. In addition, the State also recognises a liability for accrued benefits arising from constitutionally protected pension entitlements principally in respect of judges and other judicial office holders. No assets are held in respect of these liabilities and pensions are paid from the Consolidated Fund. </w:t>
      </w:r>
    </w:p>
    <w:p w:rsidR="00174AEA" w:rsidRPr="00687A1C" w:rsidRDefault="00174AEA" w:rsidP="00174AEA">
      <w:r w:rsidRPr="00687A1C">
        <w:t>Government policy is that the superannuation liability for the entire general government sector should be recognised and disclosed in the administered balance sheet of the Department.</w:t>
      </w:r>
    </w:p>
    <w:p w:rsidR="00174AEA" w:rsidRPr="00687A1C" w:rsidRDefault="00174AEA" w:rsidP="00174AEA">
      <w:r w:rsidRPr="00687A1C">
        <w:t>The Department manages the State’s superannuation liability by:</w:t>
      </w:r>
    </w:p>
    <w:p w:rsidR="00174AEA" w:rsidRPr="00687A1C" w:rsidRDefault="00174AEA" w:rsidP="00174AEA">
      <w:pPr>
        <w:pStyle w:val="Bullet"/>
      </w:pPr>
      <w:r w:rsidRPr="00687A1C">
        <w:t>conducting regular actuarial valuations of the State’s public sector superannuation schemes;</w:t>
      </w:r>
    </w:p>
    <w:p w:rsidR="00174AEA" w:rsidRPr="00687A1C" w:rsidRDefault="00174AEA" w:rsidP="00174AEA">
      <w:pPr>
        <w:pStyle w:val="Bullet"/>
      </w:pPr>
      <w:r w:rsidRPr="00687A1C">
        <w:t>monitoring the performance of the associated superannuation assets, the majority of which are required to be invested through the Victorian Funds Management Corporation (VFMC);</w:t>
      </w:r>
    </w:p>
    <w:p w:rsidR="00174AEA" w:rsidRPr="00687A1C" w:rsidRDefault="00174AEA" w:rsidP="00174AEA">
      <w:pPr>
        <w:pStyle w:val="Bullet"/>
      </w:pPr>
      <w:r w:rsidRPr="00687A1C">
        <w:t>prudentially supervising VFMC; and</w:t>
      </w:r>
    </w:p>
    <w:p w:rsidR="00174AEA" w:rsidRPr="00687A1C" w:rsidRDefault="00174AEA" w:rsidP="00174AEA">
      <w:pPr>
        <w:pStyle w:val="Bullet"/>
      </w:pPr>
      <w:r w:rsidRPr="00687A1C">
        <w:t>providing advice to government on a wide range of superannuation issues.</w:t>
      </w:r>
    </w:p>
    <w:p w:rsidR="00174AEA" w:rsidRPr="00687A1C" w:rsidRDefault="00174AEA" w:rsidP="00174AEA">
      <w:r w:rsidRPr="00687A1C">
        <w:t>The State’s superannuation liability with respect to superannuation funds operated principally for general gove</w:t>
      </w:r>
      <w:r w:rsidR="000413BE" w:rsidRPr="00687A1C">
        <w:t xml:space="preserve">rnment sector employees was </w:t>
      </w:r>
      <w:r w:rsidR="000413BE" w:rsidRPr="00687A1C">
        <w:br/>
        <w:t xml:space="preserve">$25 </w:t>
      </w:r>
      <w:r w:rsidRPr="00687A1C">
        <w:t>205</w:t>
      </w:r>
      <w:r w:rsidR="006F069A" w:rsidRPr="00687A1C">
        <w:rPr>
          <w:rFonts w:ascii="Calibri" w:hAnsi="Calibri" w:cs="Calibri"/>
        </w:rPr>
        <w:t> </w:t>
      </w:r>
      <w:r w:rsidR="006F069A" w:rsidRPr="00687A1C">
        <w:t>million</w:t>
      </w:r>
      <w:r w:rsidRPr="00687A1C">
        <w:t xml:space="preserve"> as at 30 June 2018 (2017 – </w:t>
      </w:r>
      <w:r w:rsidR="000413BE" w:rsidRPr="00687A1C">
        <w:br/>
        <w:t xml:space="preserve">$24 </w:t>
      </w:r>
      <w:r w:rsidRPr="00687A1C">
        <w:t>901</w:t>
      </w:r>
      <w:r w:rsidR="006F069A" w:rsidRPr="00687A1C">
        <w:rPr>
          <w:rFonts w:ascii="Calibri" w:hAnsi="Calibri" w:cs="Calibri"/>
        </w:rPr>
        <w:t> </w:t>
      </w:r>
      <w:r w:rsidR="006F069A" w:rsidRPr="00687A1C">
        <w:t>million</w:t>
      </w:r>
      <w:r w:rsidRPr="00687A1C">
        <w:t xml:space="preserve">). In accordance with the </w:t>
      </w:r>
      <w:r w:rsidRPr="00687A1C">
        <w:rPr>
          <w:i/>
        </w:rPr>
        <w:t>State Superannuation Act</w:t>
      </w:r>
      <w:r w:rsidRPr="00687A1C">
        <w:t xml:space="preserve"> </w:t>
      </w:r>
      <w:r w:rsidRPr="00687A1C">
        <w:rPr>
          <w:i/>
        </w:rPr>
        <w:t>1988</w:t>
      </w:r>
      <w:r w:rsidRPr="00687A1C">
        <w:t>, the Government, through the Consolidated Fund, is primarily responsible for meeting the employer’s share of the superannuation liability of the State Superannuation Fund section of the Emergency Services Superannuation Scheme. However, under the terms of that Act, the responsible Minister can effectively pass this liability to individual authorities. The liability also includes $1</w:t>
      </w:r>
      <w:r w:rsidR="000413BE" w:rsidRPr="00687A1C">
        <w:t xml:space="preserve"> </w:t>
      </w:r>
      <w:r w:rsidRPr="00687A1C">
        <w:t>120</w:t>
      </w:r>
      <w:r w:rsidR="006F069A" w:rsidRPr="00687A1C">
        <w:rPr>
          <w:rFonts w:ascii="Calibri" w:hAnsi="Calibri" w:cs="Calibri"/>
        </w:rPr>
        <w:t> </w:t>
      </w:r>
      <w:r w:rsidR="006F069A" w:rsidRPr="00687A1C">
        <w:t>million</w:t>
      </w:r>
      <w:r w:rsidRPr="00687A1C">
        <w:t xml:space="preserve"> (2017 – $1</w:t>
      </w:r>
      <w:r w:rsidR="000413BE" w:rsidRPr="00687A1C">
        <w:t xml:space="preserve"> </w:t>
      </w:r>
      <w:r w:rsidRPr="00687A1C">
        <w:t>002</w:t>
      </w:r>
      <w:r w:rsidR="006F069A" w:rsidRPr="00687A1C">
        <w:rPr>
          <w:rFonts w:ascii="Calibri" w:hAnsi="Calibri" w:cs="Calibri"/>
        </w:rPr>
        <w:t> </w:t>
      </w:r>
      <w:r w:rsidR="006F069A" w:rsidRPr="00687A1C">
        <w:t>million</w:t>
      </w:r>
      <w:r w:rsidRPr="00687A1C">
        <w:t>) for accrued benefits arising from constitutionally protected pension entitlements, principally in respect of judges and other judicial office holders.</w:t>
      </w:r>
    </w:p>
    <w:p w:rsidR="00174AEA" w:rsidRPr="00687A1C" w:rsidRDefault="00174AEA" w:rsidP="00174AEA">
      <w:pPr>
        <w:rPr>
          <w:color w:val="000000"/>
        </w:rPr>
      </w:pPr>
    </w:p>
    <w:p w:rsidR="00174AEA" w:rsidRPr="00687A1C" w:rsidRDefault="00174AEA" w:rsidP="00174AEA">
      <w:pPr>
        <w:sectPr w:rsidR="00174AEA" w:rsidRPr="00687A1C" w:rsidSect="002C70FA">
          <w:pgSz w:w="11909" w:h="16834" w:code="9"/>
          <w:pgMar w:top="1728" w:right="1152" w:bottom="1152" w:left="1152" w:header="720" w:footer="288" w:gutter="0"/>
          <w:cols w:num="2" w:space="720"/>
          <w:noEndnote/>
        </w:sectPr>
      </w:pPr>
    </w:p>
    <w:p w:rsidR="00174AEA" w:rsidRPr="00687A1C" w:rsidRDefault="00174AEA" w:rsidP="00174AEA">
      <w:pPr>
        <w:spacing w:before="0" w:after="0"/>
      </w:pPr>
      <w:r w:rsidRPr="00687A1C">
        <w:br w:type="page"/>
      </w:r>
    </w:p>
    <w:p w:rsidR="00174AEA" w:rsidRPr="00687A1C" w:rsidRDefault="00174AEA" w:rsidP="00174AEA"/>
    <w:tbl>
      <w:tblPr>
        <w:tblStyle w:val="AnnualReporttexttable"/>
        <w:tblW w:w="8028" w:type="dxa"/>
        <w:tblLayout w:type="fixed"/>
        <w:tblLook w:val="00A0" w:firstRow="1" w:lastRow="0" w:firstColumn="1" w:lastColumn="0" w:noHBand="0" w:noVBand="0"/>
      </w:tblPr>
      <w:tblGrid>
        <w:gridCol w:w="5508"/>
        <w:gridCol w:w="1260"/>
        <w:gridCol w:w="1260"/>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174AEA" w:rsidRPr="00687A1C" w:rsidRDefault="00174AEA" w:rsidP="008A3976">
            <w:pPr>
              <w:pStyle w:val="Tabletextheadingright"/>
              <w:rPr>
                <w:b/>
              </w:rPr>
            </w:pPr>
            <w:r w:rsidRPr="00687A1C">
              <w:rPr>
                <w:b/>
              </w:rPr>
              <w:t>2018</w:t>
            </w:r>
            <w:r w:rsidRPr="00687A1C">
              <w:rPr>
                <w:b/>
              </w:rPr>
              <w:br/>
              <w:t>$m</w:t>
            </w:r>
          </w:p>
        </w:tc>
        <w:tc>
          <w:tcPr>
            <w:cnfStyle w:val="000001000000" w:firstRow="0" w:lastRow="0" w:firstColumn="0" w:lastColumn="0" w:oddVBand="0" w:evenVBand="1" w:oddHBand="0" w:evenHBand="0" w:firstRowFirstColumn="0" w:firstRowLastColumn="0" w:lastRowFirstColumn="0" w:lastRowLastColumn="0"/>
            <w:tcW w:w="1260" w:type="dxa"/>
            <w:shd w:val="clear" w:color="auto" w:fill="auto"/>
          </w:tcPr>
          <w:p w:rsidR="00174AEA" w:rsidRPr="00687A1C" w:rsidRDefault="00174AEA" w:rsidP="008A3976">
            <w:pPr>
              <w:pStyle w:val="Tabletextheadingright"/>
              <w:rPr>
                <w:b/>
              </w:rPr>
            </w:pPr>
            <w:r w:rsidRPr="00687A1C">
              <w:rPr>
                <w:b/>
              </w:rPr>
              <w:t>2017</w:t>
            </w:r>
            <w:r w:rsidRPr="00687A1C">
              <w:rPr>
                <w:b/>
              </w:rPr>
              <w:br/>
              <w:t>$m</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Reconciliation of the present value of the defined benefit obligation</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Balance at the start of the period</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t>46</w:t>
            </w:r>
            <w:r w:rsidR="00D8412D" w:rsidRPr="00687A1C">
              <w:rPr>
                <w:rFonts w:ascii="Calibri" w:hAnsi="Calibri" w:cs="Calibri"/>
              </w:rPr>
              <w:t xml:space="preserve"> </w:t>
            </w:r>
            <w:r w:rsidRPr="00687A1C">
              <w:t>545</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49</w:t>
            </w:r>
            <w:r w:rsidR="00D8412D" w:rsidRPr="00687A1C">
              <w:rPr>
                <w:rFonts w:ascii="Calibri" w:hAnsi="Calibri" w:cs="Calibri"/>
                <w:bCs/>
              </w:rPr>
              <w:t xml:space="preserve"> </w:t>
            </w:r>
            <w:r w:rsidRPr="00687A1C">
              <w:rPr>
                <w:bCs/>
              </w:rPr>
              <w:t>321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Current service cost</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r w:rsidRPr="00687A1C">
              <w:t>913</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8A3976">
            <w:pPr>
              <w:pStyle w:val="Tabletextright"/>
              <w:rPr>
                <w:bCs/>
              </w:rPr>
            </w:pPr>
            <w:r w:rsidRPr="00687A1C">
              <w:rPr>
                <w:bCs/>
              </w:rPr>
              <w:t>836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Interest cost</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337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1</w:t>
            </w:r>
            <w:r w:rsidR="00D8412D" w:rsidRPr="00687A1C">
              <w:rPr>
                <w:rFonts w:ascii="Calibri" w:hAnsi="Calibri" w:cs="Calibri"/>
                <w:bCs/>
              </w:rPr>
              <w:t xml:space="preserve"> </w:t>
            </w:r>
            <w:r w:rsidRPr="00687A1C">
              <w:rPr>
                <w:bCs/>
              </w:rPr>
              <w:t>154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Contributions by plan participants</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r w:rsidRPr="00687A1C">
              <w:t>229</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8A3976">
            <w:pPr>
              <w:pStyle w:val="Tabletextright"/>
              <w:rPr>
                <w:bCs/>
              </w:rPr>
            </w:pPr>
            <w:r w:rsidRPr="00687A1C">
              <w:rPr>
                <w:bCs/>
              </w:rPr>
              <w:t>220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Actuarial (gains)/losses</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214</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(2</w:t>
            </w:r>
            <w:r w:rsidR="00D8412D" w:rsidRPr="00687A1C">
              <w:rPr>
                <w:rFonts w:ascii="Calibri" w:hAnsi="Calibri" w:cs="Calibri"/>
                <w:bCs/>
              </w:rPr>
              <w:t xml:space="preserve"> </w:t>
            </w:r>
            <w:r w:rsidRPr="00687A1C">
              <w:rPr>
                <w:bCs/>
              </w:rPr>
              <w:t>854)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Benefits paid</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087)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(2</w:t>
            </w:r>
            <w:r w:rsidR="00D8412D" w:rsidRPr="00687A1C">
              <w:rPr>
                <w:rFonts w:ascii="Calibri" w:hAnsi="Calibri" w:cs="Calibri"/>
                <w:bCs/>
              </w:rPr>
              <w:t xml:space="preserve"> </w:t>
            </w:r>
            <w:r w:rsidRPr="00687A1C">
              <w:rPr>
                <w:bCs/>
              </w:rPr>
              <w:t>132)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Balance at the end of the period</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bold"/>
            </w:pPr>
            <w:r w:rsidRPr="00687A1C">
              <w:t>48</w:t>
            </w:r>
            <w:r w:rsidR="00D8412D" w:rsidRPr="00687A1C">
              <w:rPr>
                <w:rFonts w:ascii="Calibri" w:hAnsi="Calibri" w:cs="Calibri"/>
              </w:rPr>
              <w:t xml:space="preserve"> </w:t>
            </w:r>
            <w:r w:rsidRPr="00687A1C">
              <w:t>151</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bold"/>
            </w:pPr>
            <w:r w:rsidRPr="00687A1C">
              <w:t>46</w:t>
            </w:r>
            <w:r w:rsidR="00D8412D" w:rsidRPr="00687A1C">
              <w:rPr>
                <w:rFonts w:ascii="Calibri" w:hAnsi="Calibri" w:cs="Calibri"/>
              </w:rPr>
              <w:t xml:space="preserve"> </w:t>
            </w:r>
            <w:r w:rsidRPr="00687A1C">
              <w:t>545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8A3976">
            <w:pPr>
              <w:pStyle w:val="Tabletextright"/>
              <w:rPr>
                <w:b/>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Reconciliation of fair value of superannuation plan assets</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rPr>
                <w:b/>
              </w:rPr>
            </w:pPr>
            <w:r w:rsidRPr="00687A1C">
              <w:t>Balance at the start of the period</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t>21</w:t>
            </w:r>
            <w:r w:rsidR="00D8412D" w:rsidRPr="00687A1C">
              <w:rPr>
                <w:rFonts w:ascii="Calibri" w:hAnsi="Calibri" w:cs="Calibri"/>
              </w:rPr>
              <w:t xml:space="preserve"> </w:t>
            </w:r>
            <w:r w:rsidRPr="00687A1C">
              <w:t>644</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20</w:t>
            </w:r>
            <w:r w:rsidR="00D8412D" w:rsidRPr="00687A1C">
              <w:rPr>
                <w:rFonts w:ascii="Calibri" w:hAnsi="Calibri" w:cs="Calibri"/>
                <w:bCs/>
              </w:rPr>
              <w:t xml:space="preserve"> </w:t>
            </w:r>
            <w:r w:rsidRPr="00687A1C">
              <w:rPr>
                <w:bCs/>
              </w:rPr>
              <w:t>032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Interest income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r w:rsidRPr="00687A1C">
              <w:t>622</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8A3976">
            <w:pPr>
              <w:pStyle w:val="Tabletextright"/>
              <w:rPr>
                <w:bCs/>
              </w:rPr>
            </w:pPr>
            <w:r w:rsidRPr="00687A1C">
              <w:rPr>
                <w:bCs/>
              </w:rPr>
              <w:t>462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Expected return on plan assets excluding interest income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5952EF" w:rsidP="008A3976">
            <w:pPr>
              <w:pStyle w:val="Tabletextright"/>
            </w:pPr>
            <w:r w:rsidRPr="00687A1C">
              <w:t>956</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1</w:t>
            </w:r>
            <w:r w:rsidR="00D8412D" w:rsidRPr="00687A1C">
              <w:rPr>
                <w:rFonts w:ascii="Calibri" w:hAnsi="Calibri" w:cs="Calibri"/>
                <w:bCs/>
              </w:rPr>
              <w:t xml:space="preserve"> </w:t>
            </w:r>
            <w:r w:rsidRPr="00687A1C">
              <w:rPr>
                <w:bCs/>
              </w:rPr>
              <w:t>006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Actuarial gains/(losses)</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r w:rsidRPr="00687A1C">
              <w:t>1</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8A3976">
            <w:pPr>
              <w:pStyle w:val="Tabletextright"/>
              <w:rPr>
                <w:bCs/>
              </w:rPr>
            </w:pPr>
            <w:r w:rsidRPr="00687A1C">
              <w:rPr>
                <w:bCs/>
              </w:rPr>
              <w:t>506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Employer contributions</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581</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1</w:t>
            </w:r>
            <w:r w:rsidR="00D8412D" w:rsidRPr="00687A1C">
              <w:rPr>
                <w:rFonts w:ascii="Calibri" w:hAnsi="Calibri" w:cs="Calibri"/>
                <w:bCs/>
              </w:rPr>
              <w:t xml:space="preserve"> </w:t>
            </w:r>
            <w:r w:rsidRPr="00687A1C">
              <w:rPr>
                <w:bCs/>
              </w:rPr>
              <w:t>550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Contributions by plan participants</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r w:rsidRPr="00687A1C">
              <w:t>229</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8A3976">
            <w:pPr>
              <w:pStyle w:val="Tabletextright"/>
              <w:rPr>
                <w:bCs/>
              </w:rPr>
            </w:pPr>
            <w:r w:rsidRPr="00687A1C">
              <w:rPr>
                <w:bCs/>
              </w:rPr>
              <w:t>220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Benefits paid (including tax paid)</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087)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
            </w:pPr>
            <w:r w:rsidRPr="00687A1C">
              <w:rPr>
                <w:bCs/>
              </w:rPr>
              <w:t>(2</w:t>
            </w:r>
            <w:r w:rsidR="00D8412D" w:rsidRPr="00687A1C">
              <w:rPr>
                <w:rFonts w:ascii="Calibri" w:hAnsi="Calibri" w:cs="Calibri"/>
                <w:bCs/>
              </w:rPr>
              <w:t xml:space="preserve"> </w:t>
            </w:r>
            <w:r w:rsidRPr="00687A1C">
              <w:rPr>
                <w:bCs/>
              </w:rPr>
              <w:t>132)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Balance at the end of the period</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D8412D">
            <w:pPr>
              <w:pStyle w:val="Tabletextrightbold"/>
            </w:pPr>
            <w:r w:rsidRPr="00687A1C">
              <w:t>22</w:t>
            </w:r>
            <w:r w:rsidR="00D8412D" w:rsidRPr="00687A1C">
              <w:rPr>
                <w:rFonts w:ascii="Calibri" w:hAnsi="Calibri" w:cs="Calibri"/>
              </w:rPr>
              <w:t xml:space="preserve"> </w:t>
            </w:r>
            <w:r w:rsidRPr="00687A1C">
              <w:t>946</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174AEA" w:rsidRPr="00687A1C" w:rsidRDefault="00174AEA" w:rsidP="00D8412D">
            <w:pPr>
              <w:pStyle w:val="Tabletextrightbold"/>
            </w:pPr>
            <w:r w:rsidRPr="00687A1C">
              <w:t>21</w:t>
            </w:r>
            <w:r w:rsidR="00D8412D" w:rsidRPr="00687A1C">
              <w:rPr>
                <w:rFonts w:ascii="Calibri" w:hAnsi="Calibri" w:cs="Calibri"/>
              </w:rPr>
              <w:t xml:space="preserve"> </w:t>
            </w:r>
            <w:r w:rsidRPr="00687A1C">
              <w:t>644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color w:val="000000"/>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Reconciliation of assets and liabilities disclosed in the administered statement of assets and liabilities</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State Superannuation Fund/Emergency Services Superannuation Scheme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D8412D">
            <w:pPr>
              <w:pStyle w:val="Tabletextright"/>
            </w:pPr>
            <w:r w:rsidRPr="00687A1C">
              <w:t>24</w:t>
            </w:r>
            <w:r w:rsidR="00D8412D" w:rsidRPr="00687A1C">
              <w:rPr>
                <w:rFonts w:ascii="Calibri" w:hAnsi="Calibri" w:cs="Calibri"/>
              </w:rPr>
              <w:t xml:space="preserve"> </w:t>
            </w:r>
            <w:r w:rsidRPr="00687A1C">
              <w:t>036</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D8412D">
            <w:pPr>
              <w:pStyle w:val="Tabletextright"/>
            </w:pPr>
            <w:r w:rsidRPr="00687A1C">
              <w:t>23</w:t>
            </w:r>
            <w:r w:rsidR="00D8412D" w:rsidRPr="00687A1C">
              <w:rPr>
                <w:rFonts w:ascii="Calibri" w:hAnsi="Calibri" w:cs="Calibri"/>
              </w:rPr>
              <w:t xml:space="preserve"> </w:t>
            </w:r>
            <w:r w:rsidRPr="00687A1C">
              <w:t>803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Other funds</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169</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D8412D">
            <w:pPr>
              <w:pStyle w:val="Tabletextright"/>
            </w:pPr>
            <w:r w:rsidRPr="00687A1C">
              <w:rPr>
                <w:bCs/>
              </w:rPr>
              <w:t>1</w:t>
            </w:r>
            <w:r w:rsidR="00D8412D" w:rsidRPr="00687A1C">
              <w:rPr>
                <w:rFonts w:ascii="Calibri" w:hAnsi="Calibri" w:cs="Calibri"/>
                <w:bCs/>
              </w:rPr>
              <w:t xml:space="preserve"> </w:t>
            </w:r>
            <w:r w:rsidRPr="00687A1C">
              <w:rPr>
                <w:bCs/>
              </w:rPr>
              <w:t>098</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Total superannuation liability</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D8412D">
            <w:pPr>
              <w:pStyle w:val="Tabletextrightbold"/>
            </w:pPr>
            <w:r w:rsidRPr="00687A1C">
              <w:t>25</w:t>
            </w:r>
            <w:r w:rsidR="00D8412D" w:rsidRPr="00687A1C">
              <w:rPr>
                <w:rFonts w:ascii="Calibri" w:hAnsi="Calibri" w:cs="Calibri"/>
              </w:rPr>
              <w:t xml:space="preserve"> </w:t>
            </w:r>
            <w:r w:rsidRPr="00687A1C">
              <w:t>205</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D8412D">
            <w:pPr>
              <w:pStyle w:val="Tabletextrightbold"/>
            </w:pPr>
            <w:r w:rsidRPr="00687A1C">
              <w:t>24</w:t>
            </w:r>
            <w:r w:rsidR="00D8412D" w:rsidRPr="00687A1C">
              <w:rPr>
                <w:rFonts w:ascii="Calibri" w:hAnsi="Calibri" w:cs="Calibri"/>
              </w:rPr>
              <w:t xml:space="preserve"> </w:t>
            </w:r>
            <w:r w:rsidRPr="00687A1C">
              <w:t>901</w:t>
            </w:r>
          </w:p>
        </w:tc>
      </w:tr>
    </w:tbl>
    <w:p w:rsidR="00174AEA" w:rsidRPr="00687A1C" w:rsidRDefault="00174AEA" w:rsidP="00174AEA"/>
    <w:tbl>
      <w:tblPr>
        <w:tblStyle w:val="AnnualReporttexttable"/>
        <w:tblW w:w="8028" w:type="dxa"/>
        <w:tblLayout w:type="fixed"/>
        <w:tblLook w:val="00A0" w:firstRow="1" w:lastRow="0" w:firstColumn="1" w:lastColumn="0" w:noHBand="0" w:noVBand="0"/>
      </w:tblPr>
      <w:tblGrid>
        <w:gridCol w:w="5508"/>
        <w:gridCol w:w="1260"/>
        <w:gridCol w:w="1260"/>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auto"/>
          </w:tcPr>
          <w:p w:rsidR="00174AEA" w:rsidRPr="00687A1C" w:rsidRDefault="00174AEA" w:rsidP="008A3976">
            <w:pPr>
              <w:pStyle w:val="Tabletextheadingright"/>
              <w:rPr>
                <w:b/>
              </w:rPr>
            </w:pPr>
            <w:r w:rsidRPr="00687A1C">
              <w:rPr>
                <w:b/>
              </w:rPr>
              <w:t>2018</w:t>
            </w:r>
            <w:r w:rsidRPr="00687A1C">
              <w:rPr>
                <w:b/>
              </w:rPr>
              <w:br/>
              <w:t>%</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headingright"/>
              <w:rPr>
                <w:b/>
              </w:rPr>
            </w:pPr>
            <w:r w:rsidRPr="00687A1C">
              <w:rPr>
                <w:b/>
              </w:rPr>
              <w:t>2017</w:t>
            </w:r>
            <w:r w:rsidRPr="00687A1C">
              <w:rPr>
                <w:b/>
              </w:rPr>
              <w:br/>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Actuarial assumptions</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rPr>
                <w:i/>
              </w:rPr>
            </w:pPr>
            <w:r w:rsidRPr="00687A1C">
              <w:rPr>
                <w:i/>
              </w:rPr>
              <w:t>State Superannuation Fund/Emergency Services Superannuation Scheme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Expected return on assets</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8.0</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8.0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Discount rate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2.8</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3.0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Wages growth</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3.4</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3.4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Inflation rate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1.9</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1.9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rPr>
                <w:i/>
              </w:rPr>
            </w:pPr>
            <w:r w:rsidRPr="00687A1C">
              <w:rPr>
                <w:i/>
              </w:rPr>
              <w:t>Constitutionally Protected Pensions</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Discount rate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2.8</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3.0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Wages growth</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3.4</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3.4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Inflation rate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n/a</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n/a</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rPr>
                <w:i/>
              </w:rPr>
            </w:pPr>
            <w:r w:rsidRPr="00687A1C">
              <w:rPr>
                <w:i/>
              </w:rPr>
              <w:t>Health Superannuation Fund</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Expected return on assets</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5.0</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5.7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Discount rate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2.8</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3.0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Wages growth</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3.4</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3.4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indent"/>
            </w:pPr>
            <w:r w:rsidRPr="00687A1C">
              <w:t>Inflation rate</w:t>
            </w:r>
          </w:p>
        </w:tc>
        <w:tc>
          <w:tcPr>
            <w:cnfStyle w:val="000010000000" w:firstRow="0" w:lastRow="0" w:firstColumn="0" w:lastColumn="0" w:oddVBand="1" w:evenVBand="0" w:oddHBand="0" w:evenHBand="0" w:firstRowFirstColumn="0" w:firstRowLastColumn="0" w:lastRowFirstColumn="0" w:lastRowLastColumn="0"/>
            <w:tcW w:w="1260" w:type="dxa"/>
          </w:tcPr>
          <w:p w:rsidR="00174AEA" w:rsidRPr="00687A1C" w:rsidRDefault="00174AEA" w:rsidP="008A3976">
            <w:pPr>
              <w:pStyle w:val="Tabletextright"/>
            </w:pPr>
            <w:r w:rsidRPr="00687A1C">
              <w:t>1.9</w:t>
            </w:r>
          </w:p>
        </w:tc>
        <w:tc>
          <w:tcPr>
            <w:cnfStyle w:val="000001000000" w:firstRow="0" w:lastRow="0" w:firstColumn="0" w:lastColumn="0" w:oddVBand="0" w:evenVBand="1" w:oddHBand="0" w:evenHBand="0" w:firstRowFirstColumn="0" w:firstRowLastColumn="0" w:lastRowFirstColumn="0" w:lastRowLastColumn="0"/>
            <w:tcW w:w="1260" w:type="dxa"/>
          </w:tcPr>
          <w:p w:rsidR="00174AEA" w:rsidRPr="00687A1C" w:rsidRDefault="00174AEA" w:rsidP="008A3976">
            <w:pPr>
              <w:pStyle w:val="Tabletextright"/>
              <w:rPr>
                <w:bCs/>
              </w:rPr>
            </w:pPr>
            <w:r w:rsidRPr="00687A1C">
              <w:rPr>
                <w:bCs/>
              </w:rPr>
              <w:t>1.9</w:t>
            </w:r>
          </w:p>
        </w:tc>
      </w:tr>
    </w:tbl>
    <w:p w:rsidR="00174AEA" w:rsidRPr="00687A1C" w:rsidRDefault="00174AEA" w:rsidP="00174AEA">
      <w:pPr>
        <w:rPr>
          <w:sz w:val="20"/>
        </w:rPr>
      </w:pPr>
    </w:p>
    <w:p w:rsidR="00E327A5" w:rsidRDefault="00E327A5">
      <w:pPr>
        <w:spacing w:before="0" w:after="0" w:line="240" w:lineRule="auto"/>
      </w:pPr>
      <w:r>
        <w:br w:type="page"/>
      </w:r>
    </w:p>
    <w:p w:rsidR="00174AEA" w:rsidRPr="00687A1C" w:rsidRDefault="00174AEA" w:rsidP="00174AEA">
      <w:pPr>
        <w:keepNext/>
        <w:ind w:right="1685"/>
      </w:pPr>
      <w:r w:rsidRPr="00687A1C">
        <w:lastRenderedPageBreak/>
        <w:t>The expected return on assets assumption is determined by weighting the expected long</w:t>
      </w:r>
      <w:r w:rsidRPr="00687A1C">
        <w:noBreakHyphen/>
        <w:t>term return for each asset class by the target allocation of assets to each class.</w:t>
      </w:r>
    </w:p>
    <w:p w:rsidR="00174AEA" w:rsidRPr="00687A1C" w:rsidRDefault="00174AEA" w:rsidP="00174AEA">
      <w:pPr>
        <w:keepNext/>
        <w:ind w:right="1685"/>
      </w:pPr>
    </w:p>
    <w:tbl>
      <w:tblPr>
        <w:tblStyle w:val="AnnualReporttexttable"/>
        <w:tblW w:w="8010" w:type="dxa"/>
        <w:tblLayout w:type="fixed"/>
        <w:tblLook w:val="00A0" w:firstRow="1" w:lastRow="0" w:firstColumn="1" w:lastColumn="0" w:noHBand="0" w:noVBand="0"/>
      </w:tblPr>
      <w:tblGrid>
        <w:gridCol w:w="5508"/>
        <w:gridCol w:w="1251"/>
        <w:gridCol w:w="1251"/>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noWrap/>
          </w:tcPr>
          <w:p w:rsidR="00174AEA" w:rsidRPr="00687A1C" w:rsidRDefault="00174AEA" w:rsidP="008A3976">
            <w:pPr>
              <w:pStyle w:val="Tabletextbold"/>
              <w:jc w:val="left"/>
              <w:rPr>
                <w:bCs/>
              </w:rPr>
            </w:pPr>
            <w:r w:rsidRPr="00687A1C">
              <w:rPr>
                <w:b/>
              </w:rPr>
              <w:t>Categories of plan assets</w:t>
            </w:r>
          </w:p>
        </w:tc>
        <w:tc>
          <w:tcPr>
            <w:cnfStyle w:val="000010000000" w:firstRow="0" w:lastRow="0" w:firstColumn="0" w:lastColumn="0" w:oddVBand="1" w:evenVBand="0" w:oddHBand="0" w:evenHBand="0" w:firstRowFirstColumn="0" w:firstRowLastColumn="0" w:lastRowFirstColumn="0" w:lastRowLastColumn="0"/>
            <w:tcW w:w="1251" w:type="dxa"/>
            <w:shd w:val="clear" w:color="auto" w:fill="auto"/>
          </w:tcPr>
          <w:p w:rsidR="00174AEA" w:rsidRPr="00687A1C" w:rsidRDefault="00174AEA" w:rsidP="008A3976">
            <w:pPr>
              <w:pStyle w:val="Tabletextheadingright"/>
              <w:rPr>
                <w:b/>
              </w:rPr>
            </w:pPr>
            <w:r w:rsidRPr="00687A1C">
              <w:rPr>
                <w:b/>
              </w:rPr>
              <w:t>2018</w:t>
            </w:r>
            <w:r w:rsidRPr="00687A1C">
              <w:rPr>
                <w:b/>
              </w:rPr>
              <w:br/>
              <w:t>%</w:t>
            </w:r>
          </w:p>
        </w:tc>
        <w:tc>
          <w:tcPr>
            <w:cnfStyle w:val="000001000000" w:firstRow="0" w:lastRow="0" w:firstColumn="0" w:lastColumn="0" w:oddVBand="0" w:evenVBand="1" w:oddHBand="0" w:evenHBand="0" w:firstRowFirstColumn="0" w:firstRowLastColumn="0" w:lastRowFirstColumn="0" w:lastRowLastColumn="0"/>
            <w:tcW w:w="1251" w:type="dxa"/>
          </w:tcPr>
          <w:p w:rsidR="00174AEA" w:rsidRPr="00687A1C" w:rsidRDefault="00174AEA" w:rsidP="008A3976">
            <w:pPr>
              <w:pStyle w:val="Tabletextheadingright"/>
              <w:rPr>
                <w:b/>
              </w:rPr>
            </w:pPr>
            <w:r w:rsidRPr="00687A1C">
              <w:rPr>
                <w:b/>
              </w:rPr>
              <w:t>2017</w:t>
            </w:r>
            <w:r w:rsidRPr="00687A1C">
              <w:rPr>
                <w:b/>
              </w:rPr>
              <w:br/>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
            </w:pPr>
            <w:r w:rsidRPr="00687A1C">
              <w:t>The major categories of plan assets are as follows:</w:t>
            </w: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51"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indent"/>
            </w:pPr>
            <w:r w:rsidRPr="00687A1C">
              <w:t>Domestic equity</w:t>
            </w: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
            </w:pPr>
            <w:r w:rsidRPr="00687A1C">
              <w:t>27.6</w:t>
            </w:r>
          </w:p>
        </w:tc>
        <w:tc>
          <w:tcPr>
            <w:cnfStyle w:val="000001000000" w:firstRow="0" w:lastRow="0" w:firstColumn="0" w:lastColumn="0" w:oddVBand="0" w:evenVBand="1" w:oddHBand="0" w:evenHBand="0" w:firstRowFirstColumn="0" w:firstRowLastColumn="0" w:lastRowFirstColumn="0" w:lastRowLastColumn="0"/>
            <w:tcW w:w="1251" w:type="dxa"/>
            <w:vAlign w:val="bottom"/>
          </w:tcPr>
          <w:p w:rsidR="00174AEA" w:rsidRPr="00687A1C" w:rsidRDefault="00174AEA" w:rsidP="008A3976">
            <w:pPr>
              <w:pStyle w:val="Tabletextright"/>
            </w:pPr>
            <w:r w:rsidRPr="00687A1C">
              <w:t>27.7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indent"/>
            </w:pPr>
            <w:r w:rsidRPr="00687A1C">
              <w:t>International equity</w:t>
            </w: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
            </w:pPr>
            <w:r w:rsidRPr="00687A1C">
              <w:t>27.6</w:t>
            </w:r>
          </w:p>
        </w:tc>
        <w:tc>
          <w:tcPr>
            <w:cnfStyle w:val="000001000000" w:firstRow="0" w:lastRow="0" w:firstColumn="0" w:lastColumn="0" w:oddVBand="0" w:evenVBand="1" w:oddHBand="0" w:evenHBand="0" w:firstRowFirstColumn="0" w:firstRowLastColumn="0" w:lastRowFirstColumn="0" w:lastRowLastColumn="0"/>
            <w:tcW w:w="1251" w:type="dxa"/>
            <w:vAlign w:val="bottom"/>
          </w:tcPr>
          <w:p w:rsidR="00174AEA" w:rsidRPr="00687A1C" w:rsidRDefault="00174AEA" w:rsidP="008A3976">
            <w:pPr>
              <w:pStyle w:val="Tabletextright"/>
            </w:pPr>
            <w:r w:rsidRPr="00687A1C">
              <w:t>27.7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indent"/>
            </w:pPr>
            <w:r w:rsidRPr="00687A1C">
              <w:t>Domestic debt assets</w:t>
            </w: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
            </w:pPr>
            <w:r w:rsidRPr="00687A1C">
              <w:t>17.8</w:t>
            </w:r>
          </w:p>
        </w:tc>
        <w:tc>
          <w:tcPr>
            <w:cnfStyle w:val="000001000000" w:firstRow="0" w:lastRow="0" w:firstColumn="0" w:lastColumn="0" w:oddVBand="0" w:evenVBand="1" w:oddHBand="0" w:evenHBand="0" w:firstRowFirstColumn="0" w:firstRowLastColumn="0" w:lastRowFirstColumn="0" w:lastRowLastColumn="0"/>
            <w:tcW w:w="1251" w:type="dxa"/>
            <w:vAlign w:val="bottom"/>
          </w:tcPr>
          <w:p w:rsidR="00174AEA" w:rsidRPr="00687A1C" w:rsidRDefault="00174AEA" w:rsidP="008A3976">
            <w:pPr>
              <w:pStyle w:val="Tabletextright"/>
            </w:pPr>
            <w:r w:rsidRPr="00687A1C">
              <w:t>17.6</w:t>
            </w:r>
          </w:p>
        </w:tc>
      </w:tr>
      <w:tr w:rsidR="00174AEA" w:rsidRPr="00687A1C" w:rsidTr="008A3976">
        <w:trPr>
          <w:trHeight w:val="91"/>
        </w:trPr>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indent"/>
            </w:pPr>
            <w:r w:rsidRPr="00687A1C">
              <w:t>Property</w:t>
            </w: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
            </w:pPr>
            <w:r w:rsidRPr="00687A1C">
              <w:t>7.5</w:t>
            </w:r>
          </w:p>
        </w:tc>
        <w:tc>
          <w:tcPr>
            <w:cnfStyle w:val="000001000000" w:firstRow="0" w:lastRow="0" w:firstColumn="0" w:lastColumn="0" w:oddVBand="0" w:evenVBand="1" w:oddHBand="0" w:evenHBand="0" w:firstRowFirstColumn="0" w:firstRowLastColumn="0" w:lastRowFirstColumn="0" w:lastRowLastColumn="0"/>
            <w:tcW w:w="1251" w:type="dxa"/>
            <w:vAlign w:val="bottom"/>
          </w:tcPr>
          <w:p w:rsidR="00174AEA" w:rsidRPr="00687A1C" w:rsidRDefault="00174AEA" w:rsidP="008A3976">
            <w:pPr>
              <w:pStyle w:val="Tabletextright"/>
            </w:pPr>
            <w:r w:rsidRPr="00687A1C">
              <w:t>7.6</w:t>
            </w:r>
          </w:p>
        </w:tc>
      </w:tr>
      <w:tr w:rsidR="00174AEA" w:rsidRPr="00687A1C" w:rsidTr="008A3976">
        <w:trPr>
          <w:trHeight w:val="151"/>
        </w:trPr>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indent"/>
            </w:pPr>
            <w:r w:rsidRPr="00687A1C">
              <w:t>Cash</w:t>
            </w: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
            </w:pPr>
            <w:r w:rsidRPr="00687A1C">
              <w:t>4.1</w:t>
            </w:r>
          </w:p>
        </w:tc>
        <w:tc>
          <w:tcPr>
            <w:cnfStyle w:val="000001000000" w:firstRow="0" w:lastRow="0" w:firstColumn="0" w:lastColumn="0" w:oddVBand="0" w:evenVBand="1" w:oddHBand="0" w:evenHBand="0" w:firstRowFirstColumn="0" w:firstRowLastColumn="0" w:lastRowFirstColumn="0" w:lastRowLastColumn="0"/>
            <w:tcW w:w="1251" w:type="dxa"/>
            <w:vAlign w:val="bottom"/>
          </w:tcPr>
          <w:p w:rsidR="00174AEA" w:rsidRPr="00687A1C" w:rsidRDefault="00174AEA" w:rsidP="008A3976">
            <w:pPr>
              <w:pStyle w:val="Tabletextright"/>
            </w:pPr>
            <w:r w:rsidRPr="00687A1C">
              <w:t>4.1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indent"/>
            </w:pPr>
            <w:r w:rsidRPr="00687A1C">
              <w:t>Other</w:t>
            </w: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
            </w:pPr>
            <w:r w:rsidRPr="00687A1C">
              <w:t>15.4</w:t>
            </w:r>
          </w:p>
        </w:tc>
        <w:tc>
          <w:tcPr>
            <w:cnfStyle w:val="000001000000" w:firstRow="0" w:lastRow="0" w:firstColumn="0" w:lastColumn="0" w:oddVBand="0" w:evenVBand="1" w:oddHBand="0" w:evenHBand="0" w:firstRowFirstColumn="0" w:firstRowLastColumn="0" w:lastRowFirstColumn="0" w:lastRowLastColumn="0"/>
            <w:tcW w:w="1251" w:type="dxa"/>
            <w:vAlign w:val="bottom"/>
          </w:tcPr>
          <w:p w:rsidR="00174AEA" w:rsidRPr="00687A1C" w:rsidRDefault="00174AEA" w:rsidP="008A3976">
            <w:pPr>
              <w:pStyle w:val="Tabletextright"/>
            </w:pPr>
            <w:r w:rsidRPr="00687A1C">
              <w:t>15.3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noWrap/>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51" w:type="dxa"/>
          </w:tcPr>
          <w:p w:rsidR="00174AEA" w:rsidRPr="00687A1C" w:rsidRDefault="00174AEA" w:rsidP="008A3976">
            <w:pPr>
              <w:pStyle w:val="Tabletextrightbold"/>
            </w:pPr>
            <w:r w:rsidRPr="00687A1C">
              <w:t>100.0</w:t>
            </w:r>
          </w:p>
        </w:tc>
        <w:tc>
          <w:tcPr>
            <w:cnfStyle w:val="000001000000" w:firstRow="0" w:lastRow="0" w:firstColumn="0" w:lastColumn="0" w:oddVBand="0" w:evenVBand="1" w:oddHBand="0" w:evenHBand="0" w:firstRowFirstColumn="0" w:firstRowLastColumn="0" w:lastRowFirstColumn="0" w:lastRowLastColumn="0"/>
            <w:tcW w:w="1251" w:type="dxa"/>
            <w:vAlign w:val="bottom"/>
          </w:tcPr>
          <w:p w:rsidR="00174AEA" w:rsidRPr="00687A1C" w:rsidRDefault="00174AEA" w:rsidP="008A3976">
            <w:pPr>
              <w:pStyle w:val="Tabletextrightbold"/>
            </w:pPr>
            <w:r w:rsidRPr="00687A1C">
              <w:t>100.0</w:t>
            </w:r>
          </w:p>
        </w:tc>
      </w:tr>
    </w:tbl>
    <w:p w:rsidR="00174AEA" w:rsidRPr="00687A1C" w:rsidRDefault="00174AEA" w:rsidP="00174AEA"/>
    <w:p w:rsidR="00174AEA" w:rsidRPr="00687A1C" w:rsidRDefault="00174AEA" w:rsidP="00174AEA"/>
    <w:bookmarkEnd w:id="74"/>
    <w:p w:rsidR="00174AEA" w:rsidRPr="00687A1C" w:rsidRDefault="00174AEA" w:rsidP="00174AEA">
      <w:pPr>
        <w:sectPr w:rsidR="00174AEA" w:rsidRPr="00687A1C" w:rsidSect="00567A37">
          <w:type w:val="continuous"/>
          <w:pgSz w:w="11909" w:h="16834" w:code="9"/>
          <w:pgMar w:top="1728" w:right="1152" w:bottom="1152" w:left="1152" w:header="720" w:footer="288" w:gutter="0"/>
          <w:cols w:space="720"/>
          <w:noEndnote/>
        </w:sectPr>
      </w:pPr>
    </w:p>
    <w:p w:rsidR="00174AEA" w:rsidRPr="00687A1C" w:rsidRDefault="00174AEA" w:rsidP="00174AEA">
      <w:pPr>
        <w:pStyle w:val="Heading1numbered"/>
      </w:pPr>
      <w:bookmarkStart w:id="82" w:name="_Toc484452149"/>
      <w:bookmarkStart w:id="83" w:name="_Toc525026197"/>
      <w:r w:rsidRPr="00687A1C">
        <w:lastRenderedPageBreak/>
        <w:t>Key assets available to support output delivery</w:t>
      </w:r>
      <w:bookmarkEnd w:id="82"/>
      <w:bookmarkEnd w:id="83"/>
    </w:p>
    <w:p w:rsidR="00174AEA" w:rsidRPr="00687A1C" w:rsidRDefault="00174AEA" w:rsidP="00174AEA">
      <w:pPr>
        <w:pStyle w:val="Heading4"/>
        <w:sectPr w:rsidR="00174AEA" w:rsidRPr="00687A1C" w:rsidSect="00567A37">
          <w:headerReference w:type="even" r:id="rId61"/>
          <w:headerReference w:type="default" r:id="rId62"/>
          <w:pgSz w:w="11909" w:h="16834" w:code="9"/>
          <w:pgMar w:top="1728" w:right="1152" w:bottom="1152" w:left="1152" w:header="720" w:footer="288" w:gutter="0"/>
          <w:cols w:space="720"/>
          <w:noEndnote/>
        </w:sectPr>
      </w:pPr>
    </w:p>
    <w:p w:rsidR="00174AEA" w:rsidRPr="00687A1C" w:rsidRDefault="00174AEA" w:rsidP="00174AEA">
      <w:pPr>
        <w:pStyle w:val="Heading4"/>
      </w:pPr>
      <w:bookmarkStart w:id="84" w:name="Non_financial_physical_assets_start"/>
      <w:bookmarkStart w:id="85" w:name="Section_05"/>
      <w:r w:rsidRPr="00687A1C">
        <w:t>Introduction</w:t>
      </w:r>
    </w:p>
    <w:bookmarkEnd w:id="84"/>
    <w:p w:rsidR="00174AEA" w:rsidRPr="00687A1C" w:rsidRDefault="00174AEA" w:rsidP="00174AEA">
      <w:r w:rsidRPr="00687A1C">
        <w:t>The Department controls property plant and equipment that are utilised in fulfilling its objectives and conducting its activities. They represent the resources that have been entrusted to the Department to be utilised for delivery of services.</w:t>
      </w:r>
    </w:p>
    <w:p w:rsidR="00174AEA" w:rsidRPr="00687A1C" w:rsidRDefault="00174AEA" w:rsidP="00174AEA">
      <w:pPr>
        <w:pStyle w:val="Heading4"/>
      </w:pPr>
      <w:r w:rsidRPr="00687A1C">
        <w:t>Judgement required</w:t>
      </w:r>
    </w:p>
    <w:p w:rsidR="00174AEA" w:rsidRPr="00687A1C" w:rsidRDefault="00174AEA" w:rsidP="00174AEA">
      <w:r w:rsidRPr="00687A1C">
        <w:t xml:space="preserve">Where the assets included in this section are carried at fair value, additional information is disclosed in </w:t>
      </w:r>
      <w:r w:rsidR="00DE0CB9" w:rsidRPr="00687A1C">
        <w:t xml:space="preserve">note </w:t>
      </w:r>
      <w:r w:rsidRPr="00687A1C">
        <w:t>8.3 in connection with how those fair values were determined.</w:t>
      </w:r>
    </w:p>
    <w:p w:rsidR="00174AEA" w:rsidRPr="00687A1C" w:rsidRDefault="00174AEA" w:rsidP="00174AEA">
      <w:r w:rsidRPr="00687A1C">
        <w:t>In addition, judgements have also been applied in assessing the useful lives of property, plant and equipment.</w:t>
      </w:r>
    </w:p>
    <w:p w:rsidR="00174AEA" w:rsidRPr="00687A1C" w:rsidRDefault="00174AEA" w:rsidP="00174AEA">
      <w:pPr>
        <w:pStyle w:val="Heading4"/>
      </w:pPr>
      <w:r w:rsidRPr="00687A1C">
        <w:br w:type="column"/>
      </w:r>
      <w:r w:rsidRPr="00687A1C">
        <w:t>Structure</w:t>
      </w:r>
    </w:p>
    <w:p w:rsidR="00F97BB9" w:rsidRDefault="00174AEA">
      <w:pPr>
        <w:pStyle w:val="TOC5"/>
        <w:rPr>
          <w:noProof/>
          <w:color w:val="auto"/>
          <w:sz w:val="22"/>
        </w:rPr>
      </w:pPr>
      <w:r w:rsidRPr="00687A1C">
        <w:fldChar w:fldCharType="begin"/>
      </w:r>
      <w:r w:rsidRPr="00687A1C">
        <w:instrText xml:space="preserve"> TOC \h \z \t "Heading 2 numbered,5" \b Section_05 </w:instrText>
      </w:r>
      <w:r w:rsidRPr="00687A1C">
        <w:fldChar w:fldCharType="separate"/>
      </w:r>
      <w:hyperlink w:anchor="_Toc525026235" w:history="1">
        <w:r w:rsidR="00F97BB9" w:rsidRPr="00197AF8">
          <w:rPr>
            <w:rStyle w:val="Hyperlink"/>
            <w:noProof/>
          </w:rPr>
          <w:t>5.1</w:t>
        </w:r>
        <w:r w:rsidR="00F97BB9">
          <w:rPr>
            <w:noProof/>
            <w:color w:val="auto"/>
            <w:sz w:val="22"/>
          </w:rPr>
          <w:tab/>
        </w:r>
        <w:r w:rsidR="00F97BB9" w:rsidRPr="00197AF8">
          <w:rPr>
            <w:rStyle w:val="Hyperlink"/>
            <w:noProof/>
          </w:rPr>
          <w:t>Property, plant and equipment</w:t>
        </w:r>
        <w:r w:rsidR="00F97BB9">
          <w:rPr>
            <w:noProof/>
            <w:webHidden/>
          </w:rPr>
          <w:tab/>
        </w:r>
        <w:r w:rsidR="00F97BB9">
          <w:rPr>
            <w:noProof/>
            <w:webHidden/>
          </w:rPr>
          <w:fldChar w:fldCharType="begin"/>
        </w:r>
        <w:r w:rsidR="00F97BB9">
          <w:rPr>
            <w:noProof/>
            <w:webHidden/>
          </w:rPr>
          <w:instrText xml:space="preserve"> PAGEREF _Toc525026235 \h </w:instrText>
        </w:r>
        <w:r w:rsidR="00F97BB9">
          <w:rPr>
            <w:noProof/>
            <w:webHidden/>
          </w:rPr>
        </w:r>
        <w:r w:rsidR="00F97BB9">
          <w:rPr>
            <w:noProof/>
            <w:webHidden/>
          </w:rPr>
          <w:fldChar w:fldCharType="separate"/>
        </w:r>
        <w:r w:rsidR="00BE5F15">
          <w:rPr>
            <w:noProof/>
            <w:webHidden/>
          </w:rPr>
          <w:t>68</w:t>
        </w:r>
        <w:r w:rsidR="00F97BB9">
          <w:rPr>
            <w:noProof/>
            <w:webHidden/>
          </w:rPr>
          <w:fldChar w:fldCharType="end"/>
        </w:r>
      </w:hyperlink>
    </w:p>
    <w:p w:rsidR="00F97BB9" w:rsidRDefault="00EC4CFD">
      <w:pPr>
        <w:pStyle w:val="TOC5"/>
        <w:rPr>
          <w:noProof/>
          <w:color w:val="auto"/>
          <w:sz w:val="22"/>
        </w:rPr>
      </w:pPr>
      <w:hyperlink w:anchor="_Toc525026236" w:history="1">
        <w:r w:rsidR="00F97BB9" w:rsidRPr="00197AF8">
          <w:rPr>
            <w:rStyle w:val="Hyperlink"/>
            <w:noProof/>
          </w:rPr>
          <w:t>5.2</w:t>
        </w:r>
        <w:r w:rsidR="00F97BB9">
          <w:rPr>
            <w:noProof/>
            <w:color w:val="auto"/>
            <w:sz w:val="22"/>
          </w:rPr>
          <w:tab/>
        </w:r>
        <w:r w:rsidR="00F97BB9" w:rsidRPr="00197AF8">
          <w:rPr>
            <w:rStyle w:val="Hyperlink"/>
            <w:noProof/>
          </w:rPr>
          <w:t>Intangible assets</w:t>
        </w:r>
        <w:r w:rsidR="00F97BB9">
          <w:rPr>
            <w:noProof/>
            <w:webHidden/>
          </w:rPr>
          <w:tab/>
        </w:r>
        <w:r w:rsidR="00F97BB9">
          <w:rPr>
            <w:noProof/>
            <w:webHidden/>
          </w:rPr>
          <w:fldChar w:fldCharType="begin"/>
        </w:r>
        <w:r w:rsidR="00F97BB9">
          <w:rPr>
            <w:noProof/>
            <w:webHidden/>
          </w:rPr>
          <w:instrText xml:space="preserve"> PAGEREF _Toc525026236 \h </w:instrText>
        </w:r>
        <w:r w:rsidR="00F97BB9">
          <w:rPr>
            <w:noProof/>
            <w:webHidden/>
          </w:rPr>
        </w:r>
        <w:r w:rsidR="00F97BB9">
          <w:rPr>
            <w:noProof/>
            <w:webHidden/>
          </w:rPr>
          <w:fldChar w:fldCharType="separate"/>
        </w:r>
        <w:r w:rsidR="00BE5F15">
          <w:rPr>
            <w:noProof/>
            <w:webHidden/>
          </w:rPr>
          <w:t>72</w:t>
        </w:r>
        <w:r w:rsidR="00F97BB9">
          <w:rPr>
            <w:noProof/>
            <w:webHidden/>
          </w:rPr>
          <w:fldChar w:fldCharType="end"/>
        </w:r>
      </w:hyperlink>
    </w:p>
    <w:p w:rsidR="00174AEA" w:rsidRPr="00687A1C" w:rsidRDefault="00174AEA" w:rsidP="00174AEA">
      <w:r w:rsidRPr="00687A1C">
        <w:fldChar w:fldCharType="end"/>
      </w:r>
    </w:p>
    <w:p w:rsidR="00174AEA" w:rsidRPr="00687A1C" w:rsidRDefault="00174AEA" w:rsidP="00174AEA">
      <w:pPr>
        <w:sectPr w:rsidR="00174AEA" w:rsidRPr="00687A1C" w:rsidSect="00567A37">
          <w:type w:val="continuous"/>
          <w:pgSz w:w="11909" w:h="16834" w:code="9"/>
          <w:pgMar w:top="1728" w:right="1152" w:bottom="1152" w:left="1152" w:header="720" w:footer="288" w:gutter="0"/>
          <w:cols w:num="2" w:space="720"/>
          <w:noEndnote/>
        </w:sectPr>
      </w:pPr>
    </w:p>
    <w:p w:rsidR="00174AEA" w:rsidRPr="00687A1C" w:rsidRDefault="00174AEA" w:rsidP="005C5B5D">
      <w:pPr>
        <w:pStyle w:val="Heading2numbered"/>
      </w:pPr>
      <w:bookmarkStart w:id="86" w:name="_Toc525026198"/>
      <w:bookmarkStart w:id="87" w:name="_Toc525026235"/>
      <w:r w:rsidRPr="00687A1C">
        <w:t>Property, plant and equipment</w:t>
      </w:r>
      <w:bookmarkEnd w:id="86"/>
      <w:bookmarkEnd w:id="87"/>
    </w:p>
    <w:tbl>
      <w:tblPr>
        <w:tblStyle w:val="AnnualReporttexttable"/>
        <w:tblW w:w="7218" w:type="dxa"/>
        <w:tblLayout w:type="fixed"/>
        <w:tblLook w:val="00A0" w:firstRow="1" w:lastRow="0" w:firstColumn="1" w:lastColumn="0" w:noHBand="0" w:noVBand="0"/>
      </w:tblPr>
      <w:tblGrid>
        <w:gridCol w:w="5148"/>
        <w:gridCol w:w="1035"/>
        <w:gridCol w:w="1035"/>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shd w:val="clear" w:color="auto" w:fill="auto"/>
            <w:vAlign w:val="bottom"/>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35" w:type="dxa"/>
            <w:shd w:val="clear" w:color="auto" w:fill="auto"/>
            <w:vAlign w:val="bottom"/>
          </w:tcPr>
          <w:p w:rsidR="00174AEA" w:rsidRPr="00687A1C" w:rsidRDefault="00174AEA" w:rsidP="008A3976">
            <w:pPr>
              <w:pStyle w:val="Tabletextheadingright"/>
              <w:rPr>
                <w:b/>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Land</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At valuation</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bold"/>
            </w:pPr>
            <w:r w:rsidRPr="00687A1C">
              <w:t>602</w:t>
            </w:r>
            <w:r w:rsidR="00D8412D" w:rsidRPr="00687A1C">
              <w:rPr>
                <w:rFonts w:ascii="Calibri" w:hAnsi="Calibri" w:cs="Calibri"/>
              </w:rPr>
              <w:t xml:space="preserve"> </w:t>
            </w:r>
            <w:r w:rsidRPr="00687A1C">
              <w:t xml:space="preserve">551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603</w:t>
            </w:r>
            <w:r w:rsidR="00D8412D" w:rsidRPr="00687A1C">
              <w:rPr>
                <w:rFonts w:ascii="Calibri" w:hAnsi="Calibri" w:cs="Calibri"/>
              </w:rPr>
              <w:t xml:space="preserve"> </w:t>
            </w:r>
            <w:r w:rsidRPr="00687A1C">
              <w:t>512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spacing w:before="0" w:after="0"/>
              <w:rPr>
                <w:sz w:val="12"/>
              </w:rPr>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spacing w:before="0" w:after="0"/>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spacing w:before="0" w:after="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Buildings (including heritage buildings)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 xml:space="preserve">At independent valuation </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5952EF" w:rsidP="00D8412D">
            <w:pPr>
              <w:pStyle w:val="Tabletextright"/>
            </w:pPr>
            <w:r w:rsidRPr="00687A1C">
              <w:t>174</w:t>
            </w:r>
            <w:r w:rsidR="00D8412D" w:rsidRPr="00687A1C">
              <w:rPr>
                <w:rFonts w:ascii="Calibri" w:hAnsi="Calibri" w:cs="Courier New"/>
              </w:rPr>
              <w:t xml:space="preserve"> </w:t>
            </w:r>
            <w:r w:rsidRPr="00687A1C">
              <w:t>504</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181</w:t>
            </w:r>
            <w:r w:rsidR="00D8412D" w:rsidRPr="00687A1C">
              <w:rPr>
                <w:rFonts w:ascii="Calibri" w:hAnsi="Calibri" w:cs="Calibri"/>
              </w:rPr>
              <w:t xml:space="preserve"> </w:t>
            </w:r>
            <w:r w:rsidRPr="00687A1C">
              <w:t>173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At cost</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5952EF" w:rsidP="00D8412D">
            <w:pPr>
              <w:pStyle w:val="Tabletextright"/>
            </w:pPr>
            <w:r w:rsidRPr="00687A1C">
              <w:t>7</w:t>
            </w:r>
            <w:r w:rsidR="00D8412D" w:rsidRPr="00687A1C">
              <w:rPr>
                <w:rFonts w:ascii="Calibri" w:hAnsi="Calibri" w:cs="Courier New"/>
              </w:rPr>
              <w:t xml:space="preserve"> </w:t>
            </w:r>
            <w:r w:rsidR="00270A70" w:rsidRPr="00687A1C">
              <w:t>118</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064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Less: accumulated depreciation</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(12</w:t>
            </w:r>
            <w:r w:rsidR="00D8412D" w:rsidRPr="00687A1C">
              <w:rPr>
                <w:rFonts w:ascii="Calibri" w:hAnsi="Calibri" w:cs="Calibri"/>
              </w:rPr>
              <w:t xml:space="preserve"> </w:t>
            </w:r>
            <w:r w:rsidRPr="00687A1C">
              <w:t>054)</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r w:rsidRPr="00687A1C">
              <w:t>(72)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bold"/>
            </w:pPr>
            <w:r w:rsidRPr="00687A1C">
              <w:t>169</w:t>
            </w:r>
            <w:r w:rsidR="00D8412D" w:rsidRPr="00687A1C">
              <w:rPr>
                <w:rFonts w:ascii="Calibri" w:hAnsi="Calibri" w:cs="Calibri"/>
              </w:rPr>
              <w:t xml:space="preserve"> </w:t>
            </w:r>
            <w:r w:rsidRPr="00687A1C">
              <w:t xml:space="preserve">568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183</w:t>
            </w:r>
            <w:r w:rsidR="00D8412D" w:rsidRPr="00687A1C">
              <w:rPr>
                <w:rFonts w:ascii="Calibri" w:hAnsi="Calibri" w:cs="Calibri"/>
              </w:rPr>
              <w:t xml:space="preserve"> </w:t>
            </w:r>
            <w:r w:rsidRPr="00687A1C">
              <w:t>165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spacing w:before="0" w:after="0"/>
              <w:rPr>
                <w:sz w:val="12"/>
              </w:rPr>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spacing w:before="0" w:after="0"/>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spacing w:before="0" w:after="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 xml:space="preserve">Construction in progress – at cost </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13</w:t>
            </w:r>
            <w:r w:rsidR="00D8412D" w:rsidRPr="00687A1C">
              <w:rPr>
                <w:rFonts w:ascii="Calibri" w:hAnsi="Calibri" w:cs="Calibri"/>
              </w:rPr>
              <w:t xml:space="preserve"> </w:t>
            </w:r>
            <w:r w:rsidR="005952EF" w:rsidRPr="00687A1C">
              <w:t>264</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267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spacing w:before="0" w:after="0"/>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Total buildings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bold"/>
            </w:pPr>
            <w:r w:rsidRPr="00687A1C">
              <w:t>182</w:t>
            </w:r>
            <w:r w:rsidR="00D8412D" w:rsidRPr="00687A1C">
              <w:rPr>
                <w:rFonts w:ascii="Calibri" w:hAnsi="Calibri" w:cs="Calibri"/>
              </w:rPr>
              <w:t xml:space="preserve"> </w:t>
            </w:r>
            <w:r w:rsidR="005952EF" w:rsidRPr="00687A1C">
              <w:t>832</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189</w:t>
            </w:r>
            <w:r w:rsidR="00D8412D" w:rsidRPr="00687A1C">
              <w:rPr>
                <w:rFonts w:ascii="Calibri" w:hAnsi="Calibri" w:cs="Calibri"/>
              </w:rPr>
              <w:t xml:space="preserve"> </w:t>
            </w:r>
            <w:r w:rsidRPr="00687A1C">
              <w:t>432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spacing w:before="0" w:after="0"/>
              <w:rPr>
                <w:sz w:val="12"/>
              </w:rPr>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spacing w:before="0" w:after="0"/>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spacing w:before="0" w:after="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Leasehold improvements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spacing w:before="0" w:after="0"/>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spacing w:before="0" w:after="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Leasehold improvements – at fair value</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10</w:t>
            </w:r>
            <w:r w:rsidR="00D8412D" w:rsidRPr="00687A1C">
              <w:rPr>
                <w:rFonts w:ascii="Calibri" w:hAnsi="Calibri" w:cs="Calibri"/>
              </w:rPr>
              <w:t xml:space="preserve"> </w:t>
            </w:r>
            <w:r w:rsidRPr="00687A1C">
              <w:t xml:space="preserve">542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10</w:t>
            </w:r>
            <w:r w:rsidR="00D8412D" w:rsidRPr="00687A1C">
              <w:rPr>
                <w:rFonts w:ascii="Calibri" w:hAnsi="Calibri" w:cs="Calibri"/>
              </w:rPr>
              <w:t xml:space="preserve"> </w:t>
            </w:r>
            <w:r w:rsidRPr="00687A1C">
              <w:t>542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Less: accumulated depreciation</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(9</w:t>
            </w:r>
            <w:r w:rsidR="00D8412D" w:rsidRPr="00687A1C">
              <w:rPr>
                <w:rFonts w:ascii="Calibri" w:hAnsi="Calibri" w:cs="Calibri"/>
              </w:rPr>
              <w:t xml:space="preserve"> </w:t>
            </w:r>
            <w:r w:rsidRPr="00687A1C">
              <w:t>083)</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(8</w:t>
            </w:r>
            <w:r w:rsidR="00D8412D" w:rsidRPr="00687A1C">
              <w:rPr>
                <w:rFonts w:ascii="Calibri" w:hAnsi="Calibri" w:cs="Calibri"/>
              </w:rPr>
              <w:t xml:space="preserve"> </w:t>
            </w:r>
            <w:r w:rsidRPr="00687A1C">
              <w:t>992)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Total leasehold improvements</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 xml:space="preserve">459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550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rPr>
                <w:b w:val="0"/>
                <w:sz w:val="12"/>
              </w:rPr>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spacing w:before="0" w:after="0"/>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spacing w:before="0" w:after="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Plant and equipment</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Office and computer equipment – at fair value</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12</w:t>
            </w:r>
            <w:r w:rsidR="00D8412D" w:rsidRPr="00687A1C">
              <w:rPr>
                <w:rFonts w:ascii="Calibri" w:hAnsi="Calibri" w:cs="Calibri"/>
              </w:rPr>
              <w:t xml:space="preserve"> </w:t>
            </w:r>
            <w:r w:rsidRPr="00687A1C">
              <w:t xml:space="preserve">144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11</w:t>
            </w:r>
            <w:r w:rsidR="00D8412D" w:rsidRPr="00687A1C">
              <w:rPr>
                <w:rFonts w:ascii="Calibri" w:hAnsi="Calibri" w:cs="Calibri"/>
              </w:rPr>
              <w:t xml:space="preserve"> </w:t>
            </w:r>
            <w:r w:rsidRPr="00687A1C">
              <w:t>847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Less: accumulated depreciation</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(11</w:t>
            </w:r>
            <w:r w:rsidR="00D8412D" w:rsidRPr="00687A1C">
              <w:rPr>
                <w:rFonts w:ascii="Calibri" w:hAnsi="Calibri" w:cs="Calibri"/>
              </w:rPr>
              <w:t xml:space="preserve"> </w:t>
            </w:r>
            <w:r w:rsidRPr="00687A1C">
              <w:t>451)</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(11</w:t>
            </w:r>
            <w:r w:rsidR="00D8412D" w:rsidRPr="00687A1C">
              <w:rPr>
                <w:rFonts w:ascii="Calibri" w:hAnsi="Calibri" w:cs="Calibri"/>
              </w:rPr>
              <w:t xml:space="preserve"> </w:t>
            </w:r>
            <w:r w:rsidRPr="00687A1C">
              <w:t>725)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bold"/>
            </w:pPr>
            <w:r w:rsidRPr="00687A1C">
              <w:t xml:space="preserve">693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bold"/>
            </w:pPr>
            <w:r w:rsidRPr="00687A1C">
              <w:t>122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spacing w:before="0" w:after="0"/>
              <w:rPr>
                <w:sz w:val="12"/>
              </w:rPr>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spacing w:before="0" w:after="0"/>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spacing w:before="0" w:after="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Motor vehicles under finance lease</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 xml:space="preserve">175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677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r w:rsidRPr="00687A1C">
              <w:t>Less: accumulated depreciation</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684)</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476)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 xml:space="preserve">491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201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spacing w:before="0" w:after="0"/>
              <w:rPr>
                <w:sz w:val="12"/>
              </w:rPr>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Total plant and equipment</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bold"/>
            </w:pPr>
            <w:r w:rsidRPr="00687A1C">
              <w:t>5</w:t>
            </w:r>
            <w:r w:rsidR="00D8412D" w:rsidRPr="00687A1C">
              <w:rPr>
                <w:rFonts w:ascii="Calibri" w:hAnsi="Calibri" w:cs="Calibri"/>
              </w:rPr>
              <w:t xml:space="preserve"> </w:t>
            </w:r>
            <w:r w:rsidRPr="00687A1C">
              <w:t xml:space="preserve">184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323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spacing w:before="0" w:after="0"/>
              <w:rPr>
                <w:sz w:val="12"/>
              </w:rPr>
            </w:pP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8A3976">
            <w:pPr>
              <w:pStyle w:val="Tabletextright"/>
              <w:spacing w:before="0" w:after="0"/>
            </w:pP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8A3976">
            <w:pPr>
              <w:pStyle w:val="Tabletextright"/>
              <w:spacing w:before="0" w:after="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Total property, plant and equipment</w:t>
            </w:r>
          </w:p>
        </w:tc>
        <w:tc>
          <w:tcPr>
            <w:cnfStyle w:val="000010000000" w:firstRow="0" w:lastRow="0" w:firstColumn="0" w:lastColumn="0" w:oddVBand="1" w:evenVBand="0" w:oddHBand="0" w:evenHBand="0" w:firstRowFirstColumn="0" w:firstRowLastColumn="0" w:lastRowFirstColumn="0" w:lastRowLastColumn="0"/>
            <w:tcW w:w="1035" w:type="dxa"/>
          </w:tcPr>
          <w:p w:rsidR="00174AEA" w:rsidRPr="00687A1C" w:rsidRDefault="00174AEA" w:rsidP="00D8412D">
            <w:pPr>
              <w:pStyle w:val="Tabletextrightbold"/>
            </w:pPr>
            <w:r w:rsidRPr="00687A1C">
              <w:t>792</w:t>
            </w:r>
            <w:r w:rsidR="00D8412D" w:rsidRPr="00687A1C">
              <w:rPr>
                <w:rFonts w:ascii="Calibri" w:hAnsi="Calibri" w:cs="Calibri"/>
              </w:rPr>
              <w:t xml:space="preserve"> </w:t>
            </w:r>
            <w:r w:rsidRPr="00687A1C">
              <w:t>0</w:t>
            </w:r>
            <w:r w:rsidR="005952EF" w:rsidRPr="00687A1C">
              <w:t>26</w:t>
            </w:r>
            <w:r w:rsidRPr="00687A1C">
              <w:t xml:space="preserve"> </w:t>
            </w:r>
          </w:p>
        </w:tc>
        <w:tc>
          <w:tcPr>
            <w:cnfStyle w:val="000001000000" w:firstRow="0" w:lastRow="0" w:firstColumn="0" w:lastColumn="0" w:oddVBand="0" w:evenVBand="1" w:oddHBand="0" w:evenHBand="0" w:firstRowFirstColumn="0" w:firstRowLastColumn="0" w:lastRowFirstColumn="0" w:lastRowLastColumn="0"/>
            <w:tcW w:w="1035" w:type="dxa"/>
          </w:tcPr>
          <w:p w:rsidR="00174AEA" w:rsidRPr="00687A1C" w:rsidRDefault="00174AEA" w:rsidP="00D8412D">
            <w:pPr>
              <w:pStyle w:val="Tabletextrightbold"/>
            </w:pPr>
            <w:r w:rsidRPr="00687A1C">
              <w:t>798</w:t>
            </w:r>
            <w:r w:rsidR="00D8412D" w:rsidRPr="00687A1C">
              <w:rPr>
                <w:rFonts w:ascii="Calibri" w:hAnsi="Calibri" w:cs="Calibri"/>
              </w:rPr>
              <w:t xml:space="preserve"> </w:t>
            </w:r>
            <w:r w:rsidRPr="00687A1C">
              <w:t>817</w:t>
            </w:r>
          </w:p>
        </w:tc>
      </w:tr>
    </w:tbl>
    <w:p w:rsidR="00174AEA" w:rsidRPr="00687A1C" w:rsidRDefault="00174AEA" w:rsidP="00174AEA"/>
    <w:p w:rsidR="00174AEA" w:rsidRPr="00687A1C" w:rsidRDefault="00174AEA" w:rsidP="00174AEA">
      <w:pPr>
        <w:sectPr w:rsidR="00174AEA" w:rsidRPr="00687A1C" w:rsidSect="00567A37">
          <w:type w:val="continuous"/>
          <w:pgSz w:w="11909" w:h="16834" w:code="9"/>
          <w:pgMar w:top="1728" w:right="1152" w:bottom="1152" w:left="1152" w:header="720" w:footer="288" w:gutter="0"/>
          <w:cols w:space="720"/>
          <w:noEndnote/>
        </w:sectPr>
      </w:pPr>
    </w:p>
    <w:p w:rsidR="00E327A5" w:rsidRDefault="00E327A5">
      <w:pPr>
        <w:spacing w:before="0" w:after="0" w:line="240" w:lineRule="auto"/>
        <w:rPr>
          <w:rFonts w:cs="Arial"/>
          <w:b/>
          <w:color w:val="4D4D4D"/>
          <w:sz w:val="19"/>
          <w:szCs w:val="20"/>
        </w:rPr>
      </w:pPr>
      <w:r>
        <w:br w:type="page"/>
      </w:r>
    </w:p>
    <w:p w:rsidR="00174AEA" w:rsidRPr="00687A1C" w:rsidRDefault="00174AEA" w:rsidP="00174AEA">
      <w:pPr>
        <w:pStyle w:val="Heading4"/>
      </w:pPr>
      <w:r w:rsidRPr="00687A1C">
        <w:lastRenderedPageBreak/>
        <w:t>Initial recognition</w:t>
      </w:r>
    </w:p>
    <w:p w:rsidR="00174AEA" w:rsidRPr="00687A1C" w:rsidRDefault="00174AEA" w:rsidP="00174AEA">
      <w:r w:rsidRPr="00687A1C">
        <w:t>Property, plant and equipment are recognised initially at cost and subsequently measured at fair value less accumulated depreciation and impairment. Where an asset is acquired for no or nominal cost, the cost is its fair value at the date of acquisition. Assets transferred as part of a machinery of government change are transferred at their carrying amount.</w:t>
      </w:r>
    </w:p>
    <w:p w:rsidR="00174AEA" w:rsidRPr="00687A1C" w:rsidRDefault="00174AEA" w:rsidP="00174AEA">
      <w:r w:rsidRPr="00687A1C">
        <w:t>The cost of leasehold improvements is capitalised and depreciated over the shorter of the remaining term of the lease or their estimated useful lives.</w:t>
      </w:r>
    </w:p>
    <w:p w:rsidR="00174AEA" w:rsidRPr="00687A1C" w:rsidRDefault="00174AEA" w:rsidP="00174AEA">
      <w:r w:rsidRPr="00687A1C">
        <w:t>The initial cost for non-financial physical assets under a finance lease is measured at amounts equal to the fair value of the leased assets or, if lower, the present value of the minimum lease payments, each determined at the inception of the lease.</w:t>
      </w:r>
    </w:p>
    <w:p w:rsidR="00174AEA" w:rsidRPr="00687A1C" w:rsidRDefault="00174AEA" w:rsidP="00174AEA">
      <w:r w:rsidRPr="00687A1C">
        <w:t>The cost of non-financial physical assets constructed by the Department includes the cost of all materials used in construction, direct labour on the project, and an appropriate proportion of variable and fixed overheads.</w:t>
      </w:r>
    </w:p>
    <w:p w:rsidR="00174AEA" w:rsidRPr="00687A1C" w:rsidRDefault="00174AEA" w:rsidP="00174AEA">
      <w:pPr>
        <w:pStyle w:val="Heading4"/>
      </w:pPr>
      <w:r w:rsidRPr="00687A1C">
        <w:t>Subsequent measurement</w:t>
      </w:r>
    </w:p>
    <w:p w:rsidR="00174AEA" w:rsidRPr="00687A1C" w:rsidRDefault="00F8088B" w:rsidP="00174AEA">
      <w:r w:rsidRPr="00687A1C">
        <w:t>Property, plant and equipment are subsequently measured at fair value less accumulated depreciation and impairment. Fair value is determined with regard to the asset’s highest and best use, considering legal or physical restrictions imposed on the asset, public announcements or commitments made in relation to the intended use of the asset and is summarised below by asset category.</w:t>
      </w:r>
    </w:p>
    <w:p w:rsidR="00174AEA" w:rsidRPr="00687A1C" w:rsidRDefault="00174AEA" w:rsidP="00174AEA">
      <w:r w:rsidRPr="00687A1C">
        <w:t>The latest revaluations of building assets were based on independent assessments as at 30</w:t>
      </w:r>
      <w:r w:rsidRPr="00687A1C">
        <w:rPr>
          <w:rFonts w:ascii="Calibri" w:hAnsi="Calibri" w:cs="Calibri"/>
        </w:rPr>
        <w:t> </w:t>
      </w:r>
      <w:r w:rsidRPr="00687A1C">
        <w:t>June</w:t>
      </w:r>
      <w:r w:rsidRPr="00687A1C">
        <w:rPr>
          <w:rFonts w:ascii="Calibri" w:hAnsi="Calibri" w:cs="Calibri"/>
        </w:rPr>
        <w:t> </w:t>
      </w:r>
      <w:r w:rsidRPr="00687A1C">
        <w:t xml:space="preserve">2017, which resulted in a net revaluation increase of </w:t>
      </w:r>
      <w:r w:rsidRPr="00687A1C">
        <w:br/>
        <w:t>$72.9</w:t>
      </w:r>
      <w:r w:rsidR="006F069A" w:rsidRPr="00687A1C">
        <w:rPr>
          <w:rFonts w:ascii="Calibri" w:hAnsi="Calibri" w:cs="Calibri"/>
        </w:rPr>
        <w:t> </w:t>
      </w:r>
      <w:r w:rsidR="006F069A" w:rsidRPr="00687A1C">
        <w:t>million</w:t>
      </w:r>
      <w:r w:rsidRPr="00687A1C">
        <w:t>. The valuations were carried out by Valuer</w:t>
      </w:r>
      <w:r w:rsidRPr="00687A1C">
        <w:noBreakHyphen/>
        <w:t xml:space="preserve">General Victoria, Urbis Valuation Pty Ltd, </w:t>
      </w:r>
      <w:r w:rsidRPr="00687A1C">
        <w:rPr>
          <w:color w:val="000000"/>
        </w:rPr>
        <w:t xml:space="preserve">Dominion Group Pty Ltd </w:t>
      </w:r>
      <w:r w:rsidRPr="00687A1C">
        <w:t>and Value IT Pty. Ltd.</w:t>
      </w:r>
      <w:r w:rsidRPr="00687A1C" w:rsidDel="000E1179">
        <w:t xml:space="preserve"> </w:t>
      </w:r>
    </w:p>
    <w:p w:rsidR="00174AEA" w:rsidRPr="00687A1C" w:rsidRDefault="00174AEA" w:rsidP="00174AEA">
      <w:pPr>
        <w:pStyle w:val="Heading4"/>
      </w:pPr>
      <w:r w:rsidRPr="00687A1C">
        <w:t>Restricted nature of heritage assets and specialised land</w:t>
      </w:r>
    </w:p>
    <w:p w:rsidR="00174AEA" w:rsidRPr="00687A1C" w:rsidRDefault="00174AEA" w:rsidP="00174AEA">
      <w:r w:rsidRPr="00687A1C">
        <w:t>During, and at the end of, the reporting period, the Department held heritage assets and specialised land (note 8.3), which are deemed worthy of preservation for the social rather than financial benefits they provide to the community. Consequently</w:t>
      </w:r>
      <w:r w:rsidR="000413BE" w:rsidRPr="00687A1C">
        <w:t>,</w:t>
      </w:r>
      <w:r w:rsidRPr="00687A1C">
        <w:t xml:space="preserve"> there are certain limitations and restrictions imposed on their use and/or disposal. </w:t>
      </w:r>
    </w:p>
    <w:p w:rsidR="00174AEA" w:rsidRPr="00687A1C" w:rsidRDefault="00174AEA" w:rsidP="00174AEA">
      <w:r w:rsidRPr="00687A1C">
        <w:t>The carrying amount of buildings listed as heritage assets is $102</w:t>
      </w:r>
      <w:r w:rsidR="006F069A" w:rsidRPr="00687A1C">
        <w:rPr>
          <w:rFonts w:ascii="Calibri" w:hAnsi="Calibri" w:cs="Calibri"/>
        </w:rPr>
        <w:t> </w:t>
      </w:r>
      <w:r w:rsidR="006F069A" w:rsidRPr="00687A1C">
        <w:t>million</w:t>
      </w:r>
      <w:r w:rsidRPr="00687A1C">
        <w:t xml:space="preserve"> (2017 – $107</w:t>
      </w:r>
      <w:r w:rsidR="006F069A" w:rsidRPr="00687A1C">
        <w:rPr>
          <w:rFonts w:ascii="Calibri" w:hAnsi="Calibri" w:cs="Calibri"/>
        </w:rPr>
        <w:t> </w:t>
      </w:r>
      <w:r w:rsidR="006F069A" w:rsidRPr="00687A1C">
        <w:t>million</w:t>
      </w:r>
      <w:r w:rsidRPr="00687A1C">
        <w:t xml:space="preserve">). These heritage assets cannot be modified </w:t>
      </w:r>
      <w:r w:rsidR="000413BE" w:rsidRPr="00687A1C">
        <w:t>nor disposed of without formal m</w:t>
      </w:r>
      <w:r w:rsidRPr="00687A1C">
        <w:t>inisterial approval.</w:t>
      </w:r>
    </w:p>
    <w:p w:rsidR="00174AEA" w:rsidRPr="00687A1C" w:rsidRDefault="00174AEA" w:rsidP="00174AEA">
      <w:pPr>
        <w:pStyle w:val="Heading4"/>
      </w:pPr>
      <w:r w:rsidRPr="00687A1C">
        <w:br w:type="column"/>
      </w:r>
      <w:r w:rsidRPr="00687A1C">
        <w:t>Revaluation of non-financial physical assets</w:t>
      </w:r>
    </w:p>
    <w:p w:rsidR="00174AEA" w:rsidRPr="00687A1C" w:rsidRDefault="00174AEA" w:rsidP="00174AEA">
      <w:r w:rsidRPr="00687A1C">
        <w:t>Non-financial physical assets are measured at fair value in accordance with the Financial Reporting Directions issued by the Minister for Finance. A full revaluation normally occurs every five years, based on the asset’s government purpose classification, but may occur more frequently if fair value assessments indicate material changes in values. Scheduled revaluations and any interim revaluations are conducted by independent valuers as determined in accordance with the requirements of the Financial Reporting Directions. Revaluation increases or decreases arise from differences between an asset’s carrying value and fair value.</w:t>
      </w:r>
    </w:p>
    <w:p w:rsidR="00174AEA" w:rsidRPr="00687A1C" w:rsidRDefault="00174AEA" w:rsidP="00174AEA">
      <w:r w:rsidRPr="00687A1C">
        <w:t>Net revaluation increases (where the carrying amount of a class of assets is increased as a result of a revaluation) are recognised in ‘other economic flows – other comprehensive income’, and accumulated in the asset revaluation surplus. However, the net revaluation increase is recognised in the net result to the extent that it reverses a net revaluation decrease in respect of the same class of property, plant and equipment previously recognised as an expense (other economic flows) in the net result.</w:t>
      </w:r>
    </w:p>
    <w:p w:rsidR="00174AEA" w:rsidRPr="00687A1C" w:rsidRDefault="00174AEA" w:rsidP="00174AEA">
      <w:r w:rsidRPr="00687A1C">
        <w:t>Net revaluation decreases are recognised in ‘other economic flows – other comprehensive income’ to the extent that a credit balance exists in the asset revaluation surplus in respect of the same class of property, plant and equipment. Otherwise, the net revaluation decreases are recognised immediately as other economic flows in the net result. The net revaluation decrease recognised in ‘other economic flows – other comprehensive income’ reduces the amount accumulated in the asset revaluation surplus.</w:t>
      </w:r>
    </w:p>
    <w:p w:rsidR="00174AEA" w:rsidRPr="00687A1C" w:rsidRDefault="00174AEA" w:rsidP="00174AEA">
      <w:r w:rsidRPr="00687A1C">
        <w:t>Revaluation increases and decreases relating to individual assets in a class of property, plant and equipment, are offset against one another in that class but are not offset in respect of assets in different classes. The asset revaluation surplus is not transferred to accumulated funds on derecognition of the relevant asset.</w:t>
      </w:r>
    </w:p>
    <w:p w:rsidR="00174AEA" w:rsidRPr="00687A1C" w:rsidRDefault="00174AEA" w:rsidP="00174AEA">
      <w:r w:rsidRPr="00687A1C">
        <w:t xml:space="preserve">Refer to </w:t>
      </w:r>
      <w:r w:rsidR="00F8088B" w:rsidRPr="00687A1C">
        <w:t xml:space="preserve">note </w:t>
      </w:r>
      <w:r w:rsidRPr="00687A1C">
        <w:t xml:space="preserve">8.3 for additional information on fair value determination of property, plant and equipment. </w:t>
      </w:r>
    </w:p>
    <w:p w:rsidR="00174AEA" w:rsidRPr="00687A1C" w:rsidRDefault="00174AEA" w:rsidP="00174AEA">
      <w:r w:rsidRPr="00687A1C">
        <w:t xml:space="preserve"> </w:t>
      </w:r>
    </w:p>
    <w:p w:rsidR="00174AEA" w:rsidRPr="00687A1C" w:rsidRDefault="00174AEA" w:rsidP="00174AEA">
      <w:pPr>
        <w:pStyle w:val="Heading3numbered"/>
        <w:sectPr w:rsidR="00174AEA" w:rsidRPr="00687A1C" w:rsidSect="007D645C">
          <w:headerReference w:type="even" r:id="rId63"/>
          <w:type w:val="continuous"/>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lastRenderedPageBreak/>
        <w:t>Depreciation and amortisation</w:t>
      </w:r>
    </w:p>
    <w:tbl>
      <w:tblPr>
        <w:tblStyle w:val="AnnualReporttexttable"/>
        <w:tblW w:w="0" w:type="auto"/>
        <w:tblLayout w:type="fixed"/>
        <w:tblLook w:val="00A0" w:firstRow="1" w:lastRow="0" w:firstColumn="1" w:lastColumn="0" w:noHBand="0" w:noVBand="0"/>
      </w:tblPr>
      <w:tblGrid>
        <w:gridCol w:w="6663"/>
        <w:gridCol w:w="1134"/>
        <w:gridCol w:w="1088"/>
      </w:tblGrid>
      <w:tr w:rsidR="00174AEA" w:rsidRPr="00687A1C" w:rsidTr="008A3976">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heade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bottom"/>
          </w:tcPr>
          <w:p w:rsidR="00174AEA" w:rsidRPr="00687A1C" w:rsidRDefault="00174AEA" w:rsidP="008A3976">
            <w:pPr>
              <w:pStyle w:val="Tableheader"/>
              <w:rPr>
                <w:bCs/>
              </w:rPr>
            </w:pPr>
            <w:r w:rsidRPr="00687A1C">
              <w:t>2018</w:t>
            </w:r>
          </w:p>
        </w:tc>
        <w:tc>
          <w:tcPr>
            <w:cnfStyle w:val="000001000000" w:firstRow="0" w:lastRow="0" w:firstColumn="0" w:lastColumn="0" w:oddVBand="0" w:evenVBand="1" w:oddHBand="0" w:evenHBand="0" w:firstRowFirstColumn="0" w:firstRowLastColumn="0" w:lastRowFirstColumn="0" w:lastRowLastColumn="0"/>
            <w:tcW w:w="1088" w:type="dxa"/>
            <w:vAlign w:val="bottom"/>
          </w:tcPr>
          <w:p w:rsidR="00174AEA" w:rsidRPr="00687A1C" w:rsidRDefault="00174AEA" w:rsidP="008A3976">
            <w:pPr>
              <w:pStyle w:val="Tableheader"/>
              <w:rPr>
                <w:bCs/>
              </w:rPr>
            </w:pPr>
            <w:r w:rsidRPr="00687A1C">
              <w:t>2017</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bold"/>
            </w:pPr>
            <w:r w:rsidRPr="00687A1C">
              <w:t>Charge for the period</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rsidR="00174AEA" w:rsidRPr="00687A1C" w:rsidRDefault="00174AEA" w:rsidP="008A3976">
            <w:pPr>
              <w:pStyle w:val="Tableheader"/>
              <w:rPr>
                <w:bCs/>
              </w:rPr>
            </w:pPr>
            <w:r w:rsidRPr="00687A1C">
              <w:rPr>
                <w:b/>
              </w:rPr>
              <w:t>$’000</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8A3976">
            <w:pPr>
              <w:pStyle w:val="Tableheader"/>
              <w:rPr>
                <w:bCs/>
              </w:rPr>
            </w:pPr>
            <w:r w:rsidRPr="00687A1C">
              <w:rPr>
                <w:b/>
              </w:rPr>
              <w:t>$’000</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
            </w:pPr>
            <w:r w:rsidRPr="00687A1C">
              <w:t>Buildings – structures and ground development</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284</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451</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
            </w:pPr>
            <w:r w:rsidRPr="00687A1C">
              <w:t>Buildings – other building components</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698</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094</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
            </w:pPr>
            <w:r w:rsidRPr="00687A1C">
              <w:t>Leasehold improvements</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8A3976">
            <w:pPr>
              <w:pStyle w:val="Tabletextright"/>
            </w:pPr>
            <w:r w:rsidRPr="00687A1C">
              <w:t>91</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8A3976">
            <w:pPr>
              <w:pStyle w:val="Tabletextright"/>
            </w:pPr>
            <w:r w:rsidRPr="00687A1C">
              <w:t>194</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
            </w:pPr>
            <w:r w:rsidRPr="00687A1C">
              <w:t>Office and computer equipment</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8A3976">
            <w:pPr>
              <w:pStyle w:val="Tabletextright"/>
            </w:pPr>
            <w:r w:rsidRPr="00687A1C">
              <w:t>71</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8A3976">
            <w:pPr>
              <w:pStyle w:val="Tabletextright"/>
            </w:pPr>
            <w:r w:rsidRPr="00687A1C">
              <w:t>661</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
            </w:pPr>
            <w:r w:rsidRPr="00687A1C">
              <w:t>Motor vehicles under finance lease</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157</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124</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
            </w:pPr>
            <w:r w:rsidRPr="00687A1C">
              <w:t>Municipal valuations database</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D8412D">
            <w:pPr>
              <w:pStyle w:val="Tabletextright"/>
            </w:pPr>
            <w:r w:rsidRPr="00687A1C">
              <w:t>17</w:t>
            </w:r>
            <w:r w:rsidR="00D8412D" w:rsidRPr="00687A1C">
              <w:rPr>
                <w:rFonts w:ascii="Calibri" w:hAnsi="Calibri" w:cs="Calibri"/>
              </w:rPr>
              <w:t xml:space="preserve"> </w:t>
            </w:r>
            <w:r w:rsidR="00BE1C02" w:rsidRPr="00687A1C">
              <w:t>457</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000</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
            </w:pPr>
            <w:r w:rsidRPr="00687A1C">
              <w:t>Capitalised software development</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001</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105</w:t>
            </w:r>
          </w:p>
        </w:tc>
      </w:tr>
      <w:tr w:rsidR="00174AEA" w:rsidRPr="00687A1C" w:rsidTr="008A3976">
        <w:trPr>
          <w:trHeight w:val="279"/>
        </w:trPr>
        <w:tc>
          <w:tcPr>
            <w:cnfStyle w:val="001000000000" w:firstRow="0" w:lastRow="0" w:firstColumn="1" w:lastColumn="0" w:oddVBand="0" w:evenVBand="0" w:oddHBand="0" w:evenHBand="0" w:firstRowFirstColumn="0" w:firstRowLastColumn="0" w:lastRowFirstColumn="0" w:lastRowLastColumn="0"/>
            <w:tcW w:w="6663" w:type="dxa"/>
          </w:tcPr>
          <w:p w:rsidR="00174AEA" w:rsidRPr="00687A1C" w:rsidRDefault="00174AEA" w:rsidP="008A3976">
            <w:pPr>
              <w:pStyle w:val="Tabletextbold"/>
            </w:pPr>
            <w:r w:rsidRPr="00687A1C">
              <w:t>Total depreciation and amortisation</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D8412D">
            <w:pPr>
              <w:pStyle w:val="Tabletextrightbold"/>
            </w:pPr>
            <w:r w:rsidRPr="00687A1C">
              <w:t>34</w:t>
            </w:r>
            <w:r w:rsidR="00D8412D" w:rsidRPr="00687A1C">
              <w:rPr>
                <w:rFonts w:ascii="Calibri" w:hAnsi="Calibri" w:cs="Calibri"/>
              </w:rPr>
              <w:t xml:space="preserve"> </w:t>
            </w:r>
            <w:r w:rsidR="00BE1C02" w:rsidRPr="00687A1C">
              <w:t>759</w:t>
            </w:r>
          </w:p>
        </w:tc>
        <w:tc>
          <w:tcPr>
            <w:cnfStyle w:val="000001000000" w:firstRow="0" w:lastRow="0" w:firstColumn="0" w:lastColumn="0" w:oddVBand="0" w:evenVBand="1" w:oddHBand="0" w:evenHBand="0" w:firstRowFirstColumn="0" w:firstRowLastColumn="0" w:lastRowFirstColumn="0" w:lastRowLastColumn="0"/>
            <w:tcW w:w="1088" w:type="dxa"/>
          </w:tcPr>
          <w:p w:rsidR="00174AEA" w:rsidRPr="00687A1C" w:rsidRDefault="00174AEA" w:rsidP="00D8412D">
            <w:pPr>
              <w:pStyle w:val="Tabletextrightbold"/>
            </w:pPr>
            <w:r w:rsidRPr="00687A1C">
              <w:t>23</w:t>
            </w:r>
            <w:r w:rsidR="00D8412D" w:rsidRPr="00687A1C">
              <w:rPr>
                <w:rFonts w:ascii="Calibri" w:hAnsi="Calibri" w:cs="Calibri"/>
              </w:rPr>
              <w:t xml:space="preserve"> </w:t>
            </w:r>
            <w:r w:rsidRPr="00687A1C">
              <w:t>629</w:t>
            </w:r>
          </w:p>
        </w:tc>
      </w:tr>
    </w:tbl>
    <w:p w:rsidR="00174AEA" w:rsidRPr="00687A1C" w:rsidRDefault="00174AEA" w:rsidP="00174AEA"/>
    <w:p w:rsidR="00174AEA" w:rsidRPr="00687A1C" w:rsidRDefault="00174AEA" w:rsidP="00174AEA">
      <w:pPr>
        <w:sectPr w:rsidR="00174AEA" w:rsidRPr="00687A1C" w:rsidSect="002D7D81">
          <w:headerReference w:type="even" r:id="rId64"/>
          <w:headerReference w:type="default" r:id="rId65"/>
          <w:pgSz w:w="11909" w:h="16834" w:code="9"/>
          <w:pgMar w:top="1728" w:right="1152" w:bottom="1152" w:left="1152" w:header="720" w:footer="288" w:gutter="0"/>
          <w:cols w:space="720"/>
          <w:noEndnote/>
        </w:sectPr>
      </w:pPr>
    </w:p>
    <w:p w:rsidR="00174AEA" w:rsidRPr="00687A1C" w:rsidRDefault="00174AEA" w:rsidP="00174AEA">
      <w:r w:rsidRPr="00687A1C">
        <w:t>Land assets, which are considered to have an indefinite life, are not depreciated. Depreciation is not recognised in respect of these assets as their service potential has not, in any material sense, been consumed during the reporting period.</w:t>
      </w:r>
    </w:p>
    <w:p w:rsidR="00174AEA" w:rsidRPr="00687A1C" w:rsidRDefault="00174AEA" w:rsidP="00174AEA">
      <w:r w:rsidRPr="00687A1C">
        <w:t>All buildings, plant and equipment and other non-financial physical assets, excluding assets held for sale, that have finite useful lives are depreciated. Depreciat</w:t>
      </w:r>
      <w:r w:rsidR="000413BE" w:rsidRPr="00687A1C">
        <w:t>ion is calculated on a straight-</w:t>
      </w:r>
      <w:r w:rsidRPr="00687A1C">
        <w:t xml:space="preserve">line basis at rates that allocate the asset’s value, less any estimated residual value, over its expected useful life. Leasehold improvements are depreciated over the period of the lease or estimated useful life, whichever is </w:t>
      </w:r>
      <w:r w:rsidR="000413BE" w:rsidRPr="00687A1C">
        <w:t>the shorter, using the straight-</w:t>
      </w:r>
      <w:r w:rsidRPr="00687A1C">
        <w:t xml:space="preserve">line method. Intangible produced assets with finite useful lives are </w:t>
      </w:r>
      <w:r w:rsidR="00F8088B" w:rsidRPr="00687A1C">
        <w:t>amortised</w:t>
      </w:r>
      <w:r w:rsidRPr="00687A1C">
        <w:t xml:space="preserve"> as an expense </w:t>
      </w:r>
      <w:r w:rsidR="000413BE" w:rsidRPr="00687A1C">
        <w:t>from transactions on a straight-</w:t>
      </w:r>
      <w:r w:rsidRPr="00687A1C">
        <w:t xml:space="preserve">line basis over the asset’s useful life. </w:t>
      </w:r>
    </w:p>
    <w:p w:rsidR="00174AEA" w:rsidRPr="00687A1C" w:rsidRDefault="00F8088B" w:rsidP="00174AEA">
      <w:r w:rsidRPr="00687A1C">
        <w:t>Depreciation and amortisation begins when the asset is available for use, that is, when it is in the location and condition necessary for it to be capable of operating in the manner intended by management.</w:t>
      </w:r>
    </w:p>
    <w:p w:rsidR="00174AEA" w:rsidRPr="00687A1C" w:rsidRDefault="00174AEA" w:rsidP="00174AEA">
      <w:r w:rsidRPr="00687A1C">
        <w:t>Estimated useful lives applicable for the years ended 30 June 2018 and 30 June 2017 are as follows:</w:t>
      </w:r>
    </w:p>
    <w:tbl>
      <w:tblPr>
        <w:tblW w:w="4194" w:type="dxa"/>
        <w:tblLayout w:type="fixed"/>
        <w:tblCellMar>
          <w:left w:w="58" w:type="dxa"/>
          <w:right w:w="58" w:type="dxa"/>
        </w:tblCellMar>
        <w:tblLook w:val="0000" w:firstRow="0" w:lastRow="0" w:firstColumn="0" w:lastColumn="0" w:noHBand="0" w:noVBand="0"/>
      </w:tblPr>
      <w:tblGrid>
        <w:gridCol w:w="3154"/>
        <w:gridCol w:w="1040"/>
      </w:tblGrid>
      <w:tr w:rsidR="00174AEA" w:rsidRPr="00687A1C" w:rsidTr="008E07B0">
        <w:tc>
          <w:tcPr>
            <w:tcW w:w="3154" w:type="dxa"/>
          </w:tcPr>
          <w:p w:rsidR="00174AEA" w:rsidRPr="00687A1C" w:rsidRDefault="00174AEA" w:rsidP="008A3976">
            <w:pPr>
              <w:pStyle w:val="Tabletext"/>
            </w:pPr>
            <w:r w:rsidRPr="00687A1C">
              <w:t xml:space="preserve">Buildings – structures (including heritage buildings) and ground development </w:t>
            </w:r>
            <w:r w:rsidRPr="00687A1C">
              <w:rPr>
                <w:vertAlign w:val="superscript"/>
              </w:rPr>
              <w:t>(a)</w:t>
            </w:r>
          </w:p>
        </w:tc>
        <w:tc>
          <w:tcPr>
            <w:tcW w:w="1040" w:type="dxa"/>
            <w:shd w:val="clear" w:color="auto" w:fill="DDDDDD"/>
          </w:tcPr>
          <w:p w:rsidR="00174AEA" w:rsidRPr="00687A1C" w:rsidRDefault="00174AEA" w:rsidP="008A3976">
            <w:pPr>
              <w:pStyle w:val="Tabletextright"/>
            </w:pPr>
            <w:r w:rsidRPr="00687A1C">
              <w:t>12–257 years</w:t>
            </w:r>
          </w:p>
        </w:tc>
      </w:tr>
      <w:tr w:rsidR="00174AEA" w:rsidRPr="00687A1C" w:rsidTr="008E07B0">
        <w:tc>
          <w:tcPr>
            <w:tcW w:w="3154" w:type="dxa"/>
          </w:tcPr>
          <w:p w:rsidR="00174AEA" w:rsidRPr="00687A1C" w:rsidRDefault="00174AEA" w:rsidP="008A3976">
            <w:pPr>
              <w:pStyle w:val="Tabletext"/>
            </w:pPr>
            <w:r w:rsidRPr="00687A1C">
              <w:t>Buildings (including heritage buildings) – other building components</w:t>
            </w:r>
          </w:p>
        </w:tc>
        <w:tc>
          <w:tcPr>
            <w:tcW w:w="1040" w:type="dxa"/>
            <w:shd w:val="clear" w:color="auto" w:fill="DDDDDD"/>
          </w:tcPr>
          <w:p w:rsidR="00174AEA" w:rsidRPr="00687A1C" w:rsidRDefault="00174AEA" w:rsidP="008A3976">
            <w:pPr>
              <w:pStyle w:val="Tabletextright"/>
            </w:pPr>
            <w:r w:rsidRPr="00687A1C">
              <w:t>5–186 years</w:t>
            </w:r>
          </w:p>
        </w:tc>
      </w:tr>
      <w:tr w:rsidR="00174AEA" w:rsidRPr="00687A1C" w:rsidTr="008E07B0">
        <w:tc>
          <w:tcPr>
            <w:tcW w:w="3154" w:type="dxa"/>
          </w:tcPr>
          <w:p w:rsidR="00174AEA" w:rsidRPr="00687A1C" w:rsidRDefault="00174AEA" w:rsidP="008A3976">
            <w:pPr>
              <w:pStyle w:val="Tabletext"/>
            </w:pPr>
            <w:r w:rsidRPr="00687A1C">
              <w:t>Leasehold improvements</w:t>
            </w:r>
          </w:p>
        </w:tc>
        <w:tc>
          <w:tcPr>
            <w:tcW w:w="1040" w:type="dxa"/>
            <w:shd w:val="clear" w:color="auto" w:fill="DDDDDD"/>
          </w:tcPr>
          <w:p w:rsidR="00174AEA" w:rsidRPr="00687A1C" w:rsidRDefault="00174AEA" w:rsidP="008A3976">
            <w:pPr>
              <w:pStyle w:val="Tabletextright"/>
            </w:pPr>
            <w:r w:rsidRPr="00687A1C">
              <w:t>4–10 years</w:t>
            </w:r>
          </w:p>
        </w:tc>
      </w:tr>
      <w:tr w:rsidR="00174AEA" w:rsidRPr="00687A1C" w:rsidTr="008E07B0">
        <w:tc>
          <w:tcPr>
            <w:tcW w:w="3154" w:type="dxa"/>
          </w:tcPr>
          <w:p w:rsidR="00174AEA" w:rsidRPr="00687A1C" w:rsidRDefault="00174AEA" w:rsidP="008A3976">
            <w:pPr>
              <w:pStyle w:val="Tabletext"/>
            </w:pPr>
            <w:r w:rsidRPr="00687A1C">
              <w:t>Office and computer equipment</w:t>
            </w:r>
          </w:p>
        </w:tc>
        <w:tc>
          <w:tcPr>
            <w:tcW w:w="1040" w:type="dxa"/>
            <w:shd w:val="clear" w:color="auto" w:fill="DDDDDD"/>
          </w:tcPr>
          <w:p w:rsidR="00174AEA" w:rsidRPr="00687A1C" w:rsidRDefault="00174AEA" w:rsidP="008A3976">
            <w:pPr>
              <w:pStyle w:val="Tabletextright"/>
            </w:pPr>
            <w:r w:rsidRPr="00687A1C">
              <w:t>2–10 years</w:t>
            </w:r>
          </w:p>
        </w:tc>
      </w:tr>
      <w:tr w:rsidR="00174AEA" w:rsidRPr="00687A1C" w:rsidTr="008E07B0">
        <w:tc>
          <w:tcPr>
            <w:tcW w:w="3154" w:type="dxa"/>
          </w:tcPr>
          <w:p w:rsidR="00174AEA" w:rsidRPr="00687A1C" w:rsidRDefault="00174AEA" w:rsidP="008A3976">
            <w:pPr>
              <w:pStyle w:val="Tabletext"/>
            </w:pPr>
            <w:r w:rsidRPr="00687A1C">
              <w:t>Motor vehicles under finance lease</w:t>
            </w:r>
          </w:p>
        </w:tc>
        <w:tc>
          <w:tcPr>
            <w:tcW w:w="1040" w:type="dxa"/>
            <w:shd w:val="clear" w:color="auto" w:fill="DDDDDD"/>
          </w:tcPr>
          <w:p w:rsidR="00174AEA" w:rsidRPr="00687A1C" w:rsidRDefault="00174AEA" w:rsidP="008A3976">
            <w:pPr>
              <w:pStyle w:val="Tabletextright"/>
            </w:pPr>
            <w:r w:rsidRPr="00687A1C">
              <w:t>1–5 years</w:t>
            </w:r>
          </w:p>
        </w:tc>
      </w:tr>
      <w:tr w:rsidR="00174AEA" w:rsidRPr="00687A1C" w:rsidTr="008E07B0">
        <w:tc>
          <w:tcPr>
            <w:tcW w:w="3154" w:type="dxa"/>
          </w:tcPr>
          <w:p w:rsidR="00174AEA" w:rsidRPr="00687A1C" w:rsidRDefault="00174AEA" w:rsidP="008A3976">
            <w:pPr>
              <w:pStyle w:val="Tabletext"/>
            </w:pPr>
            <w:r w:rsidRPr="00687A1C">
              <w:t>Municipal valuations database</w:t>
            </w:r>
          </w:p>
        </w:tc>
        <w:tc>
          <w:tcPr>
            <w:tcW w:w="1040" w:type="dxa"/>
            <w:shd w:val="clear" w:color="auto" w:fill="DDDDDD"/>
          </w:tcPr>
          <w:p w:rsidR="00174AEA" w:rsidRPr="00687A1C" w:rsidRDefault="00174AEA" w:rsidP="008A3976">
            <w:pPr>
              <w:pStyle w:val="Tabletextright"/>
            </w:pPr>
            <w:r w:rsidRPr="00687A1C">
              <w:t>2 years</w:t>
            </w:r>
          </w:p>
        </w:tc>
      </w:tr>
      <w:tr w:rsidR="00174AEA" w:rsidRPr="00687A1C" w:rsidTr="008E07B0">
        <w:tc>
          <w:tcPr>
            <w:tcW w:w="3154" w:type="dxa"/>
          </w:tcPr>
          <w:p w:rsidR="00174AEA" w:rsidRPr="00687A1C" w:rsidRDefault="00174AEA" w:rsidP="008A3976">
            <w:pPr>
              <w:pStyle w:val="Tabletext"/>
            </w:pPr>
            <w:r w:rsidRPr="00687A1C">
              <w:t>Capitalised software development</w:t>
            </w:r>
          </w:p>
        </w:tc>
        <w:tc>
          <w:tcPr>
            <w:tcW w:w="1040" w:type="dxa"/>
            <w:shd w:val="clear" w:color="auto" w:fill="DDDDDD"/>
          </w:tcPr>
          <w:p w:rsidR="00174AEA" w:rsidRPr="00687A1C" w:rsidRDefault="00174AEA" w:rsidP="008A3976">
            <w:pPr>
              <w:pStyle w:val="Tabletextright"/>
            </w:pPr>
            <w:r w:rsidRPr="00687A1C">
              <w:t>3–7 years</w:t>
            </w:r>
          </w:p>
        </w:tc>
      </w:tr>
    </w:tbl>
    <w:p w:rsidR="00174AEA" w:rsidRPr="00687A1C" w:rsidRDefault="00174AEA" w:rsidP="008E07B0">
      <w:pPr>
        <w:pStyle w:val="Notes"/>
      </w:pPr>
      <w:r w:rsidRPr="00687A1C">
        <w:t>Note:</w:t>
      </w:r>
    </w:p>
    <w:p w:rsidR="00174AEA" w:rsidRPr="00687A1C" w:rsidRDefault="00174AEA" w:rsidP="00174AEA">
      <w:pPr>
        <w:pStyle w:val="Notes"/>
      </w:pPr>
      <w:r w:rsidRPr="00687A1C">
        <w:t>(a) Certain heritage buildings owned by the Department have been determined to have useful lives of up to 257 years. The majority of the buildings have useful lives of below 60 years. There are two buildings with a useful life in the range of 94 to 98 years and another five buildings with a useful life in the range of 207 to 257 years. Ground development has a useful life of 12 years and includes landscaping improvements, fencing, gates, external storm water and sewer drainage, outbuildings and covered ways.</w:t>
      </w:r>
    </w:p>
    <w:p w:rsidR="00174AEA" w:rsidRPr="00687A1C" w:rsidRDefault="00174AEA" w:rsidP="00174AEA">
      <w:r w:rsidRPr="00687A1C">
        <w:br w:type="column"/>
      </w:r>
      <w:r w:rsidRPr="00687A1C">
        <w:t>The estimated useful lives, residual values and depreciation method are reviewed at least annually.</w:t>
      </w:r>
    </w:p>
    <w:p w:rsidR="00174AEA" w:rsidRPr="00687A1C" w:rsidRDefault="00174AEA" w:rsidP="00174AEA">
      <w:pPr>
        <w:pStyle w:val="Heading4"/>
      </w:pPr>
      <w:r w:rsidRPr="00687A1C">
        <w:t>Impairment of non</w:t>
      </w:r>
      <w:r w:rsidRPr="00687A1C">
        <w:noBreakHyphen/>
        <w:t>financial assets</w:t>
      </w:r>
    </w:p>
    <w:p w:rsidR="00174AEA" w:rsidRPr="00687A1C" w:rsidRDefault="00174AEA" w:rsidP="00174AEA">
      <w:r w:rsidRPr="00687A1C">
        <w:t>All non-financial physical assets and intangible assets, except non-financial physical assets held for sale, are assessed annually for indications of impairment. If there is an indication of impairment, the assets concerned are tested as to whether their carrying value exceeds their recoverable amount. Where an asset’s carrying value exceeds its recoverable amount, the difference is written off to other economic flows except to the extent that the write-down can be debited to an asset revaluation surplus amount applicable to that class of asset.</w:t>
      </w:r>
    </w:p>
    <w:p w:rsidR="00174AEA" w:rsidRPr="00687A1C" w:rsidRDefault="00174AEA" w:rsidP="00174AEA">
      <w:r w:rsidRPr="00687A1C">
        <w:t xml:space="preserve">If there is an indication that there has been a reversal in the estimate of an asset’s recoverable amount since the last impairment loss was recognised, the carrying amount shall be increased to its recoverable amount. The impairment loss is reversed only to the extent that the asset’s carrying amount does not exceed the carrying amount that would have been determined, net of depreciation or amortisation, if no impairment loss had been recognised in prior years. </w:t>
      </w:r>
    </w:p>
    <w:p w:rsidR="00174AEA" w:rsidRPr="00687A1C" w:rsidRDefault="00174AEA" w:rsidP="00174AEA"/>
    <w:p w:rsidR="00174AEA" w:rsidRPr="00687A1C" w:rsidRDefault="00174AEA" w:rsidP="00174AEA">
      <w:pPr>
        <w:rPr>
          <w:caps/>
        </w:rPr>
        <w:sectPr w:rsidR="00174AEA" w:rsidRPr="00687A1C" w:rsidSect="001B5A6B">
          <w:type w:val="continuous"/>
          <w:pgSz w:w="11909" w:h="16834" w:code="9"/>
          <w:pgMar w:top="1728" w:right="1152" w:bottom="1152" w:left="1152" w:header="720" w:footer="288" w:gutter="0"/>
          <w:cols w:num="2" w:space="720"/>
          <w:noEndnote/>
        </w:sectPr>
      </w:pPr>
    </w:p>
    <w:p w:rsidR="00174AEA" w:rsidRPr="00687A1C" w:rsidRDefault="00174AEA" w:rsidP="00174AEA">
      <w:pPr>
        <w:pStyle w:val="Heading3numbered"/>
      </w:pPr>
      <w:bookmarkStart w:id="88" w:name="_Ref492632424"/>
      <w:bookmarkStart w:id="89" w:name="Non_financial_physical_assets_end"/>
      <w:r w:rsidRPr="00687A1C">
        <w:lastRenderedPageBreak/>
        <w:t>Reconciliations of the carrying amounts of each class of property, plant and equipment at the beginning and end of the year are set out below</w:t>
      </w:r>
      <w:bookmarkEnd w:id="88"/>
    </w:p>
    <w:bookmarkEnd w:id="89"/>
    <w:tbl>
      <w:tblPr>
        <w:tblW w:w="5074" w:type="pct"/>
        <w:tblLook w:val="0000" w:firstRow="0" w:lastRow="0" w:firstColumn="0" w:lastColumn="0" w:noHBand="0" w:noVBand="0"/>
      </w:tblPr>
      <w:tblGrid>
        <w:gridCol w:w="3889"/>
        <w:gridCol w:w="1499"/>
        <w:gridCol w:w="1501"/>
        <w:gridCol w:w="1501"/>
        <w:gridCol w:w="1501"/>
        <w:gridCol w:w="1501"/>
        <w:gridCol w:w="1501"/>
        <w:gridCol w:w="1487"/>
      </w:tblGrid>
      <w:tr w:rsidR="00174AEA" w:rsidRPr="00687A1C" w:rsidTr="008A3976">
        <w:trPr>
          <w:cantSplit/>
        </w:trPr>
        <w:tc>
          <w:tcPr>
            <w:tcW w:w="1352" w:type="pct"/>
            <w:shd w:val="clear" w:color="auto" w:fill="auto"/>
            <w:vAlign w:val="bottom"/>
          </w:tcPr>
          <w:p w:rsidR="00174AEA" w:rsidRPr="00687A1C" w:rsidRDefault="00174AEA" w:rsidP="008A3976">
            <w:pPr>
              <w:pStyle w:val="Tabletext"/>
            </w:pPr>
          </w:p>
        </w:tc>
        <w:tc>
          <w:tcPr>
            <w:tcW w:w="3648" w:type="pct"/>
            <w:gridSpan w:val="7"/>
            <w:shd w:val="clear" w:color="auto" w:fill="E0E0E0"/>
            <w:vAlign w:val="bottom"/>
          </w:tcPr>
          <w:p w:rsidR="00174AEA" w:rsidRPr="00687A1C" w:rsidRDefault="00174AEA" w:rsidP="008A3976">
            <w:pPr>
              <w:pStyle w:val="Tabletextheadingright"/>
              <w:jc w:val="center"/>
            </w:pPr>
            <w:r w:rsidRPr="00687A1C">
              <w:t>Public Administration Purpose Group</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p>
        </w:tc>
        <w:tc>
          <w:tcPr>
            <w:tcW w:w="521" w:type="pct"/>
            <w:shd w:val="clear" w:color="auto" w:fill="auto"/>
            <w:vAlign w:val="bottom"/>
          </w:tcPr>
          <w:p w:rsidR="00174AEA" w:rsidRPr="00687A1C" w:rsidRDefault="00174AEA" w:rsidP="008A3976">
            <w:pPr>
              <w:pStyle w:val="Tabletextheadingright"/>
            </w:pPr>
            <w:r w:rsidRPr="00687A1C">
              <w:br/>
            </w:r>
            <w:r w:rsidRPr="00687A1C">
              <w:rPr>
                <w:sz w:val="18"/>
              </w:rPr>
              <w:br/>
            </w:r>
            <w:r w:rsidRPr="00687A1C">
              <w:t>Land</w:t>
            </w:r>
          </w:p>
        </w:tc>
        <w:tc>
          <w:tcPr>
            <w:tcW w:w="522" w:type="pct"/>
            <w:shd w:val="clear" w:color="auto" w:fill="auto"/>
            <w:vAlign w:val="bottom"/>
          </w:tcPr>
          <w:p w:rsidR="00174AEA" w:rsidRPr="00687A1C" w:rsidRDefault="00174AEA" w:rsidP="008A3976">
            <w:pPr>
              <w:pStyle w:val="Tabletextheadingright"/>
            </w:pPr>
            <w:r w:rsidRPr="00687A1C">
              <w:t xml:space="preserve">Buildings </w:t>
            </w:r>
            <w:r w:rsidRPr="00687A1C">
              <w:br/>
              <w:t>(including heritage buildings)</w:t>
            </w:r>
          </w:p>
        </w:tc>
        <w:tc>
          <w:tcPr>
            <w:tcW w:w="522" w:type="pct"/>
            <w:vAlign w:val="bottom"/>
          </w:tcPr>
          <w:p w:rsidR="00174AEA" w:rsidRPr="00687A1C" w:rsidRDefault="00174AEA" w:rsidP="008A3976">
            <w:pPr>
              <w:pStyle w:val="Tabletextheadingright"/>
            </w:pPr>
            <w:r w:rsidRPr="00687A1C">
              <w:t>Building construction in</w:t>
            </w:r>
            <w:r w:rsidRPr="00687A1C">
              <w:rPr>
                <w:rFonts w:ascii="Calibri" w:hAnsi="Calibri" w:cs="Calibri"/>
              </w:rPr>
              <w:t> </w:t>
            </w:r>
            <w:r w:rsidRPr="00687A1C">
              <w:t>progress</w:t>
            </w:r>
          </w:p>
        </w:tc>
        <w:tc>
          <w:tcPr>
            <w:tcW w:w="522" w:type="pct"/>
            <w:vAlign w:val="bottom"/>
          </w:tcPr>
          <w:p w:rsidR="00174AEA" w:rsidRPr="00687A1C" w:rsidRDefault="00174AEA" w:rsidP="008A3976">
            <w:pPr>
              <w:pStyle w:val="Tabletextheadingright"/>
            </w:pPr>
            <w:r w:rsidRPr="00687A1C">
              <w:t>Leasehold improvements</w:t>
            </w:r>
          </w:p>
        </w:tc>
        <w:tc>
          <w:tcPr>
            <w:tcW w:w="522" w:type="pct"/>
            <w:vAlign w:val="bottom"/>
          </w:tcPr>
          <w:p w:rsidR="00174AEA" w:rsidRPr="00687A1C" w:rsidRDefault="00174AEA" w:rsidP="008A3976">
            <w:pPr>
              <w:pStyle w:val="Tabletextheadingright"/>
              <w:ind w:right="144"/>
            </w:pPr>
            <w:r w:rsidRPr="00687A1C">
              <w:t>Office and computer equipment</w:t>
            </w:r>
          </w:p>
        </w:tc>
        <w:tc>
          <w:tcPr>
            <w:tcW w:w="522" w:type="pct"/>
            <w:vAlign w:val="bottom"/>
          </w:tcPr>
          <w:p w:rsidR="00174AEA" w:rsidRPr="00687A1C" w:rsidRDefault="00174AEA" w:rsidP="008A3976">
            <w:pPr>
              <w:pStyle w:val="Tabletextheadingright"/>
            </w:pPr>
            <w:r w:rsidRPr="00687A1C">
              <w:t xml:space="preserve">Motor </w:t>
            </w:r>
            <w:r w:rsidRPr="00687A1C">
              <w:br/>
              <w:t xml:space="preserve">vehicles under </w:t>
            </w:r>
            <w:r w:rsidRPr="00687A1C">
              <w:br/>
              <w:t>finance lease</w:t>
            </w:r>
          </w:p>
        </w:tc>
        <w:tc>
          <w:tcPr>
            <w:tcW w:w="517" w:type="pct"/>
            <w:vAlign w:val="bottom"/>
          </w:tcPr>
          <w:p w:rsidR="00174AEA" w:rsidRPr="00687A1C" w:rsidRDefault="00174AEA" w:rsidP="008A3976">
            <w:pPr>
              <w:pStyle w:val="Tabletextheadingright"/>
            </w:pPr>
            <w:r w:rsidRPr="00687A1C">
              <w:t>Total</w:t>
            </w:r>
          </w:p>
        </w:tc>
      </w:tr>
      <w:tr w:rsidR="00174AEA" w:rsidRPr="00687A1C" w:rsidTr="008A3976">
        <w:trPr>
          <w:cantSplit/>
        </w:trPr>
        <w:tc>
          <w:tcPr>
            <w:tcW w:w="1352" w:type="pct"/>
            <w:shd w:val="clear" w:color="auto" w:fill="auto"/>
          </w:tcPr>
          <w:p w:rsidR="00174AEA" w:rsidRPr="00687A1C" w:rsidRDefault="00174AEA" w:rsidP="008A3976">
            <w:pPr>
              <w:pStyle w:val="Tabletext"/>
            </w:pPr>
          </w:p>
        </w:tc>
        <w:tc>
          <w:tcPr>
            <w:tcW w:w="521" w:type="pct"/>
            <w:shd w:val="clear" w:color="auto" w:fill="auto"/>
            <w:vAlign w:val="bottom"/>
          </w:tcPr>
          <w:p w:rsidR="00174AEA" w:rsidRPr="00687A1C" w:rsidRDefault="00174AEA" w:rsidP="008A3976">
            <w:pPr>
              <w:pStyle w:val="Tabletextheadingright"/>
            </w:pPr>
            <w:r w:rsidRPr="00687A1C">
              <w:t>$’000</w:t>
            </w:r>
          </w:p>
        </w:tc>
        <w:tc>
          <w:tcPr>
            <w:tcW w:w="522" w:type="pct"/>
            <w:shd w:val="clear" w:color="auto" w:fill="auto"/>
            <w:vAlign w:val="bottom"/>
          </w:tcPr>
          <w:p w:rsidR="00174AEA" w:rsidRPr="00687A1C" w:rsidRDefault="00174AEA" w:rsidP="008A3976">
            <w:pPr>
              <w:pStyle w:val="Tabletextheadingright"/>
            </w:pPr>
            <w:r w:rsidRPr="00687A1C">
              <w:t>$’000</w:t>
            </w:r>
          </w:p>
        </w:tc>
        <w:tc>
          <w:tcPr>
            <w:tcW w:w="522" w:type="pct"/>
            <w:vAlign w:val="bottom"/>
          </w:tcPr>
          <w:p w:rsidR="00174AEA" w:rsidRPr="00687A1C" w:rsidRDefault="00174AEA" w:rsidP="008A3976">
            <w:pPr>
              <w:pStyle w:val="Tabletextheadingright"/>
            </w:pPr>
            <w:r w:rsidRPr="00687A1C">
              <w:t>$’000</w:t>
            </w:r>
          </w:p>
        </w:tc>
        <w:tc>
          <w:tcPr>
            <w:tcW w:w="522" w:type="pct"/>
          </w:tcPr>
          <w:p w:rsidR="00174AEA" w:rsidRPr="00687A1C" w:rsidRDefault="00174AEA" w:rsidP="008A3976">
            <w:pPr>
              <w:pStyle w:val="Tabletextheadingright"/>
              <w:ind w:right="144"/>
            </w:pPr>
            <w:r w:rsidRPr="00687A1C">
              <w:t>$’000</w:t>
            </w:r>
          </w:p>
        </w:tc>
        <w:tc>
          <w:tcPr>
            <w:tcW w:w="522" w:type="pct"/>
          </w:tcPr>
          <w:p w:rsidR="00174AEA" w:rsidRPr="00687A1C" w:rsidRDefault="00174AEA" w:rsidP="008A3976">
            <w:pPr>
              <w:pStyle w:val="Tabletextheadingright"/>
              <w:ind w:right="144"/>
            </w:pPr>
            <w:r w:rsidRPr="00687A1C">
              <w:t>$’000</w:t>
            </w:r>
          </w:p>
        </w:tc>
        <w:tc>
          <w:tcPr>
            <w:tcW w:w="522" w:type="pct"/>
          </w:tcPr>
          <w:p w:rsidR="00174AEA" w:rsidRPr="00687A1C" w:rsidRDefault="00174AEA" w:rsidP="008A3976">
            <w:pPr>
              <w:pStyle w:val="Tabletextheadingright"/>
            </w:pPr>
            <w:r w:rsidRPr="00687A1C">
              <w:t>$’000</w:t>
            </w:r>
          </w:p>
        </w:tc>
        <w:tc>
          <w:tcPr>
            <w:tcW w:w="517" w:type="pct"/>
          </w:tcPr>
          <w:p w:rsidR="00174AEA" w:rsidRPr="00687A1C" w:rsidRDefault="00174AEA" w:rsidP="008A3976">
            <w:pPr>
              <w:pStyle w:val="Tabletextheadingright"/>
            </w:pPr>
            <w:r w:rsidRPr="00687A1C">
              <w:t>$’000</w:t>
            </w:r>
          </w:p>
        </w:tc>
      </w:tr>
      <w:tr w:rsidR="00174AEA" w:rsidRPr="00687A1C" w:rsidTr="008A3976">
        <w:trPr>
          <w:cantSplit/>
        </w:trPr>
        <w:tc>
          <w:tcPr>
            <w:tcW w:w="1352" w:type="pct"/>
            <w:shd w:val="clear" w:color="auto" w:fill="auto"/>
          </w:tcPr>
          <w:p w:rsidR="00174AEA" w:rsidRPr="00687A1C" w:rsidRDefault="00174AEA" w:rsidP="008A3976">
            <w:pPr>
              <w:pStyle w:val="Tabletextbold"/>
            </w:pPr>
            <w:r w:rsidRPr="00687A1C">
              <w:t>2018</w:t>
            </w:r>
          </w:p>
        </w:tc>
        <w:tc>
          <w:tcPr>
            <w:tcW w:w="521" w:type="pct"/>
            <w:shd w:val="clear" w:color="auto" w:fill="E0E0E0"/>
          </w:tcPr>
          <w:p w:rsidR="00174AEA" w:rsidRPr="00687A1C" w:rsidRDefault="00174AEA" w:rsidP="008A3976">
            <w:pPr>
              <w:pStyle w:val="Tabletextright"/>
            </w:pPr>
          </w:p>
        </w:tc>
        <w:tc>
          <w:tcPr>
            <w:tcW w:w="522" w:type="pct"/>
            <w:shd w:val="clear" w:color="auto" w:fill="auto"/>
          </w:tcPr>
          <w:p w:rsidR="00174AEA" w:rsidRPr="00687A1C" w:rsidRDefault="00174AEA" w:rsidP="008A3976">
            <w:pPr>
              <w:pStyle w:val="Tabletextright"/>
            </w:pPr>
          </w:p>
        </w:tc>
        <w:tc>
          <w:tcPr>
            <w:tcW w:w="522" w:type="pct"/>
            <w:shd w:val="clear" w:color="auto" w:fill="E0E0E0"/>
          </w:tcPr>
          <w:p w:rsidR="00174AEA" w:rsidRPr="00687A1C" w:rsidRDefault="00174AEA" w:rsidP="008A3976">
            <w:pPr>
              <w:pStyle w:val="Tabletextright"/>
            </w:pPr>
          </w:p>
        </w:tc>
        <w:tc>
          <w:tcPr>
            <w:tcW w:w="522" w:type="pct"/>
            <w:shd w:val="clear" w:color="auto" w:fill="auto"/>
          </w:tcPr>
          <w:p w:rsidR="00174AEA" w:rsidRPr="00687A1C" w:rsidRDefault="00174AEA" w:rsidP="008A3976">
            <w:pPr>
              <w:pStyle w:val="Tabletextright"/>
            </w:pPr>
          </w:p>
        </w:tc>
        <w:tc>
          <w:tcPr>
            <w:tcW w:w="522" w:type="pct"/>
            <w:shd w:val="clear" w:color="auto" w:fill="E0E0E0"/>
          </w:tcPr>
          <w:p w:rsidR="00174AEA" w:rsidRPr="00687A1C" w:rsidRDefault="00174AEA" w:rsidP="008A3976">
            <w:pPr>
              <w:pStyle w:val="Tabletextright"/>
            </w:pPr>
          </w:p>
        </w:tc>
        <w:tc>
          <w:tcPr>
            <w:tcW w:w="522" w:type="pct"/>
            <w:shd w:val="clear" w:color="auto" w:fill="auto"/>
          </w:tcPr>
          <w:p w:rsidR="00174AEA" w:rsidRPr="00687A1C" w:rsidRDefault="00174AEA" w:rsidP="008A3976">
            <w:pPr>
              <w:pStyle w:val="Tabletextright"/>
            </w:pPr>
          </w:p>
        </w:tc>
        <w:tc>
          <w:tcPr>
            <w:tcW w:w="517" w:type="pct"/>
            <w:shd w:val="clear" w:color="auto" w:fill="E0E0E0"/>
          </w:tcPr>
          <w:p w:rsidR="00174AEA" w:rsidRPr="00687A1C" w:rsidRDefault="00174AEA" w:rsidP="008A3976">
            <w:pPr>
              <w:pStyle w:val="Tabletextright"/>
            </w:pP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Carrying amount at the start of the year</w:t>
            </w:r>
          </w:p>
        </w:tc>
        <w:tc>
          <w:tcPr>
            <w:tcW w:w="521" w:type="pct"/>
            <w:shd w:val="clear" w:color="auto" w:fill="E0E0E0"/>
            <w:vAlign w:val="bottom"/>
          </w:tcPr>
          <w:p w:rsidR="00174AEA" w:rsidRPr="00687A1C" w:rsidRDefault="00174AEA" w:rsidP="00D8412D">
            <w:pPr>
              <w:pStyle w:val="Tabletextright"/>
            </w:pPr>
            <w:r w:rsidRPr="00687A1C">
              <w:t>603</w:t>
            </w:r>
            <w:r w:rsidR="00D8412D" w:rsidRPr="00687A1C">
              <w:rPr>
                <w:rFonts w:ascii="Calibri" w:hAnsi="Calibri" w:cs="Calibri"/>
              </w:rPr>
              <w:t xml:space="preserve"> </w:t>
            </w:r>
            <w:r w:rsidRPr="00687A1C">
              <w:t>512</w:t>
            </w:r>
          </w:p>
        </w:tc>
        <w:tc>
          <w:tcPr>
            <w:tcW w:w="522" w:type="pct"/>
            <w:shd w:val="clear" w:color="auto" w:fill="auto"/>
            <w:vAlign w:val="bottom"/>
          </w:tcPr>
          <w:p w:rsidR="00174AEA" w:rsidRPr="00687A1C" w:rsidRDefault="00174AEA" w:rsidP="00D8412D">
            <w:pPr>
              <w:pStyle w:val="Tabletextright"/>
            </w:pPr>
            <w:r w:rsidRPr="00687A1C">
              <w:t>183</w:t>
            </w:r>
            <w:r w:rsidR="00D8412D" w:rsidRPr="00687A1C">
              <w:rPr>
                <w:rFonts w:ascii="Calibri" w:hAnsi="Calibri" w:cs="Calibri"/>
              </w:rPr>
              <w:t xml:space="preserve"> </w:t>
            </w:r>
            <w:r w:rsidRPr="00687A1C">
              <w:t>165</w:t>
            </w:r>
          </w:p>
        </w:tc>
        <w:tc>
          <w:tcPr>
            <w:tcW w:w="522" w:type="pct"/>
            <w:shd w:val="clear" w:color="auto" w:fill="E0E0E0"/>
            <w:vAlign w:val="bottom"/>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267</w:t>
            </w:r>
          </w:p>
        </w:tc>
        <w:tc>
          <w:tcPr>
            <w:tcW w:w="522" w:type="pct"/>
            <w:shd w:val="clear" w:color="auto" w:fill="auto"/>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550</w:t>
            </w:r>
          </w:p>
        </w:tc>
        <w:tc>
          <w:tcPr>
            <w:tcW w:w="522" w:type="pct"/>
            <w:shd w:val="clear" w:color="auto" w:fill="E0E0E0"/>
            <w:vAlign w:val="bottom"/>
          </w:tcPr>
          <w:p w:rsidR="00174AEA" w:rsidRPr="00687A1C" w:rsidRDefault="00174AEA" w:rsidP="008A3976">
            <w:pPr>
              <w:pStyle w:val="Tabletextright"/>
            </w:pPr>
            <w:r w:rsidRPr="00687A1C">
              <w:t>122</w:t>
            </w:r>
          </w:p>
        </w:tc>
        <w:tc>
          <w:tcPr>
            <w:tcW w:w="522" w:type="pct"/>
            <w:shd w:val="clear" w:color="auto" w:fill="auto"/>
            <w:vAlign w:val="bottom"/>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201</w:t>
            </w:r>
          </w:p>
        </w:tc>
        <w:tc>
          <w:tcPr>
            <w:tcW w:w="517" w:type="pct"/>
            <w:shd w:val="clear" w:color="auto" w:fill="E0E0E0"/>
            <w:vAlign w:val="bottom"/>
          </w:tcPr>
          <w:p w:rsidR="00174AEA" w:rsidRPr="00687A1C" w:rsidRDefault="00174AEA" w:rsidP="00D8412D">
            <w:pPr>
              <w:pStyle w:val="Tabletextright"/>
            </w:pPr>
            <w:r w:rsidRPr="00687A1C">
              <w:t>798</w:t>
            </w:r>
            <w:r w:rsidR="00D8412D" w:rsidRPr="00687A1C">
              <w:rPr>
                <w:rFonts w:ascii="Calibri" w:hAnsi="Calibri" w:cs="Calibri"/>
              </w:rPr>
              <w:t xml:space="preserve"> </w:t>
            </w:r>
            <w:r w:rsidRPr="00687A1C">
              <w:t>817</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Additions</w:t>
            </w:r>
          </w:p>
        </w:tc>
        <w:tc>
          <w:tcPr>
            <w:tcW w:w="521"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vAlign w:val="bottom"/>
          </w:tcPr>
          <w:p w:rsidR="00174AEA" w:rsidRPr="00687A1C" w:rsidRDefault="00174AEA" w:rsidP="00D8412D">
            <w:pPr>
              <w:pStyle w:val="Tabletextright"/>
            </w:pPr>
            <w:r w:rsidRPr="00687A1C">
              <w:t>12</w:t>
            </w:r>
            <w:r w:rsidR="00D8412D" w:rsidRPr="00687A1C">
              <w:rPr>
                <w:rFonts w:ascii="Calibri" w:hAnsi="Calibri" w:cs="Calibri"/>
              </w:rPr>
              <w:t xml:space="preserve"> </w:t>
            </w:r>
            <w:r w:rsidR="00BE1C02" w:rsidRPr="00687A1C">
              <w:t>131</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vAlign w:val="bottom"/>
          </w:tcPr>
          <w:p w:rsidR="00174AEA" w:rsidRPr="00687A1C" w:rsidRDefault="00BE1C02" w:rsidP="008A3976">
            <w:pPr>
              <w:pStyle w:val="Tabletextright"/>
            </w:pPr>
            <w:r w:rsidRPr="00687A1C">
              <w:t>597</w:t>
            </w:r>
          </w:p>
        </w:tc>
        <w:tc>
          <w:tcPr>
            <w:tcW w:w="522" w:type="pct"/>
            <w:shd w:val="clear" w:color="auto" w:fill="auto"/>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00182947" w:rsidRPr="00687A1C">
              <w:rPr>
                <w:rFonts w:ascii="Calibri" w:hAnsi="Calibri" w:cs="Calibri"/>
              </w:rPr>
              <w:t>244</w:t>
            </w:r>
          </w:p>
        </w:tc>
        <w:tc>
          <w:tcPr>
            <w:tcW w:w="517" w:type="pct"/>
            <w:shd w:val="clear" w:color="auto" w:fill="E0E0E0"/>
            <w:vAlign w:val="bottom"/>
          </w:tcPr>
          <w:p w:rsidR="00174AEA" w:rsidRPr="00687A1C" w:rsidRDefault="00174AEA" w:rsidP="00D8412D">
            <w:pPr>
              <w:pStyle w:val="Tabletextright"/>
            </w:pPr>
            <w:r w:rsidRPr="00687A1C">
              <w:t>14</w:t>
            </w:r>
            <w:r w:rsidR="00D8412D" w:rsidRPr="00687A1C">
              <w:rPr>
                <w:rFonts w:ascii="Calibri" w:hAnsi="Calibri" w:cs="Calibri"/>
              </w:rPr>
              <w:t xml:space="preserve"> </w:t>
            </w:r>
            <w:r w:rsidR="00182947" w:rsidRPr="00687A1C">
              <w:t>972</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Disposals</w:t>
            </w:r>
          </w:p>
        </w:tc>
        <w:tc>
          <w:tcPr>
            <w:tcW w:w="521" w:type="pct"/>
            <w:shd w:val="clear" w:color="auto" w:fill="E0E0E0"/>
            <w:vAlign w:val="bottom"/>
          </w:tcPr>
          <w:p w:rsidR="00174AEA" w:rsidRPr="00687A1C" w:rsidRDefault="00174AEA" w:rsidP="008A3976">
            <w:pPr>
              <w:pStyle w:val="Tabletextright"/>
            </w:pPr>
            <w:r w:rsidRPr="00687A1C">
              <w:t>(18)</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vAlign w:val="bottom"/>
          </w:tcPr>
          <w:p w:rsidR="00174AEA" w:rsidRPr="00687A1C" w:rsidRDefault="00174AEA" w:rsidP="008A3976">
            <w:pPr>
              <w:pStyle w:val="Tabletextright"/>
            </w:pPr>
            <w:r w:rsidRPr="00687A1C">
              <w:t>(35)</w:t>
            </w:r>
          </w:p>
        </w:tc>
        <w:tc>
          <w:tcPr>
            <w:tcW w:w="522" w:type="pct"/>
            <w:shd w:val="clear" w:color="auto" w:fill="auto"/>
            <w:vAlign w:val="bottom"/>
          </w:tcPr>
          <w:p w:rsidR="00174AEA" w:rsidRPr="00687A1C" w:rsidRDefault="00174AEA" w:rsidP="008A3976">
            <w:pPr>
              <w:pStyle w:val="Tabletextright"/>
            </w:pPr>
            <w:r w:rsidRPr="00687A1C">
              <w:t>(672)</w:t>
            </w:r>
          </w:p>
        </w:tc>
        <w:tc>
          <w:tcPr>
            <w:tcW w:w="517" w:type="pct"/>
            <w:shd w:val="clear" w:color="auto" w:fill="E0E0E0"/>
            <w:vAlign w:val="bottom"/>
          </w:tcPr>
          <w:p w:rsidR="00174AEA" w:rsidRPr="00687A1C" w:rsidRDefault="00174AEA" w:rsidP="008A3976">
            <w:pPr>
              <w:pStyle w:val="Tabletextright"/>
            </w:pPr>
            <w:r w:rsidRPr="00687A1C">
              <w:t>(725)</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Transfers between classes</w:t>
            </w:r>
          </w:p>
        </w:tc>
        <w:tc>
          <w:tcPr>
            <w:tcW w:w="521" w:type="pct"/>
            <w:shd w:val="clear" w:color="auto" w:fill="E0E0E0"/>
            <w:vAlign w:val="bottom"/>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669</w:t>
            </w:r>
          </w:p>
        </w:tc>
        <w:tc>
          <w:tcPr>
            <w:tcW w:w="522" w:type="pct"/>
            <w:shd w:val="clear" w:color="auto" w:fill="auto"/>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615)</w:t>
            </w:r>
          </w:p>
        </w:tc>
        <w:tc>
          <w:tcPr>
            <w:tcW w:w="522" w:type="pct"/>
            <w:shd w:val="clear" w:color="auto" w:fill="E0E0E0"/>
            <w:vAlign w:val="bottom"/>
          </w:tcPr>
          <w:p w:rsidR="00174AEA" w:rsidRPr="00687A1C" w:rsidRDefault="00174AEA" w:rsidP="00D8412D">
            <w:pPr>
              <w:pStyle w:val="Tabletextright"/>
            </w:pPr>
            <w:r w:rsidRPr="00687A1C">
              <w:t>(5</w:t>
            </w:r>
            <w:r w:rsidR="00D8412D" w:rsidRPr="00687A1C">
              <w:rPr>
                <w:rFonts w:ascii="Calibri" w:hAnsi="Calibri" w:cs="Calibri"/>
              </w:rPr>
              <w:t xml:space="preserve"> </w:t>
            </w:r>
            <w:r w:rsidR="00BE1C02" w:rsidRPr="00687A1C">
              <w:t>134</w:t>
            </w: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vAlign w:val="bottom"/>
          </w:tcPr>
          <w:p w:rsidR="00174AEA" w:rsidRPr="00687A1C" w:rsidRDefault="00BE1C02" w:rsidP="008A3976">
            <w:pPr>
              <w:pStyle w:val="Tabletextright"/>
            </w:pPr>
            <w:r w:rsidRPr="00687A1C">
              <w:t>(80)</w:t>
            </w:r>
          </w:p>
        </w:tc>
        <w:tc>
          <w:tcPr>
            <w:tcW w:w="522" w:type="pct"/>
            <w:shd w:val="clear" w:color="auto" w:fill="auto"/>
            <w:vAlign w:val="bottom"/>
          </w:tcPr>
          <w:p w:rsidR="00174AEA" w:rsidRPr="00687A1C" w:rsidRDefault="00174AEA" w:rsidP="008A3976">
            <w:pPr>
              <w:pStyle w:val="Tabletextright"/>
            </w:pPr>
            <w:r w:rsidRPr="00687A1C">
              <w:t>–</w:t>
            </w:r>
          </w:p>
        </w:tc>
        <w:tc>
          <w:tcPr>
            <w:tcW w:w="517" w:type="pct"/>
            <w:shd w:val="clear" w:color="auto" w:fill="E0E0E0"/>
            <w:vAlign w:val="bottom"/>
          </w:tcPr>
          <w:p w:rsidR="00174AEA" w:rsidRPr="00687A1C" w:rsidRDefault="00174AEA" w:rsidP="008A3976">
            <w:pPr>
              <w:pStyle w:val="Tabletextright"/>
            </w:pPr>
            <w:r w:rsidRPr="00687A1C">
              <w:t>–</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Transfers through contributed capital</w:t>
            </w:r>
          </w:p>
        </w:tc>
        <w:tc>
          <w:tcPr>
            <w:tcW w:w="521" w:type="pct"/>
            <w:shd w:val="clear" w:color="auto" w:fill="E0E0E0"/>
            <w:vAlign w:val="bottom"/>
          </w:tcPr>
          <w:p w:rsidR="00174AEA" w:rsidRPr="00687A1C" w:rsidRDefault="00174AEA" w:rsidP="008A3976">
            <w:pPr>
              <w:pStyle w:val="Tabletextright"/>
            </w:pPr>
            <w:r w:rsidRPr="00687A1C">
              <w:t>(612)</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17" w:type="pct"/>
            <w:shd w:val="clear" w:color="auto" w:fill="E0E0E0"/>
            <w:vAlign w:val="bottom"/>
          </w:tcPr>
          <w:p w:rsidR="00174AEA" w:rsidRPr="00687A1C" w:rsidRDefault="00174AEA" w:rsidP="008A3976">
            <w:pPr>
              <w:pStyle w:val="Tabletextright"/>
            </w:pPr>
            <w:r w:rsidRPr="00687A1C">
              <w:t>(612)</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Net transfers from/(to) property held for sale</w:t>
            </w:r>
          </w:p>
        </w:tc>
        <w:tc>
          <w:tcPr>
            <w:tcW w:w="521" w:type="pct"/>
            <w:shd w:val="clear" w:color="auto" w:fill="E0E0E0"/>
            <w:vAlign w:val="bottom"/>
          </w:tcPr>
          <w:p w:rsidR="00174AEA" w:rsidRPr="00687A1C" w:rsidRDefault="00174AEA" w:rsidP="00D8412D">
            <w:pPr>
              <w:pStyle w:val="Tabletextright"/>
            </w:pPr>
            <w:r w:rsidRPr="00687A1C">
              <w:t>(7</w:t>
            </w:r>
            <w:r w:rsidR="00D8412D" w:rsidRPr="00687A1C">
              <w:rPr>
                <w:rFonts w:ascii="Calibri" w:hAnsi="Calibri" w:cs="Calibri"/>
              </w:rPr>
              <w:t xml:space="preserve"> </w:t>
            </w:r>
            <w:r w:rsidRPr="00687A1C">
              <w:t>000)</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82947" w:rsidP="008A3976">
            <w:pPr>
              <w:pStyle w:val="Tabletextright"/>
            </w:pPr>
            <w:r w:rsidRPr="00687A1C">
              <w:t>(125)</w:t>
            </w:r>
          </w:p>
        </w:tc>
        <w:tc>
          <w:tcPr>
            <w:tcW w:w="517" w:type="pct"/>
            <w:shd w:val="clear" w:color="auto" w:fill="E0E0E0"/>
            <w:vAlign w:val="bottom"/>
          </w:tcPr>
          <w:p w:rsidR="00174AEA" w:rsidRPr="00687A1C" w:rsidRDefault="00174AEA" w:rsidP="00D8412D">
            <w:pPr>
              <w:pStyle w:val="Tabletextright"/>
            </w:pPr>
            <w:r w:rsidRPr="00687A1C">
              <w:t>(7</w:t>
            </w:r>
            <w:r w:rsidR="00D8412D" w:rsidRPr="00687A1C">
              <w:rPr>
                <w:rFonts w:ascii="Calibri" w:hAnsi="Calibri" w:cs="Calibri"/>
              </w:rPr>
              <w:t xml:space="preserve"> </w:t>
            </w:r>
            <w:r w:rsidR="00182947" w:rsidRPr="00687A1C">
              <w:t>125</w:t>
            </w:r>
            <w:r w:rsidRPr="00687A1C">
              <w:t>)</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Net transfers free of charge</w:t>
            </w:r>
          </w:p>
        </w:tc>
        <w:tc>
          <w:tcPr>
            <w:tcW w:w="521"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17" w:type="pct"/>
            <w:shd w:val="clear" w:color="auto" w:fill="E0E0E0"/>
          </w:tcPr>
          <w:p w:rsidR="00174AEA" w:rsidRPr="00687A1C" w:rsidRDefault="00174AEA" w:rsidP="008A3976">
            <w:pPr>
              <w:pStyle w:val="Tabletextright"/>
            </w:pPr>
            <w:r w:rsidRPr="00687A1C">
              <w:t>–</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Depreciation expense (note 5.1.1)</w:t>
            </w:r>
          </w:p>
        </w:tc>
        <w:tc>
          <w:tcPr>
            <w:tcW w:w="521" w:type="pct"/>
            <w:shd w:val="clear" w:color="auto" w:fill="E0E0E0"/>
            <w:vAlign w:val="bottom"/>
          </w:tcPr>
          <w:p w:rsidR="00174AEA" w:rsidRPr="00687A1C" w:rsidRDefault="00174AEA" w:rsidP="008A3976">
            <w:pPr>
              <w:pStyle w:val="Tabletextright"/>
            </w:pPr>
            <w:r w:rsidRPr="00687A1C">
              <w:t>–</w:t>
            </w:r>
          </w:p>
        </w:tc>
        <w:tc>
          <w:tcPr>
            <w:tcW w:w="522" w:type="pct"/>
            <w:shd w:val="clear" w:color="auto" w:fill="auto"/>
            <w:vAlign w:val="bottom"/>
          </w:tcPr>
          <w:p w:rsidR="00174AEA" w:rsidRPr="00687A1C" w:rsidRDefault="00174AEA" w:rsidP="00D8412D">
            <w:pPr>
              <w:pStyle w:val="Tabletextright"/>
            </w:pPr>
            <w:r w:rsidRPr="00687A1C">
              <w:t>(11</w:t>
            </w:r>
            <w:r w:rsidR="00D8412D" w:rsidRPr="00687A1C">
              <w:rPr>
                <w:rFonts w:ascii="Calibri" w:hAnsi="Calibri" w:cs="Calibri"/>
              </w:rPr>
              <w:t xml:space="preserve"> </w:t>
            </w:r>
            <w:r w:rsidRPr="00687A1C">
              <w:t>982)</w:t>
            </w:r>
          </w:p>
        </w:tc>
        <w:tc>
          <w:tcPr>
            <w:tcW w:w="522" w:type="pct"/>
            <w:shd w:val="clear" w:color="auto" w:fill="E0E0E0"/>
            <w:vAlign w:val="bottom"/>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(91)</w:t>
            </w:r>
          </w:p>
        </w:tc>
        <w:tc>
          <w:tcPr>
            <w:tcW w:w="522" w:type="pct"/>
            <w:shd w:val="clear" w:color="auto" w:fill="E0E0E0"/>
            <w:vAlign w:val="bottom"/>
          </w:tcPr>
          <w:p w:rsidR="00174AEA" w:rsidRPr="00687A1C" w:rsidRDefault="00174AEA" w:rsidP="008A3976">
            <w:pPr>
              <w:pStyle w:val="Tabletextright"/>
            </w:pPr>
            <w:r w:rsidRPr="00687A1C">
              <w:t>(71)</w:t>
            </w:r>
          </w:p>
        </w:tc>
        <w:tc>
          <w:tcPr>
            <w:tcW w:w="522" w:type="pct"/>
            <w:shd w:val="clear" w:color="auto" w:fill="auto"/>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157)</w:t>
            </w:r>
          </w:p>
        </w:tc>
        <w:tc>
          <w:tcPr>
            <w:tcW w:w="517" w:type="pct"/>
            <w:shd w:val="clear" w:color="auto" w:fill="E0E0E0"/>
            <w:vAlign w:val="bottom"/>
          </w:tcPr>
          <w:p w:rsidR="00174AEA" w:rsidRPr="00687A1C" w:rsidRDefault="00174AEA" w:rsidP="00D8412D">
            <w:pPr>
              <w:pStyle w:val="Tabletextright"/>
            </w:pPr>
            <w:r w:rsidRPr="00687A1C">
              <w:t>(13</w:t>
            </w:r>
            <w:r w:rsidR="00D8412D" w:rsidRPr="00687A1C">
              <w:rPr>
                <w:rFonts w:ascii="Calibri" w:hAnsi="Calibri" w:cs="Calibri"/>
              </w:rPr>
              <w:t xml:space="preserve"> </w:t>
            </w:r>
            <w:r w:rsidRPr="00687A1C">
              <w:t>301)</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rPr>
                <w:b/>
              </w:rPr>
            </w:pPr>
            <w:r w:rsidRPr="00687A1C">
              <w:rPr>
                <w:b/>
              </w:rPr>
              <w:t>Carrying amount at the end of the year</w:t>
            </w:r>
          </w:p>
        </w:tc>
        <w:tc>
          <w:tcPr>
            <w:tcW w:w="521" w:type="pct"/>
            <w:shd w:val="clear" w:color="auto" w:fill="E0E0E0"/>
            <w:vAlign w:val="bottom"/>
          </w:tcPr>
          <w:p w:rsidR="00174AEA" w:rsidRPr="00687A1C" w:rsidRDefault="00174AEA" w:rsidP="00D8412D">
            <w:pPr>
              <w:pStyle w:val="Tabletextrightbold"/>
            </w:pPr>
            <w:r w:rsidRPr="00687A1C">
              <w:t>602</w:t>
            </w:r>
            <w:r w:rsidR="00D8412D" w:rsidRPr="00687A1C">
              <w:rPr>
                <w:rFonts w:ascii="Calibri" w:hAnsi="Calibri" w:cs="Calibri"/>
              </w:rPr>
              <w:t xml:space="preserve"> </w:t>
            </w:r>
            <w:r w:rsidRPr="00687A1C">
              <w:t>551</w:t>
            </w:r>
          </w:p>
        </w:tc>
        <w:tc>
          <w:tcPr>
            <w:tcW w:w="522" w:type="pct"/>
            <w:shd w:val="clear" w:color="auto" w:fill="auto"/>
            <w:vAlign w:val="bottom"/>
          </w:tcPr>
          <w:p w:rsidR="00174AEA" w:rsidRPr="00687A1C" w:rsidRDefault="00174AEA" w:rsidP="00D8412D">
            <w:pPr>
              <w:pStyle w:val="Tabletextrightbold"/>
            </w:pPr>
            <w:r w:rsidRPr="00687A1C">
              <w:t>169</w:t>
            </w:r>
            <w:r w:rsidR="00D8412D" w:rsidRPr="00687A1C">
              <w:rPr>
                <w:rFonts w:ascii="Calibri" w:hAnsi="Calibri" w:cs="Calibri"/>
              </w:rPr>
              <w:t xml:space="preserve"> </w:t>
            </w:r>
            <w:r w:rsidRPr="00687A1C">
              <w:t>568</w:t>
            </w:r>
          </w:p>
        </w:tc>
        <w:tc>
          <w:tcPr>
            <w:tcW w:w="522" w:type="pct"/>
            <w:shd w:val="clear" w:color="auto" w:fill="E0E0E0"/>
            <w:vAlign w:val="bottom"/>
          </w:tcPr>
          <w:p w:rsidR="00174AEA" w:rsidRPr="00687A1C" w:rsidRDefault="00174AEA" w:rsidP="00D8412D">
            <w:pPr>
              <w:pStyle w:val="Tabletextrightbold"/>
            </w:pPr>
            <w:r w:rsidRPr="00687A1C">
              <w:t>13</w:t>
            </w:r>
            <w:r w:rsidR="00D8412D" w:rsidRPr="00687A1C">
              <w:rPr>
                <w:rFonts w:ascii="Calibri" w:hAnsi="Calibri" w:cs="Calibri"/>
              </w:rPr>
              <w:t xml:space="preserve"> </w:t>
            </w:r>
            <w:r w:rsidR="00BE1C02" w:rsidRPr="00687A1C">
              <w:t>264</w:t>
            </w:r>
          </w:p>
        </w:tc>
        <w:tc>
          <w:tcPr>
            <w:tcW w:w="522" w:type="pct"/>
            <w:shd w:val="clear" w:color="auto" w:fill="auto"/>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459</w:t>
            </w:r>
          </w:p>
        </w:tc>
        <w:tc>
          <w:tcPr>
            <w:tcW w:w="522" w:type="pct"/>
            <w:shd w:val="clear" w:color="auto" w:fill="E0E0E0"/>
            <w:vAlign w:val="bottom"/>
          </w:tcPr>
          <w:p w:rsidR="00174AEA" w:rsidRPr="00687A1C" w:rsidRDefault="00174AEA" w:rsidP="008A3976">
            <w:pPr>
              <w:pStyle w:val="Tabletextrightbold"/>
            </w:pPr>
            <w:r w:rsidRPr="00687A1C">
              <w:t>693</w:t>
            </w:r>
          </w:p>
        </w:tc>
        <w:tc>
          <w:tcPr>
            <w:tcW w:w="522" w:type="pct"/>
            <w:shd w:val="clear" w:color="auto" w:fill="auto"/>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491</w:t>
            </w:r>
          </w:p>
        </w:tc>
        <w:tc>
          <w:tcPr>
            <w:tcW w:w="517" w:type="pct"/>
            <w:shd w:val="clear" w:color="auto" w:fill="E0E0E0"/>
            <w:vAlign w:val="bottom"/>
          </w:tcPr>
          <w:p w:rsidR="00174AEA" w:rsidRPr="00687A1C" w:rsidRDefault="00174AEA" w:rsidP="00D8412D">
            <w:pPr>
              <w:pStyle w:val="Tabletextrightbold"/>
            </w:pPr>
            <w:r w:rsidRPr="00687A1C">
              <w:t>792</w:t>
            </w:r>
            <w:r w:rsidR="00D8412D" w:rsidRPr="00687A1C">
              <w:rPr>
                <w:rFonts w:ascii="Calibri" w:hAnsi="Calibri" w:cs="Calibri"/>
              </w:rPr>
              <w:t xml:space="preserve"> </w:t>
            </w:r>
            <w:r w:rsidRPr="00687A1C">
              <w:t>0</w:t>
            </w:r>
            <w:r w:rsidR="00BE1C02" w:rsidRPr="00687A1C">
              <w:t>26</w:t>
            </w:r>
          </w:p>
        </w:tc>
      </w:tr>
      <w:tr w:rsidR="00174AEA" w:rsidRPr="00687A1C" w:rsidTr="008A3976">
        <w:trPr>
          <w:cantSplit/>
        </w:trPr>
        <w:tc>
          <w:tcPr>
            <w:tcW w:w="1352" w:type="pct"/>
            <w:shd w:val="clear" w:color="auto" w:fill="auto"/>
          </w:tcPr>
          <w:p w:rsidR="00174AEA" w:rsidRPr="00687A1C" w:rsidRDefault="00174AEA" w:rsidP="008A3976">
            <w:pPr>
              <w:pStyle w:val="Tabletext"/>
            </w:pPr>
          </w:p>
        </w:tc>
        <w:tc>
          <w:tcPr>
            <w:tcW w:w="521" w:type="pct"/>
            <w:shd w:val="clear" w:color="auto" w:fill="E0E0E0"/>
          </w:tcPr>
          <w:p w:rsidR="00174AEA" w:rsidRPr="00687A1C" w:rsidRDefault="00174AEA" w:rsidP="008A3976">
            <w:pPr>
              <w:pStyle w:val="Tabletextright"/>
              <w:rPr>
                <w:rFonts w:ascii="Arial" w:hAnsi="Arial" w:cs="Arial"/>
              </w:rPr>
            </w:pPr>
          </w:p>
        </w:tc>
        <w:tc>
          <w:tcPr>
            <w:tcW w:w="522" w:type="pct"/>
            <w:shd w:val="clear" w:color="auto" w:fill="auto"/>
          </w:tcPr>
          <w:p w:rsidR="00174AEA" w:rsidRPr="00687A1C" w:rsidRDefault="00174AEA" w:rsidP="008A3976">
            <w:pPr>
              <w:pStyle w:val="Tabletextright"/>
              <w:rPr>
                <w:rFonts w:ascii="Arial" w:hAnsi="Arial" w:cs="Arial"/>
              </w:rPr>
            </w:pPr>
          </w:p>
        </w:tc>
        <w:tc>
          <w:tcPr>
            <w:tcW w:w="522" w:type="pct"/>
            <w:shd w:val="clear" w:color="auto" w:fill="E0E0E0"/>
          </w:tcPr>
          <w:p w:rsidR="00174AEA" w:rsidRPr="00687A1C" w:rsidRDefault="00174AEA" w:rsidP="008A3976">
            <w:pPr>
              <w:pStyle w:val="Tabletextright"/>
              <w:rPr>
                <w:rFonts w:ascii="Arial" w:hAnsi="Arial" w:cs="Arial"/>
              </w:rPr>
            </w:pPr>
          </w:p>
        </w:tc>
        <w:tc>
          <w:tcPr>
            <w:tcW w:w="522" w:type="pct"/>
            <w:shd w:val="clear" w:color="auto" w:fill="auto"/>
          </w:tcPr>
          <w:p w:rsidR="00174AEA" w:rsidRPr="00687A1C" w:rsidRDefault="00174AEA" w:rsidP="008A3976">
            <w:pPr>
              <w:pStyle w:val="Tabletextright"/>
              <w:rPr>
                <w:rFonts w:ascii="Arial" w:hAnsi="Arial" w:cs="Arial"/>
              </w:rPr>
            </w:pPr>
          </w:p>
        </w:tc>
        <w:tc>
          <w:tcPr>
            <w:tcW w:w="522" w:type="pct"/>
            <w:shd w:val="clear" w:color="auto" w:fill="E0E0E0"/>
          </w:tcPr>
          <w:p w:rsidR="00174AEA" w:rsidRPr="00687A1C" w:rsidRDefault="00174AEA" w:rsidP="008A3976">
            <w:pPr>
              <w:pStyle w:val="Tabletextright"/>
              <w:rPr>
                <w:rFonts w:ascii="Arial" w:hAnsi="Arial" w:cs="Arial"/>
              </w:rPr>
            </w:pPr>
          </w:p>
        </w:tc>
        <w:tc>
          <w:tcPr>
            <w:tcW w:w="522" w:type="pct"/>
            <w:shd w:val="clear" w:color="auto" w:fill="auto"/>
          </w:tcPr>
          <w:p w:rsidR="00174AEA" w:rsidRPr="00687A1C" w:rsidRDefault="00174AEA" w:rsidP="008A3976">
            <w:pPr>
              <w:pStyle w:val="Tabletextright"/>
              <w:rPr>
                <w:rFonts w:ascii="Arial" w:hAnsi="Arial" w:cs="Arial"/>
              </w:rPr>
            </w:pPr>
          </w:p>
        </w:tc>
        <w:tc>
          <w:tcPr>
            <w:tcW w:w="517" w:type="pct"/>
            <w:shd w:val="clear" w:color="auto" w:fill="E0E0E0"/>
          </w:tcPr>
          <w:p w:rsidR="00174AEA" w:rsidRPr="00687A1C" w:rsidRDefault="00174AEA" w:rsidP="008A3976">
            <w:pPr>
              <w:pStyle w:val="Tabletextright"/>
            </w:pPr>
          </w:p>
        </w:tc>
      </w:tr>
      <w:tr w:rsidR="00174AEA" w:rsidRPr="00687A1C" w:rsidTr="008A3976">
        <w:trPr>
          <w:cantSplit/>
        </w:trPr>
        <w:tc>
          <w:tcPr>
            <w:tcW w:w="1352" w:type="pct"/>
            <w:shd w:val="clear" w:color="auto" w:fill="auto"/>
          </w:tcPr>
          <w:p w:rsidR="00174AEA" w:rsidRPr="00687A1C" w:rsidRDefault="005C5B5D" w:rsidP="008A3976">
            <w:pPr>
              <w:pStyle w:val="Tabletextbold"/>
            </w:pPr>
            <w:r w:rsidRPr="00687A1C">
              <w:t>2017</w:t>
            </w:r>
          </w:p>
        </w:tc>
        <w:tc>
          <w:tcPr>
            <w:tcW w:w="521" w:type="pct"/>
            <w:shd w:val="clear" w:color="auto" w:fill="E0E0E0"/>
          </w:tcPr>
          <w:p w:rsidR="00174AEA" w:rsidRPr="00687A1C" w:rsidRDefault="00174AEA" w:rsidP="008A3976">
            <w:pPr>
              <w:pStyle w:val="Tabletextright"/>
            </w:pPr>
          </w:p>
        </w:tc>
        <w:tc>
          <w:tcPr>
            <w:tcW w:w="522" w:type="pct"/>
            <w:shd w:val="clear" w:color="auto" w:fill="auto"/>
          </w:tcPr>
          <w:p w:rsidR="00174AEA" w:rsidRPr="00687A1C" w:rsidRDefault="00174AEA" w:rsidP="008A3976">
            <w:pPr>
              <w:pStyle w:val="Tabletextright"/>
            </w:pPr>
          </w:p>
        </w:tc>
        <w:tc>
          <w:tcPr>
            <w:tcW w:w="522" w:type="pct"/>
            <w:shd w:val="clear" w:color="auto" w:fill="E0E0E0"/>
          </w:tcPr>
          <w:p w:rsidR="00174AEA" w:rsidRPr="00687A1C" w:rsidRDefault="00174AEA" w:rsidP="008A3976">
            <w:pPr>
              <w:pStyle w:val="Tabletextright"/>
            </w:pPr>
          </w:p>
        </w:tc>
        <w:tc>
          <w:tcPr>
            <w:tcW w:w="522" w:type="pct"/>
            <w:shd w:val="clear" w:color="auto" w:fill="auto"/>
          </w:tcPr>
          <w:p w:rsidR="00174AEA" w:rsidRPr="00687A1C" w:rsidRDefault="00174AEA" w:rsidP="008A3976">
            <w:pPr>
              <w:pStyle w:val="Tabletextright"/>
            </w:pPr>
          </w:p>
        </w:tc>
        <w:tc>
          <w:tcPr>
            <w:tcW w:w="522" w:type="pct"/>
            <w:shd w:val="clear" w:color="auto" w:fill="E0E0E0"/>
          </w:tcPr>
          <w:p w:rsidR="00174AEA" w:rsidRPr="00687A1C" w:rsidRDefault="00174AEA" w:rsidP="008A3976">
            <w:pPr>
              <w:pStyle w:val="Tabletextright"/>
            </w:pPr>
          </w:p>
        </w:tc>
        <w:tc>
          <w:tcPr>
            <w:tcW w:w="522" w:type="pct"/>
            <w:shd w:val="clear" w:color="auto" w:fill="auto"/>
          </w:tcPr>
          <w:p w:rsidR="00174AEA" w:rsidRPr="00687A1C" w:rsidRDefault="00174AEA" w:rsidP="008A3976">
            <w:pPr>
              <w:pStyle w:val="Tabletextright"/>
            </w:pPr>
          </w:p>
        </w:tc>
        <w:tc>
          <w:tcPr>
            <w:tcW w:w="517" w:type="pct"/>
            <w:shd w:val="clear" w:color="auto" w:fill="E0E0E0"/>
          </w:tcPr>
          <w:p w:rsidR="00174AEA" w:rsidRPr="00687A1C" w:rsidRDefault="00174AEA" w:rsidP="008A3976">
            <w:pPr>
              <w:pStyle w:val="Tabletextright"/>
            </w:pP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Carrying amount at the start of the year</w:t>
            </w:r>
          </w:p>
        </w:tc>
        <w:tc>
          <w:tcPr>
            <w:tcW w:w="521" w:type="pct"/>
            <w:shd w:val="clear" w:color="auto" w:fill="E0E0E0"/>
          </w:tcPr>
          <w:p w:rsidR="00174AEA" w:rsidRPr="00687A1C" w:rsidRDefault="00174AEA" w:rsidP="00D8412D">
            <w:pPr>
              <w:pStyle w:val="Tabletextright"/>
            </w:pPr>
            <w:r w:rsidRPr="00687A1C">
              <w:t>421</w:t>
            </w:r>
            <w:r w:rsidR="00D8412D" w:rsidRPr="00687A1C">
              <w:rPr>
                <w:rFonts w:ascii="Calibri" w:hAnsi="Calibri" w:cs="Calibri"/>
              </w:rPr>
              <w:t xml:space="preserve"> </w:t>
            </w:r>
            <w:r w:rsidRPr="00687A1C">
              <w:t>860</w:t>
            </w:r>
          </w:p>
        </w:tc>
        <w:tc>
          <w:tcPr>
            <w:tcW w:w="522" w:type="pct"/>
            <w:shd w:val="clear" w:color="auto" w:fill="auto"/>
          </w:tcPr>
          <w:p w:rsidR="00174AEA" w:rsidRPr="00687A1C" w:rsidRDefault="00174AEA" w:rsidP="00D8412D">
            <w:pPr>
              <w:pStyle w:val="Tabletextright"/>
            </w:pPr>
            <w:r w:rsidRPr="00687A1C">
              <w:t>120</w:t>
            </w:r>
            <w:r w:rsidR="00D8412D" w:rsidRPr="00687A1C">
              <w:rPr>
                <w:rFonts w:ascii="Calibri" w:hAnsi="Calibri" w:cs="Calibri"/>
              </w:rPr>
              <w:t xml:space="preserve"> </w:t>
            </w:r>
            <w:r w:rsidRPr="00687A1C">
              <w:t>582</w:t>
            </w:r>
          </w:p>
        </w:tc>
        <w:tc>
          <w:tcPr>
            <w:tcW w:w="522" w:type="pct"/>
            <w:shd w:val="clear" w:color="auto" w:fill="E0E0E0"/>
          </w:tcPr>
          <w:p w:rsidR="00174AEA" w:rsidRPr="00687A1C" w:rsidRDefault="00174AEA" w:rsidP="008A3976">
            <w:pPr>
              <w:pStyle w:val="Tabletextright"/>
            </w:pPr>
            <w:r w:rsidRPr="00687A1C">
              <w:t>247</w:t>
            </w:r>
          </w:p>
        </w:tc>
        <w:tc>
          <w:tcPr>
            <w:tcW w:w="522" w:type="pct"/>
            <w:shd w:val="clear" w:color="auto" w:fill="auto"/>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744</w:t>
            </w:r>
          </w:p>
        </w:tc>
        <w:tc>
          <w:tcPr>
            <w:tcW w:w="522" w:type="pct"/>
            <w:shd w:val="clear" w:color="auto" w:fill="E0E0E0"/>
          </w:tcPr>
          <w:p w:rsidR="00174AEA" w:rsidRPr="00687A1C" w:rsidRDefault="00174AEA" w:rsidP="008A3976">
            <w:pPr>
              <w:pStyle w:val="Tabletextright"/>
            </w:pPr>
            <w:r w:rsidRPr="00687A1C">
              <w:t>764</w:t>
            </w:r>
          </w:p>
        </w:tc>
        <w:tc>
          <w:tcPr>
            <w:tcW w:w="522" w:type="pct"/>
            <w:shd w:val="clear" w:color="auto" w:fill="auto"/>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890</w:t>
            </w:r>
          </w:p>
        </w:tc>
        <w:tc>
          <w:tcPr>
            <w:tcW w:w="517" w:type="pct"/>
            <w:shd w:val="clear" w:color="auto" w:fill="E0E0E0"/>
          </w:tcPr>
          <w:p w:rsidR="00174AEA" w:rsidRPr="00687A1C" w:rsidRDefault="00174AEA" w:rsidP="00D8412D">
            <w:pPr>
              <w:pStyle w:val="Tabletextright"/>
            </w:pPr>
            <w:r w:rsidRPr="00687A1C">
              <w:t>549</w:t>
            </w:r>
            <w:r w:rsidR="00D8412D" w:rsidRPr="00687A1C">
              <w:rPr>
                <w:rFonts w:ascii="Calibri" w:hAnsi="Calibri" w:cs="Calibri"/>
              </w:rPr>
              <w:t xml:space="preserve"> </w:t>
            </w:r>
            <w:r w:rsidRPr="00687A1C">
              <w:t>087</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Additions</w:t>
            </w:r>
          </w:p>
        </w:tc>
        <w:tc>
          <w:tcPr>
            <w:tcW w:w="521"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958</w:t>
            </w:r>
          </w:p>
        </w:tc>
        <w:tc>
          <w:tcPr>
            <w:tcW w:w="522" w:type="pct"/>
            <w:shd w:val="clear" w:color="auto" w:fill="E0E0E0"/>
          </w:tcPr>
          <w:p w:rsidR="00174AEA" w:rsidRPr="00687A1C" w:rsidRDefault="00174AEA" w:rsidP="00D8412D">
            <w:pPr>
              <w:pStyle w:val="Tabletextright"/>
            </w:pPr>
            <w:r w:rsidRPr="00687A1C">
              <w:t>6</w:t>
            </w:r>
            <w:r w:rsidR="00D8412D" w:rsidRPr="00687A1C">
              <w:rPr>
                <w:rFonts w:ascii="Calibri" w:hAnsi="Calibri" w:cs="Calibri"/>
              </w:rPr>
              <w:t xml:space="preserve"> </w:t>
            </w:r>
            <w:r w:rsidRPr="00687A1C">
              <w:t>267</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19</w:t>
            </w:r>
          </w:p>
        </w:tc>
        <w:tc>
          <w:tcPr>
            <w:tcW w:w="522" w:type="pct"/>
            <w:shd w:val="clear" w:color="auto" w:fill="auto"/>
          </w:tcPr>
          <w:p w:rsidR="00174AEA" w:rsidRPr="00687A1C" w:rsidRDefault="00174AEA" w:rsidP="00D8412D">
            <w:pPr>
              <w:pStyle w:val="Tabletextright"/>
            </w:pPr>
            <w:r w:rsidRPr="00687A1C">
              <w:t>2</w:t>
            </w:r>
            <w:r w:rsidR="00D8412D" w:rsidRPr="00687A1C">
              <w:rPr>
                <w:rFonts w:ascii="Calibri" w:hAnsi="Calibri" w:cs="Calibri"/>
              </w:rPr>
              <w:t xml:space="preserve"> </w:t>
            </w:r>
            <w:r w:rsidR="00182947" w:rsidRPr="00687A1C">
              <w:t>773</w:t>
            </w:r>
          </w:p>
        </w:tc>
        <w:tc>
          <w:tcPr>
            <w:tcW w:w="517" w:type="pct"/>
            <w:shd w:val="clear" w:color="auto" w:fill="E0E0E0"/>
          </w:tcPr>
          <w:p w:rsidR="00174AEA" w:rsidRPr="00687A1C" w:rsidRDefault="00182947" w:rsidP="008A3976">
            <w:pPr>
              <w:pStyle w:val="Tabletextright"/>
            </w:pPr>
            <w:r w:rsidRPr="00687A1C">
              <w:t>11 017</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Disposals</w:t>
            </w:r>
          </w:p>
        </w:tc>
        <w:tc>
          <w:tcPr>
            <w:tcW w:w="521"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317)</w:t>
            </w:r>
          </w:p>
        </w:tc>
        <w:tc>
          <w:tcPr>
            <w:tcW w:w="517" w:type="pct"/>
            <w:shd w:val="clear" w:color="auto" w:fill="E0E0E0"/>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317)</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Transfers between classes</w:t>
            </w:r>
          </w:p>
        </w:tc>
        <w:tc>
          <w:tcPr>
            <w:tcW w:w="521"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247</w:t>
            </w:r>
          </w:p>
        </w:tc>
        <w:tc>
          <w:tcPr>
            <w:tcW w:w="522" w:type="pct"/>
            <w:shd w:val="clear" w:color="auto" w:fill="E0E0E0"/>
          </w:tcPr>
          <w:p w:rsidR="00174AEA" w:rsidRPr="00687A1C" w:rsidRDefault="00174AEA" w:rsidP="008A3976">
            <w:pPr>
              <w:pStyle w:val="Tabletextright"/>
            </w:pPr>
            <w:r w:rsidRPr="00687A1C">
              <w:t>(247)</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17" w:type="pct"/>
            <w:shd w:val="clear" w:color="auto" w:fill="E0E0E0"/>
          </w:tcPr>
          <w:p w:rsidR="00174AEA" w:rsidRPr="00687A1C" w:rsidRDefault="00174AEA" w:rsidP="008A3976">
            <w:pPr>
              <w:pStyle w:val="Tabletextright"/>
            </w:pPr>
            <w:r w:rsidRPr="00687A1C">
              <w:t>–</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Transfers through contributed capital</w:t>
            </w:r>
          </w:p>
        </w:tc>
        <w:tc>
          <w:tcPr>
            <w:tcW w:w="521" w:type="pct"/>
            <w:shd w:val="clear" w:color="auto" w:fill="E0E0E0"/>
          </w:tcPr>
          <w:p w:rsidR="00174AEA" w:rsidRPr="00687A1C" w:rsidRDefault="00174AEA" w:rsidP="008A3976">
            <w:pPr>
              <w:pStyle w:val="Tabletextright"/>
            </w:pPr>
            <w:r w:rsidRPr="00687A1C">
              <w:t>(51)</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17" w:type="pct"/>
            <w:shd w:val="clear" w:color="auto" w:fill="E0E0E0"/>
          </w:tcPr>
          <w:p w:rsidR="00174AEA" w:rsidRPr="00687A1C" w:rsidRDefault="00174AEA" w:rsidP="008A3976">
            <w:pPr>
              <w:pStyle w:val="Tabletextright"/>
            </w:pPr>
            <w:r w:rsidRPr="00687A1C">
              <w:t>(51)</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Net transfers from/(to) property held for sale</w:t>
            </w:r>
          </w:p>
        </w:tc>
        <w:tc>
          <w:tcPr>
            <w:tcW w:w="521" w:type="pct"/>
            <w:shd w:val="clear" w:color="auto" w:fill="E0E0E0"/>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338</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82947" w:rsidP="008A3976">
            <w:pPr>
              <w:pStyle w:val="Tabletextright"/>
            </w:pPr>
            <w:r w:rsidRPr="00687A1C">
              <w:t>(21)</w:t>
            </w:r>
          </w:p>
        </w:tc>
        <w:tc>
          <w:tcPr>
            <w:tcW w:w="517" w:type="pct"/>
            <w:shd w:val="clear" w:color="auto" w:fill="E0E0E0"/>
          </w:tcPr>
          <w:p w:rsidR="00174AEA" w:rsidRPr="00687A1C" w:rsidRDefault="00174AEA" w:rsidP="00D8412D">
            <w:pPr>
              <w:pStyle w:val="Tabletextright"/>
            </w:pPr>
            <w:r w:rsidRPr="00687A1C">
              <w:t>4</w:t>
            </w:r>
            <w:r w:rsidR="00D8412D" w:rsidRPr="00687A1C">
              <w:rPr>
                <w:rFonts w:ascii="Calibri" w:hAnsi="Calibri" w:cs="Calibri"/>
              </w:rPr>
              <w:t xml:space="preserve"> </w:t>
            </w:r>
            <w:r w:rsidR="00182947" w:rsidRPr="00687A1C">
              <w:t>317</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Net transfers free of charge</w:t>
            </w:r>
          </w:p>
        </w:tc>
        <w:tc>
          <w:tcPr>
            <w:tcW w:w="521"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(4)</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17" w:type="pct"/>
            <w:shd w:val="clear" w:color="auto" w:fill="E0E0E0"/>
          </w:tcPr>
          <w:p w:rsidR="00174AEA" w:rsidRPr="00687A1C" w:rsidRDefault="00174AEA" w:rsidP="008A3976">
            <w:pPr>
              <w:pStyle w:val="Tabletextright"/>
            </w:pPr>
            <w:r w:rsidRPr="00687A1C">
              <w:t>(4)</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Revaluation increment (net)</w:t>
            </w:r>
          </w:p>
        </w:tc>
        <w:tc>
          <w:tcPr>
            <w:tcW w:w="521" w:type="pct"/>
            <w:shd w:val="clear" w:color="auto" w:fill="E0E0E0"/>
          </w:tcPr>
          <w:p w:rsidR="00174AEA" w:rsidRPr="00687A1C" w:rsidRDefault="00174AEA" w:rsidP="00D8412D">
            <w:pPr>
              <w:pStyle w:val="Tabletextright"/>
            </w:pPr>
            <w:r w:rsidRPr="00687A1C">
              <w:t>177</w:t>
            </w:r>
            <w:r w:rsidR="00D8412D" w:rsidRPr="00687A1C">
              <w:rPr>
                <w:rFonts w:ascii="Calibri" w:hAnsi="Calibri" w:cs="Calibri"/>
              </w:rPr>
              <w:t xml:space="preserve"> </w:t>
            </w:r>
            <w:r w:rsidRPr="00687A1C">
              <w:t>365</w:t>
            </w:r>
          </w:p>
        </w:tc>
        <w:tc>
          <w:tcPr>
            <w:tcW w:w="522" w:type="pct"/>
            <w:shd w:val="clear" w:color="auto" w:fill="auto"/>
          </w:tcPr>
          <w:p w:rsidR="00174AEA" w:rsidRPr="00687A1C" w:rsidRDefault="00174AEA" w:rsidP="00D8412D">
            <w:pPr>
              <w:pStyle w:val="Tabletextright"/>
            </w:pPr>
            <w:r w:rsidRPr="00687A1C">
              <w:t>72</w:t>
            </w:r>
            <w:r w:rsidR="00D8412D" w:rsidRPr="00687A1C">
              <w:rPr>
                <w:rFonts w:ascii="Calibri" w:hAnsi="Calibri" w:cs="Calibri"/>
              </w:rPr>
              <w:t xml:space="preserve"> </w:t>
            </w:r>
            <w:r w:rsidRPr="00687A1C">
              <w:t>927</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w:t>
            </w:r>
          </w:p>
        </w:tc>
        <w:tc>
          <w:tcPr>
            <w:tcW w:w="517" w:type="pct"/>
            <w:shd w:val="clear" w:color="auto" w:fill="E0E0E0"/>
          </w:tcPr>
          <w:p w:rsidR="00174AEA" w:rsidRPr="00687A1C" w:rsidRDefault="00174AEA" w:rsidP="00D8412D">
            <w:pPr>
              <w:pStyle w:val="Tabletextright"/>
            </w:pPr>
            <w:r w:rsidRPr="00687A1C">
              <w:t>250</w:t>
            </w:r>
            <w:r w:rsidR="00D8412D" w:rsidRPr="00687A1C">
              <w:rPr>
                <w:rFonts w:ascii="Calibri" w:hAnsi="Calibri" w:cs="Calibri"/>
              </w:rPr>
              <w:t xml:space="preserve"> </w:t>
            </w:r>
            <w:r w:rsidRPr="00687A1C">
              <w:t>292</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
            </w:pPr>
            <w:r w:rsidRPr="00687A1C">
              <w:t>Depreciation expense (note 5.1.1)</w:t>
            </w:r>
          </w:p>
        </w:tc>
        <w:tc>
          <w:tcPr>
            <w:tcW w:w="521"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D8412D">
            <w:pPr>
              <w:pStyle w:val="Tabletextright"/>
            </w:pPr>
            <w:r w:rsidRPr="00687A1C">
              <w:t>(12</w:t>
            </w:r>
            <w:r w:rsidR="00D8412D" w:rsidRPr="00687A1C">
              <w:rPr>
                <w:rFonts w:ascii="Calibri" w:hAnsi="Calibri" w:cs="Calibri"/>
              </w:rPr>
              <w:t xml:space="preserve"> </w:t>
            </w:r>
            <w:r w:rsidRPr="00687A1C">
              <w:t>545)</w:t>
            </w:r>
          </w:p>
        </w:tc>
        <w:tc>
          <w:tcPr>
            <w:tcW w:w="522" w:type="pct"/>
            <w:shd w:val="clear" w:color="auto" w:fill="E0E0E0"/>
          </w:tcPr>
          <w:p w:rsidR="00174AEA" w:rsidRPr="00687A1C" w:rsidRDefault="00174AEA" w:rsidP="008A3976">
            <w:pPr>
              <w:pStyle w:val="Tabletextright"/>
            </w:pPr>
            <w:r w:rsidRPr="00687A1C">
              <w:t>–</w:t>
            </w:r>
          </w:p>
        </w:tc>
        <w:tc>
          <w:tcPr>
            <w:tcW w:w="522" w:type="pct"/>
            <w:shd w:val="clear" w:color="auto" w:fill="auto"/>
          </w:tcPr>
          <w:p w:rsidR="00174AEA" w:rsidRPr="00687A1C" w:rsidRDefault="00174AEA" w:rsidP="008A3976">
            <w:pPr>
              <w:pStyle w:val="Tabletextright"/>
            </w:pPr>
            <w:r w:rsidRPr="00687A1C">
              <w:t>(194)</w:t>
            </w:r>
          </w:p>
        </w:tc>
        <w:tc>
          <w:tcPr>
            <w:tcW w:w="522" w:type="pct"/>
            <w:shd w:val="clear" w:color="auto" w:fill="E0E0E0"/>
          </w:tcPr>
          <w:p w:rsidR="00174AEA" w:rsidRPr="00687A1C" w:rsidRDefault="00174AEA" w:rsidP="008A3976">
            <w:pPr>
              <w:pStyle w:val="Tabletextright"/>
            </w:pPr>
            <w:r w:rsidRPr="00687A1C">
              <w:t>(661)</w:t>
            </w:r>
          </w:p>
        </w:tc>
        <w:tc>
          <w:tcPr>
            <w:tcW w:w="522" w:type="pct"/>
            <w:shd w:val="clear" w:color="auto" w:fill="auto"/>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124)</w:t>
            </w:r>
          </w:p>
        </w:tc>
        <w:tc>
          <w:tcPr>
            <w:tcW w:w="517" w:type="pct"/>
            <w:shd w:val="clear" w:color="auto" w:fill="E0E0E0"/>
          </w:tcPr>
          <w:p w:rsidR="00174AEA" w:rsidRPr="00687A1C" w:rsidRDefault="00174AEA" w:rsidP="00D8412D">
            <w:pPr>
              <w:pStyle w:val="Tabletextright"/>
            </w:pPr>
            <w:r w:rsidRPr="00687A1C">
              <w:t>(14</w:t>
            </w:r>
            <w:r w:rsidR="00D8412D" w:rsidRPr="00687A1C">
              <w:rPr>
                <w:rFonts w:ascii="Calibri" w:hAnsi="Calibri" w:cs="Calibri"/>
              </w:rPr>
              <w:t xml:space="preserve"> </w:t>
            </w:r>
            <w:r w:rsidRPr="00687A1C">
              <w:t>524)</w:t>
            </w:r>
          </w:p>
        </w:tc>
      </w:tr>
      <w:tr w:rsidR="00174AEA" w:rsidRPr="00687A1C" w:rsidTr="008A3976">
        <w:trPr>
          <w:cantSplit/>
        </w:trPr>
        <w:tc>
          <w:tcPr>
            <w:tcW w:w="1352" w:type="pct"/>
            <w:shd w:val="clear" w:color="auto" w:fill="auto"/>
            <w:vAlign w:val="bottom"/>
          </w:tcPr>
          <w:p w:rsidR="00174AEA" w:rsidRPr="00687A1C" w:rsidRDefault="00174AEA" w:rsidP="008A3976">
            <w:pPr>
              <w:pStyle w:val="Tabletextbold"/>
            </w:pPr>
            <w:r w:rsidRPr="00687A1C">
              <w:t>Carrying amount at the end of the year</w:t>
            </w:r>
          </w:p>
        </w:tc>
        <w:tc>
          <w:tcPr>
            <w:tcW w:w="521" w:type="pct"/>
            <w:shd w:val="clear" w:color="auto" w:fill="E0E0E0"/>
          </w:tcPr>
          <w:p w:rsidR="00174AEA" w:rsidRPr="00687A1C" w:rsidRDefault="00174AEA" w:rsidP="00D8412D">
            <w:pPr>
              <w:pStyle w:val="Tabletextrightbold"/>
            </w:pPr>
            <w:r w:rsidRPr="00687A1C">
              <w:t>603</w:t>
            </w:r>
            <w:r w:rsidR="00D8412D" w:rsidRPr="00687A1C">
              <w:rPr>
                <w:rFonts w:ascii="Calibri" w:hAnsi="Calibri" w:cs="Calibri"/>
              </w:rPr>
              <w:t xml:space="preserve"> </w:t>
            </w:r>
            <w:r w:rsidRPr="00687A1C">
              <w:t>512</w:t>
            </w:r>
          </w:p>
        </w:tc>
        <w:tc>
          <w:tcPr>
            <w:tcW w:w="522" w:type="pct"/>
            <w:shd w:val="clear" w:color="auto" w:fill="auto"/>
          </w:tcPr>
          <w:p w:rsidR="00174AEA" w:rsidRPr="00687A1C" w:rsidRDefault="00174AEA" w:rsidP="00D8412D">
            <w:pPr>
              <w:pStyle w:val="Tabletextrightbold"/>
            </w:pPr>
            <w:r w:rsidRPr="00687A1C">
              <w:t>183</w:t>
            </w:r>
            <w:r w:rsidR="00D8412D" w:rsidRPr="00687A1C">
              <w:rPr>
                <w:rFonts w:ascii="Calibri" w:hAnsi="Calibri" w:cs="Calibri"/>
              </w:rPr>
              <w:t xml:space="preserve"> </w:t>
            </w:r>
            <w:r w:rsidRPr="00687A1C">
              <w:t>165</w:t>
            </w:r>
          </w:p>
        </w:tc>
        <w:tc>
          <w:tcPr>
            <w:tcW w:w="522" w:type="pct"/>
            <w:shd w:val="clear" w:color="auto" w:fill="E0E0E0"/>
          </w:tcPr>
          <w:p w:rsidR="00174AEA" w:rsidRPr="00687A1C" w:rsidRDefault="00174AEA" w:rsidP="00D8412D">
            <w:pPr>
              <w:pStyle w:val="Tabletextrightbold"/>
            </w:pPr>
            <w:r w:rsidRPr="00687A1C">
              <w:t>6</w:t>
            </w:r>
            <w:r w:rsidR="00D8412D" w:rsidRPr="00687A1C">
              <w:rPr>
                <w:rFonts w:ascii="Calibri" w:hAnsi="Calibri" w:cs="Calibri"/>
              </w:rPr>
              <w:t xml:space="preserve"> </w:t>
            </w:r>
            <w:r w:rsidRPr="00687A1C">
              <w:t>267</w:t>
            </w:r>
          </w:p>
        </w:tc>
        <w:tc>
          <w:tcPr>
            <w:tcW w:w="522" w:type="pct"/>
            <w:shd w:val="clear" w:color="auto" w:fill="auto"/>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550</w:t>
            </w:r>
          </w:p>
        </w:tc>
        <w:tc>
          <w:tcPr>
            <w:tcW w:w="522" w:type="pct"/>
            <w:shd w:val="clear" w:color="auto" w:fill="E0E0E0"/>
          </w:tcPr>
          <w:p w:rsidR="00174AEA" w:rsidRPr="00687A1C" w:rsidRDefault="00174AEA" w:rsidP="008A3976">
            <w:pPr>
              <w:pStyle w:val="Tabletextrightbold"/>
            </w:pPr>
            <w:r w:rsidRPr="00687A1C">
              <w:t>122</w:t>
            </w:r>
          </w:p>
        </w:tc>
        <w:tc>
          <w:tcPr>
            <w:tcW w:w="522" w:type="pct"/>
            <w:shd w:val="clear" w:color="auto" w:fill="auto"/>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 xml:space="preserve"> 201</w:t>
            </w:r>
          </w:p>
        </w:tc>
        <w:tc>
          <w:tcPr>
            <w:tcW w:w="517" w:type="pct"/>
            <w:shd w:val="clear" w:color="auto" w:fill="E0E0E0"/>
          </w:tcPr>
          <w:p w:rsidR="00174AEA" w:rsidRPr="00687A1C" w:rsidRDefault="00174AEA" w:rsidP="00D8412D">
            <w:pPr>
              <w:pStyle w:val="Tabletextrightbold"/>
            </w:pPr>
            <w:r w:rsidRPr="00687A1C">
              <w:t>798</w:t>
            </w:r>
            <w:r w:rsidR="00D8412D" w:rsidRPr="00687A1C">
              <w:rPr>
                <w:rFonts w:ascii="Calibri" w:hAnsi="Calibri" w:cs="Calibri"/>
              </w:rPr>
              <w:t xml:space="preserve"> </w:t>
            </w:r>
            <w:r w:rsidRPr="00687A1C">
              <w:t>817</w:t>
            </w:r>
          </w:p>
        </w:tc>
      </w:tr>
    </w:tbl>
    <w:p w:rsidR="00174AEA" w:rsidRPr="00687A1C" w:rsidRDefault="00174AEA" w:rsidP="00174AEA"/>
    <w:p w:rsidR="00174AEA" w:rsidRPr="00687A1C" w:rsidRDefault="00174AEA" w:rsidP="00174AEA">
      <w:pPr>
        <w:sectPr w:rsidR="00174AEA" w:rsidRPr="00687A1C" w:rsidSect="00AC3C2D">
          <w:headerReference w:type="even" r:id="rId66"/>
          <w:headerReference w:type="default" r:id="rId67"/>
          <w:footerReference w:type="even" r:id="rId68"/>
          <w:footerReference w:type="default" r:id="rId69"/>
          <w:pgSz w:w="16834" w:h="11909" w:orient="landscape" w:code="9"/>
          <w:pgMar w:top="1152" w:right="1440" w:bottom="1152" w:left="1440" w:header="720" w:footer="288" w:gutter="0"/>
          <w:cols w:space="720"/>
          <w:noEndnote/>
        </w:sectPr>
      </w:pPr>
    </w:p>
    <w:p w:rsidR="00174AEA" w:rsidRPr="00687A1C" w:rsidRDefault="00174AEA" w:rsidP="00174AEA">
      <w:pPr>
        <w:pStyle w:val="Heading2numbered"/>
      </w:pPr>
      <w:bookmarkStart w:id="90" w:name="_Toc525026199"/>
      <w:bookmarkStart w:id="91" w:name="_Toc525026236"/>
      <w:r w:rsidRPr="00687A1C">
        <w:lastRenderedPageBreak/>
        <w:t>Intangible assets</w:t>
      </w:r>
      <w:bookmarkEnd w:id="90"/>
      <w:bookmarkEnd w:id="91"/>
    </w:p>
    <w:tbl>
      <w:tblPr>
        <w:tblStyle w:val="AnnualReporttexttable"/>
        <w:tblW w:w="7200" w:type="dxa"/>
        <w:tblLayout w:type="fixed"/>
        <w:tblLook w:val="00A0" w:firstRow="1" w:lastRow="0" w:firstColumn="1" w:lastColumn="0" w:noHBand="0" w:noVBand="0"/>
      </w:tblPr>
      <w:tblGrid>
        <w:gridCol w:w="5040"/>
        <w:gridCol w:w="1080"/>
        <w:gridCol w:w="1080"/>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rsidR="00174AEA" w:rsidRPr="00687A1C" w:rsidRDefault="00174AEA" w:rsidP="008A3976">
            <w:pPr>
              <w:pStyle w:val="Tabletextheadingright"/>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rPr>
                <w:bCs/>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rPr>
                <w:b/>
                <w:bCs/>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 xml:space="preserve">Municipal valuations database </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22</w:t>
            </w:r>
            <w:r w:rsidR="00D8412D" w:rsidRPr="00687A1C">
              <w:rPr>
                <w:rFonts w:ascii="Calibri" w:hAnsi="Calibri" w:cs="Calibri"/>
              </w:rPr>
              <w:t xml:space="preserve"> </w:t>
            </w:r>
            <w:r w:rsidRPr="00687A1C">
              <w:t>457</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19</w:t>
            </w:r>
            <w:r w:rsidR="00D8412D" w:rsidRPr="00687A1C">
              <w:rPr>
                <w:rFonts w:ascii="Calibri" w:hAnsi="Calibri" w:cs="Calibri"/>
              </w:rPr>
              <w:t xml:space="preserve"> </w:t>
            </w:r>
            <w:r w:rsidRPr="00687A1C">
              <w:t>721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Less: accumulated amortisation</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(22</w:t>
            </w:r>
            <w:r w:rsidR="00D8412D" w:rsidRPr="00687A1C">
              <w:rPr>
                <w:rFonts w:ascii="Calibri" w:hAnsi="Calibri" w:cs="Calibri"/>
              </w:rPr>
              <w:t xml:space="preserve"> </w:t>
            </w:r>
            <w:r w:rsidR="00BE1C02" w:rsidRPr="00687A1C">
              <w:t>457</w:t>
            </w:r>
            <w:r w:rsidRPr="00687A1C">
              <w:t>)</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Total municipal valuations database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BE1C02" w:rsidP="008A3976">
            <w:pPr>
              <w:pStyle w:val="Tabletextrightbold"/>
            </w:pPr>
            <w:r w:rsidRPr="00687A1C">
              <w:t>–</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14</w:t>
            </w:r>
            <w:r w:rsidR="00D8412D" w:rsidRPr="00687A1C">
              <w:rPr>
                <w:rFonts w:ascii="Calibri" w:hAnsi="Calibri" w:cs="Calibri"/>
              </w:rPr>
              <w:t xml:space="preserve"> </w:t>
            </w:r>
            <w:r w:rsidRPr="00687A1C">
              <w:t>721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Capitalised software development</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62</w:t>
            </w:r>
            <w:r w:rsidR="00D8412D" w:rsidRPr="00687A1C">
              <w:rPr>
                <w:rFonts w:ascii="Calibri" w:hAnsi="Calibri" w:cs="Calibri"/>
              </w:rPr>
              <w:t xml:space="preserve"> </w:t>
            </w:r>
            <w:r w:rsidRPr="00687A1C">
              <w:t xml:space="preserve">792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59</w:t>
            </w:r>
            <w:r w:rsidR="00D8412D" w:rsidRPr="00687A1C">
              <w:rPr>
                <w:rFonts w:ascii="Calibri" w:hAnsi="Calibri" w:cs="Calibri"/>
              </w:rPr>
              <w:t xml:space="preserve"> </w:t>
            </w:r>
            <w:r w:rsidRPr="00687A1C">
              <w:t>624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Less: accumulated amortisation</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(53</w:t>
            </w:r>
            <w:r w:rsidR="00D8412D" w:rsidRPr="00687A1C">
              <w:rPr>
                <w:rFonts w:ascii="Calibri" w:hAnsi="Calibri" w:cs="Calibri"/>
              </w:rPr>
              <w:t xml:space="preserve"> </w:t>
            </w:r>
            <w:r w:rsidRPr="00687A1C">
              <w:t>426)</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(49</w:t>
            </w:r>
            <w:r w:rsidR="00D8412D" w:rsidRPr="00687A1C">
              <w:rPr>
                <w:rFonts w:ascii="Calibri" w:hAnsi="Calibri" w:cs="Calibri"/>
              </w:rPr>
              <w:t xml:space="preserve"> </w:t>
            </w:r>
            <w:r w:rsidRPr="00687A1C">
              <w:t>425)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Total capitalised software development</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9</w:t>
            </w:r>
            <w:r w:rsidR="00D8412D" w:rsidRPr="00687A1C">
              <w:rPr>
                <w:rFonts w:ascii="Calibri" w:hAnsi="Calibri" w:cs="Calibri"/>
              </w:rPr>
              <w:t xml:space="preserve"> </w:t>
            </w:r>
            <w:r w:rsidRPr="00687A1C">
              <w:t xml:space="preserve">366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10</w:t>
            </w:r>
            <w:r w:rsidR="00D8412D" w:rsidRPr="00687A1C">
              <w:rPr>
                <w:rFonts w:ascii="Calibri" w:hAnsi="Calibri" w:cs="Calibri"/>
              </w:rPr>
              <w:t xml:space="preserve"> </w:t>
            </w:r>
            <w:r w:rsidRPr="00687A1C">
              <w:t>199</w:t>
            </w:r>
          </w:p>
        </w:tc>
      </w:tr>
      <w:tr w:rsidR="00174AEA" w:rsidRPr="00687A1C" w:rsidTr="008A3976">
        <w:trPr>
          <w:trHeight w:hRule="exact" w:val="58"/>
        </w:trPr>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Intangible assets under development</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 xml:space="preserve">911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671</w:t>
            </w:r>
          </w:p>
        </w:tc>
      </w:tr>
      <w:tr w:rsidR="00174AEA" w:rsidRPr="00687A1C" w:rsidTr="008A3976">
        <w:trPr>
          <w:trHeight w:hRule="exact" w:val="58"/>
        </w:trPr>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Total intangible assets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14</w:t>
            </w:r>
            <w:r w:rsidR="00D8412D" w:rsidRPr="00687A1C">
              <w:rPr>
                <w:rFonts w:ascii="Calibri" w:hAnsi="Calibri" w:cs="Calibri"/>
              </w:rPr>
              <w:t xml:space="preserve"> </w:t>
            </w:r>
            <w:r w:rsidR="00BE1C02" w:rsidRPr="00687A1C">
              <w:t>277</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27</w:t>
            </w:r>
            <w:r w:rsidR="00D8412D" w:rsidRPr="00687A1C">
              <w:rPr>
                <w:rFonts w:ascii="Calibri" w:hAnsi="Calibri" w:cs="Calibri"/>
              </w:rPr>
              <w:t xml:space="preserve"> </w:t>
            </w:r>
            <w:r w:rsidRPr="00687A1C">
              <w:t>591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Reconciliations of carrying amounts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rPr>
          <w:trHeight w:hRule="exact" w:val="58"/>
        </w:trPr>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Municipal valuations database</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Carrying amount at the start of the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14</w:t>
            </w:r>
            <w:r w:rsidR="00D8412D" w:rsidRPr="00687A1C">
              <w:rPr>
                <w:rFonts w:ascii="Calibri" w:hAnsi="Calibri" w:cs="Calibri"/>
              </w:rPr>
              <w:t xml:space="preserve"> </w:t>
            </w:r>
            <w:r w:rsidRPr="00687A1C">
              <w:t xml:space="preserve">721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r w:rsidRPr="00687A1C">
              <w:rPr>
                <w:b/>
              </w:rPr>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Additions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 xml:space="preserve">736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19</w:t>
            </w:r>
            <w:r w:rsidR="00D8412D" w:rsidRPr="00687A1C">
              <w:rPr>
                <w:rFonts w:ascii="Calibri" w:hAnsi="Calibri" w:cs="Calibri"/>
              </w:rPr>
              <w:t xml:space="preserve"> </w:t>
            </w:r>
            <w:r w:rsidRPr="00687A1C">
              <w:t>721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Amortisation expense (note 5.1.1)</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(17</w:t>
            </w:r>
            <w:r w:rsidR="00D8412D" w:rsidRPr="00687A1C">
              <w:rPr>
                <w:rFonts w:ascii="Calibri" w:hAnsi="Calibri" w:cs="Calibri"/>
              </w:rPr>
              <w:t xml:space="preserve"> </w:t>
            </w:r>
            <w:r w:rsidR="00BE1C02" w:rsidRPr="00687A1C">
              <w:t>457</w:t>
            </w:r>
            <w:r w:rsidRPr="00687A1C">
              <w:t>)</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Carrying amount at the end of the year</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BE1C02" w:rsidP="008A3976">
            <w:pPr>
              <w:pStyle w:val="Tabletextrightbold"/>
            </w:pPr>
            <w:r w:rsidRPr="00687A1C">
              <w:t>–</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14</w:t>
            </w:r>
            <w:r w:rsidR="00D8412D" w:rsidRPr="00687A1C">
              <w:rPr>
                <w:rFonts w:ascii="Calibri" w:hAnsi="Calibri" w:cs="Calibri"/>
              </w:rPr>
              <w:t xml:space="preserve"> </w:t>
            </w:r>
            <w:r w:rsidRPr="00687A1C">
              <w:t>721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Capitalised software development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Carrying amount at the start of the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10</w:t>
            </w:r>
            <w:r w:rsidR="00D8412D" w:rsidRPr="00687A1C">
              <w:rPr>
                <w:rFonts w:ascii="Calibri" w:hAnsi="Calibri" w:cs="Calibri"/>
              </w:rPr>
              <w:t xml:space="preserve"> </w:t>
            </w:r>
            <w:r w:rsidRPr="00687A1C">
              <w:t xml:space="preserve">199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12</w:t>
            </w:r>
            <w:r w:rsidR="00D8412D" w:rsidRPr="00687A1C">
              <w:rPr>
                <w:rFonts w:ascii="Calibri" w:hAnsi="Calibri" w:cs="Calibri"/>
              </w:rPr>
              <w:t xml:space="preserve"> </w:t>
            </w:r>
            <w:r w:rsidRPr="00687A1C">
              <w:t>538</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Additions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 xml:space="preserve">168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766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Amortisation expense (Note 5.1.1)</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001)</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105)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Carrying amount at the end of the year</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9</w:t>
            </w:r>
            <w:r w:rsidR="00D8412D" w:rsidRPr="00687A1C">
              <w:rPr>
                <w:rFonts w:ascii="Calibri" w:hAnsi="Calibri" w:cs="Calibri"/>
              </w:rPr>
              <w:t xml:space="preserve"> </w:t>
            </w:r>
            <w:r w:rsidRPr="00687A1C">
              <w:t xml:space="preserve">366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10</w:t>
            </w:r>
            <w:r w:rsidR="00D8412D" w:rsidRPr="00687A1C">
              <w:rPr>
                <w:rFonts w:ascii="Calibri" w:hAnsi="Calibri" w:cs="Calibri"/>
              </w:rPr>
              <w:t xml:space="preserve"> </w:t>
            </w:r>
            <w:r w:rsidRPr="00687A1C">
              <w:t>199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Intangible assets under development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Carrying amount at the start of the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 xml:space="preserve">671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696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Additions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5</w:t>
            </w:r>
            <w:r w:rsidR="00D8412D" w:rsidRPr="00687A1C">
              <w:rPr>
                <w:rFonts w:ascii="Calibri" w:hAnsi="Calibri" w:cs="Calibri"/>
              </w:rPr>
              <w:t xml:space="preserve"> </w:t>
            </w:r>
            <w:r w:rsidRPr="00687A1C">
              <w:t xml:space="preserve">408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671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
            </w:pPr>
            <w:r w:rsidRPr="00687A1C">
              <w:t>Transfers to capitalised software development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(3</w:t>
            </w:r>
            <w:r w:rsidR="00D8412D" w:rsidRPr="00687A1C">
              <w:rPr>
                <w:rFonts w:ascii="Calibri" w:hAnsi="Calibri" w:cs="Calibri"/>
              </w:rPr>
              <w:t xml:space="preserve"> </w:t>
            </w:r>
            <w:r w:rsidRPr="00687A1C">
              <w:t>168)</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(1</w:t>
            </w:r>
            <w:r w:rsidR="00D8412D" w:rsidRPr="00687A1C">
              <w:rPr>
                <w:rFonts w:ascii="Calibri" w:hAnsi="Calibri" w:cs="Calibri"/>
              </w:rPr>
              <w:t xml:space="preserve"> </w:t>
            </w:r>
            <w:r w:rsidRPr="00687A1C">
              <w:t>696)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40" w:type="dxa"/>
          </w:tcPr>
          <w:p w:rsidR="00174AEA" w:rsidRPr="00687A1C" w:rsidRDefault="00174AEA" w:rsidP="008A3976">
            <w:pPr>
              <w:pStyle w:val="Tabletextbold"/>
            </w:pPr>
            <w:r w:rsidRPr="00687A1C">
              <w:t>Carrying amount at the end of the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 xml:space="preserve">911 </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671</w:t>
            </w:r>
          </w:p>
        </w:tc>
      </w:tr>
    </w:tbl>
    <w:p w:rsidR="00174AEA" w:rsidRPr="00687A1C" w:rsidRDefault="00174AEA" w:rsidP="00174AEA"/>
    <w:p w:rsidR="00174AEA" w:rsidRPr="00687A1C" w:rsidRDefault="00174AEA" w:rsidP="00174AEA">
      <w:pPr>
        <w:pStyle w:val="Heading3"/>
        <w:sectPr w:rsidR="00174AEA" w:rsidRPr="00687A1C" w:rsidSect="00AC3C2D">
          <w:headerReference w:type="even" r:id="rId70"/>
          <w:headerReference w:type="default" r:id="rId71"/>
          <w:footerReference w:type="even" r:id="rId72"/>
          <w:pgSz w:w="11909" w:h="16834" w:code="9"/>
          <w:pgMar w:top="1728" w:right="1152" w:bottom="1152" w:left="1152" w:header="720" w:footer="288" w:gutter="0"/>
          <w:cols w:space="720"/>
          <w:noEndnote/>
        </w:sectPr>
      </w:pPr>
    </w:p>
    <w:p w:rsidR="00174AEA" w:rsidRPr="00687A1C" w:rsidRDefault="00174AEA" w:rsidP="00174AEA">
      <w:pPr>
        <w:pStyle w:val="Heading3"/>
      </w:pPr>
      <w:r w:rsidRPr="00687A1C">
        <w:lastRenderedPageBreak/>
        <w:t>Initial recognition</w:t>
      </w:r>
    </w:p>
    <w:p w:rsidR="00174AEA" w:rsidRPr="00687A1C" w:rsidRDefault="00182947" w:rsidP="00174AEA">
      <w:r w:rsidRPr="00687A1C">
        <w:t>Intangible assets represent identifiable non-monetary assets without physical substance. Purchased intangible assets are initially recognised at cost. Subsequently, purchased intangible assets with finite useful lives are carried at cost less accumulated amortisation and accumulated impairment losses. Amortisation begins when the asset is available for use, that is, when it is in the location and condition necessary for it to be capable of operating in the manner intended by management. The Department’s internally generated produced assets comprise capitalised software development.</w:t>
      </w:r>
    </w:p>
    <w:p w:rsidR="00174AEA" w:rsidRPr="00687A1C" w:rsidRDefault="00174AEA" w:rsidP="00174AEA">
      <w:r w:rsidRPr="00687A1C">
        <w:t>When the recognition criteria in AASB</w:t>
      </w:r>
      <w:r w:rsidRPr="00687A1C">
        <w:rPr>
          <w:rFonts w:ascii="Calibri" w:hAnsi="Calibri" w:cs="Calibri"/>
        </w:rPr>
        <w:t> </w:t>
      </w:r>
      <w:r w:rsidRPr="00687A1C">
        <w:t xml:space="preserve">138 </w:t>
      </w:r>
      <w:r w:rsidRPr="00687A1C">
        <w:rPr>
          <w:i/>
        </w:rPr>
        <w:t>Intangible Assets</w:t>
      </w:r>
      <w:r w:rsidRPr="00687A1C">
        <w:t xml:space="preserve"> are met, internally generated intangible assets are recognised and measured at cost less accumulated amortisation and impairment. An internally</w:t>
      </w:r>
      <w:r w:rsidRPr="00687A1C">
        <w:noBreakHyphen/>
        <w:t>generated intangible asset arising from development (or from the development phase of an internal project) is recognised if, and only if, all of the following are demonstrated:</w:t>
      </w:r>
    </w:p>
    <w:p w:rsidR="00174AEA" w:rsidRPr="00687A1C" w:rsidRDefault="00174AEA" w:rsidP="00174AEA">
      <w:pPr>
        <w:pStyle w:val="Normalhanging"/>
      </w:pPr>
      <w:r w:rsidRPr="00687A1C">
        <w:t>(a)</w:t>
      </w:r>
      <w:r w:rsidRPr="00687A1C">
        <w:tab/>
        <w:t>the technical feasibility of completing the intangible asset so that it will be available for use or sale;</w:t>
      </w:r>
    </w:p>
    <w:p w:rsidR="00174AEA" w:rsidRPr="00687A1C" w:rsidRDefault="00174AEA" w:rsidP="00174AEA">
      <w:pPr>
        <w:pStyle w:val="Normalhanging"/>
      </w:pPr>
      <w:r w:rsidRPr="00687A1C">
        <w:t>(b)</w:t>
      </w:r>
      <w:r w:rsidRPr="00687A1C">
        <w:tab/>
        <w:t>an intention to complete the intangible asset and use or sell it;</w:t>
      </w:r>
    </w:p>
    <w:p w:rsidR="00174AEA" w:rsidRPr="00687A1C" w:rsidRDefault="00174AEA" w:rsidP="00174AEA">
      <w:pPr>
        <w:pStyle w:val="Normalhanging"/>
      </w:pPr>
      <w:r w:rsidRPr="00687A1C">
        <w:t>(c)</w:t>
      </w:r>
      <w:r w:rsidRPr="00687A1C">
        <w:tab/>
        <w:t xml:space="preserve">the ability to use or sell the intangible asset; </w:t>
      </w:r>
    </w:p>
    <w:p w:rsidR="00174AEA" w:rsidRPr="00687A1C" w:rsidRDefault="00174AEA" w:rsidP="00174AEA">
      <w:pPr>
        <w:pStyle w:val="Normalhanging"/>
      </w:pPr>
      <w:r w:rsidRPr="00687A1C">
        <w:t>(d)</w:t>
      </w:r>
      <w:r w:rsidRPr="00687A1C">
        <w:tab/>
        <w:t>the intangible asset will generate probable future economic benefits;</w:t>
      </w:r>
    </w:p>
    <w:p w:rsidR="00174AEA" w:rsidRPr="00687A1C" w:rsidRDefault="00174AEA" w:rsidP="00174AEA">
      <w:pPr>
        <w:pStyle w:val="Normalhanging"/>
      </w:pPr>
      <w:r w:rsidRPr="00687A1C">
        <w:t>(e)</w:t>
      </w:r>
      <w:r w:rsidRPr="00687A1C">
        <w:tab/>
        <w:t>the availability of adequate technical, financial and other resources to complete the development and to use or sell the intangible asset; and</w:t>
      </w:r>
    </w:p>
    <w:p w:rsidR="00174AEA" w:rsidRPr="00687A1C" w:rsidRDefault="00174AEA" w:rsidP="00174AEA">
      <w:pPr>
        <w:pStyle w:val="Normalhanging"/>
      </w:pPr>
      <w:r w:rsidRPr="00687A1C">
        <w:t>(f)</w:t>
      </w:r>
      <w:r w:rsidRPr="00687A1C">
        <w:tab/>
        <w:t>the ability to measure reliably the expenditure attributable to the intangible asset during its development.</w:t>
      </w:r>
    </w:p>
    <w:p w:rsidR="00174AEA" w:rsidRPr="00687A1C" w:rsidRDefault="00174AEA" w:rsidP="00174AEA"/>
    <w:p w:rsidR="00174AEA" w:rsidRPr="00687A1C" w:rsidRDefault="00174AEA" w:rsidP="00174AEA">
      <w:pPr>
        <w:pStyle w:val="Heading3"/>
      </w:pPr>
      <w:r w:rsidRPr="00687A1C">
        <w:br w:type="column"/>
      </w:r>
      <w:r w:rsidRPr="00687A1C">
        <w:t>Subsequent measurement</w:t>
      </w:r>
    </w:p>
    <w:p w:rsidR="00174AEA" w:rsidRPr="00687A1C" w:rsidRDefault="00174AEA" w:rsidP="00174AEA">
      <w:r w:rsidRPr="00687A1C">
        <w:t xml:space="preserve">Intangible assets with finite useful lives, are </w:t>
      </w:r>
      <w:r w:rsidR="00182947" w:rsidRPr="00687A1C">
        <w:t>amortised</w:t>
      </w:r>
      <w:r w:rsidRPr="00687A1C">
        <w:t xml:space="preserve"> as an ‘expense from transactions’ on a straight</w:t>
      </w:r>
      <w:r w:rsidR="007F419B" w:rsidRPr="00687A1C">
        <w:t>-</w:t>
      </w:r>
      <w:r w:rsidRPr="00687A1C">
        <w:t>line basis over their useful lives. Costs incurred subsequent to initial acquisition are capitalised when it is expected that additional future economic benefits will flow to the Department. Purchased intangible assets include costs incurred in acquiring databases, software and licences that will contribute to future economic benefits.</w:t>
      </w:r>
    </w:p>
    <w:p w:rsidR="00174AEA" w:rsidRPr="00687A1C" w:rsidRDefault="00174AEA" w:rsidP="00174AEA">
      <w:pPr>
        <w:pStyle w:val="Heading3"/>
      </w:pPr>
      <w:r w:rsidRPr="00687A1C">
        <w:t>Impairment of intangible assets</w:t>
      </w:r>
    </w:p>
    <w:p w:rsidR="00174AEA" w:rsidRPr="00687A1C" w:rsidRDefault="00174AEA" w:rsidP="00174AEA">
      <w:r w:rsidRPr="00687A1C">
        <w:t>Intangible assets with finite useful lives are tested for impairment whenever an indication of impairment is identified. The policy in connection with testing for impairment is outlined in note 5.1.1</w:t>
      </w:r>
      <w:r w:rsidR="00F53C54" w:rsidRPr="00687A1C">
        <w:t>.</w:t>
      </w:r>
    </w:p>
    <w:p w:rsidR="00174AEA" w:rsidRPr="00687A1C" w:rsidRDefault="00174AEA" w:rsidP="00174AEA"/>
    <w:p w:rsidR="00174AEA" w:rsidRPr="00687A1C" w:rsidRDefault="00174AEA" w:rsidP="00174AEA"/>
    <w:bookmarkEnd w:id="85"/>
    <w:p w:rsidR="00174AEA" w:rsidRPr="00687A1C" w:rsidRDefault="00174AEA" w:rsidP="00174AEA"/>
    <w:p w:rsidR="00174AEA" w:rsidRPr="00687A1C" w:rsidRDefault="00174AEA" w:rsidP="00174AEA"/>
    <w:p w:rsidR="00174AEA" w:rsidRPr="00687A1C" w:rsidRDefault="00174AEA" w:rsidP="00174AEA">
      <w:pPr>
        <w:sectPr w:rsidR="00174AEA" w:rsidRPr="00687A1C" w:rsidSect="00A13C2E">
          <w:headerReference w:type="default" r:id="rId73"/>
          <w:footerReference w:type="default" r:id="rId74"/>
          <w:pgSz w:w="11909" w:h="16834" w:code="9"/>
          <w:pgMar w:top="1728" w:right="1152" w:bottom="1152" w:left="1152" w:header="720" w:footer="288" w:gutter="0"/>
          <w:cols w:num="2" w:space="720"/>
          <w:noEndnote/>
        </w:sectPr>
      </w:pPr>
    </w:p>
    <w:p w:rsidR="00174AEA" w:rsidRPr="00687A1C" w:rsidRDefault="00174AEA" w:rsidP="00174AEA">
      <w:pPr>
        <w:pStyle w:val="Heading1numbered"/>
      </w:pPr>
      <w:bookmarkStart w:id="92" w:name="_Toc525026200"/>
      <w:r w:rsidRPr="00687A1C">
        <w:lastRenderedPageBreak/>
        <w:t>Other assets and liabilities</w:t>
      </w:r>
      <w:bookmarkEnd w:id="92"/>
    </w:p>
    <w:p w:rsidR="00174AEA" w:rsidRPr="00687A1C" w:rsidRDefault="00174AEA" w:rsidP="00174AEA">
      <w:pPr>
        <w:sectPr w:rsidR="00174AEA" w:rsidRPr="00687A1C" w:rsidSect="003328C2">
          <w:headerReference w:type="even" r:id="rId75"/>
          <w:headerReference w:type="default" r:id="rId76"/>
          <w:pgSz w:w="11909" w:h="16834" w:code="9"/>
          <w:pgMar w:top="1728" w:right="1152" w:bottom="1152" w:left="1152" w:header="720" w:footer="288" w:gutter="0"/>
          <w:cols w:space="720"/>
          <w:noEndnote/>
        </w:sectPr>
      </w:pPr>
    </w:p>
    <w:p w:rsidR="00174AEA" w:rsidRPr="00687A1C" w:rsidRDefault="00174AEA" w:rsidP="00174AEA">
      <w:pPr>
        <w:pStyle w:val="Heading4"/>
      </w:pPr>
      <w:bookmarkStart w:id="93" w:name="Section_06"/>
      <w:r w:rsidRPr="00687A1C">
        <w:t>Introduction</w:t>
      </w:r>
    </w:p>
    <w:p w:rsidR="00174AEA" w:rsidRPr="00687A1C" w:rsidRDefault="00174AEA" w:rsidP="00174AEA">
      <w:r w:rsidRPr="00687A1C">
        <w:t>This section sets out the receivables, assets held for sale and payables that arise from the Department’s controlled operations.</w:t>
      </w:r>
    </w:p>
    <w:p w:rsidR="00174AEA" w:rsidRPr="00687A1C" w:rsidRDefault="00174AEA" w:rsidP="00174AEA">
      <w:pPr>
        <w:pStyle w:val="Heading4"/>
      </w:pPr>
      <w:r w:rsidRPr="00687A1C">
        <w:br w:type="column"/>
      </w:r>
      <w:r w:rsidRPr="00687A1C">
        <w:t>Structure</w:t>
      </w:r>
    </w:p>
    <w:p w:rsidR="00F97BB9" w:rsidRDefault="00174AEA">
      <w:pPr>
        <w:pStyle w:val="TOC5"/>
        <w:rPr>
          <w:noProof/>
          <w:color w:val="auto"/>
          <w:sz w:val="22"/>
        </w:rPr>
      </w:pPr>
      <w:r w:rsidRPr="00687A1C">
        <w:fldChar w:fldCharType="begin"/>
      </w:r>
      <w:r w:rsidRPr="00687A1C">
        <w:instrText xml:space="preserve"> TOC \h \z \t "Heading 2 numbered,5" \b Section_06 </w:instrText>
      </w:r>
      <w:r w:rsidRPr="00687A1C">
        <w:fldChar w:fldCharType="separate"/>
      </w:r>
      <w:hyperlink w:anchor="_Toc525026237" w:history="1">
        <w:r w:rsidR="00F97BB9" w:rsidRPr="00754099">
          <w:rPr>
            <w:rStyle w:val="Hyperlink"/>
            <w:noProof/>
          </w:rPr>
          <w:t>6.1</w:t>
        </w:r>
        <w:r w:rsidR="00F97BB9">
          <w:rPr>
            <w:noProof/>
            <w:color w:val="auto"/>
            <w:sz w:val="22"/>
          </w:rPr>
          <w:tab/>
        </w:r>
        <w:r w:rsidR="00F97BB9" w:rsidRPr="00754099">
          <w:rPr>
            <w:rStyle w:val="Hyperlink"/>
            <w:noProof/>
          </w:rPr>
          <w:t>Receivables</w:t>
        </w:r>
        <w:r w:rsidR="00F97BB9">
          <w:rPr>
            <w:noProof/>
            <w:webHidden/>
          </w:rPr>
          <w:tab/>
        </w:r>
        <w:r w:rsidR="00F97BB9">
          <w:rPr>
            <w:noProof/>
            <w:webHidden/>
          </w:rPr>
          <w:fldChar w:fldCharType="begin"/>
        </w:r>
        <w:r w:rsidR="00F97BB9">
          <w:rPr>
            <w:noProof/>
            <w:webHidden/>
          </w:rPr>
          <w:instrText xml:space="preserve"> PAGEREF _Toc525026237 \h </w:instrText>
        </w:r>
        <w:r w:rsidR="00F97BB9">
          <w:rPr>
            <w:noProof/>
            <w:webHidden/>
          </w:rPr>
        </w:r>
        <w:r w:rsidR="00F97BB9">
          <w:rPr>
            <w:noProof/>
            <w:webHidden/>
          </w:rPr>
          <w:fldChar w:fldCharType="separate"/>
        </w:r>
        <w:r w:rsidR="00BE5F15">
          <w:rPr>
            <w:noProof/>
            <w:webHidden/>
          </w:rPr>
          <w:t>74</w:t>
        </w:r>
        <w:r w:rsidR="00F97BB9">
          <w:rPr>
            <w:noProof/>
            <w:webHidden/>
          </w:rPr>
          <w:fldChar w:fldCharType="end"/>
        </w:r>
      </w:hyperlink>
    </w:p>
    <w:p w:rsidR="00F97BB9" w:rsidRDefault="00EC4CFD">
      <w:pPr>
        <w:pStyle w:val="TOC5"/>
        <w:rPr>
          <w:noProof/>
          <w:color w:val="auto"/>
          <w:sz w:val="22"/>
        </w:rPr>
      </w:pPr>
      <w:hyperlink w:anchor="_Toc525026238" w:history="1">
        <w:r w:rsidR="00F97BB9" w:rsidRPr="00754099">
          <w:rPr>
            <w:rStyle w:val="Hyperlink"/>
            <w:noProof/>
          </w:rPr>
          <w:t>6.2</w:t>
        </w:r>
        <w:r w:rsidR="00F97BB9">
          <w:rPr>
            <w:noProof/>
            <w:color w:val="auto"/>
            <w:sz w:val="22"/>
          </w:rPr>
          <w:tab/>
        </w:r>
        <w:r w:rsidR="00F97BB9" w:rsidRPr="00754099">
          <w:rPr>
            <w:rStyle w:val="Hyperlink"/>
            <w:noProof/>
          </w:rPr>
          <w:t>Payables</w:t>
        </w:r>
        <w:r w:rsidR="00F97BB9">
          <w:rPr>
            <w:noProof/>
            <w:webHidden/>
          </w:rPr>
          <w:tab/>
        </w:r>
        <w:r w:rsidR="00F97BB9">
          <w:rPr>
            <w:noProof/>
            <w:webHidden/>
          </w:rPr>
          <w:fldChar w:fldCharType="begin"/>
        </w:r>
        <w:r w:rsidR="00F97BB9">
          <w:rPr>
            <w:noProof/>
            <w:webHidden/>
          </w:rPr>
          <w:instrText xml:space="preserve"> PAGEREF _Toc525026238 \h </w:instrText>
        </w:r>
        <w:r w:rsidR="00F97BB9">
          <w:rPr>
            <w:noProof/>
            <w:webHidden/>
          </w:rPr>
        </w:r>
        <w:r w:rsidR="00F97BB9">
          <w:rPr>
            <w:noProof/>
            <w:webHidden/>
          </w:rPr>
          <w:fldChar w:fldCharType="separate"/>
        </w:r>
        <w:r w:rsidR="00BE5F15">
          <w:rPr>
            <w:noProof/>
            <w:webHidden/>
          </w:rPr>
          <w:t>75</w:t>
        </w:r>
        <w:r w:rsidR="00F97BB9">
          <w:rPr>
            <w:noProof/>
            <w:webHidden/>
          </w:rPr>
          <w:fldChar w:fldCharType="end"/>
        </w:r>
      </w:hyperlink>
    </w:p>
    <w:p w:rsidR="00F97BB9" w:rsidRDefault="00EC4CFD">
      <w:pPr>
        <w:pStyle w:val="TOC5"/>
        <w:rPr>
          <w:noProof/>
          <w:color w:val="auto"/>
          <w:sz w:val="22"/>
        </w:rPr>
      </w:pPr>
      <w:hyperlink w:anchor="_Toc525026239" w:history="1">
        <w:r w:rsidR="00F97BB9" w:rsidRPr="00754099">
          <w:rPr>
            <w:rStyle w:val="Hyperlink"/>
            <w:noProof/>
          </w:rPr>
          <w:t>6.3</w:t>
        </w:r>
        <w:r w:rsidR="00F97BB9">
          <w:rPr>
            <w:noProof/>
            <w:color w:val="auto"/>
            <w:sz w:val="22"/>
          </w:rPr>
          <w:tab/>
        </w:r>
        <w:r w:rsidR="00F97BB9" w:rsidRPr="00754099">
          <w:rPr>
            <w:rStyle w:val="Hyperlink"/>
            <w:noProof/>
          </w:rPr>
          <w:t>Non</w:t>
        </w:r>
        <w:r w:rsidR="00F97BB9" w:rsidRPr="00754099">
          <w:rPr>
            <w:rStyle w:val="Hyperlink"/>
            <w:noProof/>
          </w:rPr>
          <w:noBreakHyphen/>
          <w:t>financial assets classified as held for sale</w:t>
        </w:r>
        <w:r w:rsidR="00F97BB9">
          <w:rPr>
            <w:noProof/>
            <w:webHidden/>
          </w:rPr>
          <w:tab/>
        </w:r>
        <w:r w:rsidR="00F97BB9">
          <w:rPr>
            <w:noProof/>
            <w:webHidden/>
          </w:rPr>
          <w:fldChar w:fldCharType="begin"/>
        </w:r>
        <w:r w:rsidR="00F97BB9">
          <w:rPr>
            <w:noProof/>
            <w:webHidden/>
          </w:rPr>
          <w:instrText xml:space="preserve"> PAGEREF _Toc525026239 \h </w:instrText>
        </w:r>
        <w:r w:rsidR="00F97BB9">
          <w:rPr>
            <w:noProof/>
            <w:webHidden/>
          </w:rPr>
        </w:r>
        <w:r w:rsidR="00F97BB9">
          <w:rPr>
            <w:noProof/>
            <w:webHidden/>
          </w:rPr>
          <w:fldChar w:fldCharType="separate"/>
        </w:r>
        <w:r w:rsidR="00BE5F15">
          <w:rPr>
            <w:noProof/>
            <w:webHidden/>
          </w:rPr>
          <w:t>76</w:t>
        </w:r>
        <w:r w:rsidR="00F97BB9">
          <w:rPr>
            <w:noProof/>
            <w:webHidden/>
          </w:rPr>
          <w:fldChar w:fldCharType="end"/>
        </w:r>
      </w:hyperlink>
    </w:p>
    <w:p w:rsidR="00F97BB9" w:rsidRDefault="00EC4CFD">
      <w:pPr>
        <w:pStyle w:val="TOC5"/>
        <w:rPr>
          <w:noProof/>
          <w:color w:val="auto"/>
          <w:sz w:val="22"/>
        </w:rPr>
      </w:pPr>
      <w:hyperlink w:anchor="_Toc525026240" w:history="1">
        <w:r w:rsidR="00F97BB9" w:rsidRPr="00754099">
          <w:rPr>
            <w:rStyle w:val="Hyperlink"/>
            <w:noProof/>
          </w:rPr>
          <w:t>6.4</w:t>
        </w:r>
        <w:r w:rsidR="00F97BB9">
          <w:rPr>
            <w:noProof/>
            <w:color w:val="auto"/>
            <w:sz w:val="22"/>
          </w:rPr>
          <w:tab/>
        </w:r>
        <w:r w:rsidR="00F97BB9" w:rsidRPr="00754099">
          <w:rPr>
            <w:rStyle w:val="Hyperlink"/>
            <w:noProof/>
          </w:rPr>
          <w:t>Unearned income</w:t>
        </w:r>
        <w:r w:rsidR="00F97BB9">
          <w:rPr>
            <w:noProof/>
            <w:webHidden/>
          </w:rPr>
          <w:tab/>
        </w:r>
        <w:r w:rsidR="00F97BB9">
          <w:rPr>
            <w:noProof/>
            <w:webHidden/>
          </w:rPr>
          <w:fldChar w:fldCharType="begin"/>
        </w:r>
        <w:r w:rsidR="00F97BB9">
          <w:rPr>
            <w:noProof/>
            <w:webHidden/>
          </w:rPr>
          <w:instrText xml:space="preserve"> PAGEREF _Toc525026240 \h </w:instrText>
        </w:r>
        <w:r w:rsidR="00F97BB9">
          <w:rPr>
            <w:noProof/>
            <w:webHidden/>
          </w:rPr>
        </w:r>
        <w:r w:rsidR="00F97BB9">
          <w:rPr>
            <w:noProof/>
            <w:webHidden/>
          </w:rPr>
          <w:fldChar w:fldCharType="separate"/>
        </w:r>
        <w:r w:rsidR="00BE5F15">
          <w:rPr>
            <w:noProof/>
            <w:webHidden/>
          </w:rPr>
          <w:t>76</w:t>
        </w:r>
        <w:r w:rsidR="00F97BB9">
          <w:rPr>
            <w:noProof/>
            <w:webHidden/>
          </w:rPr>
          <w:fldChar w:fldCharType="end"/>
        </w:r>
      </w:hyperlink>
    </w:p>
    <w:p w:rsidR="00174AEA" w:rsidRPr="00687A1C" w:rsidRDefault="00174AEA" w:rsidP="00174AEA">
      <w:r w:rsidRPr="00687A1C">
        <w:rPr>
          <w:b/>
          <w:spacing w:val="-2"/>
          <w:szCs w:val="19"/>
        </w:rPr>
        <w:fldChar w:fldCharType="end"/>
      </w:r>
    </w:p>
    <w:p w:rsidR="00174AEA" w:rsidRPr="00687A1C" w:rsidRDefault="00174AEA" w:rsidP="00174AEA">
      <w:pPr>
        <w:sectPr w:rsidR="00174AEA" w:rsidRPr="00687A1C" w:rsidSect="003328C2">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94" w:name="_Toc525026201"/>
      <w:bookmarkStart w:id="95" w:name="_Toc525026237"/>
      <w:r w:rsidRPr="00687A1C">
        <w:t>Receivables</w:t>
      </w:r>
      <w:bookmarkEnd w:id="94"/>
      <w:bookmarkEnd w:id="95"/>
    </w:p>
    <w:tbl>
      <w:tblPr>
        <w:tblStyle w:val="AnnualReporttexttable"/>
        <w:tblW w:w="0" w:type="auto"/>
        <w:tblLayout w:type="fixed"/>
        <w:tblLook w:val="0080" w:firstRow="0" w:lastRow="0" w:firstColumn="1" w:lastColumn="0" w:noHBand="0" w:noVBand="0"/>
      </w:tblPr>
      <w:tblGrid>
        <w:gridCol w:w="6629"/>
        <w:gridCol w:w="1134"/>
        <w:gridCol w:w="1134"/>
      </w:tblGrid>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bottom"/>
          </w:tcPr>
          <w:p w:rsidR="00174AEA" w:rsidRPr="00687A1C" w:rsidRDefault="00174AEA" w:rsidP="008A3976">
            <w:pPr>
              <w:pStyle w:val="Tabletextheadingright"/>
              <w:rPr>
                <w:bCs/>
                <w:color w:val="000000"/>
              </w:rPr>
            </w:pPr>
            <w:r w:rsidRPr="00687A1C">
              <w:t>2018</w:t>
            </w:r>
            <w:r w:rsidRPr="00687A1C">
              <w:br/>
              <w:t>$’000</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auto"/>
            <w:vAlign w:val="bottom"/>
          </w:tcPr>
          <w:p w:rsidR="00174AEA" w:rsidRPr="00687A1C" w:rsidRDefault="00174AEA" w:rsidP="008A3976">
            <w:pPr>
              <w:pStyle w:val="Tabletextheadingright"/>
              <w:rPr>
                <w:bCs/>
                <w:color w:val="000000"/>
              </w:rPr>
            </w:pPr>
            <w:r w:rsidRPr="00687A1C">
              <w:t>2017</w:t>
            </w:r>
            <w:r w:rsidRPr="00687A1C">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Current:</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8A3976">
            <w:pPr>
              <w:pStyle w:val="Tabletextright"/>
              <w:rPr>
                <w:bCs/>
                <w:color w:val="000000"/>
              </w:rPr>
            </w:pPr>
          </w:p>
        </w:tc>
        <w:tc>
          <w:tcPr>
            <w:cnfStyle w:val="000001000000" w:firstRow="0" w:lastRow="0" w:firstColumn="0" w:lastColumn="0" w:oddVBand="0" w:evenVBand="1" w:oddHBand="0" w:evenHBand="0" w:firstRowFirstColumn="0" w:firstRowLastColumn="0" w:lastRowFirstColumn="0" w:lastRowLastColumn="0"/>
            <w:tcW w:w="1134" w:type="dxa"/>
          </w:tcPr>
          <w:p w:rsidR="00174AEA" w:rsidRPr="00687A1C" w:rsidRDefault="00174AEA" w:rsidP="008A3976">
            <w:pPr>
              <w:pStyle w:val="Tabletextright"/>
              <w:rPr>
                <w:bCs/>
                <w:color w:val="000000"/>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Contractual</w:t>
            </w:r>
          </w:p>
        </w:tc>
        <w:tc>
          <w:tcPr>
            <w:cnfStyle w:val="000010000000" w:firstRow="0" w:lastRow="0" w:firstColumn="0" w:lastColumn="0" w:oddVBand="1" w:evenVBand="0" w:oddHBand="0" w:evenHBand="0" w:firstRowFirstColumn="0" w:firstRowLastColumn="0" w:lastRowFirstColumn="0" w:lastRowLastColumn="0"/>
            <w:tcW w:w="1134"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134"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r w:rsidRPr="00687A1C">
              <w:t>Debtors</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BE1C02" w:rsidP="00D8412D">
            <w:pPr>
              <w:pStyle w:val="Tabletextright"/>
            </w:pPr>
            <w:r w:rsidRPr="00687A1C">
              <w:t>14</w:t>
            </w:r>
            <w:r w:rsidR="00D8412D" w:rsidRPr="00687A1C">
              <w:rPr>
                <w:rFonts w:ascii="Calibri" w:hAnsi="Calibri" w:cs="Courier New"/>
              </w:rPr>
              <w:t xml:space="preserve"> </w:t>
            </w:r>
            <w:r w:rsidRPr="00687A1C">
              <w:t>822</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493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BE1C02" w:rsidP="00D8412D">
            <w:pPr>
              <w:pStyle w:val="Tabletextrightbold"/>
            </w:pPr>
            <w:r w:rsidRPr="00687A1C">
              <w:t>14</w:t>
            </w:r>
            <w:r w:rsidR="00D8412D" w:rsidRPr="00687A1C">
              <w:rPr>
                <w:rFonts w:ascii="Calibri" w:hAnsi="Calibri" w:cs="Courier New"/>
              </w:rPr>
              <w:t xml:space="preserve"> </w:t>
            </w:r>
            <w:r w:rsidRPr="00687A1C">
              <w:t>822</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bold"/>
            </w:pPr>
            <w:r w:rsidRPr="00687A1C">
              <w:t>16</w:t>
            </w:r>
            <w:r w:rsidR="00D8412D" w:rsidRPr="00687A1C">
              <w:rPr>
                <w:rFonts w:ascii="Calibri" w:hAnsi="Calibri" w:cs="Calibri"/>
              </w:rPr>
              <w:t xml:space="preserve"> </w:t>
            </w:r>
            <w:r w:rsidRPr="00687A1C">
              <w:t>493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Statutory</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8A3976">
            <w:pPr>
              <w:pStyle w:val="Tabletextrightbold"/>
            </w:pP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8A3976">
            <w:pPr>
              <w:pStyle w:val="Tabletextrightbold"/>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r w:rsidRPr="00687A1C">
              <w:t xml:space="preserve">Amounts owing from Victorian Government </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D8412D">
            <w:pPr>
              <w:pStyle w:val="Tabletextright"/>
            </w:pPr>
            <w:r w:rsidRPr="00687A1C">
              <w:t>283</w:t>
            </w:r>
            <w:r w:rsidR="00D8412D" w:rsidRPr="00687A1C">
              <w:rPr>
                <w:rFonts w:ascii="Calibri" w:hAnsi="Calibri" w:cs="Calibri"/>
              </w:rPr>
              <w:t xml:space="preserve"> </w:t>
            </w:r>
            <w:r w:rsidRPr="00687A1C">
              <w:t xml:space="preserve">303 </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
            </w:pPr>
            <w:r w:rsidRPr="00687A1C">
              <w:t>256</w:t>
            </w:r>
            <w:r w:rsidR="00D8412D" w:rsidRPr="00687A1C">
              <w:rPr>
                <w:rFonts w:ascii="Calibri" w:hAnsi="Calibri" w:cs="Calibri"/>
              </w:rPr>
              <w:t xml:space="preserve"> </w:t>
            </w:r>
            <w:r w:rsidRPr="00687A1C">
              <w:t>331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r w:rsidRPr="00687A1C">
              <w:t>GST recoverable</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8A3976">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595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D8412D">
            <w:pPr>
              <w:pStyle w:val="Tabletextrightbold"/>
            </w:pPr>
            <w:r w:rsidRPr="00687A1C">
              <w:t>283</w:t>
            </w:r>
            <w:r w:rsidR="00D8412D" w:rsidRPr="00687A1C">
              <w:rPr>
                <w:rFonts w:ascii="Calibri" w:hAnsi="Calibri" w:cs="Calibri"/>
              </w:rPr>
              <w:t xml:space="preserve"> </w:t>
            </w:r>
            <w:r w:rsidRPr="00687A1C">
              <w:t xml:space="preserve">303 </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bold"/>
            </w:pPr>
            <w:r w:rsidRPr="00687A1C">
              <w:t>258</w:t>
            </w:r>
            <w:r w:rsidR="00D8412D" w:rsidRPr="00687A1C">
              <w:rPr>
                <w:rFonts w:ascii="Calibri" w:hAnsi="Calibri" w:cs="Calibri"/>
              </w:rPr>
              <w:t xml:space="preserve"> </w:t>
            </w:r>
            <w:r w:rsidRPr="00687A1C">
              <w:t>926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Total current receivables</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BE1C02" w:rsidP="00D8412D">
            <w:pPr>
              <w:pStyle w:val="Tabletextrightbold"/>
            </w:pPr>
            <w:r w:rsidRPr="00687A1C">
              <w:t>298</w:t>
            </w:r>
            <w:r w:rsidR="00D8412D" w:rsidRPr="00687A1C">
              <w:rPr>
                <w:rFonts w:ascii="Calibri" w:hAnsi="Calibri" w:cs="Courier New"/>
              </w:rPr>
              <w:t xml:space="preserve"> </w:t>
            </w:r>
            <w:r w:rsidRPr="00687A1C">
              <w:t>125</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bold"/>
            </w:pPr>
            <w:r w:rsidRPr="00687A1C">
              <w:t>275</w:t>
            </w:r>
            <w:r w:rsidR="00D8412D" w:rsidRPr="00687A1C">
              <w:rPr>
                <w:rFonts w:ascii="Calibri" w:hAnsi="Calibri" w:cs="Calibri"/>
              </w:rPr>
              <w:t xml:space="preserve"> </w:t>
            </w:r>
            <w:r w:rsidRPr="00687A1C">
              <w:t>419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Non</w:t>
            </w:r>
            <w:r w:rsidRPr="00687A1C">
              <w:noBreakHyphen/>
              <w:t>current:</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Statutory</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r w:rsidRPr="00687A1C">
              <w:t xml:space="preserve">Amounts owing from Victorian Government </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 xml:space="preserve">935 </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713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Total non</w:t>
            </w:r>
            <w:r w:rsidRPr="00687A1C">
              <w:noBreakHyphen/>
              <w:t>current receivables</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935</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713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629" w:type="dxa"/>
          </w:tcPr>
          <w:p w:rsidR="00174AEA" w:rsidRPr="00687A1C" w:rsidRDefault="00174AEA" w:rsidP="008A3976">
            <w:pPr>
              <w:pStyle w:val="Tabletextbold"/>
            </w:pPr>
            <w:r w:rsidRPr="00687A1C">
              <w:t>Total receivables</w:t>
            </w:r>
          </w:p>
        </w:tc>
        <w:tc>
          <w:tcPr>
            <w:cnfStyle w:val="000010000000" w:firstRow="0" w:lastRow="0" w:firstColumn="0" w:lastColumn="0" w:oddVBand="1" w:evenVBand="0" w:oddHBand="0" w:evenHBand="0" w:firstRowFirstColumn="0" w:firstRowLastColumn="0" w:lastRowFirstColumn="0" w:lastRowLastColumn="0"/>
            <w:tcW w:w="1134" w:type="dxa"/>
            <w:vAlign w:val="bottom"/>
          </w:tcPr>
          <w:p w:rsidR="00174AEA" w:rsidRPr="00687A1C" w:rsidRDefault="00BE1C02" w:rsidP="00D8412D">
            <w:pPr>
              <w:pStyle w:val="Tabletextrightbold"/>
            </w:pPr>
            <w:r w:rsidRPr="00687A1C">
              <w:t>301</w:t>
            </w:r>
            <w:r w:rsidR="00D8412D" w:rsidRPr="00687A1C">
              <w:rPr>
                <w:rFonts w:ascii="Calibri" w:hAnsi="Calibri" w:cs="Courier New"/>
              </w:rPr>
              <w:t xml:space="preserve"> </w:t>
            </w:r>
            <w:r w:rsidRPr="00687A1C">
              <w:t>060</w:t>
            </w:r>
          </w:p>
        </w:tc>
        <w:tc>
          <w:tcPr>
            <w:cnfStyle w:val="000001000000" w:firstRow="0" w:lastRow="0" w:firstColumn="0" w:lastColumn="0" w:oddVBand="0" w:evenVBand="1" w:oddHBand="0" w:evenHBand="0" w:firstRowFirstColumn="0" w:firstRowLastColumn="0" w:lastRowFirstColumn="0" w:lastRowLastColumn="0"/>
            <w:tcW w:w="1134" w:type="dxa"/>
            <w:vAlign w:val="bottom"/>
          </w:tcPr>
          <w:p w:rsidR="00174AEA" w:rsidRPr="00687A1C" w:rsidRDefault="00174AEA" w:rsidP="00D8412D">
            <w:pPr>
              <w:pStyle w:val="Tabletextrightbold"/>
            </w:pPr>
            <w:r w:rsidRPr="00687A1C">
              <w:t>278</w:t>
            </w:r>
            <w:r w:rsidR="00D8412D" w:rsidRPr="00687A1C">
              <w:rPr>
                <w:rFonts w:ascii="Calibri" w:hAnsi="Calibri" w:cs="Calibri"/>
              </w:rPr>
              <w:t xml:space="preserve"> </w:t>
            </w:r>
            <w:r w:rsidRPr="00687A1C">
              <w:t>132</w:t>
            </w:r>
          </w:p>
        </w:tc>
      </w:tr>
    </w:tbl>
    <w:p w:rsidR="00174AEA" w:rsidRPr="00687A1C" w:rsidRDefault="00174AEA" w:rsidP="00174AEA">
      <w:pPr>
        <w:pStyle w:val="Notes"/>
      </w:pPr>
      <w:r w:rsidRPr="00687A1C">
        <w:t>Note:</w:t>
      </w:r>
    </w:p>
    <w:p w:rsidR="00174AEA" w:rsidRPr="00687A1C" w:rsidRDefault="00174AEA" w:rsidP="00174AEA">
      <w:pPr>
        <w:pStyle w:val="Notes"/>
      </w:pPr>
      <w:r w:rsidRPr="00687A1C">
        <w:t>(a) Represents balance of appropriations relating to the provision of outputs and for additions to the net asset base, for which payments had not been disbursed at balance date, and accordingly had not been drawn from the Consolidated Fund.</w:t>
      </w:r>
    </w:p>
    <w:p w:rsidR="00174AEA" w:rsidRPr="00687A1C" w:rsidRDefault="00174AEA" w:rsidP="00174AEA"/>
    <w:p w:rsidR="00174AEA" w:rsidRPr="00687A1C" w:rsidRDefault="00174AEA" w:rsidP="00174AEA">
      <w:pPr>
        <w:sectPr w:rsidR="00174AEA" w:rsidRPr="00687A1C" w:rsidSect="003328C2">
          <w:type w:val="continuous"/>
          <w:pgSz w:w="11909" w:h="16834" w:code="9"/>
          <w:pgMar w:top="1728" w:right="1152" w:bottom="1152" w:left="1152" w:header="720" w:footer="288" w:gutter="0"/>
          <w:cols w:space="720"/>
          <w:noEndnote/>
        </w:sectPr>
      </w:pPr>
    </w:p>
    <w:p w:rsidR="00174AEA" w:rsidRPr="00687A1C" w:rsidRDefault="00174AEA" w:rsidP="00174AEA">
      <w:r w:rsidRPr="00687A1C">
        <w:t>Receivables consist of:</w:t>
      </w:r>
    </w:p>
    <w:p w:rsidR="00174AEA" w:rsidRPr="00687A1C" w:rsidRDefault="00174AEA" w:rsidP="00174AEA">
      <w:pPr>
        <w:pStyle w:val="Bullet"/>
      </w:pPr>
      <w:r w:rsidRPr="00687A1C">
        <w:t>statutory receivables, predominantly amounts owing from the Victorian Government and GST input tax credits recoverable; and</w:t>
      </w:r>
    </w:p>
    <w:p w:rsidR="00174AEA" w:rsidRPr="00687A1C" w:rsidRDefault="00174AEA" w:rsidP="00174AEA">
      <w:pPr>
        <w:pStyle w:val="Bullet"/>
      </w:pPr>
      <w:r w:rsidRPr="00687A1C">
        <w:t>contractual receivables, mainly debtors in relation to goods and services and accrued investment income</w:t>
      </w:r>
      <w:r w:rsidR="006F069A" w:rsidRPr="00687A1C">
        <w:t xml:space="preserve">. </w:t>
      </w:r>
    </w:p>
    <w:p w:rsidR="00174AEA" w:rsidRPr="00687A1C" w:rsidRDefault="00174AEA" w:rsidP="00174AEA">
      <w:r w:rsidRPr="00687A1C">
        <w:t>Receivables that are contractual are classified as financial instruments. Statutory receivables are not classified as financial instruments.</w:t>
      </w:r>
    </w:p>
    <w:p w:rsidR="00174AEA" w:rsidRPr="00687A1C" w:rsidRDefault="00174AEA" w:rsidP="00174AEA">
      <w:r w:rsidRPr="00687A1C">
        <w:t>Receivables are recognised initially at fair value and subsequently measured at amortised cost, using the effective interest method, less any allowance for impairment.</w:t>
      </w:r>
    </w:p>
    <w:p w:rsidR="00174AEA" w:rsidRPr="00687A1C" w:rsidRDefault="00174AEA" w:rsidP="00174AEA">
      <w:r w:rsidRPr="00687A1C">
        <w:br w:type="column"/>
      </w:r>
      <w:r w:rsidRPr="00687A1C">
        <w:t>Debtors are generally due for settlement no more than 30 days from the date of recognition. Collectability of debtors is reviewed on an ongoing basis. A provision for doubtful debts is raised when there is objective evidence that the debts may not be collected. Bad debts are written off when identified.</w:t>
      </w:r>
    </w:p>
    <w:p w:rsidR="00174AEA" w:rsidRPr="00687A1C" w:rsidRDefault="00174AEA" w:rsidP="00174AEA"/>
    <w:p w:rsidR="00174AEA" w:rsidRPr="00687A1C" w:rsidRDefault="00174AEA" w:rsidP="00174AEA">
      <w:pPr>
        <w:sectPr w:rsidR="00174AEA" w:rsidRPr="00687A1C" w:rsidSect="00AD1FE4">
          <w:type w:val="continuous"/>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lastRenderedPageBreak/>
        <w:t>Ageing analysis of receivables</w:t>
      </w:r>
    </w:p>
    <w:tbl>
      <w:tblPr>
        <w:tblStyle w:val="AnnualReporttexttable"/>
        <w:tblW w:w="4604" w:type="pct"/>
        <w:tblLook w:val="00A0" w:firstRow="1" w:lastRow="0" w:firstColumn="1" w:lastColumn="0" w:noHBand="0" w:noVBand="0"/>
      </w:tblPr>
      <w:tblGrid>
        <w:gridCol w:w="1475"/>
        <w:gridCol w:w="1219"/>
        <w:gridCol w:w="1284"/>
        <w:gridCol w:w="1022"/>
        <w:gridCol w:w="854"/>
        <w:gridCol w:w="1100"/>
        <w:gridCol w:w="953"/>
        <w:gridCol w:w="1136"/>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674" w:type="pct"/>
            <w:shd w:val="clear" w:color="auto" w:fill="FFFFFF" w:themeFill="background1"/>
          </w:tcPr>
          <w:p w:rsidR="00174AEA" w:rsidRPr="00687A1C" w:rsidRDefault="00174AEA" w:rsidP="008A3976">
            <w:pPr>
              <w:pStyle w:val="Tabletextheadingright"/>
            </w:pPr>
          </w:p>
        </w:tc>
        <w:tc>
          <w:tcPr>
            <w:cnfStyle w:val="000001000000" w:firstRow="0" w:lastRow="0" w:firstColumn="0" w:lastColumn="0" w:oddVBand="0" w:evenVBand="1" w:oddHBand="0" w:evenHBand="0" w:firstRowFirstColumn="0" w:firstRowLastColumn="0" w:lastRowFirstColumn="0" w:lastRowLastColumn="0"/>
            <w:tcW w:w="710" w:type="pct"/>
          </w:tcPr>
          <w:p w:rsidR="00174AEA" w:rsidRPr="00687A1C" w:rsidRDefault="00174AEA" w:rsidP="008A3976">
            <w:pPr>
              <w:pStyle w:val="Tabletextheadingright"/>
            </w:pPr>
          </w:p>
        </w:tc>
        <w:tc>
          <w:tcPr>
            <w:cnfStyle w:val="000010000000" w:firstRow="0" w:lastRow="0" w:firstColumn="0" w:lastColumn="0" w:oddVBand="1" w:evenVBand="0" w:oddHBand="0" w:evenHBand="0" w:firstRowFirstColumn="0" w:firstRowLastColumn="0" w:lastRowFirstColumn="0" w:lastRowLastColumn="0"/>
            <w:tcW w:w="2801" w:type="pct"/>
            <w:gridSpan w:val="5"/>
            <w:shd w:val="clear" w:color="auto" w:fill="DDDDDD"/>
          </w:tcPr>
          <w:p w:rsidR="00174AEA" w:rsidRPr="00687A1C" w:rsidRDefault="00174AEA" w:rsidP="008A3976">
            <w:pPr>
              <w:pStyle w:val="Tabletextheadingcentred"/>
              <w:rPr>
                <w:b/>
              </w:rPr>
            </w:pPr>
            <w:r w:rsidRPr="00687A1C">
              <w:rPr>
                <w:b/>
              </w:rPr>
              <w:t>Past due but not impaired</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816"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674" w:type="pct"/>
            <w:shd w:val="clear" w:color="auto" w:fill="FFFFFF" w:themeFill="background1"/>
            <w:vAlign w:val="bottom"/>
          </w:tcPr>
          <w:p w:rsidR="00174AEA" w:rsidRPr="00687A1C" w:rsidRDefault="00174AEA" w:rsidP="008A3976">
            <w:pPr>
              <w:pStyle w:val="Tabletextheadingright"/>
            </w:pPr>
            <w:r w:rsidRPr="00687A1C">
              <w:t>Carrying amount</w:t>
            </w:r>
          </w:p>
          <w:p w:rsidR="00174AEA" w:rsidRPr="00687A1C" w:rsidRDefault="00174AEA" w:rsidP="008A3976">
            <w:pPr>
              <w:pStyle w:val="Tabletextheadingright"/>
            </w:pPr>
            <w:r w:rsidRPr="00687A1C">
              <w:t>$’000</w:t>
            </w:r>
            <w:r w:rsidRPr="00687A1C">
              <w:rPr>
                <w:rFonts w:ascii="Calibri" w:hAnsi="Calibri" w:cs="Calibri"/>
              </w:rPr>
              <w:t> </w:t>
            </w:r>
          </w:p>
        </w:tc>
        <w:tc>
          <w:tcPr>
            <w:cnfStyle w:val="000001000000" w:firstRow="0" w:lastRow="0" w:firstColumn="0" w:lastColumn="0" w:oddVBand="0" w:evenVBand="1" w:oddHBand="0" w:evenHBand="0" w:firstRowFirstColumn="0" w:firstRowLastColumn="0" w:lastRowFirstColumn="0" w:lastRowLastColumn="0"/>
            <w:tcW w:w="710" w:type="pct"/>
            <w:vAlign w:val="bottom"/>
          </w:tcPr>
          <w:p w:rsidR="00174AEA" w:rsidRPr="00687A1C" w:rsidRDefault="00174AEA" w:rsidP="008A3976">
            <w:pPr>
              <w:pStyle w:val="Tabletextheadingright"/>
            </w:pPr>
            <w:r w:rsidRPr="00687A1C">
              <w:t>Neither past due nor impaired</w:t>
            </w:r>
          </w:p>
          <w:p w:rsidR="00174AEA" w:rsidRPr="00687A1C" w:rsidRDefault="00174AEA" w:rsidP="008A3976">
            <w:pPr>
              <w:pStyle w:val="Tabletextheadingright"/>
            </w:pPr>
            <w:r w:rsidRPr="00687A1C">
              <w:t>$’000</w:t>
            </w:r>
            <w:r w:rsidRPr="00687A1C">
              <w:rPr>
                <w:rFonts w:ascii="Calibri" w:hAnsi="Calibri" w:cs="Calibri"/>
              </w:rPr>
              <w:t> </w:t>
            </w:r>
          </w:p>
        </w:tc>
        <w:tc>
          <w:tcPr>
            <w:cnfStyle w:val="000010000000" w:firstRow="0" w:lastRow="0" w:firstColumn="0" w:lastColumn="0" w:oddVBand="1" w:evenVBand="0" w:oddHBand="0" w:evenHBand="0" w:firstRowFirstColumn="0" w:firstRowLastColumn="0" w:lastRowFirstColumn="0" w:lastRowLastColumn="0"/>
            <w:tcW w:w="565" w:type="pct"/>
            <w:shd w:val="clear" w:color="auto" w:fill="FFFFFF" w:themeFill="background1"/>
            <w:vAlign w:val="bottom"/>
          </w:tcPr>
          <w:p w:rsidR="00174AEA" w:rsidRPr="00687A1C" w:rsidRDefault="00174AEA" w:rsidP="008A3976">
            <w:pPr>
              <w:pStyle w:val="Tabletextheadingright"/>
            </w:pPr>
            <w:r w:rsidRPr="00687A1C">
              <w:t>Less than 1 month</w:t>
            </w:r>
          </w:p>
          <w:p w:rsidR="00174AEA" w:rsidRPr="00687A1C" w:rsidRDefault="00174AEA" w:rsidP="008A3976">
            <w:pPr>
              <w:pStyle w:val="Tabletextheadingright"/>
            </w:pPr>
            <w:r w:rsidRPr="00687A1C">
              <w:t>$’000</w:t>
            </w:r>
            <w:r w:rsidRPr="00687A1C">
              <w:rPr>
                <w:rFonts w:ascii="Calibri" w:hAnsi="Calibri" w:cs="Calibri"/>
              </w:rPr>
              <w:t> </w:t>
            </w:r>
          </w:p>
        </w:tc>
        <w:tc>
          <w:tcPr>
            <w:cnfStyle w:val="000001000000" w:firstRow="0" w:lastRow="0" w:firstColumn="0" w:lastColumn="0" w:oddVBand="0" w:evenVBand="1" w:oddHBand="0" w:evenHBand="0" w:firstRowFirstColumn="0" w:firstRowLastColumn="0" w:lastRowFirstColumn="0" w:lastRowLastColumn="0"/>
            <w:tcW w:w="472" w:type="pct"/>
            <w:vAlign w:val="bottom"/>
          </w:tcPr>
          <w:p w:rsidR="00174AEA" w:rsidRPr="00687A1C" w:rsidRDefault="00174AEA" w:rsidP="008A3976">
            <w:pPr>
              <w:pStyle w:val="Tabletextheadingright"/>
            </w:pPr>
            <w:r w:rsidRPr="00687A1C">
              <w:t>1–3 months</w:t>
            </w:r>
          </w:p>
          <w:p w:rsidR="00174AEA" w:rsidRPr="00687A1C" w:rsidRDefault="00174AEA" w:rsidP="008A3976">
            <w:pPr>
              <w:pStyle w:val="Tabletextheadingright"/>
            </w:pPr>
            <w:r w:rsidRPr="00687A1C">
              <w:t>$’000</w:t>
            </w:r>
            <w:r w:rsidRPr="00687A1C">
              <w:rPr>
                <w:rFonts w:ascii="Calibri" w:hAnsi="Calibri" w:cs="Calibri"/>
              </w:rPr>
              <w:t> </w:t>
            </w:r>
          </w:p>
        </w:tc>
        <w:tc>
          <w:tcPr>
            <w:cnfStyle w:val="000010000000" w:firstRow="0" w:lastRow="0" w:firstColumn="0" w:lastColumn="0" w:oddVBand="1" w:evenVBand="0" w:oddHBand="0" w:evenHBand="0" w:firstRowFirstColumn="0" w:firstRowLastColumn="0" w:lastRowFirstColumn="0" w:lastRowLastColumn="0"/>
            <w:tcW w:w="608" w:type="pct"/>
            <w:shd w:val="clear" w:color="auto" w:fill="FFFFFF" w:themeFill="background1"/>
            <w:vAlign w:val="bottom"/>
          </w:tcPr>
          <w:p w:rsidR="00174AEA" w:rsidRPr="00687A1C" w:rsidRDefault="00174AEA" w:rsidP="008A3976">
            <w:pPr>
              <w:pStyle w:val="Tabletextheadingright"/>
            </w:pPr>
            <w:r w:rsidRPr="00687A1C">
              <w:t>3 months–1 year</w:t>
            </w:r>
          </w:p>
          <w:p w:rsidR="00174AEA" w:rsidRPr="00687A1C" w:rsidRDefault="00174AEA" w:rsidP="008A3976">
            <w:pPr>
              <w:pStyle w:val="Tabletextheadingright"/>
            </w:pPr>
            <w:r w:rsidRPr="00687A1C">
              <w:t>$’000</w:t>
            </w:r>
            <w:r w:rsidRPr="00687A1C">
              <w:rPr>
                <w:rFonts w:ascii="Calibri" w:hAnsi="Calibri" w:cs="Calibri"/>
              </w:rPr>
              <w:t> </w:t>
            </w:r>
          </w:p>
        </w:tc>
        <w:tc>
          <w:tcPr>
            <w:cnfStyle w:val="000001000000" w:firstRow="0" w:lastRow="0" w:firstColumn="0" w:lastColumn="0" w:oddVBand="0" w:evenVBand="1" w:oddHBand="0" w:evenHBand="0" w:firstRowFirstColumn="0" w:firstRowLastColumn="0" w:lastRowFirstColumn="0" w:lastRowLastColumn="0"/>
            <w:tcW w:w="527" w:type="pct"/>
            <w:vAlign w:val="bottom"/>
          </w:tcPr>
          <w:p w:rsidR="00174AEA" w:rsidRPr="00687A1C" w:rsidRDefault="00174AEA" w:rsidP="008A3976">
            <w:pPr>
              <w:pStyle w:val="Tabletextheadingright"/>
            </w:pPr>
            <w:r w:rsidRPr="00687A1C">
              <w:t>1–5 years</w:t>
            </w:r>
          </w:p>
          <w:p w:rsidR="00174AEA" w:rsidRPr="00687A1C" w:rsidRDefault="00174AEA" w:rsidP="008A3976">
            <w:pPr>
              <w:pStyle w:val="Tabletextheadingright"/>
            </w:pPr>
            <w:r w:rsidRPr="00687A1C">
              <w:t>$’000</w:t>
            </w:r>
            <w:r w:rsidRPr="00687A1C">
              <w:rPr>
                <w:rFonts w:ascii="Calibri" w:hAnsi="Calibri" w:cs="Calibri"/>
              </w:rPr>
              <w:t> </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bottom"/>
          </w:tcPr>
          <w:p w:rsidR="00174AEA" w:rsidRPr="00687A1C" w:rsidRDefault="00174AEA" w:rsidP="008A3976">
            <w:pPr>
              <w:pStyle w:val="Tabletextheadingright"/>
            </w:pPr>
            <w:r w:rsidRPr="00687A1C">
              <w:t>Greater than 5 years</w:t>
            </w:r>
          </w:p>
          <w:p w:rsidR="00174AEA" w:rsidRPr="00687A1C" w:rsidRDefault="00174AEA" w:rsidP="008A3976">
            <w:pPr>
              <w:pStyle w:val="Tabletextheadingright"/>
            </w:pPr>
            <w:r w:rsidRPr="00687A1C">
              <w:t>$’000</w:t>
            </w:r>
            <w:r w:rsidRPr="00687A1C">
              <w:rPr>
                <w:rFonts w:ascii="Calibri" w:hAnsi="Calibri" w:cs="Calibri"/>
              </w:rPr>
              <w:t>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816" w:type="pct"/>
          </w:tcPr>
          <w:p w:rsidR="00174AEA" w:rsidRPr="00687A1C" w:rsidRDefault="00174AEA" w:rsidP="008A3976">
            <w:pPr>
              <w:pStyle w:val="Tabletext"/>
              <w:rPr>
                <w:b/>
                <w:bCs/>
              </w:rPr>
            </w:pPr>
            <w:r w:rsidRPr="00687A1C">
              <w:rPr>
                <w:b/>
                <w:bCs/>
              </w:rPr>
              <w:t>2018</w:t>
            </w:r>
          </w:p>
        </w:tc>
        <w:tc>
          <w:tcPr>
            <w:cnfStyle w:val="000010000000" w:firstRow="0" w:lastRow="0" w:firstColumn="0" w:lastColumn="0" w:oddVBand="1" w:evenVBand="0" w:oddHBand="0" w:evenHBand="0" w:firstRowFirstColumn="0" w:firstRowLastColumn="0" w:lastRowFirstColumn="0" w:lastRowLastColumn="0"/>
            <w:tcW w:w="674" w:type="pct"/>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710" w:type="pct"/>
            <w:vAlign w:val="bottom"/>
          </w:tcPr>
          <w:p w:rsidR="00174AEA" w:rsidRPr="00687A1C" w:rsidRDefault="00174AEA" w:rsidP="008A3976">
            <w:pPr>
              <w:pStyle w:val="Tabletextright"/>
            </w:pPr>
          </w:p>
        </w:tc>
        <w:tc>
          <w:tcPr>
            <w:cnfStyle w:val="000010000000" w:firstRow="0" w:lastRow="0" w:firstColumn="0" w:lastColumn="0" w:oddVBand="1" w:evenVBand="0" w:oddHBand="0" w:evenHBand="0" w:firstRowFirstColumn="0" w:firstRowLastColumn="0" w:lastRowFirstColumn="0" w:lastRowLastColumn="0"/>
            <w:tcW w:w="565" w:type="pct"/>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472" w:type="pct"/>
            <w:vAlign w:val="bottom"/>
          </w:tcPr>
          <w:p w:rsidR="00174AEA" w:rsidRPr="00687A1C" w:rsidRDefault="00174AEA" w:rsidP="008A3976">
            <w:pPr>
              <w:pStyle w:val="Tabletextright"/>
            </w:pPr>
          </w:p>
        </w:tc>
        <w:tc>
          <w:tcPr>
            <w:cnfStyle w:val="000010000000" w:firstRow="0" w:lastRow="0" w:firstColumn="0" w:lastColumn="0" w:oddVBand="1" w:evenVBand="0" w:oddHBand="0" w:evenHBand="0" w:firstRowFirstColumn="0" w:firstRowLastColumn="0" w:lastRowFirstColumn="0" w:lastRowLastColumn="0"/>
            <w:tcW w:w="608" w:type="pct"/>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527" w:type="pct"/>
            <w:vAlign w:val="bottom"/>
          </w:tcPr>
          <w:p w:rsidR="00174AEA" w:rsidRPr="00687A1C" w:rsidRDefault="00174AEA" w:rsidP="008A3976">
            <w:pPr>
              <w:pStyle w:val="Tabletextright"/>
            </w:pPr>
          </w:p>
        </w:tc>
        <w:tc>
          <w:tcPr>
            <w:cnfStyle w:val="000010000000" w:firstRow="0" w:lastRow="0" w:firstColumn="0" w:lastColumn="0" w:oddVBand="1" w:evenVBand="0" w:oddHBand="0" w:evenHBand="0" w:firstRowFirstColumn="0" w:firstRowLastColumn="0" w:lastRowFirstColumn="0" w:lastRowLastColumn="0"/>
            <w:tcW w:w="628" w:type="pct"/>
            <w:vAlign w:val="bottom"/>
          </w:tcPr>
          <w:p w:rsidR="00174AEA" w:rsidRPr="00687A1C" w:rsidRDefault="00174AEA" w:rsidP="008A3976">
            <w:pPr>
              <w:pStyle w:val="Tabletextright"/>
            </w:pPr>
          </w:p>
        </w:tc>
      </w:tr>
      <w:tr w:rsidR="00BE1C02" w:rsidRPr="00687A1C" w:rsidTr="008A3976">
        <w:tc>
          <w:tcPr>
            <w:cnfStyle w:val="001000000000" w:firstRow="0" w:lastRow="0" w:firstColumn="1" w:lastColumn="0" w:oddVBand="0" w:evenVBand="0" w:oddHBand="0" w:evenHBand="0" w:firstRowFirstColumn="0" w:firstRowLastColumn="0" w:lastRowFirstColumn="0" w:lastRowLastColumn="0"/>
            <w:tcW w:w="816" w:type="pct"/>
          </w:tcPr>
          <w:p w:rsidR="00BE1C02" w:rsidRPr="00687A1C" w:rsidRDefault="00BE1C02" w:rsidP="008A3976">
            <w:pPr>
              <w:pStyle w:val="Tabletext"/>
            </w:pPr>
            <w:r w:rsidRPr="00687A1C">
              <w:t>Receivables</w:t>
            </w:r>
          </w:p>
        </w:tc>
        <w:tc>
          <w:tcPr>
            <w:cnfStyle w:val="000010000000" w:firstRow="0" w:lastRow="0" w:firstColumn="0" w:lastColumn="0" w:oddVBand="1" w:evenVBand="0" w:oddHBand="0" w:evenHBand="0" w:firstRowFirstColumn="0" w:firstRowLastColumn="0" w:lastRowFirstColumn="0" w:lastRowLastColumn="0"/>
            <w:tcW w:w="674" w:type="pct"/>
            <w:vAlign w:val="bottom"/>
          </w:tcPr>
          <w:p w:rsidR="00BE1C02" w:rsidRPr="00687A1C" w:rsidRDefault="00BE1C02" w:rsidP="00D8412D">
            <w:pPr>
              <w:pStyle w:val="Tabletextright"/>
            </w:pPr>
            <w:r w:rsidRPr="00687A1C">
              <w:rPr>
                <w:bCs/>
              </w:rPr>
              <w:t>14</w:t>
            </w:r>
            <w:r w:rsidR="00D8412D" w:rsidRPr="00687A1C">
              <w:rPr>
                <w:bCs/>
              </w:rPr>
              <w:t xml:space="preserve"> </w:t>
            </w:r>
            <w:r w:rsidRPr="00687A1C">
              <w:rPr>
                <w:bCs/>
              </w:rPr>
              <w:t>822</w:t>
            </w:r>
          </w:p>
        </w:tc>
        <w:tc>
          <w:tcPr>
            <w:cnfStyle w:val="000001000000" w:firstRow="0" w:lastRow="0" w:firstColumn="0" w:lastColumn="0" w:oddVBand="0" w:evenVBand="1" w:oddHBand="0" w:evenHBand="0" w:firstRowFirstColumn="0" w:firstRowLastColumn="0" w:lastRowFirstColumn="0" w:lastRowLastColumn="0"/>
            <w:tcW w:w="710" w:type="pct"/>
            <w:vAlign w:val="bottom"/>
          </w:tcPr>
          <w:p w:rsidR="00BE1C02" w:rsidRPr="00687A1C" w:rsidRDefault="00BE1C02" w:rsidP="00D8412D">
            <w:pPr>
              <w:pStyle w:val="Tabletextright"/>
            </w:pPr>
            <w:r w:rsidRPr="00687A1C">
              <w:rPr>
                <w:bCs/>
              </w:rPr>
              <w:t>12</w:t>
            </w:r>
            <w:r w:rsidR="00D8412D" w:rsidRPr="00687A1C">
              <w:rPr>
                <w:bCs/>
              </w:rPr>
              <w:t xml:space="preserve"> </w:t>
            </w:r>
            <w:r w:rsidRPr="00687A1C">
              <w:rPr>
                <w:bCs/>
              </w:rPr>
              <w:t>006</w:t>
            </w:r>
          </w:p>
        </w:tc>
        <w:tc>
          <w:tcPr>
            <w:cnfStyle w:val="000010000000" w:firstRow="0" w:lastRow="0" w:firstColumn="0" w:lastColumn="0" w:oddVBand="1" w:evenVBand="0" w:oddHBand="0" w:evenHBand="0" w:firstRowFirstColumn="0" w:firstRowLastColumn="0" w:lastRowFirstColumn="0" w:lastRowLastColumn="0"/>
            <w:tcW w:w="565" w:type="pct"/>
            <w:vAlign w:val="bottom"/>
          </w:tcPr>
          <w:p w:rsidR="00BE1C02" w:rsidRPr="00687A1C" w:rsidRDefault="00BE1C02" w:rsidP="00D8412D">
            <w:pPr>
              <w:pStyle w:val="Tabletextright"/>
            </w:pPr>
            <w:r w:rsidRPr="00687A1C">
              <w:rPr>
                <w:bCs/>
              </w:rPr>
              <w:t>1</w:t>
            </w:r>
            <w:r w:rsidR="00D8412D" w:rsidRPr="00687A1C">
              <w:rPr>
                <w:bCs/>
              </w:rPr>
              <w:t xml:space="preserve"> </w:t>
            </w:r>
            <w:r w:rsidRPr="00687A1C">
              <w:rPr>
                <w:bCs/>
              </w:rPr>
              <w:t>876</w:t>
            </w:r>
          </w:p>
        </w:tc>
        <w:tc>
          <w:tcPr>
            <w:cnfStyle w:val="000001000000" w:firstRow="0" w:lastRow="0" w:firstColumn="0" w:lastColumn="0" w:oddVBand="0" w:evenVBand="1" w:oddHBand="0" w:evenHBand="0" w:firstRowFirstColumn="0" w:firstRowLastColumn="0" w:lastRowFirstColumn="0" w:lastRowLastColumn="0"/>
            <w:tcW w:w="472" w:type="pct"/>
            <w:vAlign w:val="bottom"/>
          </w:tcPr>
          <w:p w:rsidR="00BE1C02" w:rsidRPr="00687A1C" w:rsidRDefault="00BE1C02" w:rsidP="00750E68">
            <w:pPr>
              <w:pStyle w:val="Tabletextright"/>
              <w:rPr>
                <w:bCs/>
              </w:rPr>
            </w:pPr>
            <w:r w:rsidRPr="00687A1C">
              <w:rPr>
                <w:bCs/>
              </w:rPr>
              <w:t>925</w:t>
            </w:r>
          </w:p>
        </w:tc>
        <w:tc>
          <w:tcPr>
            <w:cnfStyle w:val="000010000000" w:firstRow="0" w:lastRow="0" w:firstColumn="0" w:lastColumn="0" w:oddVBand="1" w:evenVBand="0" w:oddHBand="0" w:evenHBand="0" w:firstRowFirstColumn="0" w:firstRowLastColumn="0" w:lastRowFirstColumn="0" w:lastRowLastColumn="0"/>
            <w:tcW w:w="608" w:type="pct"/>
            <w:vAlign w:val="bottom"/>
          </w:tcPr>
          <w:p w:rsidR="00BE1C02" w:rsidRPr="00687A1C" w:rsidRDefault="00BE1C02" w:rsidP="00750E68">
            <w:pPr>
              <w:pStyle w:val="Tabletextright"/>
              <w:rPr>
                <w:b/>
                <w:bCs/>
              </w:rPr>
            </w:pPr>
            <w:r w:rsidRPr="00687A1C">
              <w:rPr>
                <w:bCs/>
              </w:rPr>
              <w:t>15</w:t>
            </w:r>
          </w:p>
        </w:tc>
        <w:tc>
          <w:tcPr>
            <w:cnfStyle w:val="000001000000" w:firstRow="0" w:lastRow="0" w:firstColumn="0" w:lastColumn="0" w:oddVBand="0" w:evenVBand="1" w:oddHBand="0" w:evenHBand="0" w:firstRowFirstColumn="0" w:firstRowLastColumn="0" w:lastRowFirstColumn="0" w:lastRowLastColumn="0"/>
            <w:tcW w:w="527" w:type="pct"/>
            <w:vAlign w:val="bottom"/>
          </w:tcPr>
          <w:p w:rsidR="00BE1C02" w:rsidRPr="00687A1C" w:rsidRDefault="00BE1C02" w:rsidP="00750E68">
            <w:pPr>
              <w:pStyle w:val="Tabletextright"/>
              <w:rPr>
                <w:b/>
                <w:bCs/>
              </w:rPr>
            </w:pPr>
            <w:r w:rsidRPr="00687A1C">
              <w:rPr>
                <w:bCs/>
              </w:rPr>
              <w:t>–</w:t>
            </w:r>
          </w:p>
        </w:tc>
        <w:tc>
          <w:tcPr>
            <w:cnfStyle w:val="000010000000" w:firstRow="0" w:lastRow="0" w:firstColumn="0" w:lastColumn="0" w:oddVBand="1" w:evenVBand="0" w:oddHBand="0" w:evenHBand="0" w:firstRowFirstColumn="0" w:firstRowLastColumn="0" w:lastRowFirstColumn="0" w:lastRowLastColumn="0"/>
            <w:tcW w:w="628" w:type="pct"/>
            <w:vAlign w:val="bottom"/>
          </w:tcPr>
          <w:p w:rsidR="00BE1C02" w:rsidRPr="00687A1C" w:rsidRDefault="00BE1C02" w:rsidP="008A3976">
            <w:pPr>
              <w:pStyle w:val="Tabletextright"/>
            </w:pPr>
            <w:r w:rsidRPr="00687A1C">
              <w:t>–</w:t>
            </w:r>
          </w:p>
        </w:tc>
      </w:tr>
      <w:tr w:rsidR="00BE1C02" w:rsidRPr="00687A1C" w:rsidTr="008A3976">
        <w:tc>
          <w:tcPr>
            <w:cnfStyle w:val="001000000000" w:firstRow="0" w:lastRow="0" w:firstColumn="1" w:lastColumn="0" w:oddVBand="0" w:evenVBand="0" w:oddHBand="0" w:evenHBand="0" w:firstRowFirstColumn="0" w:firstRowLastColumn="0" w:lastRowFirstColumn="0" w:lastRowLastColumn="0"/>
            <w:tcW w:w="816" w:type="pct"/>
          </w:tcPr>
          <w:p w:rsidR="00BE1C02" w:rsidRPr="00687A1C" w:rsidRDefault="00BE1C02" w:rsidP="008A3976">
            <w:pPr>
              <w:pStyle w:val="Tabletext"/>
              <w:rPr>
                <w:b/>
                <w:bCs/>
              </w:rPr>
            </w:pPr>
          </w:p>
        </w:tc>
        <w:tc>
          <w:tcPr>
            <w:cnfStyle w:val="000010000000" w:firstRow="0" w:lastRow="0" w:firstColumn="0" w:lastColumn="0" w:oddVBand="1" w:evenVBand="0" w:oddHBand="0" w:evenHBand="0" w:firstRowFirstColumn="0" w:firstRowLastColumn="0" w:lastRowFirstColumn="0" w:lastRowLastColumn="0"/>
            <w:tcW w:w="674" w:type="pct"/>
            <w:vAlign w:val="bottom"/>
          </w:tcPr>
          <w:p w:rsidR="00BE1C02" w:rsidRPr="00687A1C" w:rsidRDefault="00BE1C02" w:rsidP="00750E68">
            <w:pPr>
              <w:pStyle w:val="Tabletextright"/>
            </w:pPr>
          </w:p>
        </w:tc>
        <w:tc>
          <w:tcPr>
            <w:cnfStyle w:val="000001000000" w:firstRow="0" w:lastRow="0" w:firstColumn="0" w:lastColumn="0" w:oddVBand="0" w:evenVBand="1" w:oddHBand="0" w:evenHBand="0" w:firstRowFirstColumn="0" w:firstRowLastColumn="0" w:lastRowFirstColumn="0" w:lastRowLastColumn="0"/>
            <w:tcW w:w="710" w:type="pct"/>
            <w:vAlign w:val="bottom"/>
          </w:tcPr>
          <w:p w:rsidR="00BE1C02" w:rsidRPr="00687A1C" w:rsidRDefault="00BE1C02" w:rsidP="00750E68">
            <w:pPr>
              <w:pStyle w:val="Tabletextright"/>
            </w:pPr>
          </w:p>
        </w:tc>
        <w:tc>
          <w:tcPr>
            <w:cnfStyle w:val="000010000000" w:firstRow="0" w:lastRow="0" w:firstColumn="0" w:lastColumn="0" w:oddVBand="1" w:evenVBand="0" w:oddHBand="0" w:evenHBand="0" w:firstRowFirstColumn="0" w:firstRowLastColumn="0" w:lastRowFirstColumn="0" w:lastRowLastColumn="0"/>
            <w:tcW w:w="565" w:type="pct"/>
            <w:vAlign w:val="bottom"/>
          </w:tcPr>
          <w:p w:rsidR="00BE1C02" w:rsidRPr="00687A1C" w:rsidRDefault="00BE1C02" w:rsidP="00750E68">
            <w:pPr>
              <w:pStyle w:val="Tabletextright"/>
            </w:pPr>
          </w:p>
        </w:tc>
        <w:tc>
          <w:tcPr>
            <w:cnfStyle w:val="000001000000" w:firstRow="0" w:lastRow="0" w:firstColumn="0" w:lastColumn="0" w:oddVBand="0" w:evenVBand="1" w:oddHBand="0" w:evenHBand="0" w:firstRowFirstColumn="0" w:firstRowLastColumn="0" w:lastRowFirstColumn="0" w:lastRowLastColumn="0"/>
            <w:tcW w:w="472" w:type="pct"/>
            <w:vAlign w:val="bottom"/>
          </w:tcPr>
          <w:p w:rsidR="00BE1C02" w:rsidRPr="00687A1C" w:rsidRDefault="00BE1C02" w:rsidP="00750E68">
            <w:pPr>
              <w:pStyle w:val="Tabletextright"/>
            </w:pPr>
          </w:p>
        </w:tc>
        <w:tc>
          <w:tcPr>
            <w:cnfStyle w:val="000010000000" w:firstRow="0" w:lastRow="0" w:firstColumn="0" w:lastColumn="0" w:oddVBand="1" w:evenVBand="0" w:oddHBand="0" w:evenHBand="0" w:firstRowFirstColumn="0" w:firstRowLastColumn="0" w:lastRowFirstColumn="0" w:lastRowLastColumn="0"/>
            <w:tcW w:w="608" w:type="pct"/>
            <w:vAlign w:val="bottom"/>
          </w:tcPr>
          <w:p w:rsidR="00BE1C02" w:rsidRPr="00687A1C" w:rsidRDefault="00BE1C02" w:rsidP="00750E68">
            <w:pPr>
              <w:pStyle w:val="Tabletextright"/>
            </w:pPr>
          </w:p>
        </w:tc>
        <w:tc>
          <w:tcPr>
            <w:cnfStyle w:val="000001000000" w:firstRow="0" w:lastRow="0" w:firstColumn="0" w:lastColumn="0" w:oddVBand="0" w:evenVBand="1" w:oddHBand="0" w:evenHBand="0" w:firstRowFirstColumn="0" w:firstRowLastColumn="0" w:lastRowFirstColumn="0" w:lastRowLastColumn="0"/>
            <w:tcW w:w="527" w:type="pct"/>
            <w:vAlign w:val="bottom"/>
          </w:tcPr>
          <w:p w:rsidR="00BE1C02" w:rsidRPr="00687A1C" w:rsidRDefault="00BE1C02" w:rsidP="00750E68">
            <w:pPr>
              <w:pStyle w:val="Tabletextright"/>
            </w:pPr>
          </w:p>
        </w:tc>
        <w:tc>
          <w:tcPr>
            <w:cnfStyle w:val="000010000000" w:firstRow="0" w:lastRow="0" w:firstColumn="0" w:lastColumn="0" w:oddVBand="1" w:evenVBand="0" w:oddHBand="0" w:evenHBand="0" w:firstRowFirstColumn="0" w:firstRowLastColumn="0" w:lastRowFirstColumn="0" w:lastRowLastColumn="0"/>
            <w:tcW w:w="628" w:type="pct"/>
            <w:vAlign w:val="bottom"/>
          </w:tcPr>
          <w:p w:rsidR="00BE1C02" w:rsidRPr="00687A1C" w:rsidRDefault="00BE1C02" w:rsidP="008A3976">
            <w:pPr>
              <w:pStyle w:val="Tabletextright"/>
            </w:pPr>
          </w:p>
        </w:tc>
      </w:tr>
      <w:tr w:rsidR="00BE1C02" w:rsidRPr="00687A1C" w:rsidTr="008A3976">
        <w:tc>
          <w:tcPr>
            <w:cnfStyle w:val="001000000000" w:firstRow="0" w:lastRow="0" w:firstColumn="1" w:lastColumn="0" w:oddVBand="0" w:evenVBand="0" w:oddHBand="0" w:evenHBand="0" w:firstRowFirstColumn="0" w:firstRowLastColumn="0" w:lastRowFirstColumn="0" w:lastRowLastColumn="0"/>
            <w:tcW w:w="816" w:type="pct"/>
          </w:tcPr>
          <w:p w:rsidR="00BE1C02" w:rsidRPr="00687A1C" w:rsidRDefault="00BE1C02" w:rsidP="008A3976">
            <w:pPr>
              <w:pStyle w:val="Tabletext"/>
              <w:rPr>
                <w:b/>
                <w:bCs/>
              </w:rPr>
            </w:pPr>
            <w:r w:rsidRPr="00687A1C">
              <w:rPr>
                <w:b/>
                <w:bCs/>
              </w:rPr>
              <w:t>2017</w:t>
            </w:r>
          </w:p>
        </w:tc>
        <w:tc>
          <w:tcPr>
            <w:cnfStyle w:val="000010000000" w:firstRow="0" w:lastRow="0" w:firstColumn="0" w:lastColumn="0" w:oddVBand="1" w:evenVBand="0" w:oddHBand="0" w:evenHBand="0" w:firstRowFirstColumn="0" w:firstRowLastColumn="0" w:lastRowFirstColumn="0" w:lastRowLastColumn="0"/>
            <w:tcW w:w="674" w:type="pct"/>
            <w:vAlign w:val="bottom"/>
          </w:tcPr>
          <w:p w:rsidR="00BE1C02" w:rsidRPr="00687A1C" w:rsidRDefault="00BE1C02" w:rsidP="00750E68">
            <w:pPr>
              <w:pStyle w:val="Tabletextright"/>
            </w:pPr>
          </w:p>
        </w:tc>
        <w:tc>
          <w:tcPr>
            <w:cnfStyle w:val="000001000000" w:firstRow="0" w:lastRow="0" w:firstColumn="0" w:lastColumn="0" w:oddVBand="0" w:evenVBand="1" w:oddHBand="0" w:evenHBand="0" w:firstRowFirstColumn="0" w:firstRowLastColumn="0" w:lastRowFirstColumn="0" w:lastRowLastColumn="0"/>
            <w:tcW w:w="710" w:type="pct"/>
            <w:vAlign w:val="bottom"/>
          </w:tcPr>
          <w:p w:rsidR="00BE1C02" w:rsidRPr="00687A1C" w:rsidRDefault="00BE1C02" w:rsidP="00750E68">
            <w:pPr>
              <w:pStyle w:val="Tabletextright"/>
            </w:pPr>
          </w:p>
        </w:tc>
        <w:tc>
          <w:tcPr>
            <w:cnfStyle w:val="000010000000" w:firstRow="0" w:lastRow="0" w:firstColumn="0" w:lastColumn="0" w:oddVBand="1" w:evenVBand="0" w:oddHBand="0" w:evenHBand="0" w:firstRowFirstColumn="0" w:firstRowLastColumn="0" w:lastRowFirstColumn="0" w:lastRowLastColumn="0"/>
            <w:tcW w:w="565" w:type="pct"/>
            <w:vAlign w:val="bottom"/>
          </w:tcPr>
          <w:p w:rsidR="00BE1C02" w:rsidRPr="00687A1C" w:rsidRDefault="00BE1C02" w:rsidP="00750E68">
            <w:pPr>
              <w:pStyle w:val="Tabletextright"/>
            </w:pPr>
          </w:p>
        </w:tc>
        <w:tc>
          <w:tcPr>
            <w:cnfStyle w:val="000001000000" w:firstRow="0" w:lastRow="0" w:firstColumn="0" w:lastColumn="0" w:oddVBand="0" w:evenVBand="1" w:oddHBand="0" w:evenHBand="0" w:firstRowFirstColumn="0" w:firstRowLastColumn="0" w:lastRowFirstColumn="0" w:lastRowLastColumn="0"/>
            <w:tcW w:w="472" w:type="pct"/>
            <w:vAlign w:val="bottom"/>
          </w:tcPr>
          <w:p w:rsidR="00BE1C02" w:rsidRPr="00687A1C" w:rsidRDefault="00BE1C02" w:rsidP="00750E68">
            <w:pPr>
              <w:pStyle w:val="Tabletextright"/>
            </w:pPr>
          </w:p>
        </w:tc>
        <w:tc>
          <w:tcPr>
            <w:cnfStyle w:val="000010000000" w:firstRow="0" w:lastRow="0" w:firstColumn="0" w:lastColumn="0" w:oddVBand="1" w:evenVBand="0" w:oddHBand="0" w:evenHBand="0" w:firstRowFirstColumn="0" w:firstRowLastColumn="0" w:lastRowFirstColumn="0" w:lastRowLastColumn="0"/>
            <w:tcW w:w="608" w:type="pct"/>
            <w:vAlign w:val="bottom"/>
          </w:tcPr>
          <w:p w:rsidR="00BE1C02" w:rsidRPr="00687A1C" w:rsidRDefault="00BE1C02" w:rsidP="00750E68">
            <w:pPr>
              <w:pStyle w:val="Tabletextright"/>
            </w:pPr>
          </w:p>
        </w:tc>
        <w:tc>
          <w:tcPr>
            <w:cnfStyle w:val="000001000000" w:firstRow="0" w:lastRow="0" w:firstColumn="0" w:lastColumn="0" w:oddVBand="0" w:evenVBand="1" w:oddHBand="0" w:evenHBand="0" w:firstRowFirstColumn="0" w:firstRowLastColumn="0" w:lastRowFirstColumn="0" w:lastRowLastColumn="0"/>
            <w:tcW w:w="527" w:type="pct"/>
            <w:vAlign w:val="bottom"/>
          </w:tcPr>
          <w:p w:rsidR="00BE1C02" w:rsidRPr="00687A1C" w:rsidRDefault="00BE1C02" w:rsidP="00750E68">
            <w:pPr>
              <w:pStyle w:val="Tabletextright"/>
            </w:pPr>
          </w:p>
        </w:tc>
        <w:tc>
          <w:tcPr>
            <w:cnfStyle w:val="000010000000" w:firstRow="0" w:lastRow="0" w:firstColumn="0" w:lastColumn="0" w:oddVBand="1" w:evenVBand="0" w:oddHBand="0" w:evenHBand="0" w:firstRowFirstColumn="0" w:firstRowLastColumn="0" w:lastRowFirstColumn="0" w:lastRowLastColumn="0"/>
            <w:tcW w:w="628" w:type="pct"/>
            <w:vAlign w:val="bottom"/>
          </w:tcPr>
          <w:p w:rsidR="00BE1C02" w:rsidRPr="00687A1C" w:rsidRDefault="00BE1C02" w:rsidP="008A3976">
            <w:pPr>
              <w:pStyle w:val="Tabletextright"/>
            </w:pPr>
          </w:p>
        </w:tc>
      </w:tr>
      <w:tr w:rsidR="00BE1C02" w:rsidRPr="00687A1C" w:rsidTr="008A3976">
        <w:tc>
          <w:tcPr>
            <w:cnfStyle w:val="001000000000" w:firstRow="0" w:lastRow="0" w:firstColumn="1" w:lastColumn="0" w:oddVBand="0" w:evenVBand="0" w:oddHBand="0" w:evenHBand="0" w:firstRowFirstColumn="0" w:firstRowLastColumn="0" w:lastRowFirstColumn="0" w:lastRowLastColumn="0"/>
            <w:tcW w:w="816" w:type="pct"/>
          </w:tcPr>
          <w:p w:rsidR="00BE1C02" w:rsidRPr="00687A1C" w:rsidRDefault="00BE1C02" w:rsidP="008A3976">
            <w:pPr>
              <w:pStyle w:val="Tabletext"/>
            </w:pPr>
            <w:r w:rsidRPr="00687A1C">
              <w:t>Receivables</w:t>
            </w:r>
          </w:p>
        </w:tc>
        <w:tc>
          <w:tcPr>
            <w:cnfStyle w:val="000010000000" w:firstRow="0" w:lastRow="0" w:firstColumn="0" w:lastColumn="0" w:oddVBand="1" w:evenVBand="0" w:oddHBand="0" w:evenHBand="0" w:firstRowFirstColumn="0" w:firstRowLastColumn="0" w:lastRowFirstColumn="0" w:lastRowLastColumn="0"/>
            <w:tcW w:w="674" w:type="pct"/>
            <w:vAlign w:val="bottom"/>
          </w:tcPr>
          <w:p w:rsidR="00BE1C02" w:rsidRPr="00687A1C" w:rsidRDefault="00BE1C02" w:rsidP="00D8412D">
            <w:pPr>
              <w:pStyle w:val="Tabletextright"/>
            </w:pPr>
            <w:r w:rsidRPr="00687A1C">
              <w:rPr>
                <w:bCs/>
              </w:rPr>
              <w:t>16</w:t>
            </w:r>
            <w:r w:rsidR="00D8412D" w:rsidRPr="00687A1C">
              <w:rPr>
                <w:bCs/>
              </w:rPr>
              <w:t xml:space="preserve"> </w:t>
            </w:r>
            <w:r w:rsidRPr="00687A1C">
              <w:rPr>
                <w:bCs/>
              </w:rPr>
              <w:t>493</w:t>
            </w:r>
          </w:p>
        </w:tc>
        <w:tc>
          <w:tcPr>
            <w:cnfStyle w:val="000001000000" w:firstRow="0" w:lastRow="0" w:firstColumn="0" w:lastColumn="0" w:oddVBand="0" w:evenVBand="1" w:oddHBand="0" w:evenHBand="0" w:firstRowFirstColumn="0" w:firstRowLastColumn="0" w:lastRowFirstColumn="0" w:lastRowLastColumn="0"/>
            <w:tcW w:w="710" w:type="pct"/>
            <w:vAlign w:val="bottom"/>
          </w:tcPr>
          <w:p w:rsidR="00BE1C02" w:rsidRPr="00687A1C" w:rsidRDefault="00BE1C02" w:rsidP="00D8412D">
            <w:pPr>
              <w:pStyle w:val="Tabletextright"/>
            </w:pPr>
            <w:r w:rsidRPr="00687A1C">
              <w:rPr>
                <w:bCs/>
              </w:rPr>
              <w:t>14</w:t>
            </w:r>
            <w:r w:rsidR="00D8412D" w:rsidRPr="00687A1C">
              <w:rPr>
                <w:bCs/>
              </w:rPr>
              <w:t xml:space="preserve"> </w:t>
            </w:r>
            <w:r w:rsidRPr="00687A1C">
              <w:rPr>
                <w:bCs/>
              </w:rPr>
              <w:t>648</w:t>
            </w:r>
          </w:p>
        </w:tc>
        <w:tc>
          <w:tcPr>
            <w:cnfStyle w:val="000010000000" w:firstRow="0" w:lastRow="0" w:firstColumn="0" w:lastColumn="0" w:oddVBand="1" w:evenVBand="0" w:oddHBand="0" w:evenHBand="0" w:firstRowFirstColumn="0" w:firstRowLastColumn="0" w:lastRowFirstColumn="0" w:lastRowLastColumn="0"/>
            <w:tcW w:w="565" w:type="pct"/>
            <w:vAlign w:val="bottom"/>
          </w:tcPr>
          <w:p w:rsidR="00BE1C02" w:rsidRPr="00687A1C" w:rsidRDefault="00BE1C02" w:rsidP="00D8412D">
            <w:pPr>
              <w:pStyle w:val="Tabletextright"/>
            </w:pPr>
            <w:r w:rsidRPr="00687A1C">
              <w:rPr>
                <w:bCs/>
              </w:rPr>
              <w:t>1</w:t>
            </w:r>
            <w:r w:rsidR="00D8412D" w:rsidRPr="00687A1C">
              <w:rPr>
                <w:bCs/>
              </w:rPr>
              <w:t xml:space="preserve"> </w:t>
            </w:r>
            <w:r w:rsidRPr="00687A1C">
              <w:rPr>
                <w:bCs/>
              </w:rPr>
              <w:t>816</w:t>
            </w:r>
          </w:p>
        </w:tc>
        <w:tc>
          <w:tcPr>
            <w:cnfStyle w:val="000001000000" w:firstRow="0" w:lastRow="0" w:firstColumn="0" w:lastColumn="0" w:oddVBand="0" w:evenVBand="1" w:oddHBand="0" w:evenHBand="0" w:firstRowFirstColumn="0" w:firstRowLastColumn="0" w:lastRowFirstColumn="0" w:lastRowLastColumn="0"/>
            <w:tcW w:w="472" w:type="pct"/>
            <w:vAlign w:val="bottom"/>
          </w:tcPr>
          <w:p w:rsidR="00BE1C02" w:rsidRPr="00687A1C" w:rsidRDefault="00BE1C02" w:rsidP="00750E68">
            <w:pPr>
              <w:pStyle w:val="Tabletextright"/>
              <w:rPr>
                <w:bCs/>
              </w:rPr>
            </w:pPr>
            <w:r w:rsidRPr="00687A1C">
              <w:rPr>
                <w:bCs/>
              </w:rPr>
              <w:t>29</w:t>
            </w:r>
          </w:p>
        </w:tc>
        <w:tc>
          <w:tcPr>
            <w:cnfStyle w:val="000010000000" w:firstRow="0" w:lastRow="0" w:firstColumn="0" w:lastColumn="0" w:oddVBand="1" w:evenVBand="0" w:oddHBand="0" w:evenHBand="0" w:firstRowFirstColumn="0" w:firstRowLastColumn="0" w:lastRowFirstColumn="0" w:lastRowLastColumn="0"/>
            <w:tcW w:w="608" w:type="pct"/>
            <w:vAlign w:val="bottom"/>
          </w:tcPr>
          <w:p w:rsidR="00BE1C02" w:rsidRPr="00687A1C" w:rsidRDefault="00BE1C02" w:rsidP="00750E68">
            <w:pPr>
              <w:pStyle w:val="Tabletextright"/>
              <w:rPr>
                <w:bCs/>
              </w:rPr>
            </w:pPr>
            <w:r w:rsidRPr="00687A1C">
              <w:rPr>
                <w:bCs/>
              </w:rPr>
              <w:t>–</w:t>
            </w:r>
          </w:p>
        </w:tc>
        <w:tc>
          <w:tcPr>
            <w:cnfStyle w:val="000001000000" w:firstRow="0" w:lastRow="0" w:firstColumn="0" w:lastColumn="0" w:oddVBand="0" w:evenVBand="1" w:oddHBand="0" w:evenHBand="0" w:firstRowFirstColumn="0" w:firstRowLastColumn="0" w:lastRowFirstColumn="0" w:lastRowLastColumn="0"/>
            <w:tcW w:w="527" w:type="pct"/>
            <w:vAlign w:val="bottom"/>
          </w:tcPr>
          <w:p w:rsidR="00BE1C02" w:rsidRPr="00687A1C" w:rsidRDefault="00BE1C02" w:rsidP="00750E68">
            <w:pPr>
              <w:pStyle w:val="Tabletextright"/>
              <w:rPr>
                <w:bCs/>
              </w:rPr>
            </w:pPr>
            <w:r w:rsidRPr="00687A1C">
              <w:rPr>
                <w:bCs/>
              </w:rPr>
              <w:t>–</w:t>
            </w:r>
          </w:p>
        </w:tc>
        <w:tc>
          <w:tcPr>
            <w:cnfStyle w:val="000010000000" w:firstRow="0" w:lastRow="0" w:firstColumn="0" w:lastColumn="0" w:oddVBand="1" w:evenVBand="0" w:oddHBand="0" w:evenHBand="0" w:firstRowFirstColumn="0" w:firstRowLastColumn="0" w:lastRowFirstColumn="0" w:lastRowLastColumn="0"/>
            <w:tcW w:w="628" w:type="pct"/>
            <w:vAlign w:val="bottom"/>
          </w:tcPr>
          <w:p w:rsidR="00BE1C02" w:rsidRPr="00687A1C" w:rsidRDefault="00BE1C02" w:rsidP="008A3976">
            <w:pPr>
              <w:pStyle w:val="Tabletextright"/>
            </w:pPr>
            <w:r w:rsidRPr="00687A1C">
              <w:t>–</w:t>
            </w:r>
          </w:p>
        </w:tc>
      </w:tr>
    </w:tbl>
    <w:p w:rsidR="00174AEA" w:rsidRPr="00687A1C" w:rsidRDefault="00174AEA" w:rsidP="00174AEA"/>
    <w:p w:rsidR="00174AEA" w:rsidRPr="00687A1C" w:rsidRDefault="00174AEA" w:rsidP="00174AEA">
      <w:pPr>
        <w:pStyle w:val="Heading3"/>
        <w:sectPr w:rsidR="00174AEA" w:rsidRPr="00687A1C" w:rsidSect="00AD1FE4">
          <w:headerReference w:type="even" r:id="rId77"/>
          <w:pgSz w:w="11909" w:h="16834" w:code="9"/>
          <w:pgMar w:top="1728" w:right="1152" w:bottom="1152" w:left="1152" w:header="720" w:footer="288" w:gutter="0"/>
          <w:cols w:space="720"/>
          <w:noEndnote/>
        </w:sectPr>
      </w:pPr>
    </w:p>
    <w:p w:rsidR="00174AEA" w:rsidRPr="00687A1C" w:rsidRDefault="00174AEA" w:rsidP="00174AEA">
      <w:pPr>
        <w:pStyle w:val="Heading3"/>
      </w:pPr>
      <w:r w:rsidRPr="00687A1C">
        <w:t>Impairment of financial assets</w:t>
      </w:r>
    </w:p>
    <w:p w:rsidR="00174AEA" w:rsidRPr="00687A1C" w:rsidRDefault="00174AEA" w:rsidP="00174AEA">
      <w:r w:rsidRPr="00687A1C">
        <w:t>The Department assesses at the end of each reporting period whether there is objective evidence that a financial asset or group of financial assets is impaired. All financial assets, except those measured at fair value through profit or loss, are subject to annual review for impairment.</w:t>
      </w:r>
    </w:p>
    <w:p w:rsidR="00174AEA" w:rsidRPr="00687A1C" w:rsidRDefault="00174AEA" w:rsidP="00174AEA">
      <w:r w:rsidRPr="00687A1C">
        <w:t>Bad and doubtful debts are assessed on a regular basis. Those bad debts considered as written off by mutual consent are classified as an expense. The allowance for doubtful receivables and bad debts not written off by mutual consent are adjusted as other economic flows.</w:t>
      </w:r>
    </w:p>
    <w:p w:rsidR="00174AEA" w:rsidRPr="00687A1C" w:rsidRDefault="00174AEA" w:rsidP="00174AEA"/>
    <w:p w:rsidR="00174AEA" w:rsidRPr="00687A1C" w:rsidRDefault="00174AEA" w:rsidP="00174AEA">
      <w:pPr>
        <w:sectPr w:rsidR="00174AEA" w:rsidRPr="00687A1C" w:rsidSect="00930650">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spacing w:before="200"/>
      </w:pPr>
      <w:bookmarkStart w:id="96" w:name="_Toc525026202"/>
      <w:bookmarkStart w:id="97" w:name="_Toc525026238"/>
      <w:r w:rsidRPr="00687A1C">
        <w:t>Payables</w:t>
      </w:r>
      <w:bookmarkEnd w:id="96"/>
      <w:bookmarkEnd w:id="97"/>
    </w:p>
    <w:tbl>
      <w:tblPr>
        <w:tblStyle w:val="AnnualReporttexttable"/>
        <w:tblW w:w="0" w:type="auto"/>
        <w:tblLayout w:type="fixed"/>
        <w:tblLook w:val="00A0" w:firstRow="1" w:lastRow="0" w:firstColumn="1" w:lastColumn="0" w:noHBand="0" w:noVBand="0"/>
      </w:tblPr>
      <w:tblGrid>
        <w:gridCol w:w="5058"/>
        <w:gridCol w:w="1026"/>
        <w:gridCol w:w="1026"/>
      </w:tblGrid>
      <w:tr w:rsidR="00174AEA" w:rsidRPr="00687A1C" w:rsidTr="00A0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26" w:type="dxa"/>
            <w:shd w:val="clear" w:color="auto" w:fill="auto"/>
            <w:vAlign w:val="bottom"/>
          </w:tcPr>
          <w:p w:rsidR="00174AEA" w:rsidRPr="00687A1C" w:rsidRDefault="00174AEA" w:rsidP="00A01703">
            <w:pPr>
              <w:pStyle w:val="Tabletextheadingright"/>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26" w:type="dxa"/>
            <w:shd w:val="clear" w:color="auto" w:fill="auto"/>
            <w:vAlign w:val="bottom"/>
          </w:tcPr>
          <w:p w:rsidR="00174AEA" w:rsidRPr="00687A1C" w:rsidRDefault="00174AEA" w:rsidP="00A01703">
            <w:pPr>
              <w:pStyle w:val="Tabletextheadingright"/>
              <w:rPr>
                <w:b/>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bold"/>
            </w:pPr>
            <w:r w:rsidRPr="00687A1C">
              <w:t>Current:</w:t>
            </w:r>
          </w:p>
        </w:tc>
        <w:tc>
          <w:tcPr>
            <w:cnfStyle w:val="000010000000" w:firstRow="0" w:lastRow="0" w:firstColumn="0" w:lastColumn="0" w:oddVBand="1" w:evenVBand="0" w:oddHBand="0" w:evenHBand="0" w:firstRowFirstColumn="0" w:firstRowLastColumn="0" w:lastRowFirstColumn="0" w:lastRowLastColumn="0"/>
            <w:tcW w:w="1026"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bold"/>
            </w:pPr>
            <w:r w:rsidRPr="00687A1C">
              <w:t>Contractual</w:t>
            </w:r>
          </w:p>
        </w:tc>
        <w:tc>
          <w:tcPr>
            <w:cnfStyle w:val="000010000000" w:firstRow="0" w:lastRow="0" w:firstColumn="0" w:lastColumn="0" w:oddVBand="1" w:evenVBand="0" w:oddHBand="0" w:evenHBand="0" w:firstRowFirstColumn="0" w:firstRowLastColumn="0" w:lastRowFirstColumn="0" w:lastRowLastColumn="0"/>
            <w:tcW w:w="1026"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
              <w:rPr>
                <w:color w:val="000000"/>
              </w:rPr>
            </w:pPr>
            <w:r w:rsidRPr="00687A1C">
              <w:rPr>
                <w:color w:val="000000"/>
              </w:rPr>
              <w:t>Creditors and accruals</w:t>
            </w:r>
          </w:p>
        </w:tc>
        <w:tc>
          <w:tcPr>
            <w:cnfStyle w:val="000010000000" w:firstRow="0" w:lastRow="0" w:firstColumn="0" w:lastColumn="0" w:oddVBand="1" w:evenVBand="0" w:oddHBand="0" w:evenHBand="0" w:firstRowFirstColumn="0" w:firstRowLastColumn="0" w:lastRowFirstColumn="0" w:lastRowLastColumn="0"/>
            <w:tcW w:w="1026" w:type="dxa"/>
            <w:vAlign w:val="bottom"/>
          </w:tcPr>
          <w:p w:rsidR="00174AEA" w:rsidRPr="00687A1C" w:rsidRDefault="00BE1C02" w:rsidP="00D8412D">
            <w:pPr>
              <w:pStyle w:val="Tabletextright"/>
            </w:pPr>
            <w:r w:rsidRPr="00687A1C">
              <w:t>33</w:t>
            </w:r>
            <w:r w:rsidR="00D8412D" w:rsidRPr="00687A1C">
              <w:rPr>
                <w:rFonts w:ascii="Calibri" w:hAnsi="Calibri" w:cs="Courier New"/>
              </w:rPr>
              <w:t xml:space="preserve"> </w:t>
            </w:r>
            <w:r w:rsidRPr="00687A1C">
              <w:t>665</w:t>
            </w: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D8412D">
            <w:pPr>
              <w:pStyle w:val="Tabletextright"/>
            </w:pPr>
            <w:r w:rsidRPr="00687A1C">
              <w:t>32</w:t>
            </w:r>
            <w:r w:rsidR="00D8412D" w:rsidRPr="00687A1C">
              <w:rPr>
                <w:rFonts w:ascii="Calibri" w:hAnsi="Calibri" w:cs="Calibri"/>
              </w:rPr>
              <w:t xml:space="preserve"> </w:t>
            </w:r>
            <w:r w:rsidRPr="00687A1C">
              <w:t>754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
              <w:rPr>
                <w:b/>
                <w:bCs/>
                <w:color w:val="000000"/>
              </w:rPr>
            </w:pPr>
          </w:p>
        </w:tc>
        <w:tc>
          <w:tcPr>
            <w:cnfStyle w:val="000010000000" w:firstRow="0" w:lastRow="0" w:firstColumn="0" w:lastColumn="0" w:oddVBand="1" w:evenVBand="0" w:oddHBand="0" w:evenHBand="0" w:firstRowFirstColumn="0" w:firstRowLastColumn="0" w:lastRowFirstColumn="0" w:lastRowLastColumn="0"/>
            <w:tcW w:w="1026"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bold"/>
            </w:pPr>
            <w:r w:rsidRPr="00687A1C">
              <w:t>Statutory</w:t>
            </w:r>
          </w:p>
        </w:tc>
        <w:tc>
          <w:tcPr>
            <w:cnfStyle w:val="000010000000" w:firstRow="0" w:lastRow="0" w:firstColumn="0" w:lastColumn="0" w:oddVBand="1" w:evenVBand="0" w:oddHBand="0" w:evenHBand="0" w:firstRowFirstColumn="0" w:firstRowLastColumn="0" w:lastRowFirstColumn="0" w:lastRowLastColumn="0"/>
            <w:tcW w:w="1026"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
              <w:rPr>
                <w:color w:val="000000"/>
              </w:rPr>
            </w:pPr>
            <w:r w:rsidRPr="00687A1C">
              <w:rPr>
                <w:color w:val="000000"/>
              </w:rPr>
              <w:t>Amounts payable to other government agencies</w:t>
            </w:r>
          </w:p>
        </w:tc>
        <w:tc>
          <w:tcPr>
            <w:cnfStyle w:val="000010000000" w:firstRow="0" w:lastRow="0" w:firstColumn="0" w:lastColumn="0" w:oddVBand="1" w:evenVBand="0" w:oddHBand="0" w:evenHBand="0" w:firstRowFirstColumn="0" w:firstRowLastColumn="0" w:lastRowFirstColumn="0" w:lastRowLastColumn="0"/>
            <w:tcW w:w="1026" w:type="dxa"/>
          </w:tcPr>
          <w:p w:rsidR="00174AEA" w:rsidRPr="00687A1C" w:rsidRDefault="00174AEA" w:rsidP="00D8412D">
            <w:pPr>
              <w:pStyle w:val="Tabletextright"/>
            </w:pPr>
            <w:r w:rsidRPr="00687A1C">
              <w:t>16</w:t>
            </w:r>
            <w:r w:rsidR="00D8412D" w:rsidRPr="00687A1C">
              <w:rPr>
                <w:rFonts w:ascii="Calibri" w:hAnsi="Calibri" w:cs="Calibri"/>
              </w:rPr>
              <w:t xml:space="preserve"> </w:t>
            </w:r>
            <w:r w:rsidRPr="00687A1C">
              <w:t xml:space="preserve">385 </w:t>
            </w: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D8412D">
            <w:pPr>
              <w:pStyle w:val="Tabletextright"/>
            </w:pPr>
            <w:r w:rsidRPr="00687A1C">
              <w:t>15</w:t>
            </w:r>
            <w:r w:rsidR="00D8412D" w:rsidRPr="00687A1C">
              <w:rPr>
                <w:rFonts w:ascii="Calibri" w:hAnsi="Calibri" w:cs="Calibri"/>
              </w:rPr>
              <w:t xml:space="preserve"> </w:t>
            </w:r>
            <w:r w:rsidRPr="00687A1C">
              <w:t>346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
              <w:rPr>
                <w:color w:val="000000"/>
              </w:rPr>
            </w:pPr>
            <w:r w:rsidRPr="00687A1C">
              <w:rPr>
                <w:color w:val="000000"/>
              </w:rPr>
              <w:t>GST payable</w:t>
            </w:r>
          </w:p>
        </w:tc>
        <w:tc>
          <w:tcPr>
            <w:cnfStyle w:val="000010000000" w:firstRow="0" w:lastRow="0" w:firstColumn="0" w:lastColumn="0" w:oddVBand="1" w:evenVBand="0" w:oddHBand="0" w:evenHBand="0" w:firstRowFirstColumn="0" w:firstRowLastColumn="0" w:lastRowFirstColumn="0" w:lastRowLastColumn="0"/>
            <w:tcW w:w="1026" w:type="dxa"/>
          </w:tcPr>
          <w:p w:rsidR="00174AEA" w:rsidRPr="00687A1C" w:rsidRDefault="00174AEA" w:rsidP="00D8412D">
            <w:pPr>
              <w:pStyle w:val="Tabletextright"/>
            </w:pPr>
            <w:r w:rsidRPr="00687A1C">
              <w:t>2</w:t>
            </w:r>
            <w:r w:rsidR="00D8412D" w:rsidRPr="00687A1C">
              <w:rPr>
                <w:rFonts w:ascii="Calibri" w:hAnsi="Calibri" w:cs="Calibri"/>
              </w:rPr>
              <w:t xml:space="preserve"> </w:t>
            </w:r>
            <w:r w:rsidR="00BE1C02" w:rsidRPr="00687A1C">
              <w:t>797</w:t>
            </w: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8A3976">
            <w:pPr>
              <w:pStyle w:val="Tabletextright"/>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
              <w:rPr>
                <w:color w:val="000000"/>
              </w:rPr>
            </w:pPr>
          </w:p>
        </w:tc>
        <w:tc>
          <w:tcPr>
            <w:cnfStyle w:val="000010000000" w:firstRow="0" w:lastRow="0" w:firstColumn="0" w:lastColumn="0" w:oddVBand="1" w:evenVBand="0" w:oddHBand="0" w:evenHBand="0" w:firstRowFirstColumn="0" w:firstRowLastColumn="0" w:lastRowFirstColumn="0" w:lastRowLastColumn="0"/>
            <w:tcW w:w="1026"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58" w:type="dxa"/>
          </w:tcPr>
          <w:p w:rsidR="00174AEA" w:rsidRPr="00687A1C" w:rsidRDefault="00174AEA" w:rsidP="008A3976">
            <w:pPr>
              <w:pStyle w:val="Tabletextbold"/>
            </w:pPr>
            <w:r w:rsidRPr="00687A1C">
              <w:t>Total payables</w:t>
            </w:r>
          </w:p>
        </w:tc>
        <w:tc>
          <w:tcPr>
            <w:cnfStyle w:val="000010000000" w:firstRow="0" w:lastRow="0" w:firstColumn="0" w:lastColumn="0" w:oddVBand="1" w:evenVBand="0" w:oddHBand="0" w:evenHBand="0" w:firstRowFirstColumn="0" w:firstRowLastColumn="0" w:lastRowFirstColumn="0" w:lastRowLastColumn="0"/>
            <w:tcW w:w="1026" w:type="dxa"/>
            <w:vAlign w:val="bottom"/>
          </w:tcPr>
          <w:p w:rsidR="00174AEA" w:rsidRPr="00687A1C" w:rsidRDefault="00BE1C02" w:rsidP="00D8412D">
            <w:pPr>
              <w:pStyle w:val="Tabletextrightbold"/>
            </w:pPr>
            <w:r w:rsidRPr="00687A1C">
              <w:t>52</w:t>
            </w:r>
            <w:r w:rsidR="00D8412D" w:rsidRPr="00687A1C">
              <w:rPr>
                <w:rFonts w:ascii="Calibri" w:hAnsi="Calibri" w:cs="Courier New"/>
              </w:rPr>
              <w:t xml:space="preserve"> </w:t>
            </w:r>
            <w:r w:rsidRPr="00687A1C">
              <w:t>847</w:t>
            </w:r>
          </w:p>
        </w:tc>
        <w:tc>
          <w:tcPr>
            <w:cnfStyle w:val="000001000000" w:firstRow="0" w:lastRow="0" w:firstColumn="0" w:lastColumn="0" w:oddVBand="0" w:evenVBand="1" w:oddHBand="0" w:evenHBand="0" w:firstRowFirstColumn="0" w:firstRowLastColumn="0" w:lastRowFirstColumn="0" w:lastRowLastColumn="0"/>
            <w:tcW w:w="1026" w:type="dxa"/>
          </w:tcPr>
          <w:p w:rsidR="00174AEA" w:rsidRPr="00687A1C" w:rsidRDefault="00174AEA" w:rsidP="00D8412D">
            <w:pPr>
              <w:pStyle w:val="Tabletextrightbold"/>
            </w:pPr>
            <w:r w:rsidRPr="00687A1C">
              <w:t>48</w:t>
            </w:r>
            <w:r w:rsidR="00D8412D" w:rsidRPr="00687A1C">
              <w:rPr>
                <w:rFonts w:ascii="Calibri" w:hAnsi="Calibri" w:cs="Calibri"/>
              </w:rPr>
              <w:t xml:space="preserve"> </w:t>
            </w:r>
            <w:r w:rsidRPr="00687A1C">
              <w:t>100</w:t>
            </w:r>
          </w:p>
        </w:tc>
      </w:tr>
    </w:tbl>
    <w:p w:rsidR="00174AEA" w:rsidRPr="00687A1C" w:rsidRDefault="00174AEA" w:rsidP="00174AEA"/>
    <w:p w:rsidR="00174AEA" w:rsidRPr="00687A1C" w:rsidRDefault="00174AEA" w:rsidP="00174AEA">
      <w:pPr>
        <w:sectPr w:rsidR="00174AEA" w:rsidRPr="00687A1C" w:rsidSect="00930650">
          <w:type w:val="continuous"/>
          <w:pgSz w:w="11909" w:h="16834" w:code="9"/>
          <w:pgMar w:top="1728" w:right="1152" w:bottom="1152" w:left="1152" w:header="720" w:footer="288" w:gutter="0"/>
          <w:cols w:space="720"/>
          <w:noEndnote/>
        </w:sectPr>
      </w:pPr>
    </w:p>
    <w:p w:rsidR="00174AEA" w:rsidRPr="00687A1C" w:rsidRDefault="00174AEA" w:rsidP="00174AEA">
      <w:r w:rsidRPr="00687A1C">
        <w:t>Payables consist of:</w:t>
      </w:r>
    </w:p>
    <w:p w:rsidR="00174AEA" w:rsidRPr="00687A1C" w:rsidRDefault="00174AEA" w:rsidP="00174AEA">
      <w:pPr>
        <w:pStyle w:val="Bullet"/>
      </w:pPr>
      <w:r w:rsidRPr="00687A1C">
        <w:t>contractual payables, such as accounts payable. Accounts payable represent liabilities for goods and services provided to the Department prior to the end of the financial year that are unpaid, and arise when the Department becomes obliged to make future payments in respect of the purchase of those goods and services; and</w:t>
      </w:r>
    </w:p>
    <w:p w:rsidR="00174AEA" w:rsidRPr="00687A1C" w:rsidRDefault="00174AEA" w:rsidP="00174AEA">
      <w:pPr>
        <w:pStyle w:val="Bullet"/>
      </w:pPr>
      <w:r w:rsidRPr="00687A1C">
        <w:t>statutory payables, amounts owing to government agencies.</w:t>
      </w:r>
    </w:p>
    <w:p w:rsidR="00174AEA" w:rsidRPr="00687A1C" w:rsidRDefault="00174AEA" w:rsidP="00174AEA">
      <w:r w:rsidRPr="00687A1C">
        <w:br w:type="column"/>
      </w:r>
      <w:r w:rsidRPr="00687A1C">
        <w:t>Contractual payables are classified as financial instruments and categorised as financial liabilities at amortised cost. Statutory payables are recognised and measured similarly to contractual payables, but are not classified as financial instruments and not included in the category of financial liabilities at amortised cost. The amounts are unsecured and are usually paid within 30 days of recognition.</w:t>
      </w:r>
    </w:p>
    <w:p w:rsidR="00174AEA" w:rsidRPr="00687A1C" w:rsidRDefault="00174AEA" w:rsidP="00174AEA">
      <w:pPr>
        <w:pStyle w:val="Heading4"/>
      </w:pPr>
    </w:p>
    <w:p w:rsidR="00174AEA" w:rsidRPr="00687A1C" w:rsidRDefault="00174AEA" w:rsidP="00174AEA">
      <w:pPr>
        <w:sectPr w:rsidR="00174AEA" w:rsidRPr="00687A1C" w:rsidSect="0036408F">
          <w:type w:val="continuous"/>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lastRenderedPageBreak/>
        <w:t>Maturity analysis of contractual payables</w:t>
      </w:r>
    </w:p>
    <w:p w:rsidR="00174AEA" w:rsidRPr="00687A1C" w:rsidRDefault="00182947" w:rsidP="00182947">
      <w:r w:rsidRPr="00687A1C">
        <w:t>At balance date the carrying amount and nominal amount of contractual payables amounted to $33.7 million (2017</w:t>
      </w:r>
      <w:r w:rsidRPr="00687A1C">
        <w:rPr>
          <w:rFonts w:ascii="Calibri" w:hAnsi="Calibri" w:cs="Courier New"/>
        </w:rPr>
        <w:t> </w:t>
      </w:r>
      <w:r w:rsidRPr="00687A1C">
        <w:t>– $32.8 million). The contractual payables for the 2018 and 2017 financial years were neither past due nor impaired.</w:t>
      </w:r>
    </w:p>
    <w:p w:rsidR="00174AEA" w:rsidRPr="00687A1C" w:rsidRDefault="00174AEA" w:rsidP="00174AEA">
      <w:pPr>
        <w:pStyle w:val="Spacer"/>
      </w:pPr>
    </w:p>
    <w:p w:rsidR="00174AEA" w:rsidRPr="00687A1C" w:rsidRDefault="00174AEA" w:rsidP="00174AEA">
      <w:pPr>
        <w:pStyle w:val="Heading2numbered"/>
      </w:pPr>
      <w:bookmarkStart w:id="98" w:name="_Toc525026203"/>
      <w:bookmarkStart w:id="99" w:name="_Toc525026239"/>
      <w:r w:rsidRPr="00687A1C">
        <w:t>Non</w:t>
      </w:r>
      <w:r w:rsidRPr="00687A1C">
        <w:noBreakHyphen/>
        <w:t>financial assets classified as held for sale</w:t>
      </w:r>
      <w:bookmarkEnd w:id="98"/>
      <w:bookmarkEnd w:id="99"/>
    </w:p>
    <w:tbl>
      <w:tblPr>
        <w:tblStyle w:val="AnnualReporttexttable"/>
        <w:tblW w:w="9018" w:type="dxa"/>
        <w:tblLayout w:type="fixed"/>
        <w:tblLook w:val="0080" w:firstRow="0" w:lastRow="0" w:firstColumn="1" w:lastColumn="0" w:noHBand="0" w:noVBand="0"/>
      </w:tblPr>
      <w:tblGrid>
        <w:gridCol w:w="6588"/>
        <w:gridCol w:w="1215"/>
        <w:gridCol w:w="1215"/>
      </w:tblGrid>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15" w:type="dxa"/>
            <w:shd w:val="clear" w:color="auto" w:fill="auto"/>
          </w:tcPr>
          <w:p w:rsidR="00174AEA" w:rsidRPr="00687A1C" w:rsidRDefault="00174AEA" w:rsidP="008A3976">
            <w:pPr>
              <w:pStyle w:val="Tabletextheadingright"/>
            </w:pPr>
            <w:r w:rsidRPr="00687A1C">
              <w:t>2018</w:t>
            </w:r>
            <w:r w:rsidRPr="00687A1C">
              <w:br/>
              <w:t>$’000</w:t>
            </w:r>
          </w:p>
        </w:tc>
        <w:tc>
          <w:tcPr>
            <w:cnfStyle w:val="000001000000" w:firstRow="0" w:lastRow="0" w:firstColumn="0" w:lastColumn="0" w:oddVBand="0" w:evenVBand="1" w:oddHBand="0" w:evenHBand="0" w:firstRowFirstColumn="0" w:firstRowLastColumn="0" w:lastRowFirstColumn="0" w:lastRowLastColumn="0"/>
            <w:tcW w:w="1215" w:type="dxa"/>
          </w:tcPr>
          <w:p w:rsidR="00174AEA" w:rsidRPr="00687A1C" w:rsidRDefault="00174AEA" w:rsidP="008A3976">
            <w:pPr>
              <w:pStyle w:val="Tabletextheadingright"/>
            </w:pPr>
            <w:r w:rsidRPr="00687A1C">
              <w:t>2017</w:t>
            </w:r>
            <w:r w:rsidRPr="00687A1C">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1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1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1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1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pPr>
            <w:r w:rsidRPr="00687A1C">
              <w:t>Vehicles held for sale</w:t>
            </w:r>
          </w:p>
        </w:tc>
        <w:tc>
          <w:tcPr>
            <w:cnfStyle w:val="000010000000" w:firstRow="0" w:lastRow="0" w:firstColumn="0" w:lastColumn="0" w:oddVBand="1" w:evenVBand="0" w:oddHBand="0" w:evenHBand="0" w:firstRowFirstColumn="0" w:firstRowLastColumn="0" w:lastRowFirstColumn="0" w:lastRowLastColumn="0"/>
            <w:tcW w:w="1215" w:type="dxa"/>
          </w:tcPr>
          <w:p w:rsidR="00174AEA" w:rsidRPr="00687A1C" w:rsidRDefault="00174AEA" w:rsidP="008A3976">
            <w:pPr>
              <w:pStyle w:val="Tabletextright"/>
            </w:pPr>
            <w:r w:rsidRPr="00687A1C">
              <w:t>125</w:t>
            </w:r>
          </w:p>
        </w:tc>
        <w:tc>
          <w:tcPr>
            <w:cnfStyle w:val="000001000000" w:firstRow="0" w:lastRow="0" w:firstColumn="0" w:lastColumn="0" w:oddVBand="0" w:evenVBand="1" w:oddHBand="0" w:evenHBand="0" w:firstRowFirstColumn="0" w:firstRowLastColumn="0" w:lastRowFirstColumn="0" w:lastRowLastColumn="0"/>
            <w:tcW w:w="1215" w:type="dxa"/>
          </w:tcPr>
          <w:p w:rsidR="00174AEA" w:rsidRPr="00687A1C" w:rsidRDefault="00174AEA" w:rsidP="008A3976">
            <w:pPr>
              <w:pStyle w:val="Tabletextright"/>
            </w:pPr>
            <w:r w:rsidRPr="00687A1C">
              <w:t>21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pPr>
            <w:r w:rsidRPr="00687A1C">
              <w:t>Properties held for sale</w:t>
            </w:r>
          </w:p>
        </w:tc>
        <w:tc>
          <w:tcPr>
            <w:cnfStyle w:val="000010000000" w:firstRow="0" w:lastRow="0" w:firstColumn="0" w:lastColumn="0" w:oddVBand="1" w:evenVBand="0" w:oddHBand="0" w:evenHBand="0" w:firstRowFirstColumn="0" w:firstRowLastColumn="0" w:lastRowFirstColumn="0" w:lastRowLastColumn="0"/>
            <w:tcW w:w="1215" w:type="dxa"/>
          </w:tcPr>
          <w:p w:rsidR="00174AEA" w:rsidRPr="00687A1C" w:rsidRDefault="00174AEA" w:rsidP="00D8412D">
            <w:pPr>
              <w:pStyle w:val="Tabletextright"/>
            </w:pPr>
            <w:r w:rsidRPr="00687A1C">
              <w:t>11</w:t>
            </w:r>
            <w:r w:rsidR="00D8412D" w:rsidRPr="00687A1C">
              <w:t xml:space="preserve"> </w:t>
            </w:r>
            <w:r w:rsidRPr="00687A1C">
              <w:t>556</w:t>
            </w:r>
          </w:p>
        </w:tc>
        <w:tc>
          <w:tcPr>
            <w:cnfStyle w:val="000001000000" w:firstRow="0" w:lastRow="0" w:firstColumn="0" w:lastColumn="0" w:oddVBand="0" w:evenVBand="1" w:oddHBand="0" w:evenHBand="0" w:firstRowFirstColumn="0" w:firstRowLastColumn="0" w:lastRowFirstColumn="0" w:lastRowLastColumn="0"/>
            <w:tcW w:w="1215" w:type="dxa"/>
          </w:tcPr>
          <w:p w:rsidR="00174AEA" w:rsidRPr="00687A1C" w:rsidRDefault="00174AEA" w:rsidP="00D8412D">
            <w:pPr>
              <w:pStyle w:val="Tabletextright"/>
            </w:pPr>
            <w:r w:rsidRPr="00687A1C">
              <w:t>4</w:t>
            </w:r>
            <w:r w:rsidR="00D8412D" w:rsidRPr="00687A1C">
              <w:rPr>
                <w:rFonts w:ascii="Calibri" w:hAnsi="Calibri" w:cs="Calibri"/>
              </w:rPr>
              <w:t xml:space="preserve"> </w:t>
            </w:r>
            <w:r w:rsidRPr="00687A1C">
              <w:t>555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1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1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6588" w:type="dxa"/>
          </w:tcPr>
          <w:p w:rsidR="00174AEA" w:rsidRPr="00687A1C" w:rsidRDefault="00174AEA" w:rsidP="008A3976">
            <w:pPr>
              <w:pStyle w:val="Tabletextbold"/>
            </w:pPr>
            <w:r w:rsidRPr="00687A1C">
              <w:t>Total non</w:t>
            </w:r>
            <w:r w:rsidRPr="00687A1C">
              <w:noBreakHyphen/>
              <w:t>financial assets classified as held for sale</w:t>
            </w:r>
          </w:p>
        </w:tc>
        <w:tc>
          <w:tcPr>
            <w:cnfStyle w:val="000010000000" w:firstRow="0" w:lastRow="0" w:firstColumn="0" w:lastColumn="0" w:oddVBand="1" w:evenVBand="0" w:oddHBand="0" w:evenHBand="0" w:firstRowFirstColumn="0" w:firstRowLastColumn="0" w:lastRowFirstColumn="0" w:lastRowLastColumn="0"/>
            <w:tcW w:w="1215" w:type="dxa"/>
          </w:tcPr>
          <w:p w:rsidR="00174AEA" w:rsidRPr="00687A1C" w:rsidRDefault="00174AEA" w:rsidP="00D8412D">
            <w:pPr>
              <w:pStyle w:val="Tabletextrightbold"/>
            </w:pPr>
            <w:r w:rsidRPr="00687A1C">
              <w:t>11</w:t>
            </w:r>
            <w:r w:rsidR="00D8412D" w:rsidRPr="00687A1C">
              <w:t xml:space="preserve"> </w:t>
            </w:r>
            <w:r w:rsidRPr="00687A1C">
              <w:t>681</w:t>
            </w:r>
          </w:p>
        </w:tc>
        <w:tc>
          <w:tcPr>
            <w:cnfStyle w:val="000001000000" w:firstRow="0" w:lastRow="0" w:firstColumn="0" w:lastColumn="0" w:oddVBand="0" w:evenVBand="1" w:oddHBand="0" w:evenHBand="0" w:firstRowFirstColumn="0" w:firstRowLastColumn="0" w:lastRowFirstColumn="0" w:lastRowLastColumn="0"/>
            <w:tcW w:w="1215"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576</w:t>
            </w:r>
          </w:p>
        </w:tc>
      </w:tr>
    </w:tbl>
    <w:p w:rsidR="00174AEA" w:rsidRPr="00687A1C" w:rsidRDefault="00174AEA" w:rsidP="00174AEA"/>
    <w:p w:rsidR="00174AEA" w:rsidRPr="00687A1C" w:rsidRDefault="00174AEA" w:rsidP="00174AEA">
      <w:pPr>
        <w:sectPr w:rsidR="00174AEA" w:rsidRPr="00687A1C" w:rsidSect="008A3976">
          <w:headerReference w:type="even" r:id="rId78"/>
          <w:headerReference w:type="default" r:id="rId79"/>
          <w:pgSz w:w="11909" w:h="16834" w:code="9"/>
          <w:pgMar w:top="1728" w:right="1152" w:bottom="1152" w:left="1152" w:header="720" w:footer="288" w:gutter="0"/>
          <w:cols w:space="720"/>
          <w:noEndnote/>
        </w:sectPr>
      </w:pPr>
    </w:p>
    <w:p w:rsidR="00174AEA" w:rsidRPr="00687A1C" w:rsidRDefault="00174AEA" w:rsidP="00174AEA">
      <w:r w:rsidRPr="00687A1C">
        <w:t>Non-financial physical assets are classified as held for sale and treated as current assets if their carrying amount will be recovered through a sale transaction rather than continuing use. This condition is regarded as met only when the asset is available for immediate use in the current condition and the sale is highly probable and is expected to be completed within one year from the date of classification. Non-financial assets classified as held for sale are measured at the lower of carrying amount and fair value less costs to sell, and are not subject to depreciation.</w:t>
      </w:r>
    </w:p>
    <w:p w:rsidR="00174AEA" w:rsidRPr="00687A1C" w:rsidRDefault="00174AEA" w:rsidP="00174AEA">
      <w:r w:rsidRPr="00687A1C">
        <w:t>Surplus land and buildings that fall within the Government’s asset sales program, and which are not controlled by the Department, are reported by the relevant agency and not by this Department. Reporting responsibility for these assets remains with the relevant agency until the total sale price is fully discharged.</w:t>
      </w:r>
    </w:p>
    <w:p w:rsidR="00174AEA" w:rsidRPr="00687A1C" w:rsidRDefault="00174AEA" w:rsidP="00174AEA">
      <w:r w:rsidRPr="00687A1C">
        <w:t xml:space="preserve"> </w:t>
      </w:r>
    </w:p>
    <w:p w:rsidR="00174AEA" w:rsidRPr="00687A1C" w:rsidRDefault="00174AEA" w:rsidP="00174AEA">
      <w:pPr>
        <w:pStyle w:val="Heading2numbered"/>
      </w:pPr>
      <w:r w:rsidRPr="00687A1C">
        <w:br w:type="column"/>
      </w:r>
      <w:bookmarkStart w:id="100" w:name="_Toc525026204"/>
      <w:bookmarkStart w:id="101" w:name="_Toc525026240"/>
      <w:r w:rsidRPr="00687A1C">
        <w:t>Unearned income</w:t>
      </w:r>
      <w:bookmarkEnd w:id="100"/>
      <w:bookmarkEnd w:id="101"/>
    </w:p>
    <w:p w:rsidR="00174AEA" w:rsidRPr="00687A1C" w:rsidRDefault="00174AEA" w:rsidP="00174AEA">
      <w:r w:rsidRPr="00687A1C">
        <w:t>Unearned income relates mainly to acco</w:t>
      </w:r>
      <w:r w:rsidR="007F419B" w:rsidRPr="00687A1C">
        <w:t>mmodation rentals on government-</w:t>
      </w:r>
      <w:r w:rsidRPr="00687A1C">
        <w:t>owned buildings invoiced in advance to tenants.</w:t>
      </w:r>
    </w:p>
    <w:p w:rsidR="00174AEA" w:rsidRPr="00687A1C" w:rsidRDefault="00174AEA" w:rsidP="00174AEA"/>
    <w:bookmarkEnd w:id="93"/>
    <w:p w:rsidR="00174AEA" w:rsidRPr="00687A1C" w:rsidRDefault="00174AEA" w:rsidP="00174AEA">
      <w:pPr>
        <w:sectPr w:rsidR="00174AEA" w:rsidRPr="00687A1C" w:rsidSect="00A47FC3">
          <w:type w:val="continuous"/>
          <w:pgSz w:w="11909" w:h="16834" w:code="9"/>
          <w:pgMar w:top="1728" w:right="1152" w:bottom="1152" w:left="1152" w:header="720" w:footer="288" w:gutter="0"/>
          <w:cols w:num="2" w:space="720"/>
          <w:noEndnote/>
        </w:sectPr>
      </w:pPr>
    </w:p>
    <w:p w:rsidR="00174AEA" w:rsidRPr="00687A1C" w:rsidRDefault="00174AEA" w:rsidP="00174AEA">
      <w:pPr>
        <w:pStyle w:val="Heading1numbered"/>
      </w:pPr>
      <w:bookmarkStart w:id="102" w:name="_Toc495304296"/>
      <w:bookmarkStart w:id="103" w:name="_Toc525026205"/>
      <w:r w:rsidRPr="00687A1C">
        <w:lastRenderedPageBreak/>
        <w:t>Financing our operations</w:t>
      </w:r>
      <w:bookmarkEnd w:id="102"/>
      <w:bookmarkEnd w:id="103"/>
    </w:p>
    <w:p w:rsidR="00174AEA" w:rsidRPr="00687A1C" w:rsidRDefault="00174AEA" w:rsidP="00174AEA">
      <w:pPr>
        <w:sectPr w:rsidR="00174AEA" w:rsidRPr="00687A1C" w:rsidSect="00174AEA">
          <w:headerReference w:type="even" r:id="rId80"/>
          <w:headerReference w:type="default" r:id="rId81"/>
          <w:pgSz w:w="11909" w:h="16834" w:code="9"/>
          <w:pgMar w:top="1728" w:right="1152" w:bottom="1152" w:left="1152" w:header="720" w:footer="288" w:gutter="0"/>
          <w:cols w:space="720"/>
          <w:noEndnote/>
        </w:sectPr>
      </w:pPr>
    </w:p>
    <w:p w:rsidR="00174AEA" w:rsidRPr="00687A1C" w:rsidRDefault="00174AEA" w:rsidP="00174AEA">
      <w:pPr>
        <w:pStyle w:val="Heading4"/>
      </w:pPr>
      <w:bookmarkStart w:id="104" w:name="Section_07"/>
      <w:r w:rsidRPr="00687A1C">
        <w:t>Introduction</w:t>
      </w:r>
    </w:p>
    <w:p w:rsidR="00174AEA" w:rsidRPr="00687A1C" w:rsidRDefault="00174AEA" w:rsidP="00174AEA">
      <w:pPr>
        <w:rPr>
          <w:b/>
        </w:rPr>
      </w:pPr>
      <w:r w:rsidRPr="00687A1C">
        <w:t>This section provides information on the sources of finance utilised by the Department during its operations</w:t>
      </w:r>
      <w:r w:rsidR="00C73900" w:rsidRPr="00687A1C">
        <w:t xml:space="preserve">, </w:t>
      </w:r>
      <w:r w:rsidRPr="00687A1C">
        <w:t>along with interest expenses (the cost of borrowings) and other information related to financing activities of the Department.</w:t>
      </w:r>
    </w:p>
    <w:p w:rsidR="00174AEA" w:rsidRPr="00687A1C" w:rsidRDefault="00174AEA" w:rsidP="00174AEA">
      <w:r w:rsidRPr="00687A1C">
        <w:t>This section includes disclosures of balances that are financial instruments (such as borrowings and cash balances). Notes 8.1 and 8.3 provide additional</w:t>
      </w:r>
      <w:r w:rsidR="00C73900" w:rsidRPr="00687A1C">
        <w:t>,</w:t>
      </w:r>
      <w:r w:rsidRPr="00687A1C">
        <w:t xml:space="preserve"> specific financial instrument disclosure.</w:t>
      </w:r>
    </w:p>
    <w:p w:rsidR="00174AEA" w:rsidRPr="00687A1C" w:rsidRDefault="00174AEA" w:rsidP="00174AEA">
      <w:pPr>
        <w:pStyle w:val="Heading4"/>
      </w:pPr>
      <w:r w:rsidRPr="00687A1C">
        <w:br w:type="column"/>
      </w:r>
      <w:r w:rsidRPr="00687A1C">
        <w:t>Structure</w:t>
      </w:r>
    </w:p>
    <w:p w:rsidR="00F97BB9" w:rsidRDefault="00174AEA">
      <w:pPr>
        <w:pStyle w:val="TOC5"/>
        <w:rPr>
          <w:noProof/>
          <w:color w:val="auto"/>
          <w:sz w:val="22"/>
        </w:rPr>
      </w:pPr>
      <w:r w:rsidRPr="00687A1C">
        <w:rPr>
          <w:b/>
        </w:rPr>
        <w:fldChar w:fldCharType="begin"/>
      </w:r>
      <w:r w:rsidRPr="00687A1C">
        <w:rPr>
          <w:b/>
        </w:rPr>
        <w:instrText xml:space="preserve"> TOC \h \z \t "Heading 2 numbered,5" \b Section_07 </w:instrText>
      </w:r>
      <w:r w:rsidRPr="00687A1C">
        <w:rPr>
          <w:b/>
        </w:rPr>
        <w:fldChar w:fldCharType="separate"/>
      </w:r>
      <w:hyperlink w:anchor="_Toc525026241" w:history="1">
        <w:r w:rsidR="00F97BB9" w:rsidRPr="000C4252">
          <w:rPr>
            <w:rStyle w:val="Hyperlink"/>
            <w:noProof/>
          </w:rPr>
          <w:t>7.1</w:t>
        </w:r>
        <w:r w:rsidR="00F97BB9">
          <w:rPr>
            <w:noProof/>
            <w:color w:val="auto"/>
            <w:sz w:val="22"/>
          </w:rPr>
          <w:tab/>
        </w:r>
        <w:r w:rsidR="00F97BB9" w:rsidRPr="000C4252">
          <w:rPr>
            <w:rStyle w:val="Hyperlink"/>
            <w:noProof/>
          </w:rPr>
          <w:t>Borrowings</w:t>
        </w:r>
        <w:r w:rsidR="00F97BB9">
          <w:rPr>
            <w:noProof/>
            <w:webHidden/>
          </w:rPr>
          <w:tab/>
        </w:r>
        <w:r w:rsidR="00F97BB9">
          <w:rPr>
            <w:noProof/>
            <w:webHidden/>
          </w:rPr>
          <w:fldChar w:fldCharType="begin"/>
        </w:r>
        <w:r w:rsidR="00F97BB9">
          <w:rPr>
            <w:noProof/>
            <w:webHidden/>
          </w:rPr>
          <w:instrText xml:space="preserve"> PAGEREF _Toc525026241 \h </w:instrText>
        </w:r>
        <w:r w:rsidR="00F97BB9">
          <w:rPr>
            <w:noProof/>
            <w:webHidden/>
          </w:rPr>
        </w:r>
        <w:r w:rsidR="00F97BB9">
          <w:rPr>
            <w:noProof/>
            <w:webHidden/>
          </w:rPr>
          <w:fldChar w:fldCharType="separate"/>
        </w:r>
        <w:r w:rsidR="00BE5F15">
          <w:rPr>
            <w:noProof/>
            <w:webHidden/>
          </w:rPr>
          <w:t>77</w:t>
        </w:r>
        <w:r w:rsidR="00F97BB9">
          <w:rPr>
            <w:noProof/>
            <w:webHidden/>
          </w:rPr>
          <w:fldChar w:fldCharType="end"/>
        </w:r>
      </w:hyperlink>
    </w:p>
    <w:p w:rsidR="00F97BB9" w:rsidRDefault="00EC4CFD">
      <w:pPr>
        <w:pStyle w:val="TOC5"/>
        <w:rPr>
          <w:noProof/>
          <w:color w:val="auto"/>
          <w:sz w:val="22"/>
        </w:rPr>
      </w:pPr>
      <w:hyperlink w:anchor="_Toc525026242" w:history="1">
        <w:r w:rsidR="00F97BB9" w:rsidRPr="000C4252">
          <w:rPr>
            <w:rStyle w:val="Hyperlink"/>
            <w:noProof/>
          </w:rPr>
          <w:t>7.2</w:t>
        </w:r>
        <w:r w:rsidR="00F97BB9">
          <w:rPr>
            <w:noProof/>
            <w:color w:val="auto"/>
            <w:sz w:val="22"/>
          </w:rPr>
          <w:tab/>
        </w:r>
        <w:r w:rsidR="00F97BB9" w:rsidRPr="000C4252">
          <w:rPr>
            <w:rStyle w:val="Hyperlink"/>
            <w:noProof/>
          </w:rPr>
          <w:t>Cash flow information and balances</w:t>
        </w:r>
        <w:r w:rsidR="00F97BB9">
          <w:rPr>
            <w:noProof/>
            <w:webHidden/>
          </w:rPr>
          <w:tab/>
        </w:r>
        <w:r w:rsidR="00F97BB9">
          <w:rPr>
            <w:noProof/>
            <w:webHidden/>
          </w:rPr>
          <w:fldChar w:fldCharType="begin"/>
        </w:r>
        <w:r w:rsidR="00F97BB9">
          <w:rPr>
            <w:noProof/>
            <w:webHidden/>
          </w:rPr>
          <w:instrText xml:space="preserve"> PAGEREF _Toc525026242 \h </w:instrText>
        </w:r>
        <w:r w:rsidR="00F97BB9">
          <w:rPr>
            <w:noProof/>
            <w:webHidden/>
          </w:rPr>
        </w:r>
        <w:r w:rsidR="00F97BB9">
          <w:rPr>
            <w:noProof/>
            <w:webHidden/>
          </w:rPr>
          <w:fldChar w:fldCharType="separate"/>
        </w:r>
        <w:r w:rsidR="00BE5F15">
          <w:rPr>
            <w:noProof/>
            <w:webHidden/>
          </w:rPr>
          <w:t>78</w:t>
        </w:r>
        <w:r w:rsidR="00F97BB9">
          <w:rPr>
            <w:noProof/>
            <w:webHidden/>
          </w:rPr>
          <w:fldChar w:fldCharType="end"/>
        </w:r>
      </w:hyperlink>
    </w:p>
    <w:p w:rsidR="00F97BB9" w:rsidRDefault="00EC4CFD">
      <w:pPr>
        <w:pStyle w:val="TOC5"/>
        <w:rPr>
          <w:noProof/>
          <w:color w:val="auto"/>
          <w:sz w:val="22"/>
        </w:rPr>
      </w:pPr>
      <w:hyperlink w:anchor="_Toc525026243" w:history="1">
        <w:r w:rsidR="00F97BB9" w:rsidRPr="000C4252">
          <w:rPr>
            <w:rStyle w:val="Hyperlink"/>
            <w:noProof/>
          </w:rPr>
          <w:t>7.3</w:t>
        </w:r>
        <w:r w:rsidR="00F97BB9">
          <w:rPr>
            <w:noProof/>
            <w:color w:val="auto"/>
            <w:sz w:val="22"/>
          </w:rPr>
          <w:tab/>
        </w:r>
        <w:r w:rsidR="00F97BB9" w:rsidRPr="000C4252">
          <w:rPr>
            <w:rStyle w:val="Hyperlink"/>
            <w:noProof/>
          </w:rPr>
          <w:t>Trust account balances</w:t>
        </w:r>
        <w:r w:rsidR="00F97BB9">
          <w:rPr>
            <w:noProof/>
            <w:webHidden/>
          </w:rPr>
          <w:tab/>
        </w:r>
        <w:r w:rsidR="00F97BB9">
          <w:rPr>
            <w:noProof/>
            <w:webHidden/>
          </w:rPr>
          <w:fldChar w:fldCharType="begin"/>
        </w:r>
        <w:r w:rsidR="00F97BB9">
          <w:rPr>
            <w:noProof/>
            <w:webHidden/>
          </w:rPr>
          <w:instrText xml:space="preserve"> PAGEREF _Toc525026243 \h </w:instrText>
        </w:r>
        <w:r w:rsidR="00F97BB9">
          <w:rPr>
            <w:noProof/>
            <w:webHidden/>
          </w:rPr>
        </w:r>
        <w:r w:rsidR="00F97BB9">
          <w:rPr>
            <w:noProof/>
            <w:webHidden/>
          </w:rPr>
          <w:fldChar w:fldCharType="separate"/>
        </w:r>
        <w:r w:rsidR="00BE5F15">
          <w:rPr>
            <w:noProof/>
            <w:webHidden/>
          </w:rPr>
          <w:t>80</w:t>
        </w:r>
        <w:r w:rsidR="00F97BB9">
          <w:rPr>
            <w:noProof/>
            <w:webHidden/>
          </w:rPr>
          <w:fldChar w:fldCharType="end"/>
        </w:r>
      </w:hyperlink>
    </w:p>
    <w:p w:rsidR="00F97BB9" w:rsidRDefault="00EC4CFD">
      <w:pPr>
        <w:pStyle w:val="TOC5"/>
        <w:rPr>
          <w:noProof/>
          <w:color w:val="auto"/>
          <w:sz w:val="22"/>
        </w:rPr>
      </w:pPr>
      <w:hyperlink w:anchor="_Toc525026244" w:history="1">
        <w:r w:rsidR="00F97BB9" w:rsidRPr="000C4252">
          <w:rPr>
            <w:rStyle w:val="Hyperlink"/>
            <w:noProof/>
          </w:rPr>
          <w:t>7.4</w:t>
        </w:r>
        <w:r w:rsidR="00F97BB9">
          <w:rPr>
            <w:noProof/>
            <w:color w:val="auto"/>
            <w:sz w:val="22"/>
          </w:rPr>
          <w:tab/>
        </w:r>
        <w:r w:rsidR="00F97BB9" w:rsidRPr="000C4252">
          <w:rPr>
            <w:rStyle w:val="Hyperlink"/>
            <w:noProof/>
          </w:rPr>
          <w:t>Commitments for expenditure</w:t>
        </w:r>
        <w:r w:rsidR="00F97BB9">
          <w:rPr>
            <w:noProof/>
            <w:webHidden/>
          </w:rPr>
          <w:tab/>
        </w:r>
        <w:r w:rsidR="00F97BB9">
          <w:rPr>
            <w:noProof/>
            <w:webHidden/>
          </w:rPr>
          <w:fldChar w:fldCharType="begin"/>
        </w:r>
        <w:r w:rsidR="00F97BB9">
          <w:rPr>
            <w:noProof/>
            <w:webHidden/>
          </w:rPr>
          <w:instrText xml:space="preserve"> PAGEREF _Toc525026244 \h </w:instrText>
        </w:r>
        <w:r w:rsidR="00F97BB9">
          <w:rPr>
            <w:noProof/>
            <w:webHidden/>
          </w:rPr>
        </w:r>
        <w:r w:rsidR="00F97BB9">
          <w:rPr>
            <w:noProof/>
            <w:webHidden/>
          </w:rPr>
          <w:fldChar w:fldCharType="separate"/>
        </w:r>
        <w:r w:rsidR="00BE5F15">
          <w:rPr>
            <w:noProof/>
            <w:webHidden/>
          </w:rPr>
          <w:t>84</w:t>
        </w:r>
        <w:r w:rsidR="00F97BB9">
          <w:rPr>
            <w:noProof/>
            <w:webHidden/>
          </w:rPr>
          <w:fldChar w:fldCharType="end"/>
        </w:r>
      </w:hyperlink>
    </w:p>
    <w:p w:rsidR="00174AEA" w:rsidRPr="00687A1C" w:rsidRDefault="00174AEA" w:rsidP="00174AEA">
      <w:r w:rsidRPr="00687A1C">
        <w:rPr>
          <w:b/>
          <w:spacing w:val="-2"/>
          <w:szCs w:val="19"/>
        </w:rPr>
        <w:fldChar w:fldCharType="end"/>
      </w:r>
    </w:p>
    <w:p w:rsidR="00174AEA" w:rsidRPr="00687A1C" w:rsidRDefault="00174AEA" w:rsidP="00174AEA"/>
    <w:p w:rsidR="00174AEA" w:rsidRPr="00687A1C" w:rsidRDefault="00174AEA" w:rsidP="00174AEA">
      <w:pPr>
        <w:sectPr w:rsidR="00174AEA" w:rsidRPr="00687A1C" w:rsidSect="007D1155">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105" w:name="_Toc495304297"/>
      <w:bookmarkStart w:id="106" w:name="_Toc525026206"/>
      <w:bookmarkStart w:id="107" w:name="_Toc525026241"/>
      <w:r w:rsidRPr="00687A1C">
        <w:t>Borrowings</w:t>
      </w:r>
      <w:bookmarkEnd w:id="105"/>
      <w:bookmarkEnd w:id="106"/>
      <w:bookmarkEnd w:id="107"/>
    </w:p>
    <w:tbl>
      <w:tblPr>
        <w:tblStyle w:val="AnnualReportfinancialtable"/>
        <w:tblW w:w="0" w:type="auto"/>
        <w:tblLayout w:type="fixed"/>
        <w:tblLook w:val="02A0" w:firstRow="1" w:lastRow="0" w:firstColumn="1" w:lastColumn="0" w:noHBand="1" w:noVBand="0"/>
      </w:tblPr>
      <w:tblGrid>
        <w:gridCol w:w="5036"/>
        <w:gridCol w:w="1080"/>
        <w:gridCol w:w="1080"/>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b w:val="0"/>
                <w:color w:val="000000"/>
              </w:rPr>
            </w:pP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8A3976">
            <w:pPr>
              <w:pStyle w:val="Tabletextheadingright"/>
              <w:rPr>
                <w:b/>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bCs/>
                <w:color w:val="000000"/>
                <w:sz w:val="8"/>
              </w:rPr>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sz w:val="8"/>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sz w:val="8"/>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Current:</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Unsecured</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bCs/>
                <w:color w:val="000000"/>
              </w:rPr>
            </w:pPr>
            <w:r w:rsidRPr="00687A1C">
              <w:rPr>
                <w:bCs/>
                <w:color w:val="000000"/>
              </w:rPr>
              <w:t>Bank overdraft (note 7.2)</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rPr>
            </w:pPr>
            <w:r w:rsidRPr="00687A1C">
              <w:rPr>
                <w:bCs/>
              </w:rPr>
              <w:t xml:space="preserve">99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r w:rsidRPr="00687A1C">
              <w:rPr>
                <w:bCs/>
              </w:rPr>
              <w:t>529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rPr>
                <w:bCs/>
              </w:rPr>
            </w:pPr>
            <w:r w:rsidRPr="00687A1C">
              <w:t>Secured</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bCs/>
                <w:color w:val="000000"/>
              </w:rPr>
            </w:pPr>
            <w:r w:rsidRPr="00687A1C">
              <w:rPr>
                <w:bCs/>
                <w:color w:val="000000"/>
              </w:rPr>
              <w:t xml:space="preserve">Finance lease liabilities </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rPr>
                <w:bCs/>
              </w:rPr>
              <w:t>2</w:t>
            </w:r>
            <w:r w:rsidR="00D8412D" w:rsidRPr="00687A1C">
              <w:rPr>
                <w:bCs/>
              </w:rPr>
              <w:t xml:space="preserve"> </w:t>
            </w:r>
            <w:r w:rsidRPr="00687A1C">
              <w:rPr>
                <w:bCs/>
              </w:rPr>
              <w:t xml:space="preserve">085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rPr>
                <w:bCs/>
              </w:rPr>
              <w:t>1</w:t>
            </w:r>
            <w:r w:rsidR="00D8412D" w:rsidRPr="00687A1C">
              <w:rPr>
                <w:bCs/>
              </w:rPr>
              <w:t xml:space="preserve"> </w:t>
            </w:r>
            <w:r w:rsidRPr="00687A1C">
              <w:rPr>
                <w:bCs/>
              </w:rPr>
              <w:t>703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Total current borrowings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 xml:space="preserve">184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232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rPr>
                <w:b w:val="0"/>
                <w:bCs/>
                <w:color w:val="000000"/>
                <w:sz w:val="8"/>
              </w:rPr>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sz w:val="8"/>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bold"/>
              <w:rPr>
                <w:b w:val="0"/>
                <w:color w:val="000000"/>
                <w:sz w:val="8"/>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Non</w:t>
            </w:r>
            <w:r w:rsidRPr="00687A1C">
              <w:noBreakHyphen/>
              <w:t>current:</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
                <w:bCs/>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Secured</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
                <w:bCs/>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b/>
                <w:color w:val="000000"/>
              </w:rPr>
            </w:pPr>
            <w:r w:rsidRPr="00687A1C">
              <w:rPr>
                <w:bCs/>
                <w:color w:val="000000"/>
              </w:rPr>
              <w:t xml:space="preserve">Finance lease liabilities </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
            </w:pPr>
            <w:r w:rsidRPr="00687A1C">
              <w:rPr>
                <w:bCs/>
              </w:rPr>
              <w:t>2</w:t>
            </w:r>
            <w:r w:rsidR="00D8412D" w:rsidRPr="00687A1C">
              <w:rPr>
                <w:bCs/>
              </w:rPr>
              <w:t xml:space="preserve"> </w:t>
            </w:r>
            <w:r w:rsidRPr="00687A1C">
              <w:rPr>
                <w:bCs/>
              </w:rPr>
              <w:t xml:space="preserve">548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
            </w:pPr>
            <w:r w:rsidRPr="00687A1C">
              <w:t>2</w:t>
            </w:r>
            <w:r w:rsidR="00D8412D" w:rsidRPr="00687A1C">
              <w:t xml:space="preserve"> </w:t>
            </w:r>
            <w:r w:rsidRPr="00687A1C">
              <w:t>533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Total non</w:t>
            </w:r>
            <w:r w:rsidRPr="00687A1C">
              <w:noBreakHyphen/>
              <w:t>current borrowings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 xml:space="preserve">548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533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rPr>
                <w:b w:val="0"/>
                <w:bCs/>
                <w:color w:val="000000"/>
                <w:sz w:val="8"/>
              </w:rPr>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sz w:val="8"/>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bold"/>
              <w:rPr>
                <w:b w:val="0"/>
                <w:color w:val="000000"/>
                <w:sz w:val="8"/>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Total borrowings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 xml:space="preserve">732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765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rPr>
                <w:b w:val="0"/>
                <w:bCs/>
                <w:color w:val="000000"/>
                <w:sz w:val="8"/>
              </w:rPr>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sz w:val="8"/>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bold"/>
              <w:rPr>
                <w:b w:val="0"/>
                <w:color w:val="000000"/>
                <w:sz w:val="8"/>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color w:val="000000"/>
              </w:rPr>
            </w:pPr>
            <w:r w:rsidRPr="00687A1C">
              <w:rPr>
                <w:color w:val="000000"/>
              </w:rPr>
              <w:t>Lease liabilities are effectively secured as the rights to the leased assets revert to the lessor in the event of default.</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bCs/>
                <w:color w:val="000000"/>
                <w:sz w:val="8"/>
              </w:rPr>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sz w:val="8"/>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sz w:val="8"/>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bold"/>
            </w:pPr>
            <w:r w:rsidRPr="00687A1C">
              <w:t>Assets pledged as security</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text"/>
              <w:rPr>
                <w:color w:val="000000"/>
              </w:rPr>
            </w:pPr>
            <w:r w:rsidRPr="00687A1C">
              <w:rPr>
                <w:color w:val="000000"/>
              </w:rPr>
              <w:t>The carrying amounts of non</w:t>
            </w:r>
            <w:r w:rsidRPr="00687A1C">
              <w:rPr>
                <w:color w:val="000000"/>
              </w:rPr>
              <w:noBreakHyphen/>
              <w:t>current assets pledged as security</w:t>
            </w:r>
            <w:r w:rsidRPr="00687A1C">
              <w:rPr>
                <w:rFonts w:ascii="Calibri" w:hAnsi="Calibri" w:cs="Calibri"/>
                <w:color w:val="000000"/>
              </w:rPr>
              <w:t> </w:t>
            </w:r>
            <w:r w:rsidRPr="00687A1C">
              <w:rPr>
                <w:color w:val="000000"/>
              </w:rPr>
              <w:t>are: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036" w:type="dxa"/>
          </w:tcPr>
          <w:p w:rsidR="00174AEA" w:rsidRPr="00687A1C" w:rsidRDefault="00174AEA" w:rsidP="008A3976">
            <w:pPr>
              <w:pStyle w:val="Tablebullet"/>
            </w:pPr>
            <w:r w:rsidRPr="00687A1C">
              <w:t>Motor vehicles under finance lease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 xml:space="preserve">491 </w:t>
            </w: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201</w:t>
            </w:r>
          </w:p>
        </w:tc>
      </w:tr>
    </w:tbl>
    <w:p w:rsidR="00174AEA" w:rsidRDefault="00174AEA" w:rsidP="00174AEA">
      <w:pPr>
        <w:pStyle w:val="Spacer"/>
      </w:pPr>
    </w:p>
    <w:p w:rsidR="000C40C7" w:rsidRPr="00687A1C" w:rsidRDefault="000C40C7" w:rsidP="00174AEA">
      <w:pPr>
        <w:pStyle w:val="Spacer"/>
      </w:pPr>
    </w:p>
    <w:p w:rsidR="00174AEA" w:rsidRPr="00687A1C" w:rsidRDefault="00174AEA" w:rsidP="00174AEA">
      <w:pPr>
        <w:sectPr w:rsidR="00174AEA" w:rsidRPr="00687A1C" w:rsidSect="007D1155">
          <w:type w:val="continuous"/>
          <w:pgSz w:w="11909" w:h="16834" w:code="9"/>
          <w:pgMar w:top="1728" w:right="1152" w:bottom="1152" w:left="1152" w:header="720" w:footer="288" w:gutter="0"/>
          <w:cols w:space="720"/>
          <w:noEndnote/>
        </w:sectPr>
      </w:pPr>
    </w:p>
    <w:p w:rsidR="00174AEA" w:rsidRPr="00687A1C" w:rsidRDefault="00174AEA" w:rsidP="00174AEA">
      <w:r w:rsidRPr="00687A1C">
        <w:t>Borrowings are classified as financial instruments. All interest bearing borrowings are initially recognised at the fair value of the consideration received less directly attributable transaction costs. The measurement basis subsequent to initial recognition depends on whether the Department has categorised its interest bearing liabilities as either ‘financial liabilities designated at fair value through profit or loss’</w:t>
      </w:r>
      <w:r w:rsidR="00C73900" w:rsidRPr="00687A1C">
        <w:t>,</w:t>
      </w:r>
      <w:r w:rsidRPr="00687A1C">
        <w:t xml:space="preserve"> or financial liabilities at ‘amortised cost’. The classification depends on the nature and purpose of the interest bearing liabilities. The Department determines the classification of its interest bearing liabilities at initial recognition.</w:t>
      </w:r>
    </w:p>
    <w:p w:rsidR="00174AEA" w:rsidRPr="00687A1C" w:rsidRDefault="000C40C7" w:rsidP="00174AEA">
      <w:r>
        <w:br w:type="column"/>
      </w:r>
      <w:r w:rsidR="00174AEA" w:rsidRPr="00687A1C">
        <w:t>Finance leases are recognised as assets and liabilities of the Department at amounts equal to the fair value of the lease property</w:t>
      </w:r>
      <w:r w:rsidR="00C73900" w:rsidRPr="00687A1C">
        <w:t>,</w:t>
      </w:r>
      <w:r w:rsidR="00174AEA" w:rsidRPr="00687A1C">
        <w:t xml:space="preserve"> or if lower</w:t>
      </w:r>
      <w:r w:rsidR="00C73900" w:rsidRPr="00687A1C">
        <w:t>,</w:t>
      </w:r>
      <w:r w:rsidR="00174AEA" w:rsidRPr="00687A1C">
        <w:t xml:space="preserve"> at the present value of the minimum lease payments</w:t>
      </w:r>
      <w:r w:rsidR="00C73900" w:rsidRPr="00687A1C">
        <w:t>,</w:t>
      </w:r>
      <w:r w:rsidR="00174AEA" w:rsidRPr="00687A1C">
        <w:t xml:space="preserve"> each determined at the inception of the lease. The leased asset is depreciated over the shorter of the estimated useful life of the asset or the term of the lease. Lease assets held at the reporting date</w:t>
      </w:r>
      <w:r w:rsidR="00C73900" w:rsidRPr="00687A1C">
        <w:t>,</w:t>
      </w:r>
      <w:r w:rsidR="00174AEA" w:rsidRPr="00687A1C">
        <w:t xml:space="preserve"> being motor vehicles</w:t>
      </w:r>
      <w:r w:rsidR="00C73900" w:rsidRPr="00687A1C">
        <w:t>,</w:t>
      </w:r>
      <w:r w:rsidR="00174AEA" w:rsidRPr="00687A1C">
        <w:t xml:space="preserve"> are depreciated over one to five years.</w:t>
      </w:r>
    </w:p>
    <w:p w:rsidR="00174AEA" w:rsidRPr="00687A1C" w:rsidRDefault="00174AEA" w:rsidP="00174AEA">
      <w:r w:rsidRPr="00687A1C">
        <w:br w:type="column"/>
      </w:r>
      <w:r w:rsidRPr="00687A1C">
        <w:lastRenderedPageBreak/>
        <w:t>Minimum finance lease payments are apportioned between finance charges and reduction of the lease liability. Finance charges are calculated using the interest rate implicit in the lease and charged directly to the comprehensive operating statement.</w:t>
      </w:r>
    </w:p>
    <w:p w:rsidR="00174AEA" w:rsidRPr="00687A1C" w:rsidRDefault="00174AEA" w:rsidP="00174AEA">
      <w:r w:rsidRPr="00687A1C">
        <w:br w:type="column"/>
      </w:r>
    </w:p>
    <w:p w:rsidR="00174AEA" w:rsidRPr="00687A1C" w:rsidRDefault="00174AEA" w:rsidP="00174AEA">
      <w:pPr>
        <w:sectPr w:rsidR="00174AEA" w:rsidRPr="00687A1C" w:rsidSect="0050071B">
          <w:headerReference w:type="default" r:id="rId82"/>
          <w:type w:val="continuous"/>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t>Maturity analysis of borrowings</w:t>
      </w:r>
    </w:p>
    <w:tbl>
      <w:tblPr>
        <w:tblW w:w="4703" w:type="pct"/>
        <w:tblCellMar>
          <w:top w:w="28" w:type="dxa"/>
          <w:left w:w="57" w:type="dxa"/>
          <w:bottom w:w="28" w:type="dxa"/>
          <w:right w:w="57" w:type="dxa"/>
        </w:tblCellMar>
        <w:tblLook w:val="0000" w:firstRow="0" w:lastRow="0" w:firstColumn="0" w:lastColumn="0" w:noHBand="0" w:noVBand="0"/>
      </w:tblPr>
      <w:tblGrid>
        <w:gridCol w:w="2036"/>
        <w:gridCol w:w="994"/>
        <w:gridCol w:w="989"/>
        <w:gridCol w:w="995"/>
        <w:gridCol w:w="995"/>
        <w:gridCol w:w="995"/>
        <w:gridCol w:w="995"/>
        <w:gridCol w:w="1143"/>
      </w:tblGrid>
      <w:tr w:rsidR="00174AEA" w:rsidRPr="00687A1C" w:rsidTr="008A3976">
        <w:tc>
          <w:tcPr>
            <w:tcW w:w="1114" w:type="pct"/>
            <w:shd w:val="clear" w:color="auto" w:fill="auto"/>
            <w:vAlign w:val="bottom"/>
          </w:tcPr>
          <w:p w:rsidR="00174AEA" w:rsidRPr="00687A1C" w:rsidRDefault="00174AEA" w:rsidP="008A3976">
            <w:pPr>
              <w:pStyle w:val="Tabletext"/>
            </w:pPr>
          </w:p>
        </w:tc>
        <w:tc>
          <w:tcPr>
            <w:tcW w:w="544" w:type="pct"/>
            <w:shd w:val="clear" w:color="auto" w:fill="auto"/>
            <w:vAlign w:val="bottom"/>
          </w:tcPr>
          <w:p w:rsidR="00174AEA" w:rsidRPr="00687A1C" w:rsidRDefault="00174AEA" w:rsidP="008A3976">
            <w:pPr>
              <w:pStyle w:val="Tabletext"/>
            </w:pPr>
          </w:p>
        </w:tc>
        <w:tc>
          <w:tcPr>
            <w:tcW w:w="541" w:type="pct"/>
            <w:shd w:val="clear" w:color="auto" w:fill="auto"/>
            <w:vAlign w:val="bottom"/>
          </w:tcPr>
          <w:p w:rsidR="00174AEA" w:rsidRPr="00687A1C" w:rsidRDefault="00174AEA" w:rsidP="008A3976">
            <w:pPr>
              <w:pStyle w:val="Tabletext"/>
            </w:pPr>
          </w:p>
        </w:tc>
        <w:tc>
          <w:tcPr>
            <w:tcW w:w="2802" w:type="pct"/>
            <w:gridSpan w:val="5"/>
            <w:shd w:val="clear" w:color="auto" w:fill="E0E0E0"/>
            <w:vAlign w:val="bottom"/>
          </w:tcPr>
          <w:p w:rsidR="00174AEA" w:rsidRPr="00687A1C" w:rsidRDefault="00174AEA" w:rsidP="008A3976">
            <w:pPr>
              <w:pStyle w:val="Tabletextheadingcentred"/>
            </w:pPr>
            <w:r w:rsidRPr="00687A1C">
              <w:t>Maturity dates</w:t>
            </w:r>
            <w:r w:rsidRPr="00687A1C">
              <w:rPr>
                <w:vertAlign w:val="superscript"/>
              </w:rPr>
              <w:t>(a)</w:t>
            </w:r>
          </w:p>
        </w:tc>
      </w:tr>
      <w:tr w:rsidR="00174AEA" w:rsidRPr="00687A1C" w:rsidTr="008A3976">
        <w:tc>
          <w:tcPr>
            <w:tcW w:w="1114" w:type="pct"/>
            <w:shd w:val="clear" w:color="auto" w:fill="auto"/>
            <w:vAlign w:val="bottom"/>
          </w:tcPr>
          <w:p w:rsidR="00174AEA" w:rsidRPr="00687A1C" w:rsidRDefault="00174AEA" w:rsidP="008A3976">
            <w:pPr>
              <w:jc w:val="right"/>
              <w:rPr>
                <w:iCs/>
                <w:sz w:val="16"/>
                <w:szCs w:val="16"/>
              </w:rPr>
            </w:pPr>
          </w:p>
        </w:tc>
        <w:tc>
          <w:tcPr>
            <w:tcW w:w="544" w:type="pct"/>
            <w:shd w:val="clear" w:color="auto" w:fill="auto"/>
            <w:vAlign w:val="bottom"/>
          </w:tcPr>
          <w:p w:rsidR="00174AEA" w:rsidRPr="00687A1C" w:rsidRDefault="00174AEA" w:rsidP="008A3976">
            <w:pPr>
              <w:pStyle w:val="Tabletextheadingright"/>
            </w:pPr>
            <w:r w:rsidRPr="00687A1C">
              <w:t>Carrying amount</w:t>
            </w:r>
          </w:p>
        </w:tc>
        <w:tc>
          <w:tcPr>
            <w:tcW w:w="541" w:type="pct"/>
            <w:shd w:val="clear" w:color="auto" w:fill="auto"/>
            <w:vAlign w:val="bottom"/>
          </w:tcPr>
          <w:p w:rsidR="00174AEA" w:rsidRPr="00687A1C" w:rsidRDefault="00174AEA" w:rsidP="008A3976">
            <w:pPr>
              <w:pStyle w:val="Tabletextheadingright"/>
            </w:pPr>
            <w:r w:rsidRPr="00687A1C">
              <w:t>Nominal amount</w:t>
            </w:r>
          </w:p>
        </w:tc>
        <w:tc>
          <w:tcPr>
            <w:tcW w:w="544" w:type="pct"/>
            <w:shd w:val="clear" w:color="auto" w:fill="auto"/>
            <w:vAlign w:val="bottom"/>
          </w:tcPr>
          <w:p w:rsidR="00174AEA" w:rsidRPr="00687A1C" w:rsidRDefault="00174AEA" w:rsidP="008A3976">
            <w:pPr>
              <w:pStyle w:val="Tabletextheadingright"/>
            </w:pPr>
            <w:r w:rsidRPr="00687A1C">
              <w:t>Less than</w:t>
            </w:r>
            <w:r w:rsidRPr="00687A1C">
              <w:br/>
              <w:t>1 month</w:t>
            </w:r>
          </w:p>
        </w:tc>
        <w:tc>
          <w:tcPr>
            <w:tcW w:w="544" w:type="pct"/>
            <w:shd w:val="clear" w:color="auto" w:fill="auto"/>
            <w:vAlign w:val="bottom"/>
          </w:tcPr>
          <w:p w:rsidR="00174AEA" w:rsidRPr="00687A1C" w:rsidRDefault="00174AEA" w:rsidP="008A3976">
            <w:pPr>
              <w:pStyle w:val="Tabletextheadingright"/>
            </w:pPr>
            <w:r w:rsidRPr="00687A1C">
              <w:t>1-3</w:t>
            </w:r>
            <w:r w:rsidRPr="00687A1C">
              <w:br/>
              <w:t>months</w:t>
            </w:r>
          </w:p>
        </w:tc>
        <w:tc>
          <w:tcPr>
            <w:tcW w:w="544" w:type="pct"/>
            <w:shd w:val="clear" w:color="auto" w:fill="auto"/>
            <w:vAlign w:val="bottom"/>
          </w:tcPr>
          <w:p w:rsidR="00174AEA" w:rsidRPr="00687A1C" w:rsidRDefault="00174AEA" w:rsidP="008A3976">
            <w:pPr>
              <w:pStyle w:val="Tabletextheadingright"/>
            </w:pPr>
            <w:r w:rsidRPr="00687A1C">
              <w:t>3 months – 1 year</w:t>
            </w:r>
          </w:p>
        </w:tc>
        <w:tc>
          <w:tcPr>
            <w:tcW w:w="544" w:type="pct"/>
            <w:shd w:val="clear" w:color="auto" w:fill="auto"/>
            <w:vAlign w:val="bottom"/>
          </w:tcPr>
          <w:p w:rsidR="00174AEA" w:rsidRPr="00687A1C" w:rsidRDefault="00174AEA" w:rsidP="008A3976">
            <w:pPr>
              <w:pStyle w:val="Tabletextheadingright"/>
            </w:pPr>
            <w:r w:rsidRPr="00687A1C">
              <w:t>1-5 years</w:t>
            </w:r>
          </w:p>
        </w:tc>
        <w:tc>
          <w:tcPr>
            <w:tcW w:w="625" w:type="pct"/>
            <w:vAlign w:val="bottom"/>
          </w:tcPr>
          <w:p w:rsidR="00174AEA" w:rsidRPr="00687A1C" w:rsidRDefault="00174AEA" w:rsidP="008A3976">
            <w:pPr>
              <w:pStyle w:val="Tabletextheadingright"/>
            </w:pPr>
            <w:r w:rsidRPr="00687A1C">
              <w:t>Greater than 5 years</w:t>
            </w:r>
          </w:p>
        </w:tc>
      </w:tr>
      <w:tr w:rsidR="00174AEA" w:rsidRPr="00687A1C" w:rsidTr="008A3976">
        <w:tc>
          <w:tcPr>
            <w:tcW w:w="1114" w:type="pct"/>
            <w:shd w:val="clear" w:color="auto" w:fill="auto"/>
            <w:vAlign w:val="bottom"/>
          </w:tcPr>
          <w:p w:rsidR="00174AEA" w:rsidRPr="00687A1C" w:rsidRDefault="00174AEA" w:rsidP="008A3976">
            <w:pPr>
              <w:pStyle w:val="Tabletext"/>
              <w:rPr>
                <w:b/>
              </w:rPr>
            </w:pPr>
            <w:r w:rsidRPr="00687A1C">
              <w:rPr>
                <w:b/>
              </w:rPr>
              <w:t>2018</w:t>
            </w:r>
          </w:p>
        </w:tc>
        <w:tc>
          <w:tcPr>
            <w:tcW w:w="544" w:type="pct"/>
            <w:shd w:val="clear" w:color="auto" w:fill="auto"/>
            <w:vAlign w:val="bottom"/>
          </w:tcPr>
          <w:p w:rsidR="00174AEA" w:rsidRPr="00687A1C" w:rsidRDefault="00174AEA" w:rsidP="008A3976">
            <w:pPr>
              <w:pStyle w:val="Tabletextright"/>
              <w:rPr>
                <w:b/>
                <w:i/>
              </w:rPr>
            </w:pPr>
            <w:r w:rsidRPr="00687A1C">
              <w:rPr>
                <w:b/>
              </w:rPr>
              <w:t>$’000</w:t>
            </w:r>
          </w:p>
        </w:tc>
        <w:tc>
          <w:tcPr>
            <w:tcW w:w="541" w:type="pct"/>
            <w:shd w:val="clear" w:color="auto" w:fill="auto"/>
            <w:vAlign w:val="bottom"/>
          </w:tcPr>
          <w:p w:rsidR="00174AEA" w:rsidRPr="00687A1C" w:rsidRDefault="00174AEA" w:rsidP="008A3976">
            <w:pPr>
              <w:pStyle w:val="Tabletextright"/>
              <w:rPr>
                <w:b/>
                <w:i/>
              </w:rPr>
            </w:pPr>
            <w:r w:rsidRPr="00687A1C">
              <w:rPr>
                <w:b/>
              </w:rPr>
              <w:t>$’000</w:t>
            </w:r>
          </w:p>
        </w:tc>
        <w:tc>
          <w:tcPr>
            <w:tcW w:w="544" w:type="pct"/>
            <w:shd w:val="clear" w:color="auto" w:fill="auto"/>
            <w:vAlign w:val="bottom"/>
          </w:tcPr>
          <w:p w:rsidR="00174AEA" w:rsidRPr="00687A1C" w:rsidRDefault="00174AEA" w:rsidP="008A3976">
            <w:pPr>
              <w:pStyle w:val="Tabletextright"/>
              <w:rPr>
                <w:b/>
                <w:i/>
              </w:rPr>
            </w:pPr>
            <w:r w:rsidRPr="00687A1C">
              <w:rPr>
                <w:b/>
              </w:rPr>
              <w:t>$’000</w:t>
            </w:r>
          </w:p>
        </w:tc>
        <w:tc>
          <w:tcPr>
            <w:tcW w:w="544" w:type="pct"/>
            <w:shd w:val="clear" w:color="auto" w:fill="auto"/>
            <w:vAlign w:val="bottom"/>
          </w:tcPr>
          <w:p w:rsidR="00174AEA" w:rsidRPr="00687A1C" w:rsidRDefault="00174AEA" w:rsidP="008A3976">
            <w:pPr>
              <w:pStyle w:val="Tabletextright"/>
              <w:rPr>
                <w:b/>
                <w:i/>
              </w:rPr>
            </w:pPr>
            <w:r w:rsidRPr="00687A1C">
              <w:rPr>
                <w:b/>
              </w:rPr>
              <w:t>$’000</w:t>
            </w:r>
          </w:p>
        </w:tc>
        <w:tc>
          <w:tcPr>
            <w:tcW w:w="544" w:type="pct"/>
            <w:shd w:val="clear" w:color="auto" w:fill="auto"/>
            <w:vAlign w:val="bottom"/>
          </w:tcPr>
          <w:p w:rsidR="00174AEA" w:rsidRPr="00687A1C" w:rsidRDefault="00174AEA" w:rsidP="008A3976">
            <w:pPr>
              <w:pStyle w:val="Tabletextright"/>
              <w:rPr>
                <w:b/>
                <w:i/>
              </w:rPr>
            </w:pPr>
            <w:r w:rsidRPr="00687A1C">
              <w:rPr>
                <w:b/>
              </w:rPr>
              <w:t>$’000</w:t>
            </w:r>
          </w:p>
        </w:tc>
        <w:tc>
          <w:tcPr>
            <w:tcW w:w="544" w:type="pct"/>
            <w:shd w:val="clear" w:color="auto" w:fill="auto"/>
            <w:vAlign w:val="bottom"/>
          </w:tcPr>
          <w:p w:rsidR="00174AEA" w:rsidRPr="00687A1C" w:rsidRDefault="00174AEA" w:rsidP="008A3976">
            <w:pPr>
              <w:pStyle w:val="Tabletextright"/>
              <w:rPr>
                <w:b/>
                <w:i/>
              </w:rPr>
            </w:pPr>
            <w:r w:rsidRPr="00687A1C">
              <w:rPr>
                <w:b/>
              </w:rPr>
              <w:t>$’000</w:t>
            </w:r>
          </w:p>
        </w:tc>
        <w:tc>
          <w:tcPr>
            <w:tcW w:w="625" w:type="pct"/>
            <w:vAlign w:val="bottom"/>
          </w:tcPr>
          <w:p w:rsidR="00174AEA" w:rsidRPr="00687A1C" w:rsidRDefault="00174AEA" w:rsidP="008A3976">
            <w:pPr>
              <w:pStyle w:val="Tabletextright"/>
              <w:rPr>
                <w:b/>
                <w:i/>
              </w:rPr>
            </w:pPr>
            <w:r w:rsidRPr="00687A1C">
              <w:rPr>
                <w:b/>
              </w:rPr>
              <w:t>$’000</w:t>
            </w:r>
          </w:p>
        </w:tc>
      </w:tr>
      <w:tr w:rsidR="00174AEA" w:rsidRPr="00687A1C" w:rsidTr="008A3976">
        <w:tc>
          <w:tcPr>
            <w:tcW w:w="1114" w:type="pct"/>
            <w:shd w:val="clear" w:color="auto" w:fill="auto"/>
            <w:vAlign w:val="bottom"/>
          </w:tcPr>
          <w:p w:rsidR="00174AEA" w:rsidRPr="00687A1C" w:rsidRDefault="00174AEA" w:rsidP="008A3976">
            <w:pPr>
              <w:pStyle w:val="Tabletext"/>
            </w:pPr>
            <w:r w:rsidRPr="00687A1C">
              <w:t>Finance leases</w:t>
            </w:r>
          </w:p>
        </w:tc>
        <w:tc>
          <w:tcPr>
            <w:tcW w:w="544" w:type="pct"/>
            <w:shd w:val="clear" w:color="auto" w:fill="E0E0E0"/>
            <w:vAlign w:val="center"/>
          </w:tcPr>
          <w:p w:rsidR="00174AEA" w:rsidRPr="00687A1C" w:rsidRDefault="00174AEA" w:rsidP="00D8412D">
            <w:pPr>
              <w:pStyle w:val="Tabletextright"/>
            </w:pPr>
            <w:r w:rsidRPr="00687A1C">
              <w:rPr>
                <w:bCs/>
              </w:rPr>
              <w:t>4</w:t>
            </w:r>
            <w:r w:rsidR="00D8412D" w:rsidRPr="00687A1C">
              <w:rPr>
                <w:bCs/>
              </w:rPr>
              <w:t xml:space="preserve"> </w:t>
            </w:r>
            <w:r w:rsidRPr="00687A1C">
              <w:rPr>
                <w:bCs/>
              </w:rPr>
              <w:t>633</w:t>
            </w:r>
          </w:p>
        </w:tc>
        <w:tc>
          <w:tcPr>
            <w:tcW w:w="541" w:type="pct"/>
            <w:shd w:val="clear" w:color="auto" w:fill="auto"/>
            <w:vAlign w:val="center"/>
          </w:tcPr>
          <w:p w:rsidR="00174AEA" w:rsidRPr="00687A1C" w:rsidRDefault="00174AEA" w:rsidP="00D8412D">
            <w:pPr>
              <w:pStyle w:val="Tabletextright"/>
            </w:pPr>
            <w:r w:rsidRPr="00687A1C">
              <w:rPr>
                <w:bCs/>
              </w:rPr>
              <w:t>4</w:t>
            </w:r>
            <w:r w:rsidR="00D8412D" w:rsidRPr="00687A1C">
              <w:rPr>
                <w:bCs/>
              </w:rPr>
              <w:t xml:space="preserve"> </w:t>
            </w:r>
            <w:r w:rsidRPr="00687A1C">
              <w:rPr>
                <w:bCs/>
              </w:rPr>
              <w:t xml:space="preserve">799 </w:t>
            </w:r>
          </w:p>
        </w:tc>
        <w:tc>
          <w:tcPr>
            <w:tcW w:w="544" w:type="pct"/>
            <w:shd w:val="clear" w:color="auto" w:fill="E0E0E0"/>
            <w:vAlign w:val="center"/>
          </w:tcPr>
          <w:p w:rsidR="00174AEA" w:rsidRPr="00687A1C" w:rsidRDefault="00174AEA" w:rsidP="008A3976">
            <w:pPr>
              <w:pStyle w:val="Tabletextright"/>
              <w:rPr>
                <w:bCs/>
              </w:rPr>
            </w:pPr>
            <w:r w:rsidRPr="00687A1C">
              <w:rPr>
                <w:bCs/>
              </w:rPr>
              <w:t xml:space="preserve">457 </w:t>
            </w:r>
          </w:p>
        </w:tc>
        <w:tc>
          <w:tcPr>
            <w:tcW w:w="544" w:type="pct"/>
            <w:shd w:val="clear" w:color="auto" w:fill="auto"/>
            <w:vAlign w:val="center"/>
          </w:tcPr>
          <w:p w:rsidR="00174AEA" w:rsidRPr="00687A1C" w:rsidRDefault="00174AEA" w:rsidP="008A3976">
            <w:pPr>
              <w:pStyle w:val="Tabletextright"/>
              <w:rPr>
                <w:bCs/>
              </w:rPr>
            </w:pPr>
            <w:r w:rsidRPr="00687A1C">
              <w:rPr>
                <w:bCs/>
              </w:rPr>
              <w:t xml:space="preserve">235 </w:t>
            </w:r>
          </w:p>
        </w:tc>
        <w:tc>
          <w:tcPr>
            <w:tcW w:w="544" w:type="pct"/>
            <w:shd w:val="clear" w:color="auto" w:fill="E0E0E0"/>
            <w:vAlign w:val="center"/>
          </w:tcPr>
          <w:p w:rsidR="00174AEA" w:rsidRPr="00687A1C" w:rsidRDefault="00174AEA" w:rsidP="00D8412D">
            <w:pPr>
              <w:pStyle w:val="Tabletextright"/>
            </w:pPr>
            <w:r w:rsidRPr="00687A1C">
              <w:rPr>
                <w:bCs/>
              </w:rPr>
              <w:t>1</w:t>
            </w:r>
            <w:r w:rsidR="00D8412D" w:rsidRPr="00687A1C">
              <w:rPr>
                <w:bCs/>
              </w:rPr>
              <w:t xml:space="preserve"> </w:t>
            </w:r>
            <w:r w:rsidRPr="00687A1C">
              <w:rPr>
                <w:bCs/>
              </w:rPr>
              <w:t xml:space="preserve">503 </w:t>
            </w:r>
          </w:p>
        </w:tc>
        <w:tc>
          <w:tcPr>
            <w:tcW w:w="544" w:type="pct"/>
            <w:shd w:val="clear" w:color="auto" w:fill="auto"/>
            <w:vAlign w:val="center"/>
          </w:tcPr>
          <w:p w:rsidR="00174AEA" w:rsidRPr="00687A1C" w:rsidRDefault="00174AEA" w:rsidP="00D8412D">
            <w:pPr>
              <w:pStyle w:val="Tabletextright"/>
            </w:pPr>
            <w:r w:rsidRPr="00687A1C">
              <w:rPr>
                <w:bCs/>
              </w:rPr>
              <w:t>2</w:t>
            </w:r>
            <w:r w:rsidR="00D8412D" w:rsidRPr="00687A1C">
              <w:rPr>
                <w:bCs/>
              </w:rPr>
              <w:t xml:space="preserve"> </w:t>
            </w:r>
            <w:r w:rsidRPr="00687A1C">
              <w:rPr>
                <w:bCs/>
              </w:rPr>
              <w:t xml:space="preserve">604 </w:t>
            </w:r>
          </w:p>
        </w:tc>
        <w:tc>
          <w:tcPr>
            <w:tcW w:w="625" w:type="pct"/>
            <w:shd w:val="clear" w:color="auto" w:fill="E0E0E0"/>
            <w:vAlign w:val="center"/>
          </w:tcPr>
          <w:p w:rsidR="00174AEA" w:rsidRPr="00687A1C" w:rsidRDefault="00174AEA" w:rsidP="008A3976">
            <w:pPr>
              <w:pStyle w:val="Tabletextright"/>
              <w:rPr>
                <w:b/>
                <w:bCs/>
              </w:rPr>
            </w:pPr>
            <w:r w:rsidRPr="00687A1C">
              <w:rPr>
                <w:bCs/>
              </w:rPr>
              <w:t>–</w:t>
            </w:r>
          </w:p>
        </w:tc>
      </w:tr>
      <w:tr w:rsidR="00174AEA" w:rsidRPr="00687A1C" w:rsidTr="008A3976">
        <w:tc>
          <w:tcPr>
            <w:tcW w:w="1114" w:type="pct"/>
            <w:shd w:val="clear" w:color="auto" w:fill="auto"/>
            <w:vAlign w:val="bottom"/>
          </w:tcPr>
          <w:p w:rsidR="00174AEA" w:rsidRPr="00687A1C" w:rsidRDefault="00174AEA" w:rsidP="008A3976">
            <w:pPr>
              <w:pStyle w:val="Tabletext"/>
            </w:pPr>
            <w:r w:rsidRPr="00687A1C">
              <w:t>Bank overdrafts</w:t>
            </w:r>
          </w:p>
        </w:tc>
        <w:tc>
          <w:tcPr>
            <w:tcW w:w="544" w:type="pct"/>
            <w:shd w:val="clear" w:color="auto" w:fill="E0E0E0"/>
            <w:vAlign w:val="center"/>
          </w:tcPr>
          <w:p w:rsidR="00174AEA" w:rsidRPr="00687A1C" w:rsidRDefault="00174AEA" w:rsidP="008A3976">
            <w:pPr>
              <w:pStyle w:val="Tabletextright"/>
              <w:rPr>
                <w:bCs/>
              </w:rPr>
            </w:pPr>
            <w:r w:rsidRPr="00687A1C">
              <w:rPr>
                <w:bCs/>
              </w:rPr>
              <w:t>99</w:t>
            </w:r>
          </w:p>
        </w:tc>
        <w:tc>
          <w:tcPr>
            <w:tcW w:w="541" w:type="pct"/>
            <w:shd w:val="clear" w:color="auto" w:fill="auto"/>
            <w:vAlign w:val="center"/>
          </w:tcPr>
          <w:p w:rsidR="00174AEA" w:rsidRPr="00687A1C" w:rsidRDefault="00174AEA" w:rsidP="008A3976">
            <w:pPr>
              <w:pStyle w:val="Tabletextright"/>
              <w:rPr>
                <w:bCs/>
              </w:rPr>
            </w:pPr>
            <w:r w:rsidRPr="00687A1C">
              <w:rPr>
                <w:bCs/>
              </w:rPr>
              <w:t>99</w:t>
            </w:r>
          </w:p>
        </w:tc>
        <w:tc>
          <w:tcPr>
            <w:tcW w:w="544" w:type="pct"/>
            <w:shd w:val="clear" w:color="auto" w:fill="E0E0E0"/>
            <w:vAlign w:val="center"/>
          </w:tcPr>
          <w:p w:rsidR="00174AEA" w:rsidRPr="00687A1C" w:rsidRDefault="00174AEA" w:rsidP="008A3976">
            <w:pPr>
              <w:pStyle w:val="Tabletextright"/>
              <w:rPr>
                <w:bCs/>
              </w:rPr>
            </w:pPr>
            <w:r w:rsidRPr="00687A1C">
              <w:rPr>
                <w:bCs/>
              </w:rPr>
              <w:t>99</w:t>
            </w:r>
          </w:p>
        </w:tc>
        <w:tc>
          <w:tcPr>
            <w:tcW w:w="544" w:type="pct"/>
            <w:shd w:val="clear" w:color="auto" w:fill="auto"/>
            <w:vAlign w:val="center"/>
          </w:tcPr>
          <w:p w:rsidR="00174AEA" w:rsidRPr="00687A1C" w:rsidRDefault="00174AEA" w:rsidP="008A3976">
            <w:pPr>
              <w:pStyle w:val="Tabletextright"/>
              <w:rPr>
                <w:b/>
                <w:bCs/>
              </w:rPr>
            </w:pPr>
            <w:r w:rsidRPr="00687A1C">
              <w:rPr>
                <w:bCs/>
              </w:rPr>
              <w:t>–</w:t>
            </w:r>
          </w:p>
        </w:tc>
        <w:tc>
          <w:tcPr>
            <w:tcW w:w="544" w:type="pct"/>
            <w:shd w:val="clear" w:color="auto" w:fill="E0E0E0"/>
            <w:vAlign w:val="center"/>
          </w:tcPr>
          <w:p w:rsidR="00174AEA" w:rsidRPr="00687A1C" w:rsidRDefault="00174AEA" w:rsidP="008A3976">
            <w:pPr>
              <w:pStyle w:val="Tabletextright"/>
              <w:rPr>
                <w:b/>
                <w:bCs/>
              </w:rPr>
            </w:pPr>
            <w:r w:rsidRPr="00687A1C">
              <w:rPr>
                <w:bCs/>
              </w:rPr>
              <w:t>–</w:t>
            </w:r>
          </w:p>
        </w:tc>
        <w:tc>
          <w:tcPr>
            <w:tcW w:w="544" w:type="pct"/>
            <w:shd w:val="clear" w:color="auto" w:fill="auto"/>
            <w:vAlign w:val="center"/>
          </w:tcPr>
          <w:p w:rsidR="00174AEA" w:rsidRPr="00687A1C" w:rsidRDefault="00174AEA" w:rsidP="008A3976">
            <w:pPr>
              <w:pStyle w:val="Tabletextright"/>
              <w:rPr>
                <w:b/>
                <w:bCs/>
              </w:rPr>
            </w:pPr>
            <w:r w:rsidRPr="00687A1C">
              <w:rPr>
                <w:bCs/>
              </w:rPr>
              <w:t>–</w:t>
            </w:r>
          </w:p>
        </w:tc>
        <w:tc>
          <w:tcPr>
            <w:tcW w:w="625" w:type="pct"/>
            <w:shd w:val="clear" w:color="auto" w:fill="E0E0E0"/>
            <w:vAlign w:val="center"/>
          </w:tcPr>
          <w:p w:rsidR="00174AEA" w:rsidRPr="00687A1C" w:rsidRDefault="00174AEA" w:rsidP="008A3976">
            <w:pPr>
              <w:pStyle w:val="Tabletextright"/>
              <w:rPr>
                <w:b/>
                <w:bCs/>
              </w:rPr>
            </w:pPr>
            <w:r w:rsidRPr="00687A1C">
              <w:rPr>
                <w:bCs/>
              </w:rPr>
              <w:t>–</w:t>
            </w:r>
          </w:p>
        </w:tc>
      </w:tr>
      <w:tr w:rsidR="00174AEA" w:rsidRPr="00687A1C" w:rsidTr="008A3976">
        <w:tc>
          <w:tcPr>
            <w:tcW w:w="1114" w:type="pct"/>
            <w:shd w:val="clear" w:color="auto" w:fill="auto"/>
            <w:vAlign w:val="bottom"/>
          </w:tcPr>
          <w:p w:rsidR="00174AEA" w:rsidRPr="00687A1C" w:rsidRDefault="00174AEA" w:rsidP="008A3976">
            <w:pPr>
              <w:pStyle w:val="Tabletext"/>
            </w:pPr>
          </w:p>
        </w:tc>
        <w:tc>
          <w:tcPr>
            <w:tcW w:w="544" w:type="pct"/>
            <w:shd w:val="clear" w:color="auto" w:fill="E0E0E0"/>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 xml:space="preserve">732 </w:t>
            </w:r>
          </w:p>
        </w:tc>
        <w:tc>
          <w:tcPr>
            <w:tcW w:w="541" w:type="pct"/>
            <w:shd w:val="clear" w:color="auto" w:fill="auto"/>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898</w:t>
            </w:r>
          </w:p>
        </w:tc>
        <w:tc>
          <w:tcPr>
            <w:tcW w:w="544" w:type="pct"/>
            <w:shd w:val="clear" w:color="auto" w:fill="E0E0E0"/>
            <w:vAlign w:val="bottom"/>
          </w:tcPr>
          <w:p w:rsidR="00174AEA" w:rsidRPr="00687A1C" w:rsidRDefault="00174AEA" w:rsidP="008A3976">
            <w:pPr>
              <w:pStyle w:val="Tabletextrightbold"/>
            </w:pPr>
            <w:r w:rsidRPr="00687A1C">
              <w:t xml:space="preserve">556 </w:t>
            </w:r>
          </w:p>
        </w:tc>
        <w:tc>
          <w:tcPr>
            <w:tcW w:w="544" w:type="pct"/>
            <w:shd w:val="clear" w:color="auto" w:fill="auto"/>
            <w:vAlign w:val="bottom"/>
          </w:tcPr>
          <w:p w:rsidR="00174AEA" w:rsidRPr="00687A1C" w:rsidRDefault="00174AEA" w:rsidP="008A3976">
            <w:pPr>
              <w:pStyle w:val="Tabletextrightbold"/>
            </w:pPr>
            <w:r w:rsidRPr="00687A1C">
              <w:t xml:space="preserve">235 </w:t>
            </w:r>
          </w:p>
        </w:tc>
        <w:tc>
          <w:tcPr>
            <w:tcW w:w="544" w:type="pct"/>
            <w:shd w:val="clear" w:color="auto" w:fill="E0E0E0"/>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 xml:space="preserve">503 </w:t>
            </w:r>
          </w:p>
        </w:tc>
        <w:tc>
          <w:tcPr>
            <w:tcW w:w="544" w:type="pct"/>
            <w:shd w:val="clear" w:color="auto" w:fill="auto"/>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 xml:space="preserve">604 </w:t>
            </w:r>
          </w:p>
        </w:tc>
        <w:tc>
          <w:tcPr>
            <w:tcW w:w="625" w:type="pct"/>
            <w:shd w:val="clear" w:color="auto" w:fill="E0E0E0"/>
            <w:vAlign w:val="bottom"/>
          </w:tcPr>
          <w:p w:rsidR="00174AEA" w:rsidRPr="00687A1C" w:rsidRDefault="00174AEA" w:rsidP="008A3976">
            <w:pPr>
              <w:pStyle w:val="Tabletextright"/>
              <w:rPr>
                <w:b/>
                <w:bCs/>
              </w:rPr>
            </w:pPr>
            <w:r w:rsidRPr="00687A1C">
              <w:rPr>
                <w:bCs/>
              </w:rPr>
              <w:t>–</w:t>
            </w:r>
          </w:p>
        </w:tc>
      </w:tr>
      <w:tr w:rsidR="00174AEA" w:rsidRPr="00687A1C" w:rsidTr="008A3976">
        <w:tc>
          <w:tcPr>
            <w:tcW w:w="1114" w:type="pct"/>
            <w:shd w:val="clear" w:color="auto" w:fill="auto"/>
            <w:vAlign w:val="bottom"/>
          </w:tcPr>
          <w:p w:rsidR="00174AEA" w:rsidRPr="00687A1C" w:rsidRDefault="00174AEA" w:rsidP="008A3976">
            <w:pPr>
              <w:pStyle w:val="Tabletext"/>
            </w:pPr>
          </w:p>
        </w:tc>
        <w:tc>
          <w:tcPr>
            <w:tcW w:w="544" w:type="pct"/>
            <w:shd w:val="clear" w:color="auto" w:fill="E0E0E0"/>
            <w:vAlign w:val="bottom"/>
          </w:tcPr>
          <w:p w:rsidR="00174AEA" w:rsidRPr="00687A1C" w:rsidRDefault="00174AEA" w:rsidP="008A3976">
            <w:pPr>
              <w:pStyle w:val="Tabletextright"/>
              <w:rPr>
                <w:bCs/>
              </w:rPr>
            </w:pPr>
          </w:p>
        </w:tc>
        <w:tc>
          <w:tcPr>
            <w:tcW w:w="541" w:type="pct"/>
            <w:shd w:val="clear" w:color="auto" w:fill="auto"/>
            <w:vAlign w:val="bottom"/>
          </w:tcPr>
          <w:p w:rsidR="00174AEA" w:rsidRPr="00687A1C" w:rsidRDefault="00174AEA" w:rsidP="008A3976">
            <w:pPr>
              <w:pStyle w:val="Tabletextright"/>
              <w:rPr>
                <w:bCs/>
              </w:rPr>
            </w:pPr>
          </w:p>
        </w:tc>
        <w:tc>
          <w:tcPr>
            <w:tcW w:w="544" w:type="pct"/>
            <w:shd w:val="clear" w:color="auto" w:fill="E0E0E0"/>
            <w:vAlign w:val="bottom"/>
          </w:tcPr>
          <w:p w:rsidR="00174AEA" w:rsidRPr="00687A1C" w:rsidRDefault="00174AEA" w:rsidP="008A3976">
            <w:pPr>
              <w:pStyle w:val="Tabletextright"/>
              <w:rPr>
                <w:bCs/>
              </w:rPr>
            </w:pPr>
          </w:p>
        </w:tc>
        <w:tc>
          <w:tcPr>
            <w:tcW w:w="544" w:type="pct"/>
            <w:shd w:val="clear" w:color="auto" w:fill="auto"/>
            <w:vAlign w:val="bottom"/>
          </w:tcPr>
          <w:p w:rsidR="00174AEA" w:rsidRPr="00687A1C" w:rsidRDefault="00174AEA" w:rsidP="008A3976">
            <w:pPr>
              <w:pStyle w:val="Tabletextright"/>
              <w:rPr>
                <w:bCs/>
              </w:rPr>
            </w:pPr>
          </w:p>
        </w:tc>
        <w:tc>
          <w:tcPr>
            <w:tcW w:w="544" w:type="pct"/>
            <w:shd w:val="clear" w:color="auto" w:fill="E0E0E0"/>
            <w:vAlign w:val="bottom"/>
          </w:tcPr>
          <w:p w:rsidR="00174AEA" w:rsidRPr="00687A1C" w:rsidRDefault="00174AEA" w:rsidP="008A3976">
            <w:pPr>
              <w:pStyle w:val="Tabletextright"/>
              <w:rPr>
                <w:bCs/>
              </w:rPr>
            </w:pPr>
          </w:p>
        </w:tc>
        <w:tc>
          <w:tcPr>
            <w:tcW w:w="544" w:type="pct"/>
            <w:shd w:val="clear" w:color="auto" w:fill="auto"/>
            <w:vAlign w:val="bottom"/>
          </w:tcPr>
          <w:p w:rsidR="00174AEA" w:rsidRPr="00687A1C" w:rsidRDefault="00174AEA" w:rsidP="008A3976">
            <w:pPr>
              <w:pStyle w:val="Tabletextright"/>
              <w:rPr>
                <w:bCs/>
              </w:rPr>
            </w:pPr>
          </w:p>
        </w:tc>
        <w:tc>
          <w:tcPr>
            <w:tcW w:w="625" w:type="pct"/>
            <w:shd w:val="clear" w:color="auto" w:fill="E0E0E0"/>
            <w:vAlign w:val="bottom"/>
          </w:tcPr>
          <w:p w:rsidR="00174AEA" w:rsidRPr="00687A1C" w:rsidRDefault="00174AEA" w:rsidP="008A3976">
            <w:pPr>
              <w:pStyle w:val="Tabletextright"/>
              <w:rPr>
                <w:bCs/>
              </w:rPr>
            </w:pPr>
          </w:p>
        </w:tc>
      </w:tr>
      <w:tr w:rsidR="00174AEA" w:rsidRPr="00687A1C" w:rsidTr="008A3976">
        <w:tc>
          <w:tcPr>
            <w:tcW w:w="1114" w:type="pct"/>
            <w:shd w:val="clear" w:color="auto" w:fill="auto"/>
            <w:vAlign w:val="bottom"/>
          </w:tcPr>
          <w:p w:rsidR="00174AEA" w:rsidRPr="00687A1C" w:rsidRDefault="00174AEA" w:rsidP="008A3976">
            <w:pPr>
              <w:pStyle w:val="Tabletext"/>
              <w:rPr>
                <w:b/>
              </w:rPr>
            </w:pPr>
            <w:r w:rsidRPr="00687A1C">
              <w:rPr>
                <w:b/>
              </w:rPr>
              <w:t>2017</w:t>
            </w:r>
          </w:p>
        </w:tc>
        <w:tc>
          <w:tcPr>
            <w:tcW w:w="544" w:type="pct"/>
            <w:shd w:val="clear" w:color="auto" w:fill="E0E0E0"/>
            <w:vAlign w:val="bottom"/>
          </w:tcPr>
          <w:p w:rsidR="00174AEA" w:rsidRPr="00687A1C" w:rsidRDefault="00174AEA" w:rsidP="008A3976">
            <w:pPr>
              <w:pStyle w:val="Tabletextright"/>
              <w:rPr>
                <w:b/>
              </w:rPr>
            </w:pPr>
          </w:p>
        </w:tc>
        <w:tc>
          <w:tcPr>
            <w:tcW w:w="541" w:type="pct"/>
            <w:shd w:val="clear" w:color="auto" w:fill="auto"/>
            <w:vAlign w:val="bottom"/>
          </w:tcPr>
          <w:p w:rsidR="00174AEA" w:rsidRPr="00687A1C" w:rsidRDefault="00174AEA" w:rsidP="008A3976">
            <w:pPr>
              <w:pStyle w:val="Tabletextright"/>
              <w:rPr>
                <w:b/>
              </w:rPr>
            </w:pPr>
          </w:p>
        </w:tc>
        <w:tc>
          <w:tcPr>
            <w:tcW w:w="544" w:type="pct"/>
            <w:shd w:val="clear" w:color="auto" w:fill="E0E0E0"/>
            <w:vAlign w:val="bottom"/>
          </w:tcPr>
          <w:p w:rsidR="00174AEA" w:rsidRPr="00687A1C" w:rsidRDefault="00174AEA" w:rsidP="008A3976">
            <w:pPr>
              <w:pStyle w:val="Tabletextright"/>
              <w:rPr>
                <w:b/>
              </w:rPr>
            </w:pPr>
          </w:p>
        </w:tc>
        <w:tc>
          <w:tcPr>
            <w:tcW w:w="544" w:type="pct"/>
            <w:shd w:val="clear" w:color="auto" w:fill="auto"/>
            <w:vAlign w:val="bottom"/>
          </w:tcPr>
          <w:p w:rsidR="00174AEA" w:rsidRPr="00687A1C" w:rsidRDefault="00174AEA" w:rsidP="008A3976">
            <w:pPr>
              <w:pStyle w:val="Tabletextright"/>
              <w:rPr>
                <w:b/>
              </w:rPr>
            </w:pPr>
          </w:p>
        </w:tc>
        <w:tc>
          <w:tcPr>
            <w:tcW w:w="544" w:type="pct"/>
            <w:shd w:val="clear" w:color="auto" w:fill="E0E0E0"/>
            <w:vAlign w:val="bottom"/>
          </w:tcPr>
          <w:p w:rsidR="00174AEA" w:rsidRPr="00687A1C" w:rsidRDefault="00174AEA" w:rsidP="008A3976">
            <w:pPr>
              <w:pStyle w:val="Tabletextright"/>
              <w:rPr>
                <w:b/>
              </w:rPr>
            </w:pPr>
          </w:p>
        </w:tc>
        <w:tc>
          <w:tcPr>
            <w:tcW w:w="544" w:type="pct"/>
            <w:shd w:val="clear" w:color="auto" w:fill="auto"/>
            <w:vAlign w:val="bottom"/>
          </w:tcPr>
          <w:p w:rsidR="00174AEA" w:rsidRPr="00687A1C" w:rsidRDefault="00174AEA" w:rsidP="008A3976">
            <w:pPr>
              <w:pStyle w:val="Tabletextright"/>
              <w:rPr>
                <w:b/>
              </w:rPr>
            </w:pPr>
          </w:p>
        </w:tc>
        <w:tc>
          <w:tcPr>
            <w:tcW w:w="625" w:type="pct"/>
            <w:shd w:val="clear" w:color="auto" w:fill="E0E0E0"/>
            <w:vAlign w:val="bottom"/>
          </w:tcPr>
          <w:p w:rsidR="00174AEA" w:rsidRPr="00687A1C" w:rsidRDefault="00174AEA" w:rsidP="008A3976">
            <w:pPr>
              <w:pStyle w:val="Tabletextright"/>
              <w:rPr>
                <w:b/>
              </w:rPr>
            </w:pPr>
          </w:p>
        </w:tc>
      </w:tr>
      <w:tr w:rsidR="00174AEA" w:rsidRPr="00687A1C" w:rsidTr="008A3976">
        <w:tc>
          <w:tcPr>
            <w:tcW w:w="1114" w:type="pct"/>
            <w:shd w:val="clear" w:color="auto" w:fill="auto"/>
            <w:vAlign w:val="bottom"/>
          </w:tcPr>
          <w:p w:rsidR="00174AEA" w:rsidRPr="00687A1C" w:rsidRDefault="00174AEA" w:rsidP="008A3976">
            <w:pPr>
              <w:pStyle w:val="Tabletext"/>
            </w:pPr>
            <w:r w:rsidRPr="00687A1C">
              <w:t>Finance leases</w:t>
            </w:r>
          </w:p>
        </w:tc>
        <w:tc>
          <w:tcPr>
            <w:tcW w:w="544" w:type="pct"/>
            <w:shd w:val="clear" w:color="auto" w:fill="E0E0E0"/>
            <w:vAlign w:val="bottom"/>
          </w:tcPr>
          <w:p w:rsidR="00174AEA" w:rsidRPr="00687A1C" w:rsidRDefault="00174AEA" w:rsidP="00D8412D">
            <w:pPr>
              <w:pStyle w:val="Tabletextright"/>
            </w:pPr>
            <w:r w:rsidRPr="00687A1C">
              <w:rPr>
                <w:bCs/>
              </w:rPr>
              <w:t>4</w:t>
            </w:r>
            <w:r w:rsidR="00D8412D" w:rsidRPr="00687A1C">
              <w:rPr>
                <w:bCs/>
              </w:rPr>
              <w:t xml:space="preserve"> </w:t>
            </w:r>
            <w:r w:rsidRPr="00687A1C">
              <w:rPr>
                <w:bCs/>
              </w:rPr>
              <w:t>236</w:t>
            </w:r>
          </w:p>
        </w:tc>
        <w:tc>
          <w:tcPr>
            <w:tcW w:w="541" w:type="pct"/>
            <w:shd w:val="clear" w:color="auto" w:fill="auto"/>
            <w:vAlign w:val="bottom"/>
          </w:tcPr>
          <w:p w:rsidR="00174AEA" w:rsidRPr="00687A1C" w:rsidRDefault="00174AEA" w:rsidP="00D8412D">
            <w:pPr>
              <w:pStyle w:val="Tabletextright"/>
            </w:pPr>
            <w:r w:rsidRPr="00687A1C">
              <w:rPr>
                <w:bCs/>
              </w:rPr>
              <w:t>4</w:t>
            </w:r>
            <w:r w:rsidR="00D8412D" w:rsidRPr="00687A1C">
              <w:rPr>
                <w:bCs/>
              </w:rPr>
              <w:t xml:space="preserve"> </w:t>
            </w:r>
            <w:r w:rsidRPr="00687A1C">
              <w:rPr>
                <w:bCs/>
              </w:rPr>
              <w:t>406</w:t>
            </w:r>
          </w:p>
        </w:tc>
        <w:tc>
          <w:tcPr>
            <w:tcW w:w="544" w:type="pct"/>
            <w:shd w:val="clear" w:color="auto" w:fill="E0E0E0"/>
            <w:vAlign w:val="bottom"/>
          </w:tcPr>
          <w:p w:rsidR="00174AEA" w:rsidRPr="00687A1C" w:rsidRDefault="00174AEA" w:rsidP="008A3976">
            <w:pPr>
              <w:pStyle w:val="Tabletextright"/>
              <w:rPr>
                <w:bCs/>
              </w:rPr>
            </w:pPr>
            <w:r w:rsidRPr="00687A1C">
              <w:rPr>
                <w:bCs/>
              </w:rPr>
              <w:t>480</w:t>
            </w:r>
          </w:p>
        </w:tc>
        <w:tc>
          <w:tcPr>
            <w:tcW w:w="544" w:type="pct"/>
            <w:shd w:val="clear" w:color="auto" w:fill="auto"/>
            <w:vAlign w:val="bottom"/>
          </w:tcPr>
          <w:p w:rsidR="00174AEA" w:rsidRPr="00687A1C" w:rsidRDefault="00174AEA" w:rsidP="008A3976">
            <w:pPr>
              <w:pStyle w:val="Tabletextright"/>
              <w:rPr>
                <w:bCs/>
              </w:rPr>
            </w:pPr>
            <w:r w:rsidRPr="00687A1C">
              <w:rPr>
                <w:bCs/>
              </w:rPr>
              <w:t>232</w:t>
            </w:r>
          </w:p>
        </w:tc>
        <w:tc>
          <w:tcPr>
            <w:tcW w:w="544" w:type="pct"/>
            <w:shd w:val="clear" w:color="auto" w:fill="E0E0E0"/>
            <w:vAlign w:val="bottom"/>
          </w:tcPr>
          <w:p w:rsidR="00174AEA" w:rsidRPr="00687A1C" w:rsidRDefault="00174AEA" w:rsidP="00D8412D">
            <w:pPr>
              <w:pStyle w:val="Tabletextright"/>
            </w:pPr>
            <w:r w:rsidRPr="00687A1C">
              <w:rPr>
                <w:bCs/>
              </w:rPr>
              <w:t>1</w:t>
            </w:r>
            <w:r w:rsidR="00D8412D" w:rsidRPr="00687A1C">
              <w:rPr>
                <w:bCs/>
              </w:rPr>
              <w:t xml:space="preserve"> </w:t>
            </w:r>
            <w:r w:rsidRPr="00687A1C">
              <w:rPr>
                <w:bCs/>
              </w:rPr>
              <w:t>097</w:t>
            </w:r>
          </w:p>
        </w:tc>
        <w:tc>
          <w:tcPr>
            <w:tcW w:w="544" w:type="pct"/>
            <w:shd w:val="clear" w:color="auto" w:fill="auto"/>
            <w:vAlign w:val="bottom"/>
          </w:tcPr>
          <w:p w:rsidR="00174AEA" w:rsidRPr="00687A1C" w:rsidRDefault="00174AEA" w:rsidP="00D8412D">
            <w:pPr>
              <w:pStyle w:val="Tabletextright"/>
            </w:pPr>
            <w:r w:rsidRPr="00687A1C">
              <w:rPr>
                <w:bCs/>
              </w:rPr>
              <w:t>2</w:t>
            </w:r>
            <w:r w:rsidR="00D8412D" w:rsidRPr="00687A1C">
              <w:rPr>
                <w:bCs/>
              </w:rPr>
              <w:t xml:space="preserve"> </w:t>
            </w:r>
            <w:r w:rsidRPr="00687A1C">
              <w:rPr>
                <w:bCs/>
              </w:rPr>
              <w:t>597</w:t>
            </w:r>
          </w:p>
        </w:tc>
        <w:tc>
          <w:tcPr>
            <w:tcW w:w="625" w:type="pct"/>
            <w:shd w:val="clear" w:color="auto" w:fill="E0E0E0"/>
            <w:vAlign w:val="bottom"/>
          </w:tcPr>
          <w:p w:rsidR="00174AEA" w:rsidRPr="00687A1C" w:rsidRDefault="00174AEA" w:rsidP="008A3976">
            <w:pPr>
              <w:pStyle w:val="Tabletextright"/>
              <w:rPr>
                <w:bCs/>
              </w:rPr>
            </w:pPr>
            <w:r w:rsidRPr="00687A1C">
              <w:rPr>
                <w:bCs/>
              </w:rPr>
              <w:t>–</w:t>
            </w:r>
          </w:p>
        </w:tc>
      </w:tr>
      <w:tr w:rsidR="00174AEA" w:rsidRPr="00687A1C" w:rsidTr="008A3976">
        <w:tc>
          <w:tcPr>
            <w:tcW w:w="1114" w:type="pct"/>
            <w:shd w:val="clear" w:color="auto" w:fill="auto"/>
            <w:vAlign w:val="bottom"/>
          </w:tcPr>
          <w:p w:rsidR="00174AEA" w:rsidRPr="00687A1C" w:rsidRDefault="00174AEA" w:rsidP="008A3976">
            <w:pPr>
              <w:pStyle w:val="Tabletext"/>
            </w:pPr>
            <w:r w:rsidRPr="00687A1C">
              <w:t>Bank overdrafts</w:t>
            </w:r>
          </w:p>
        </w:tc>
        <w:tc>
          <w:tcPr>
            <w:tcW w:w="544" w:type="pct"/>
            <w:shd w:val="clear" w:color="auto" w:fill="E0E0E0"/>
            <w:vAlign w:val="bottom"/>
          </w:tcPr>
          <w:p w:rsidR="00174AEA" w:rsidRPr="00687A1C" w:rsidRDefault="00174AEA" w:rsidP="008A3976">
            <w:pPr>
              <w:pStyle w:val="Tabletextright"/>
              <w:rPr>
                <w:bCs/>
              </w:rPr>
            </w:pPr>
            <w:r w:rsidRPr="00687A1C">
              <w:rPr>
                <w:bCs/>
              </w:rPr>
              <w:t>529</w:t>
            </w:r>
          </w:p>
        </w:tc>
        <w:tc>
          <w:tcPr>
            <w:tcW w:w="541" w:type="pct"/>
            <w:shd w:val="clear" w:color="auto" w:fill="auto"/>
            <w:vAlign w:val="bottom"/>
          </w:tcPr>
          <w:p w:rsidR="00174AEA" w:rsidRPr="00687A1C" w:rsidRDefault="00174AEA" w:rsidP="008A3976">
            <w:pPr>
              <w:pStyle w:val="Tabletextright"/>
              <w:rPr>
                <w:bCs/>
              </w:rPr>
            </w:pPr>
            <w:r w:rsidRPr="00687A1C">
              <w:rPr>
                <w:bCs/>
              </w:rPr>
              <w:t>529</w:t>
            </w:r>
          </w:p>
        </w:tc>
        <w:tc>
          <w:tcPr>
            <w:tcW w:w="544" w:type="pct"/>
            <w:shd w:val="clear" w:color="auto" w:fill="E0E0E0"/>
            <w:vAlign w:val="bottom"/>
          </w:tcPr>
          <w:p w:rsidR="00174AEA" w:rsidRPr="00687A1C" w:rsidRDefault="00174AEA" w:rsidP="008A3976">
            <w:pPr>
              <w:pStyle w:val="Tabletextright"/>
              <w:rPr>
                <w:bCs/>
              </w:rPr>
            </w:pPr>
            <w:r w:rsidRPr="00687A1C">
              <w:rPr>
                <w:bCs/>
              </w:rPr>
              <w:t>529</w:t>
            </w:r>
          </w:p>
        </w:tc>
        <w:tc>
          <w:tcPr>
            <w:tcW w:w="544" w:type="pct"/>
            <w:shd w:val="clear" w:color="auto" w:fill="auto"/>
            <w:vAlign w:val="bottom"/>
          </w:tcPr>
          <w:p w:rsidR="00174AEA" w:rsidRPr="00687A1C" w:rsidRDefault="00174AEA" w:rsidP="008A3976">
            <w:pPr>
              <w:pStyle w:val="Tabletextright"/>
              <w:rPr>
                <w:bCs/>
              </w:rPr>
            </w:pPr>
            <w:r w:rsidRPr="00687A1C">
              <w:rPr>
                <w:bCs/>
              </w:rPr>
              <w:t>–</w:t>
            </w:r>
          </w:p>
        </w:tc>
        <w:tc>
          <w:tcPr>
            <w:tcW w:w="544" w:type="pct"/>
            <w:shd w:val="clear" w:color="auto" w:fill="E0E0E0"/>
            <w:vAlign w:val="bottom"/>
          </w:tcPr>
          <w:p w:rsidR="00174AEA" w:rsidRPr="00687A1C" w:rsidRDefault="00174AEA" w:rsidP="008A3976">
            <w:pPr>
              <w:pStyle w:val="Tabletextright"/>
              <w:rPr>
                <w:bCs/>
              </w:rPr>
            </w:pPr>
            <w:r w:rsidRPr="00687A1C">
              <w:rPr>
                <w:bCs/>
              </w:rPr>
              <w:t>–</w:t>
            </w:r>
          </w:p>
        </w:tc>
        <w:tc>
          <w:tcPr>
            <w:tcW w:w="544" w:type="pct"/>
            <w:shd w:val="clear" w:color="auto" w:fill="auto"/>
            <w:vAlign w:val="bottom"/>
          </w:tcPr>
          <w:p w:rsidR="00174AEA" w:rsidRPr="00687A1C" w:rsidRDefault="00174AEA" w:rsidP="008A3976">
            <w:pPr>
              <w:pStyle w:val="Tabletextright"/>
              <w:rPr>
                <w:bCs/>
              </w:rPr>
            </w:pPr>
            <w:r w:rsidRPr="00687A1C">
              <w:rPr>
                <w:bCs/>
              </w:rPr>
              <w:t>–</w:t>
            </w:r>
          </w:p>
        </w:tc>
        <w:tc>
          <w:tcPr>
            <w:tcW w:w="625" w:type="pct"/>
            <w:shd w:val="clear" w:color="auto" w:fill="E0E0E0"/>
            <w:vAlign w:val="bottom"/>
          </w:tcPr>
          <w:p w:rsidR="00174AEA" w:rsidRPr="00687A1C" w:rsidRDefault="00174AEA" w:rsidP="008A3976">
            <w:pPr>
              <w:pStyle w:val="Tabletextright"/>
              <w:rPr>
                <w:bCs/>
              </w:rPr>
            </w:pPr>
            <w:r w:rsidRPr="00687A1C">
              <w:rPr>
                <w:bCs/>
              </w:rPr>
              <w:t>–</w:t>
            </w:r>
          </w:p>
        </w:tc>
      </w:tr>
      <w:tr w:rsidR="00174AEA" w:rsidRPr="00687A1C" w:rsidTr="008A3976">
        <w:tc>
          <w:tcPr>
            <w:tcW w:w="1114" w:type="pct"/>
            <w:shd w:val="clear" w:color="auto" w:fill="auto"/>
            <w:vAlign w:val="bottom"/>
          </w:tcPr>
          <w:p w:rsidR="00174AEA" w:rsidRPr="00687A1C" w:rsidRDefault="00174AEA" w:rsidP="008A3976">
            <w:pPr>
              <w:pStyle w:val="Tabletext"/>
            </w:pPr>
          </w:p>
        </w:tc>
        <w:tc>
          <w:tcPr>
            <w:tcW w:w="544" w:type="pct"/>
            <w:shd w:val="clear" w:color="auto" w:fill="E0E0E0"/>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765</w:t>
            </w:r>
          </w:p>
        </w:tc>
        <w:tc>
          <w:tcPr>
            <w:tcW w:w="541" w:type="pct"/>
            <w:shd w:val="clear" w:color="auto" w:fill="auto"/>
            <w:vAlign w:val="bottom"/>
          </w:tcPr>
          <w:p w:rsidR="00174AEA" w:rsidRPr="00687A1C" w:rsidRDefault="00174AEA" w:rsidP="00D8412D">
            <w:pPr>
              <w:pStyle w:val="Tabletextrightbold"/>
            </w:pPr>
            <w:r w:rsidRPr="00687A1C">
              <w:t>4</w:t>
            </w:r>
            <w:r w:rsidR="00D8412D" w:rsidRPr="00687A1C">
              <w:rPr>
                <w:rFonts w:ascii="Calibri" w:hAnsi="Calibri" w:cs="Calibri"/>
              </w:rPr>
              <w:t xml:space="preserve"> </w:t>
            </w:r>
            <w:r w:rsidRPr="00687A1C">
              <w:t>935</w:t>
            </w:r>
          </w:p>
        </w:tc>
        <w:tc>
          <w:tcPr>
            <w:tcW w:w="544" w:type="pct"/>
            <w:shd w:val="clear" w:color="auto" w:fill="E0E0E0"/>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009</w:t>
            </w:r>
          </w:p>
        </w:tc>
        <w:tc>
          <w:tcPr>
            <w:tcW w:w="544" w:type="pct"/>
            <w:shd w:val="clear" w:color="auto" w:fill="auto"/>
            <w:vAlign w:val="bottom"/>
          </w:tcPr>
          <w:p w:rsidR="00174AEA" w:rsidRPr="00687A1C" w:rsidRDefault="00174AEA" w:rsidP="008A3976">
            <w:pPr>
              <w:pStyle w:val="Tabletextrightbold"/>
            </w:pPr>
            <w:r w:rsidRPr="00687A1C">
              <w:t>232</w:t>
            </w:r>
          </w:p>
        </w:tc>
        <w:tc>
          <w:tcPr>
            <w:tcW w:w="544" w:type="pct"/>
            <w:shd w:val="clear" w:color="auto" w:fill="E0E0E0"/>
            <w:vAlign w:val="bottom"/>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097</w:t>
            </w:r>
          </w:p>
        </w:tc>
        <w:tc>
          <w:tcPr>
            <w:tcW w:w="544" w:type="pct"/>
            <w:shd w:val="clear" w:color="auto" w:fill="auto"/>
            <w:vAlign w:val="bottom"/>
          </w:tcPr>
          <w:p w:rsidR="00174AEA" w:rsidRPr="00687A1C" w:rsidRDefault="00174AEA" w:rsidP="00D8412D">
            <w:pPr>
              <w:pStyle w:val="Tabletextrightbold"/>
            </w:pPr>
            <w:r w:rsidRPr="00687A1C">
              <w:t>2</w:t>
            </w:r>
            <w:r w:rsidR="00D8412D" w:rsidRPr="00687A1C">
              <w:rPr>
                <w:rFonts w:ascii="Calibri" w:hAnsi="Calibri" w:cs="Calibri"/>
              </w:rPr>
              <w:t xml:space="preserve"> </w:t>
            </w:r>
            <w:r w:rsidRPr="00687A1C">
              <w:t>597</w:t>
            </w:r>
          </w:p>
        </w:tc>
        <w:tc>
          <w:tcPr>
            <w:tcW w:w="625" w:type="pct"/>
            <w:shd w:val="clear" w:color="auto" w:fill="E0E0E0"/>
            <w:vAlign w:val="bottom"/>
          </w:tcPr>
          <w:p w:rsidR="00174AEA" w:rsidRPr="00687A1C" w:rsidRDefault="00174AEA" w:rsidP="008A3976">
            <w:pPr>
              <w:pStyle w:val="Tabletextright"/>
              <w:rPr>
                <w:bCs/>
              </w:rPr>
            </w:pPr>
            <w:r w:rsidRPr="00687A1C">
              <w:rPr>
                <w:bCs/>
              </w:rPr>
              <w:t>–</w:t>
            </w:r>
          </w:p>
        </w:tc>
      </w:tr>
    </w:tbl>
    <w:p w:rsidR="00174AEA" w:rsidRPr="00687A1C" w:rsidRDefault="00174AEA" w:rsidP="00174AEA">
      <w:pPr>
        <w:pStyle w:val="Notes"/>
      </w:pPr>
      <w:r w:rsidRPr="00687A1C">
        <w:t>Note:</w:t>
      </w:r>
    </w:p>
    <w:p w:rsidR="00174AEA" w:rsidRPr="00687A1C" w:rsidRDefault="00174AEA" w:rsidP="00174AEA">
      <w:pPr>
        <w:pStyle w:val="Notes"/>
      </w:pPr>
      <w:r w:rsidRPr="00687A1C">
        <w:t>(a) Maturity analysis is presented using the contractual undiscounted cash flows.</w:t>
      </w:r>
    </w:p>
    <w:p w:rsidR="00174AEA" w:rsidRPr="00687A1C" w:rsidRDefault="00174AEA" w:rsidP="00174AEA"/>
    <w:p w:rsidR="00174AEA" w:rsidRPr="00687A1C" w:rsidRDefault="00174AEA" w:rsidP="00174AEA">
      <w:pPr>
        <w:pStyle w:val="Heading2numbered"/>
      </w:pPr>
      <w:bookmarkStart w:id="108" w:name="_Toc495304298"/>
      <w:bookmarkStart w:id="109" w:name="_Toc525026207"/>
      <w:bookmarkStart w:id="110" w:name="_Toc525026242"/>
      <w:r w:rsidRPr="00687A1C">
        <w:t>Cash flow information</w:t>
      </w:r>
      <w:bookmarkEnd w:id="108"/>
      <w:r w:rsidRPr="00687A1C">
        <w:t xml:space="preserve"> and balances</w:t>
      </w:r>
      <w:bookmarkEnd w:id="109"/>
      <w:bookmarkEnd w:id="110"/>
    </w:p>
    <w:tbl>
      <w:tblPr>
        <w:tblStyle w:val="AnnualReportfinancialtable"/>
        <w:tblW w:w="7376" w:type="dxa"/>
        <w:tblLook w:val="00A0" w:firstRow="1" w:lastRow="0" w:firstColumn="1" w:lastColumn="0" w:noHBand="0" w:noVBand="0"/>
      </w:tblPr>
      <w:tblGrid>
        <w:gridCol w:w="5126"/>
        <w:gridCol w:w="1125"/>
        <w:gridCol w:w="1125"/>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rPr>
                <w:b w:val="0"/>
              </w:rPr>
            </w:pP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8A3976">
            <w:pPr>
              <w:pStyle w:val="Tabletextheadingright"/>
              <w:rPr>
                <w:b/>
                <w:bCs/>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8A3976">
            <w:pPr>
              <w:pStyle w:val="Tabletextheadingright"/>
              <w:rPr>
                <w:bCs/>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182947">
            <w:pPr>
              <w:pStyle w:val="Tabletext"/>
            </w:pPr>
            <w:r w:rsidRPr="00687A1C">
              <w:t xml:space="preserve">Cash on hand </w:t>
            </w: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8A3976">
            <w:pPr>
              <w:pStyle w:val="Tabletextright"/>
            </w:pPr>
            <w:r w:rsidRPr="00687A1C">
              <w:t xml:space="preserve">2 </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8A3976">
            <w:pPr>
              <w:pStyle w:val="Tabletextright"/>
            </w:pPr>
            <w:r w:rsidRPr="00687A1C">
              <w:t>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Funds held in trust</w:t>
            </w: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D8412D">
            <w:pPr>
              <w:pStyle w:val="Tabletextright"/>
            </w:pPr>
            <w:r w:rsidRPr="00687A1C">
              <w:t>30</w:t>
            </w:r>
            <w:r w:rsidR="00D8412D" w:rsidRPr="00687A1C">
              <w:t xml:space="preserve"> </w:t>
            </w:r>
            <w:r w:rsidRPr="00687A1C">
              <w:t xml:space="preserve">198 </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D8412D">
            <w:pPr>
              <w:pStyle w:val="Tabletextright"/>
            </w:pPr>
            <w:r w:rsidRPr="00687A1C">
              <w:t>32</w:t>
            </w:r>
            <w:r w:rsidR="00D8412D" w:rsidRPr="00687A1C">
              <w:t xml:space="preserve"> </w:t>
            </w:r>
            <w:r w:rsidRPr="00687A1C">
              <w:t>292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bold"/>
            </w:pPr>
            <w:r w:rsidRPr="00687A1C">
              <w:t>Total cash and deposits disclosed in the balance sheet</w:t>
            </w: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D8412D">
            <w:pPr>
              <w:pStyle w:val="Tabletextrightbold"/>
            </w:pPr>
            <w:r w:rsidRPr="00687A1C">
              <w:t>30</w:t>
            </w:r>
            <w:r w:rsidR="00D8412D" w:rsidRPr="00687A1C">
              <w:rPr>
                <w:rFonts w:ascii="Calibri" w:hAnsi="Calibri" w:cs="Calibri"/>
              </w:rPr>
              <w:t xml:space="preserve"> </w:t>
            </w:r>
            <w:r w:rsidRPr="00687A1C">
              <w:t xml:space="preserve">200 </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D8412D">
            <w:pPr>
              <w:pStyle w:val="Tabletextrightbold"/>
            </w:pPr>
            <w:r w:rsidRPr="00687A1C">
              <w:t>32</w:t>
            </w:r>
            <w:r w:rsidR="00D8412D" w:rsidRPr="00687A1C">
              <w:rPr>
                <w:rFonts w:ascii="Calibri" w:hAnsi="Calibri" w:cs="Calibri"/>
              </w:rPr>
              <w:t xml:space="preserve"> </w:t>
            </w:r>
            <w:r w:rsidRPr="00687A1C">
              <w:t>294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The above figures are reconciled to cash and cash equivalents at the end of the year as shown in the cash flow statement as follows:</w:t>
            </w: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Balances as above</w:t>
            </w: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D8412D">
            <w:pPr>
              <w:pStyle w:val="Tabletextright"/>
            </w:pPr>
            <w:r w:rsidRPr="00687A1C">
              <w:t>30</w:t>
            </w:r>
            <w:r w:rsidR="00D8412D" w:rsidRPr="00687A1C">
              <w:t xml:space="preserve"> </w:t>
            </w:r>
            <w:r w:rsidRPr="00687A1C">
              <w:t xml:space="preserve">200 </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D8412D">
            <w:pPr>
              <w:pStyle w:val="Tabletextright"/>
            </w:pPr>
            <w:r w:rsidRPr="00687A1C">
              <w:t>32</w:t>
            </w:r>
            <w:r w:rsidR="00D8412D" w:rsidRPr="00687A1C">
              <w:t xml:space="preserve"> </w:t>
            </w:r>
            <w:r w:rsidRPr="00687A1C">
              <w:t>294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Less: bank overdrafts (note 7.1)</w:t>
            </w: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8A3976">
            <w:pPr>
              <w:pStyle w:val="Tabletextright"/>
            </w:pPr>
            <w:r w:rsidRPr="00687A1C">
              <w:t>(99)</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8A3976">
            <w:pPr>
              <w:pStyle w:val="Tabletextright"/>
            </w:pPr>
            <w:r w:rsidRPr="00687A1C">
              <w:t>(529)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Del="00035395"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Del="00035395"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bold"/>
            </w:pPr>
            <w:r w:rsidRPr="00687A1C">
              <w:t>Balance as per cash flow statement</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bold"/>
            </w:pPr>
            <w:r w:rsidRPr="00687A1C">
              <w:t>30</w:t>
            </w:r>
            <w:r w:rsidR="00D8412D" w:rsidRPr="00687A1C">
              <w:rPr>
                <w:rFonts w:ascii="Calibri" w:hAnsi="Calibri" w:cs="Calibri"/>
              </w:rPr>
              <w:t xml:space="preserve"> </w:t>
            </w:r>
            <w:r w:rsidRPr="00687A1C">
              <w:t>101</w:t>
            </w:r>
            <w:r w:rsidRPr="00687A1C">
              <w:rPr>
                <w:rFonts w:ascii="Arial" w:hAnsi="Arial" w:cs="Arial"/>
              </w:rPr>
              <w:t xml:space="preserve"> </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D8412D">
            <w:pPr>
              <w:pStyle w:val="Tabletextrightbold"/>
            </w:pPr>
            <w:r w:rsidRPr="00687A1C">
              <w:t>31</w:t>
            </w:r>
            <w:r w:rsidR="00D8412D" w:rsidRPr="00687A1C">
              <w:rPr>
                <w:rFonts w:ascii="Calibri" w:hAnsi="Calibri" w:cs="Calibri"/>
              </w:rPr>
              <w:t xml:space="preserve"> </w:t>
            </w:r>
            <w:r w:rsidRPr="00687A1C">
              <w:t>765</w:t>
            </w:r>
          </w:p>
        </w:tc>
      </w:tr>
    </w:tbl>
    <w:p w:rsidR="00174AEA" w:rsidRPr="00687A1C" w:rsidRDefault="00174AEA" w:rsidP="00174AEA"/>
    <w:p w:rsidR="00174AEA" w:rsidRPr="00687A1C" w:rsidRDefault="00174AEA" w:rsidP="00174AEA">
      <w:pPr>
        <w:sectPr w:rsidR="00174AEA" w:rsidRPr="00687A1C" w:rsidSect="0050071B">
          <w:type w:val="continuous"/>
          <w:pgSz w:w="11909" w:h="16834" w:code="9"/>
          <w:pgMar w:top="1728" w:right="1152" w:bottom="1152" w:left="1152" w:header="720" w:footer="288" w:gutter="0"/>
          <w:cols w:space="720"/>
          <w:noEndnote/>
        </w:sectPr>
      </w:pPr>
    </w:p>
    <w:p w:rsidR="00174AEA" w:rsidRPr="00687A1C" w:rsidRDefault="00174AEA" w:rsidP="00174AEA">
      <w:r w:rsidRPr="00687A1C">
        <w:lastRenderedPageBreak/>
        <w:t>Cash and deposits</w:t>
      </w:r>
      <w:r w:rsidR="00C73900" w:rsidRPr="00687A1C">
        <w:t>,</w:t>
      </w:r>
      <w:r w:rsidRPr="00687A1C">
        <w:rPr>
          <w:rFonts w:ascii="VIC" w:hAnsi="VIC"/>
        </w:rPr>
        <w:t xml:space="preserve"> </w:t>
      </w:r>
      <w:r w:rsidRPr="00687A1C">
        <w:t>including cash equivalents</w:t>
      </w:r>
      <w:r w:rsidRPr="00687A1C">
        <w:rPr>
          <w:rFonts w:ascii="VIC" w:hAnsi="VIC"/>
        </w:rPr>
        <w:t xml:space="preserve"> </w:t>
      </w:r>
      <w:r w:rsidRPr="00687A1C">
        <w:t>comprise cash on hand and cash at bank</w:t>
      </w:r>
      <w:r w:rsidR="007F419B" w:rsidRPr="00687A1C">
        <w:t>,</w:t>
      </w:r>
      <w:r w:rsidRPr="00687A1C">
        <w:rPr>
          <w:rFonts w:ascii="VIC" w:hAnsi="VIC"/>
        </w:rPr>
        <w:t xml:space="preserve"> </w:t>
      </w:r>
      <w:r w:rsidRPr="00687A1C">
        <w:t>deposits at call and short-term deposits</w:t>
      </w:r>
      <w:r w:rsidR="005B45B4" w:rsidRPr="00687A1C">
        <w:t>,</w:t>
      </w:r>
      <w:r w:rsidRPr="00687A1C">
        <w:rPr>
          <w:rFonts w:ascii="VIC" w:hAnsi="VIC"/>
        </w:rPr>
        <w:t xml:space="preserve"> </w:t>
      </w:r>
      <w:r w:rsidRPr="00687A1C">
        <w:t>with original maturities of three months or less</w:t>
      </w:r>
      <w:r w:rsidR="007F419B" w:rsidRPr="00687A1C">
        <w:t>,</w:t>
      </w:r>
      <w:r w:rsidRPr="00687A1C">
        <w:rPr>
          <w:rFonts w:ascii="VIC" w:hAnsi="VIC"/>
        </w:rPr>
        <w:t xml:space="preserve"> </w:t>
      </w:r>
      <w:r w:rsidRPr="00687A1C">
        <w:t>that are held for the purpose of meeting short-term cash commitments rather than for investment purposes</w:t>
      </w:r>
      <w:r w:rsidR="007F419B" w:rsidRPr="00687A1C">
        <w:t>,</w:t>
      </w:r>
      <w:r w:rsidRPr="00687A1C">
        <w:rPr>
          <w:rFonts w:ascii="VIC" w:hAnsi="VIC"/>
        </w:rPr>
        <w:t xml:space="preserve"> </w:t>
      </w:r>
      <w:r w:rsidRPr="00687A1C">
        <w:t>and which are readily convertible to known amounts of cash and are subject to an insignificant risk of change in value. Cash and deposits with original maturities of three months or less</w:t>
      </w:r>
      <w:r w:rsidR="005B45B4" w:rsidRPr="00687A1C">
        <w:t>,</w:t>
      </w:r>
      <w:r w:rsidRPr="00687A1C">
        <w:rPr>
          <w:rFonts w:ascii="VIC" w:hAnsi="VIC"/>
        </w:rPr>
        <w:t xml:space="preserve"> </w:t>
      </w:r>
      <w:r w:rsidRPr="00687A1C">
        <w:t>that are held for the purpose of meeting long-term funding management</w:t>
      </w:r>
      <w:r w:rsidR="005B45B4" w:rsidRPr="00687A1C">
        <w:t>,</w:t>
      </w:r>
      <w:r w:rsidRPr="00687A1C">
        <w:t xml:space="preserve"> are classified as other financial assets. For cash flow statement presentation purposes</w:t>
      </w:r>
      <w:r w:rsidR="005B45B4" w:rsidRPr="00687A1C">
        <w:t>,</w:t>
      </w:r>
      <w:r w:rsidRPr="00687A1C">
        <w:rPr>
          <w:rFonts w:ascii="VIC" w:hAnsi="VIC"/>
        </w:rPr>
        <w:t xml:space="preserve"> </w:t>
      </w:r>
      <w:r w:rsidRPr="00687A1C">
        <w:t>cash and cash equivalents include bank overdrafts</w:t>
      </w:r>
      <w:r w:rsidR="007F419B" w:rsidRPr="00687A1C">
        <w:t>,</w:t>
      </w:r>
      <w:r w:rsidRPr="00687A1C">
        <w:rPr>
          <w:rFonts w:ascii="VIC" w:hAnsi="VIC"/>
        </w:rPr>
        <w:t xml:space="preserve"> </w:t>
      </w:r>
      <w:r w:rsidRPr="00687A1C">
        <w:t>which are included as current borrowings on the balance sheet</w:t>
      </w:r>
      <w:r w:rsidR="00742300" w:rsidRPr="00687A1C">
        <w:t>,</w:t>
      </w:r>
      <w:r w:rsidRPr="00687A1C">
        <w:rPr>
          <w:rFonts w:ascii="VIC" w:hAnsi="VIC"/>
        </w:rPr>
        <w:t xml:space="preserve"> </w:t>
      </w:r>
      <w:r w:rsidRPr="00687A1C">
        <w:t>as indicated in the reconciliation above.</w:t>
      </w:r>
    </w:p>
    <w:p w:rsidR="00174AEA" w:rsidRPr="00687A1C" w:rsidRDefault="00174AEA" w:rsidP="00174AEA">
      <w:r w:rsidRPr="00687A1C">
        <w:br w:type="column"/>
      </w:r>
      <w:r w:rsidRPr="00687A1C">
        <w:t>Due to the State of Victoria’s investment policy and government funding arrangements</w:t>
      </w:r>
      <w:r w:rsidR="00C73900" w:rsidRPr="00687A1C">
        <w:t>,</w:t>
      </w:r>
      <w:r w:rsidRPr="00687A1C">
        <w:t xml:space="preserve"> the Department does not hold a large cash reserve in its bank accounts. Cash received from the generation of income is generally paid into the State’s bank account (‘Public Account’). Similarly</w:t>
      </w:r>
      <w:r w:rsidR="00C73900" w:rsidRPr="00687A1C">
        <w:t>,</w:t>
      </w:r>
      <w:r w:rsidRPr="00687A1C">
        <w:t xml:space="preserve"> departmental expenditure</w:t>
      </w:r>
      <w:r w:rsidR="00C73900" w:rsidRPr="00687A1C">
        <w:t>,</w:t>
      </w:r>
      <w:r w:rsidRPr="00687A1C">
        <w:t xml:space="preserve"> including that in the form of cheques drawn for the payment of goods and services to its suppliers and creditors</w:t>
      </w:r>
      <w:r w:rsidR="00C73900" w:rsidRPr="00687A1C">
        <w:t>,</w:t>
      </w:r>
      <w:r w:rsidRPr="00687A1C">
        <w:t xml:space="preserve"> are made via the Public Account. The Public Account remits to the Department the cash required for the amount drawn on the cheques. This remittance by the Public Account occurs upon the presentation of the cheques by the Department’s suppliers or creditors.</w:t>
      </w:r>
    </w:p>
    <w:p w:rsidR="00174AEA" w:rsidRPr="00687A1C" w:rsidRDefault="00174AEA" w:rsidP="00174AEA">
      <w:r w:rsidRPr="00687A1C">
        <w:t xml:space="preserve">These funding arrangements often result in the Department having a notional shortfall in the cash at bank (or a notional bank overdraft) required for payment of unpresented cheques at balance date. The Department’s bank overdraft balance was totally represented by unpresented cheques. </w:t>
      </w:r>
    </w:p>
    <w:p w:rsidR="00174AEA" w:rsidRPr="00687A1C" w:rsidRDefault="00174AEA" w:rsidP="00174AEA">
      <w:pPr>
        <w:sectPr w:rsidR="00174AEA" w:rsidRPr="00687A1C" w:rsidSect="008A3976">
          <w:headerReference w:type="even" r:id="rId83"/>
          <w:headerReference w:type="default" r:id="rId84"/>
          <w:pgSz w:w="11909" w:h="16834" w:code="9"/>
          <w:pgMar w:top="1728" w:right="1152" w:bottom="1152" w:left="1152" w:header="720" w:footer="288" w:gutter="0"/>
          <w:cols w:num="2" w:space="720"/>
          <w:noEndnote/>
        </w:sectPr>
      </w:pPr>
    </w:p>
    <w:p w:rsidR="00174AEA" w:rsidRPr="00687A1C" w:rsidRDefault="00174AEA" w:rsidP="00174AEA"/>
    <w:p w:rsidR="00174AEA" w:rsidRPr="00687A1C" w:rsidRDefault="00174AEA" w:rsidP="00174AEA">
      <w:pPr>
        <w:pStyle w:val="Heading3numbered"/>
      </w:pPr>
      <w:r w:rsidRPr="00687A1C">
        <w:t>Reconciliation of net result to net cash flows from operating activities</w:t>
      </w:r>
    </w:p>
    <w:tbl>
      <w:tblPr>
        <w:tblStyle w:val="AnnualReportfinancialtable"/>
        <w:tblW w:w="7376" w:type="dxa"/>
        <w:tblLayout w:type="fixed"/>
        <w:tblLook w:val="02A0" w:firstRow="1" w:lastRow="0" w:firstColumn="1" w:lastColumn="0" w:noHBand="1" w:noVBand="0"/>
      </w:tblPr>
      <w:tblGrid>
        <w:gridCol w:w="5126"/>
        <w:gridCol w:w="1125"/>
        <w:gridCol w:w="1125"/>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rPr>
                <w:b w:val="0"/>
              </w:rPr>
            </w:pPr>
          </w:p>
        </w:tc>
        <w:tc>
          <w:tcPr>
            <w:cnfStyle w:val="000010000000" w:firstRow="0" w:lastRow="0" w:firstColumn="0" w:lastColumn="0" w:oddVBand="1" w:evenVBand="0" w:oddHBand="0" w:evenHBand="0" w:firstRowFirstColumn="0" w:firstRowLastColumn="0" w:lastRowFirstColumn="0" w:lastRowLastColumn="0"/>
            <w:tcW w:w="1125" w:type="dxa"/>
            <w:vAlign w:val="bottom"/>
          </w:tcPr>
          <w:p w:rsidR="00174AEA" w:rsidRPr="00687A1C" w:rsidRDefault="00174AEA" w:rsidP="00466019">
            <w:pPr>
              <w:pStyle w:val="Tabletextheadingright"/>
              <w:rPr>
                <w:b/>
              </w:rPr>
            </w:pPr>
            <w:r w:rsidRPr="00687A1C">
              <w:rPr>
                <w:b/>
              </w:rPr>
              <w:t>201</w:t>
            </w:r>
            <w:r w:rsidR="00466019" w:rsidRPr="00687A1C">
              <w:rPr>
                <w:b/>
              </w:rPr>
              <w:t>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125" w:type="dxa"/>
            <w:vAlign w:val="bottom"/>
          </w:tcPr>
          <w:p w:rsidR="00174AEA" w:rsidRPr="00687A1C" w:rsidRDefault="00174AEA" w:rsidP="008A3976">
            <w:pPr>
              <w:pStyle w:val="Tabletextheadingright"/>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Del="0060755A"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Del="0060755A"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Net result</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rPr>
                <w:bCs/>
              </w:rPr>
              <w:t>1</w:t>
            </w:r>
            <w:r w:rsidR="00D8412D" w:rsidRPr="00687A1C">
              <w:rPr>
                <w:rFonts w:ascii="Calibri" w:hAnsi="Calibri" w:cs="Courier New"/>
                <w:bCs/>
              </w:rPr>
              <w:t xml:space="preserve"> </w:t>
            </w:r>
            <w:r w:rsidR="00BE1C02" w:rsidRPr="00687A1C">
              <w:rPr>
                <w:bCs/>
              </w:rPr>
              <w:t>547</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D8412D">
            <w:pPr>
              <w:pStyle w:val="Tabletextright"/>
            </w:pPr>
            <w:r w:rsidRPr="00687A1C">
              <w:rPr>
                <w:bCs/>
              </w:rPr>
              <w:t>5</w:t>
            </w:r>
            <w:r w:rsidR="00D8412D" w:rsidRPr="00687A1C">
              <w:rPr>
                <w:bCs/>
              </w:rPr>
              <w:t xml:space="preserve"> </w:t>
            </w:r>
            <w:r w:rsidRPr="00687A1C">
              <w:rPr>
                <w:bCs/>
              </w:rPr>
              <w:t>040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Depreciation and amortisation expense</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rPr>
                <w:bCs/>
              </w:rPr>
              <w:t>34</w:t>
            </w:r>
            <w:r w:rsidR="00D8412D" w:rsidRPr="00687A1C">
              <w:rPr>
                <w:rFonts w:ascii="Calibri" w:hAnsi="Calibri" w:cs="Courier New"/>
                <w:bCs/>
              </w:rPr>
              <w:t xml:space="preserve"> </w:t>
            </w:r>
            <w:r w:rsidR="00BE1C02" w:rsidRPr="00687A1C">
              <w:rPr>
                <w:bCs/>
              </w:rPr>
              <w:t>759</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D8412D">
            <w:pPr>
              <w:pStyle w:val="Tabletextright"/>
            </w:pPr>
            <w:r w:rsidRPr="00687A1C">
              <w:rPr>
                <w:bCs/>
              </w:rPr>
              <w:t>23</w:t>
            </w:r>
            <w:r w:rsidR="00D8412D" w:rsidRPr="00687A1C">
              <w:rPr>
                <w:bCs/>
              </w:rPr>
              <w:t xml:space="preserve"> </w:t>
            </w:r>
            <w:r w:rsidRPr="00687A1C">
              <w:rPr>
                <w:bCs/>
              </w:rPr>
              <w:t>629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Net (gain) on disposal of property</w:t>
            </w:r>
            <w:r w:rsidR="00C73900" w:rsidRPr="00687A1C">
              <w:t>,</w:t>
            </w:r>
            <w:r w:rsidRPr="00687A1C">
              <w:t xml:space="preserve"> plant and equipment</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Cs/>
              </w:rPr>
            </w:pPr>
            <w:r w:rsidRPr="00687A1C">
              <w:rPr>
                <w:bCs/>
              </w:rPr>
              <w:t>(78)</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rPr>
                <w:bCs/>
              </w:rPr>
            </w:pPr>
            <w:r w:rsidRPr="00687A1C">
              <w:rPr>
                <w:bCs/>
              </w:rPr>
              <w:t>(43)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Net transfers free of charge</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Cs/>
              </w:rPr>
            </w:pPr>
            <w:r w:rsidRPr="00687A1C">
              <w:rPr>
                <w:bCs/>
              </w:rPr>
              <w:t>–</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rPr>
                <w:bCs/>
              </w:rPr>
            </w:pPr>
            <w:r w:rsidRPr="00687A1C">
              <w:rPr>
                <w:bCs/>
              </w:rPr>
              <w:t>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r w:rsidRPr="00687A1C">
              <w:t>Change in operating assets and liabilities</w:t>
            </w:r>
            <w:r w:rsidR="005B45B4" w:rsidRPr="00687A1C">
              <w:t>,</w:t>
            </w:r>
            <w:r w:rsidRPr="00687A1C">
              <w:t xml:space="preserve"> net of effects of restructuring</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bullet"/>
            </w:pPr>
            <w:r w:rsidRPr="00687A1C">
              <w:t>Decrease/ (increase)</w:t>
            </w:r>
            <w:r w:rsidRPr="00687A1C" w:rsidDel="00E30D10">
              <w:t xml:space="preserve"> </w:t>
            </w:r>
            <w:r w:rsidRPr="00687A1C">
              <w:t>in receivables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rPr>
                <w:bCs/>
              </w:rPr>
              <w:t>(</w:t>
            </w:r>
            <w:r w:rsidR="00BE1C02" w:rsidRPr="00687A1C">
              <w:rPr>
                <w:bCs/>
              </w:rPr>
              <w:t>22</w:t>
            </w:r>
            <w:r w:rsidR="00D8412D" w:rsidRPr="00687A1C">
              <w:rPr>
                <w:rFonts w:ascii="Calibri" w:hAnsi="Calibri" w:cs="Courier New"/>
                <w:bCs/>
              </w:rPr>
              <w:t xml:space="preserve"> </w:t>
            </w:r>
            <w:r w:rsidR="00BE1C02" w:rsidRPr="00687A1C">
              <w:rPr>
                <w:bCs/>
              </w:rPr>
              <w:t>929</w:t>
            </w:r>
            <w:r w:rsidRPr="00687A1C">
              <w:rPr>
                <w:bCs/>
              </w:rPr>
              <w:t>)</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D8412D">
            <w:pPr>
              <w:pStyle w:val="Tabletextright"/>
            </w:pPr>
            <w:r w:rsidRPr="00687A1C">
              <w:rPr>
                <w:bCs/>
              </w:rPr>
              <w:t>(64</w:t>
            </w:r>
            <w:r w:rsidR="00D8412D" w:rsidRPr="00687A1C">
              <w:rPr>
                <w:rFonts w:ascii="Calibri" w:hAnsi="Calibri" w:cs="Courier New"/>
                <w:bCs/>
              </w:rPr>
              <w:t xml:space="preserve"> </w:t>
            </w:r>
            <w:r w:rsidRPr="00687A1C">
              <w:rPr>
                <w:bCs/>
              </w:rPr>
              <w:t>47</w:t>
            </w:r>
            <w:r w:rsidR="00BE1C02" w:rsidRPr="00687A1C">
              <w:rPr>
                <w:bCs/>
              </w:rPr>
              <w:t>6</w:t>
            </w:r>
            <w:r w:rsidRPr="00687A1C">
              <w:rPr>
                <w:bCs/>
              </w:rPr>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bullet"/>
            </w:pPr>
            <w:r w:rsidRPr="00687A1C">
              <w:t>Decrease/ (increase)</w:t>
            </w:r>
            <w:r w:rsidRPr="00687A1C" w:rsidDel="00E30D10">
              <w:t xml:space="preserve"> </w:t>
            </w:r>
            <w:r w:rsidRPr="00687A1C">
              <w:t>in other operating assets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Cs/>
              </w:rPr>
            </w:pPr>
            <w:r w:rsidRPr="00687A1C">
              <w:rPr>
                <w:bCs/>
              </w:rPr>
              <w:t>(445)</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D8412D">
            <w:pPr>
              <w:pStyle w:val="Tabletextright"/>
            </w:pPr>
            <w:r w:rsidRPr="00687A1C">
              <w:rPr>
                <w:bCs/>
              </w:rPr>
              <w:t>(1</w:t>
            </w:r>
            <w:r w:rsidR="00D8412D" w:rsidRPr="00687A1C">
              <w:rPr>
                <w:bCs/>
              </w:rPr>
              <w:t xml:space="preserve"> </w:t>
            </w:r>
            <w:r w:rsidRPr="00687A1C">
              <w:rPr>
                <w:bCs/>
              </w:rPr>
              <w:t>141)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bullet"/>
            </w:pPr>
            <w:r w:rsidRPr="00687A1C">
              <w:t>Increase in payables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BE1C02" w:rsidP="00D8412D">
            <w:pPr>
              <w:pStyle w:val="Tabletextright"/>
            </w:pPr>
            <w:r w:rsidRPr="00687A1C">
              <w:rPr>
                <w:bCs/>
              </w:rPr>
              <w:t>5</w:t>
            </w:r>
            <w:r w:rsidR="00D8412D" w:rsidRPr="00687A1C">
              <w:rPr>
                <w:rFonts w:ascii="Calibri" w:hAnsi="Calibri" w:cs="Courier New"/>
                <w:bCs/>
              </w:rPr>
              <w:t xml:space="preserve"> </w:t>
            </w:r>
            <w:r w:rsidRPr="00687A1C">
              <w:rPr>
                <w:bCs/>
              </w:rPr>
              <w:t>795</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BE1C02" w:rsidP="00D8412D">
            <w:pPr>
              <w:pStyle w:val="Tabletextright"/>
            </w:pPr>
            <w:r w:rsidRPr="00687A1C">
              <w:rPr>
                <w:bCs/>
              </w:rPr>
              <w:t>2</w:t>
            </w:r>
            <w:r w:rsidR="00D8412D" w:rsidRPr="00687A1C">
              <w:rPr>
                <w:rFonts w:ascii="Calibri" w:hAnsi="Calibri" w:cs="Courier New"/>
                <w:bCs/>
              </w:rPr>
              <w:t xml:space="preserve"> </w:t>
            </w:r>
            <w:r w:rsidRPr="00687A1C">
              <w:rPr>
                <w:bCs/>
              </w:rPr>
              <w:t>297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bullet"/>
            </w:pPr>
            <w:r w:rsidRPr="00687A1C">
              <w:t>Increase in other operating liabilities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BE1C02" w:rsidP="00D8412D">
            <w:pPr>
              <w:pStyle w:val="Tabletextright"/>
            </w:pPr>
            <w:r w:rsidRPr="00687A1C">
              <w:rPr>
                <w:bCs/>
              </w:rPr>
              <w:t>2</w:t>
            </w:r>
            <w:r w:rsidR="00D8412D" w:rsidRPr="00687A1C">
              <w:rPr>
                <w:rFonts w:ascii="Calibri" w:hAnsi="Calibri" w:cs="Courier New"/>
                <w:bCs/>
              </w:rPr>
              <w:t xml:space="preserve"> </w:t>
            </w:r>
            <w:r w:rsidRPr="00687A1C">
              <w:rPr>
                <w:bCs/>
              </w:rPr>
              <w:t>630</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BE1C02" w:rsidP="00D8412D">
            <w:pPr>
              <w:pStyle w:val="Tabletextright"/>
            </w:pPr>
            <w:r w:rsidRPr="00687A1C">
              <w:rPr>
                <w:bCs/>
              </w:rPr>
              <w:t>64</w:t>
            </w:r>
            <w:r w:rsidR="00D8412D" w:rsidRPr="00687A1C">
              <w:rPr>
                <w:rFonts w:ascii="Calibri" w:hAnsi="Calibri" w:cs="Courier New"/>
                <w:bCs/>
              </w:rPr>
              <w:t xml:space="preserve"> </w:t>
            </w:r>
            <w:r w:rsidRPr="00687A1C">
              <w:rPr>
                <w:bCs/>
              </w:rPr>
              <w:t>059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rPr>
                <w:bCs/>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26" w:type="dxa"/>
          </w:tcPr>
          <w:p w:rsidR="00174AEA" w:rsidRPr="00687A1C" w:rsidRDefault="00174AEA" w:rsidP="008A3976">
            <w:pPr>
              <w:pStyle w:val="Tabletextbold"/>
            </w:pPr>
            <w:r w:rsidRPr="00687A1C">
              <w:t>Net cash flows from operating activities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D8412D">
            <w:pPr>
              <w:pStyle w:val="Tabletextright"/>
            </w:pPr>
            <w:r w:rsidRPr="00687A1C">
              <w:rPr>
                <w:b/>
                <w:bCs/>
              </w:rPr>
              <w:t>21</w:t>
            </w:r>
            <w:r w:rsidR="00D8412D" w:rsidRPr="00687A1C">
              <w:rPr>
                <w:rFonts w:ascii="Calibri" w:hAnsi="Calibri" w:cs="Courier New"/>
                <w:b/>
                <w:bCs/>
              </w:rPr>
              <w:t xml:space="preserve"> </w:t>
            </w:r>
            <w:r w:rsidR="00BE1C02" w:rsidRPr="00687A1C">
              <w:rPr>
                <w:b/>
                <w:bCs/>
              </w:rPr>
              <w:t>279</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D8412D">
            <w:pPr>
              <w:pStyle w:val="Tabletextright"/>
            </w:pPr>
            <w:r w:rsidRPr="00687A1C">
              <w:rPr>
                <w:b/>
                <w:bCs/>
              </w:rPr>
              <w:t>29</w:t>
            </w:r>
            <w:r w:rsidR="00D8412D" w:rsidRPr="00687A1C">
              <w:rPr>
                <w:b/>
                <w:bCs/>
              </w:rPr>
              <w:t xml:space="preserve"> </w:t>
            </w:r>
            <w:r w:rsidRPr="00687A1C">
              <w:rPr>
                <w:b/>
                <w:bCs/>
              </w:rPr>
              <w:t>369</w:t>
            </w:r>
          </w:p>
        </w:tc>
      </w:tr>
    </w:tbl>
    <w:p w:rsidR="00174AEA" w:rsidRPr="00687A1C" w:rsidRDefault="00174AEA" w:rsidP="00174AEA"/>
    <w:p w:rsidR="00174AEA" w:rsidRPr="00687A1C" w:rsidRDefault="00174AEA" w:rsidP="00174AEA">
      <w:pPr>
        <w:pStyle w:val="Heading3numbered"/>
        <w:sectPr w:rsidR="00174AEA" w:rsidRPr="00687A1C" w:rsidSect="00571711">
          <w:type w:val="continuous"/>
          <w:pgSz w:w="11909" w:h="16834" w:code="9"/>
          <w:pgMar w:top="1728" w:right="1152" w:bottom="1152" w:left="1152" w:header="720" w:footer="288" w:gutter="0"/>
          <w:cols w:space="720"/>
          <w:noEndnote/>
        </w:sectPr>
      </w:pPr>
    </w:p>
    <w:p w:rsidR="00174AEA" w:rsidRPr="00687A1C" w:rsidRDefault="00174AEA" w:rsidP="00174AEA">
      <w:pPr>
        <w:spacing w:before="0" w:after="0"/>
      </w:pPr>
    </w:p>
    <w:p w:rsidR="00174AEA" w:rsidRPr="00687A1C" w:rsidRDefault="00174AEA" w:rsidP="001E1011">
      <w:pPr>
        <w:pStyle w:val="Heading3numbered"/>
      </w:pPr>
      <w:r w:rsidRPr="00687A1C">
        <w:t>Non</w:t>
      </w:r>
      <w:r w:rsidRPr="00687A1C">
        <w:noBreakHyphen/>
        <w:t>cash financing and investing activities</w:t>
      </w:r>
    </w:p>
    <w:p w:rsidR="00174AEA" w:rsidRPr="00687A1C" w:rsidRDefault="00174AEA" w:rsidP="00174AEA">
      <w:r w:rsidRPr="00687A1C">
        <w:t>During the reporting period</w:t>
      </w:r>
      <w:r w:rsidR="005B45B4" w:rsidRPr="00687A1C">
        <w:t>,</w:t>
      </w:r>
      <w:r w:rsidRPr="00687A1C">
        <w:rPr>
          <w:rFonts w:ascii="VIC" w:hAnsi="VIC"/>
        </w:rPr>
        <w:t xml:space="preserve"> </w:t>
      </w:r>
      <w:r w:rsidRPr="00687A1C">
        <w:t>motor vehicles with a fair value of $2</w:t>
      </w:r>
      <w:r w:rsidRPr="00687A1C">
        <w:rPr>
          <w:rFonts w:ascii="Calibri" w:hAnsi="Calibri" w:cs="Calibri"/>
        </w:rPr>
        <w:t> </w:t>
      </w:r>
      <w:r w:rsidR="00182947" w:rsidRPr="00687A1C">
        <w:t xml:space="preserve">244 </w:t>
      </w:r>
      <w:r w:rsidRPr="00687A1C">
        <w:t>000 (2017 – $2</w:t>
      </w:r>
      <w:r w:rsidRPr="00687A1C">
        <w:rPr>
          <w:rFonts w:ascii="Calibri" w:hAnsi="Calibri" w:cs="Calibri"/>
        </w:rPr>
        <w:t> </w:t>
      </w:r>
      <w:r w:rsidRPr="00687A1C">
        <w:t>7</w:t>
      </w:r>
      <w:r w:rsidR="00182947" w:rsidRPr="00687A1C">
        <w:t>73</w:t>
      </w:r>
      <w:r w:rsidRPr="00687A1C">
        <w:rPr>
          <w:rFonts w:ascii="Calibri" w:hAnsi="Calibri" w:cs="Calibri"/>
        </w:rPr>
        <w:t> </w:t>
      </w:r>
      <w:r w:rsidRPr="00687A1C">
        <w:t>000) were acquired by means of finance leases.</w:t>
      </w:r>
    </w:p>
    <w:p w:rsidR="00174AEA" w:rsidRPr="00687A1C" w:rsidRDefault="00174AEA" w:rsidP="00174AEA">
      <w:r w:rsidRPr="00687A1C">
        <w:t>During the reporting period</w:t>
      </w:r>
      <w:r w:rsidR="005B45B4" w:rsidRPr="00687A1C">
        <w:t>,</w:t>
      </w:r>
      <w:r w:rsidRPr="00687A1C">
        <w:rPr>
          <w:rFonts w:ascii="VIC" w:hAnsi="VIC"/>
        </w:rPr>
        <w:t xml:space="preserve"> </w:t>
      </w:r>
      <w:r w:rsidRPr="00687A1C">
        <w:t>assets amounting to $402 (2017 – $4</w:t>
      </w:r>
      <w:r w:rsidRPr="00687A1C">
        <w:rPr>
          <w:rFonts w:ascii="Calibri" w:hAnsi="Calibri" w:cs="Calibri"/>
        </w:rPr>
        <w:t> </w:t>
      </w:r>
      <w:r w:rsidRPr="00687A1C">
        <w:t>556 transferred out) were transferred into the Department from other organisations. These transfers are recognised in the comprehensive operating statement as resources transferred/received free of charge.</w:t>
      </w:r>
    </w:p>
    <w:p w:rsidR="00174AEA" w:rsidRPr="00687A1C" w:rsidRDefault="00174AEA" w:rsidP="00174AEA"/>
    <w:p w:rsidR="00174AEA" w:rsidRPr="00687A1C" w:rsidRDefault="00174AEA" w:rsidP="00174AEA">
      <w:pPr>
        <w:pStyle w:val="Heading2numbered"/>
      </w:pPr>
      <w:bookmarkStart w:id="111" w:name="_Toc495304299"/>
      <w:r w:rsidRPr="00687A1C">
        <w:br w:type="column"/>
      </w:r>
      <w:r w:rsidR="0070167E" w:rsidRPr="00687A1C">
        <w:br w:type="column"/>
      </w:r>
      <w:bookmarkStart w:id="112" w:name="_Toc525026208"/>
      <w:bookmarkStart w:id="113" w:name="_Toc525026243"/>
      <w:r w:rsidRPr="00687A1C">
        <w:lastRenderedPageBreak/>
        <w:t>Trust account balances</w:t>
      </w:r>
      <w:bookmarkEnd w:id="111"/>
      <w:bookmarkEnd w:id="112"/>
      <w:bookmarkEnd w:id="113"/>
    </w:p>
    <w:p w:rsidR="00174AEA" w:rsidRPr="00687A1C" w:rsidRDefault="00174AEA" w:rsidP="00174AEA">
      <w:r w:rsidRPr="00687A1C">
        <w:t>The financial statements include the transactions and balances of the following controlled trusts accounts:</w:t>
      </w:r>
    </w:p>
    <w:tbl>
      <w:tblPr>
        <w:tblW w:w="5000" w:type="pct"/>
        <w:tblCellMar>
          <w:left w:w="58" w:type="dxa"/>
          <w:right w:w="58" w:type="dxa"/>
        </w:tblCellMar>
        <w:tblLook w:val="0400" w:firstRow="0" w:lastRow="0" w:firstColumn="0" w:lastColumn="0" w:noHBand="0" w:noVBand="1"/>
      </w:tblPr>
      <w:tblGrid>
        <w:gridCol w:w="2038"/>
        <w:gridCol w:w="2520"/>
      </w:tblGrid>
      <w:tr w:rsidR="00174AEA" w:rsidRPr="00687A1C" w:rsidTr="008A3976">
        <w:trPr>
          <w:cantSplit/>
          <w:tblHeader/>
        </w:trPr>
        <w:tc>
          <w:tcPr>
            <w:tcW w:w="2236" w:type="pct"/>
            <w:hideMark/>
          </w:tcPr>
          <w:p w:rsidR="00174AEA" w:rsidRPr="00687A1C" w:rsidRDefault="00174AEA" w:rsidP="008A3976">
            <w:pPr>
              <w:pStyle w:val="Tabletextheadingleft"/>
              <w:keepNext/>
            </w:pPr>
            <w:r w:rsidRPr="00687A1C">
              <w:t>Trust account</w:t>
            </w:r>
          </w:p>
        </w:tc>
        <w:tc>
          <w:tcPr>
            <w:tcW w:w="2764" w:type="pct"/>
            <w:shd w:val="clear" w:color="auto" w:fill="DDDDDD"/>
            <w:hideMark/>
          </w:tcPr>
          <w:p w:rsidR="00174AEA" w:rsidRPr="00687A1C" w:rsidRDefault="00174AEA" w:rsidP="008A3976">
            <w:pPr>
              <w:pStyle w:val="Tabletextheadingleft"/>
            </w:pPr>
            <w:r w:rsidRPr="00687A1C">
              <w:t>Purpose</w:t>
            </w:r>
          </w:p>
        </w:tc>
      </w:tr>
      <w:tr w:rsidR="00174AEA" w:rsidRPr="00687A1C" w:rsidTr="008A3976">
        <w:trPr>
          <w:cantSplit/>
        </w:trPr>
        <w:tc>
          <w:tcPr>
            <w:tcW w:w="2236" w:type="pct"/>
            <w:hideMark/>
          </w:tcPr>
          <w:p w:rsidR="00174AEA" w:rsidRPr="00687A1C" w:rsidRDefault="00174AEA" w:rsidP="008A3976">
            <w:pPr>
              <w:pStyle w:val="Tabletext"/>
            </w:pPr>
            <w:r w:rsidRPr="00687A1C">
              <w:t xml:space="preserve">Finance Agency Trust – </w:t>
            </w:r>
            <w:r w:rsidRPr="00687A1C">
              <w:rPr>
                <w:i/>
              </w:rPr>
              <w:t>Financial Management Act 1994</w:t>
            </w:r>
          </w:p>
        </w:tc>
        <w:tc>
          <w:tcPr>
            <w:tcW w:w="2764" w:type="pct"/>
            <w:shd w:val="clear" w:color="auto" w:fill="DDDDDD"/>
          </w:tcPr>
          <w:p w:rsidR="00174AEA" w:rsidRPr="00687A1C" w:rsidRDefault="00174AEA" w:rsidP="008A3976">
            <w:pPr>
              <w:pStyle w:val="Tabletext"/>
            </w:pPr>
            <w:r w:rsidRPr="00687A1C">
              <w:t>To record the receipt of funds pending disbursement for fitout works</w:t>
            </w:r>
            <w:r w:rsidR="005B45B4" w:rsidRPr="00687A1C">
              <w:t>,</w:t>
            </w:r>
            <w:r w:rsidRPr="00687A1C">
              <w:rPr>
                <w:rFonts w:ascii="VIC" w:hAnsi="VIC"/>
              </w:rPr>
              <w:t xml:space="preserve"> </w:t>
            </w:r>
            <w:r w:rsidRPr="00687A1C">
              <w:t>minor and major capital works</w:t>
            </w:r>
            <w:r w:rsidR="005B45B4" w:rsidRPr="00687A1C">
              <w:t>,</w:t>
            </w:r>
            <w:r w:rsidRPr="00687A1C">
              <w:rPr>
                <w:rFonts w:ascii="VIC" w:hAnsi="VIC"/>
              </w:rPr>
              <w:t xml:space="preserve"> </w:t>
            </w:r>
            <w:r w:rsidR="007F419B" w:rsidRPr="00687A1C">
              <w:t>construction and construction-</w:t>
            </w:r>
            <w:r w:rsidRPr="00687A1C">
              <w:t>related works and general projects undertaken on the Department’s buildings and tenancies.</w:t>
            </w:r>
          </w:p>
        </w:tc>
      </w:tr>
      <w:tr w:rsidR="00174AEA" w:rsidRPr="00687A1C" w:rsidTr="008A3976">
        <w:trPr>
          <w:cantSplit/>
        </w:trPr>
        <w:tc>
          <w:tcPr>
            <w:tcW w:w="2236" w:type="pct"/>
            <w:hideMark/>
          </w:tcPr>
          <w:p w:rsidR="00174AEA" w:rsidRPr="00687A1C" w:rsidRDefault="00174AEA" w:rsidP="008A3976">
            <w:pPr>
              <w:pStyle w:val="Tabletext"/>
            </w:pPr>
            <w:r w:rsidRPr="00687A1C">
              <w:t xml:space="preserve">Government Accommodation Trust – </w:t>
            </w:r>
            <w:r w:rsidRPr="00687A1C">
              <w:rPr>
                <w:i/>
              </w:rPr>
              <w:t>Financial Management Act 1994</w:t>
            </w:r>
          </w:p>
        </w:tc>
        <w:tc>
          <w:tcPr>
            <w:tcW w:w="2764" w:type="pct"/>
            <w:shd w:val="clear" w:color="auto" w:fill="DDDDDD"/>
            <w:hideMark/>
          </w:tcPr>
          <w:p w:rsidR="00174AEA" w:rsidRPr="00687A1C" w:rsidRDefault="00174AEA" w:rsidP="008A3976">
            <w:pPr>
              <w:pStyle w:val="Tabletext"/>
            </w:pPr>
            <w:r w:rsidRPr="00687A1C">
              <w:t>To receive all rents and pay all outgoings associated with the management of properties administered by the Department and to fund minor capital works.</w:t>
            </w:r>
          </w:p>
        </w:tc>
      </w:tr>
      <w:tr w:rsidR="00174AEA" w:rsidRPr="00687A1C" w:rsidTr="008A3976">
        <w:trPr>
          <w:cantSplit/>
        </w:trPr>
        <w:tc>
          <w:tcPr>
            <w:tcW w:w="2236" w:type="pct"/>
          </w:tcPr>
          <w:p w:rsidR="00174AEA" w:rsidRPr="00687A1C" w:rsidRDefault="00174AEA" w:rsidP="008A3976">
            <w:pPr>
              <w:pStyle w:val="Tabletext"/>
            </w:pPr>
            <w:r w:rsidRPr="00687A1C">
              <w:t>Industry Supervision Fund</w:t>
            </w:r>
            <w:r w:rsidR="00BE1C02" w:rsidRPr="00687A1C">
              <w:rPr>
                <w:rFonts w:ascii="Calibri" w:hAnsi="Calibri" w:cs="Calibri"/>
              </w:rPr>
              <w:t> </w:t>
            </w:r>
            <w:r w:rsidRPr="00687A1C">
              <w:rPr>
                <w:rFonts w:ascii="Calibri" w:hAnsi="Calibri" w:cs="Calibri"/>
              </w:rPr>
              <w:t xml:space="preserve">– </w:t>
            </w:r>
            <w:r w:rsidRPr="00687A1C">
              <w:rPr>
                <w:i/>
              </w:rPr>
              <w:t>Financial Sector Reform (Victoria) Act 1999</w:t>
            </w:r>
          </w:p>
        </w:tc>
        <w:tc>
          <w:tcPr>
            <w:tcW w:w="2764" w:type="pct"/>
            <w:shd w:val="clear" w:color="auto" w:fill="DDDDDD"/>
          </w:tcPr>
          <w:p w:rsidR="00174AEA" w:rsidRPr="00687A1C" w:rsidRDefault="00174AEA" w:rsidP="008A3976">
            <w:pPr>
              <w:pStyle w:val="Tabletext"/>
            </w:pPr>
            <w:r w:rsidRPr="00687A1C">
              <w:t>To facilitate the registration of financial institutions made under the Financial Sector Reform Act.</w:t>
            </w:r>
          </w:p>
        </w:tc>
      </w:tr>
      <w:tr w:rsidR="00174AEA" w:rsidRPr="00687A1C" w:rsidTr="008A3976">
        <w:trPr>
          <w:cantSplit/>
        </w:trPr>
        <w:tc>
          <w:tcPr>
            <w:tcW w:w="2236" w:type="pct"/>
          </w:tcPr>
          <w:p w:rsidR="00174AEA" w:rsidRPr="00687A1C" w:rsidRDefault="00174AEA" w:rsidP="008A3976">
            <w:pPr>
              <w:pStyle w:val="Tabletext"/>
            </w:pPr>
            <w:r w:rsidRPr="00687A1C">
              <w:t>Inter-departmental Transfer Trust –</w:t>
            </w:r>
            <w:r w:rsidR="007F419B" w:rsidRPr="00687A1C">
              <w:t xml:space="preserve"> </w:t>
            </w:r>
            <w:r w:rsidRPr="00687A1C">
              <w:rPr>
                <w:i/>
              </w:rPr>
              <w:t>Financial Management Act 1994</w:t>
            </w:r>
          </w:p>
        </w:tc>
        <w:tc>
          <w:tcPr>
            <w:tcW w:w="2764" w:type="pct"/>
            <w:shd w:val="clear" w:color="auto" w:fill="DDDDDD"/>
          </w:tcPr>
          <w:p w:rsidR="00174AEA" w:rsidRPr="00687A1C" w:rsidRDefault="00174AEA" w:rsidP="008A3976">
            <w:pPr>
              <w:pStyle w:val="Tabletext"/>
            </w:pPr>
            <w:r w:rsidRPr="00687A1C">
              <w:t>To record inter-departmental transfers where no other trust arrangement exists.</w:t>
            </w:r>
          </w:p>
        </w:tc>
      </w:tr>
      <w:tr w:rsidR="00174AEA" w:rsidRPr="00687A1C" w:rsidTr="008A3976">
        <w:trPr>
          <w:cantSplit/>
        </w:trPr>
        <w:tc>
          <w:tcPr>
            <w:tcW w:w="2236" w:type="pct"/>
            <w:shd w:val="clear" w:color="auto" w:fill="FFFFFF" w:themeFill="background1"/>
          </w:tcPr>
          <w:p w:rsidR="00174AEA" w:rsidRPr="00687A1C" w:rsidRDefault="00174AEA" w:rsidP="008A3976">
            <w:pPr>
              <w:pStyle w:val="Tabletext"/>
            </w:pPr>
            <w:r w:rsidRPr="00687A1C">
              <w:t xml:space="preserve">Master Agency Media Services Trust (MAMS) – </w:t>
            </w:r>
            <w:r w:rsidRPr="00687A1C">
              <w:rPr>
                <w:i/>
              </w:rPr>
              <w:t>Financial Management Act 1994</w:t>
            </w:r>
          </w:p>
        </w:tc>
        <w:tc>
          <w:tcPr>
            <w:tcW w:w="2764" w:type="pct"/>
            <w:shd w:val="clear" w:color="auto" w:fill="DDDDDD"/>
          </w:tcPr>
          <w:p w:rsidR="00174AEA" w:rsidRPr="00687A1C" w:rsidRDefault="00174AEA" w:rsidP="005B45B4">
            <w:pPr>
              <w:pStyle w:val="Tabletext"/>
            </w:pPr>
            <w:r w:rsidRPr="00687A1C">
              <w:t>To record the receipt of service fees and disbursement of media</w:t>
            </w:r>
            <w:r w:rsidR="007F419B" w:rsidRPr="00687A1C">
              <w:t>-</w:t>
            </w:r>
            <w:r w:rsidRPr="00687A1C">
              <w:t>related expenses under the MAMS contract.</w:t>
            </w:r>
          </w:p>
        </w:tc>
      </w:tr>
      <w:tr w:rsidR="00174AEA" w:rsidRPr="00687A1C" w:rsidTr="008A3976">
        <w:trPr>
          <w:cantSplit/>
        </w:trPr>
        <w:tc>
          <w:tcPr>
            <w:tcW w:w="2236" w:type="pct"/>
            <w:hideMark/>
          </w:tcPr>
          <w:p w:rsidR="00174AEA" w:rsidRPr="00687A1C" w:rsidRDefault="00174AEA" w:rsidP="008A3976">
            <w:pPr>
              <w:pStyle w:val="Tabletext"/>
            </w:pPr>
            <w:r w:rsidRPr="00687A1C">
              <w:t xml:space="preserve">Shared Corporate Services Trust Account – </w:t>
            </w:r>
            <w:r w:rsidRPr="00687A1C">
              <w:rPr>
                <w:i/>
              </w:rPr>
              <w:t>Financial Management Act 1994</w:t>
            </w:r>
          </w:p>
        </w:tc>
        <w:tc>
          <w:tcPr>
            <w:tcW w:w="2764" w:type="pct"/>
            <w:shd w:val="clear" w:color="auto" w:fill="DDDDDD"/>
            <w:hideMark/>
          </w:tcPr>
          <w:p w:rsidR="00174AEA" w:rsidRPr="00687A1C" w:rsidRDefault="00174AEA" w:rsidP="005B45B4">
            <w:pPr>
              <w:pStyle w:val="Tabletext"/>
            </w:pPr>
            <w:r w:rsidRPr="00687A1C">
              <w:t>To record receipts and payments for shared corporate services</w:t>
            </w:r>
            <w:r w:rsidR="005B45B4" w:rsidRPr="00687A1C">
              <w:t>,</w:t>
            </w:r>
            <w:r w:rsidRPr="00687A1C">
              <w:rPr>
                <w:rFonts w:ascii="VIC" w:hAnsi="VIC"/>
              </w:rPr>
              <w:t xml:space="preserve"> </w:t>
            </w:r>
            <w:r w:rsidRPr="00687A1C">
              <w:t>including</w:t>
            </w:r>
            <w:r w:rsidR="007F419B" w:rsidRPr="00687A1C">
              <w:t>,</w:t>
            </w:r>
            <w:r w:rsidRPr="00687A1C">
              <w:rPr>
                <w:rFonts w:ascii="VIC" w:hAnsi="VIC"/>
              </w:rPr>
              <w:t xml:space="preserve"> </w:t>
            </w:r>
            <w:r w:rsidRPr="00687A1C">
              <w:t>but not limited to</w:t>
            </w:r>
            <w:r w:rsidR="005B45B4" w:rsidRPr="00687A1C">
              <w:t>,</w:t>
            </w:r>
            <w:r w:rsidRPr="00687A1C">
              <w:rPr>
                <w:rFonts w:ascii="VIC" w:hAnsi="VIC"/>
              </w:rPr>
              <w:t xml:space="preserve"> </w:t>
            </w:r>
            <w:r w:rsidRPr="00687A1C">
              <w:t>the operations of the Shared Service Provider.</w:t>
            </w:r>
          </w:p>
        </w:tc>
      </w:tr>
      <w:tr w:rsidR="00174AEA" w:rsidRPr="00687A1C" w:rsidTr="008A3976">
        <w:trPr>
          <w:cantSplit/>
        </w:trPr>
        <w:tc>
          <w:tcPr>
            <w:tcW w:w="2236" w:type="pct"/>
            <w:hideMark/>
          </w:tcPr>
          <w:p w:rsidR="00174AEA" w:rsidRPr="00687A1C" w:rsidRDefault="00174AEA" w:rsidP="008A3976">
            <w:pPr>
              <w:pStyle w:val="Tabletext"/>
            </w:pPr>
            <w:r w:rsidRPr="00687A1C">
              <w:t xml:space="preserve">Treasury Trust – </w:t>
            </w:r>
            <w:r w:rsidRPr="00687A1C">
              <w:rPr>
                <w:i/>
              </w:rPr>
              <w:t>Financial Management Act 1994</w:t>
            </w:r>
          </w:p>
        </w:tc>
        <w:tc>
          <w:tcPr>
            <w:tcW w:w="2764" w:type="pct"/>
            <w:shd w:val="clear" w:color="auto" w:fill="DDDDDD"/>
            <w:hideMark/>
          </w:tcPr>
          <w:p w:rsidR="00174AEA" w:rsidRPr="00687A1C" w:rsidRDefault="00174AEA" w:rsidP="008A3976">
            <w:pPr>
              <w:pStyle w:val="Tabletext"/>
            </w:pPr>
            <w:r w:rsidRPr="00687A1C">
              <w:t>To record the Department’s receipt and disbursement of unclaimed and unidentified monies and other funds held in trust.</w:t>
            </w:r>
          </w:p>
        </w:tc>
      </w:tr>
      <w:tr w:rsidR="00174AEA" w:rsidRPr="00687A1C" w:rsidTr="008A3976">
        <w:trPr>
          <w:cantSplit/>
        </w:trPr>
        <w:tc>
          <w:tcPr>
            <w:tcW w:w="2236" w:type="pct"/>
            <w:hideMark/>
          </w:tcPr>
          <w:p w:rsidR="00174AEA" w:rsidRPr="00687A1C" w:rsidRDefault="00174AEA" w:rsidP="008A3976">
            <w:pPr>
              <w:pStyle w:val="Tabletext"/>
            </w:pPr>
            <w:r w:rsidRPr="00687A1C">
              <w:t xml:space="preserve">Vehicle Lease Trust – </w:t>
            </w:r>
            <w:r w:rsidRPr="00687A1C">
              <w:rPr>
                <w:i/>
              </w:rPr>
              <w:t>Financial Management Act 1994</w:t>
            </w:r>
          </w:p>
        </w:tc>
        <w:tc>
          <w:tcPr>
            <w:tcW w:w="2764" w:type="pct"/>
            <w:shd w:val="clear" w:color="auto" w:fill="DDDDDD"/>
            <w:hideMark/>
          </w:tcPr>
          <w:p w:rsidR="00174AEA" w:rsidRPr="00687A1C" w:rsidRDefault="00174AEA" w:rsidP="008A3976">
            <w:pPr>
              <w:pStyle w:val="Tabletext"/>
            </w:pPr>
            <w:r w:rsidRPr="00687A1C">
              <w:t>To record transactions relating to the Department’s vehicle pool and the management fee revenue and costs of the VicFleet business unit.</w:t>
            </w:r>
          </w:p>
        </w:tc>
      </w:tr>
    </w:tbl>
    <w:p w:rsidR="00174AEA" w:rsidRPr="00687A1C" w:rsidRDefault="00174AEA" w:rsidP="00174AEA"/>
    <w:p w:rsidR="00174AEA" w:rsidRPr="00687A1C" w:rsidRDefault="00174AEA" w:rsidP="00174AEA">
      <w:r w:rsidRPr="00687A1C">
        <w:br w:type="column"/>
      </w:r>
      <w:r w:rsidRPr="00687A1C">
        <w:t>The administered activities of the Department include the following administered trust accounts:</w:t>
      </w:r>
    </w:p>
    <w:tbl>
      <w:tblPr>
        <w:tblW w:w="0" w:type="auto"/>
        <w:tblCellMar>
          <w:top w:w="28" w:type="dxa"/>
          <w:left w:w="58" w:type="dxa"/>
          <w:bottom w:w="28" w:type="dxa"/>
          <w:right w:w="58" w:type="dxa"/>
        </w:tblCellMar>
        <w:tblLook w:val="04A0" w:firstRow="1" w:lastRow="0" w:firstColumn="1" w:lastColumn="0" w:noHBand="0" w:noVBand="1"/>
      </w:tblPr>
      <w:tblGrid>
        <w:gridCol w:w="2038"/>
        <w:gridCol w:w="2480"/>
      </w:tblGrid>
      <w:tr w:rsidR="004A3756" w:rsidRPr="00687A1C" w:rsidTr="00750E68">
        <w:trPr>
          <w:cantSplit/>
          <w:tblHeader/>
        </w:trPr>
        <w:tc>
          <w:tcPr>
            <w:tcW w:w="2038" w:type="dxa"/>
            <w:tcBorders>
              <w:top w:val="nil"/>
              <w:left w:val="nil"/>
              <w:bottom w:val="nil"/>
              <w:right w:val="nil"/>
            </w:tcBorders>
            <w:shd w:val="clear" w:color="auto" w:fill="FFFFFF" w:themeFill="background1"/>
            <w:hideMark/>
          </w:tcPr>
          <w:p w:rsidR="004A3756" w:rsidRPr="00687A1C" w:rsidRDefault="004A3756" w:rsidP="00750E68">
            <w:pPr>
              <w:pStyle w:val="Tabletextheadingleft"/>
            </w:pPr>
            <w:r w:rsidRPr="00687A1C">
              <w:t>Trust account</w:t>
            </w:r>
          </w:p>
        </w:tc>
        <w:tc>
          <w:tcPr>
            <w:tcW w:w="2480" w:type="dxa"/>
            <w:tcBorders>
              <w:top w:val="nil"/>
              <w:left w:val="nil"/>
              <w:bottom w:val="nil"/>
              <w:right w:val="nil"/>
            </w:tcBorders>
            <w:shd w:val="clear" w:color="auto" w:fill="DDDDDD"/>
            <w:hideMark/>
          </w:tcPr>
          <w:p w:rsidR="004A3756" w:rsidRPr="00687A1C" w:rsidRDefault="004A3756" w:rsidP="00750E68">
            <w:pPr>
              <w:pStyle w:val="Tabletextheadingleft"/>
            </w:pPr>
            <w:r w:rsidRPr="00687A1C">
              <w:t>Purpose</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2017 Bourke Street Fund Trust Account – </w:t>
            </w:r>
            <w:r w:rsidRPr="00687A1C">
              <w:rPr>
                <w:i/>
                <w:iCs/>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receive donations and other contributions to assist the immediate families of the deceased and injured individuals and their immediate families affected by the 2017 Bourke St tragedy.</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Asset Sales Deposit Trust Account – </w:t>
            </w:r>
            <w:r w:rsidRPr="00687A1C">
              <w:rPr>
                <w:i/>
                <w:iCs/>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the receipt of deposits lodged in connection with asset sales and their disbursement in accordance with the terms of settlement.</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Cattle Compensation Fund – </w:t>
            </w:r>
            <w:r w:rsidRPr="00687A1C">
              <w:rPr>
                <w:i/>
              </w:rPr>
              <w:t>Livestock Disease Control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receive stamp duties paid by agents relating to sale of cattle, and fines and monies received from the Commonwealth; and make payments including compensation claims from graziers, and costs of transportation and destruction of condemned cattle.</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Community Support Fund Trust – </w:t>
            </w:r>
            <w:r w:rsidRPr="00687A1C">
              <w:rPr>
                <w:i/>
                <w:iCs/>
              </w:rPr>
              <w:t>Gaming Machine Control Act 1991</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the receipt (under special appropriations) of certain gambling revenues and the disbursement of these funds in accordance with the requirements of the Act, including the funding of gambling research and various community programs.</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Debt Portfolio Trust – </w:t>
            </w:r>
            <w:r w:rsidRPr="00687A1C">
              <w:rPr>
                <w:i/>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facilitate the recording of the cash transactions associated with Public Account borrowings and their management, aimed at enhancing administrative and operational efficiency.</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Finance Agency Trust – </w:t>
            </w:r>
            <w:r w:rsidRPr="00687A1C">
              <w:rPr>
                <w:i/>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the receipt of funds from client departments and agencies pending disbursement for fitout works, minor and major capital works, construction and construction related works and general projects undertaken on their behalf.</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HomesVic Trust – </w:t>
            </w:r>
            <w:r w:rsidRPr="00687A1C">
              <w:rPr>
                <w:i/>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 xml:space="preserve">To record the receipt and disbursement of funds relating to the State’s shared equity scheme to support lower to moderate income first home buyers enter into home ownership. </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keepNext/>
              <w:rPr>
                <w:sz w:val="20"/>
              </w:rPr>
            </w:pPr>
            <w:r w:rsidRPr="00687A1C">
              <w:t xml:space="preserve">Inter-departmental Transfer Trust – </w:t>
            </w:r>
            <w:r w:rsidRPr="00687A1C">
              <w:rPr>
                <w:i/>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rPr>
                <w:color w:val="auto"/>
              </w:rPr>
            </w:pPr>
            <w:r w:rsidRPr="00687A1C">
              <w:t xml:space="preserve">To record inter-departmental transfers where no other trust arrangement exists. </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Land Acquisition and Compensation Trust – </w:t>
            </w:r>
            <w:r w:rsidRPr="00687A1C">
              <w:rPr>
                <w:i/>
                <w:iCs/>
              </w:rPr>
              <w:t>Land Acquisition and Compensation Act 1986</w:t>
            </w:r>
          </w:p>
        </w:tc>
        <w:tc>
          <w:tcPr>
            <w:tcW w:w="2480" w:type="dxa"/>
            <w:tcBorders>
              <w:top w:val="nil"/>
              <w:left w:val="nil"/>
              <w:bottom w:val="nil"/>
              <w:right w:val="nil"/>
            </w:tcBorders>
            <w:shd w:val="clear" w:color="auto" w:fill="DDDDDD"/>
          </w:tcPr>
          <w:p w:rsidR="004A3756" w:rsidRPr="00687A1C" w:rsidRDefault="004A3756" w:rsidP="004A3756">
            <w:pPr>
              <w:pStyle w:val="Tabletext"/>
              <w:rPr>
                <w:color w:val="000000"/>
              </w:rPr>
            </w:pPr>
            <w:r w:rsidRPr="00687A1C">
              <w:t>To hold land compensation monies where claimant not found.</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Public Service Commuter Club Trust – </w:t>
            </w:r>
            <w:r w:rsidRPr="00687A1C">
              <w:rPr>
                <w:i/>
                <w:iCs/>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the receipt and payment of amounts relating to the purchase of rail tickets and associated reimbursement from Club members.</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Security Trust – </w:t>
            </w:r>
            <w:r w:rsidRPr="00687A1C">
              <w:rPr>
                <w:i/>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hold securities lodged by contractors to various departments as a guarantee of satisfactorily fulfilling contractual obligations.</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lastRenderedPageBreak/>
              <w:t xml:space="preserve">Sheep And Goat Compensation Fund – </w:t>
            </w:r>
            <w:r w:rsidRPr="00687A1C">
              <w:rPr>
                <w:i/>
              </w:rPr>
              <w:t>Livestock Disease Control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receive stamp duties paid by agents relating to sale of sheep and goats, and fines and monies received from the Commonwealth; and make payments including compensation claims from graziers, and costs of transportation and destruction of condemned sheep and goats.</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Swine Compensation Trust – </w:t>
            </w:r>
            <w:r w:rsidRPr="00687A1C">
              <w:rPr>
                <w:i/>
              </w:rPr>
              <w:t>Livestock Disease Control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receive stamp duties, penalties and other monies relating to the sale of pigs and to make payments including compensation claims and costs of transportation and destruction of condemned pigs.</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Treasury Trust – </w:t>
            </w:r>
            <w:r w:rsidRPr="00687A1C">
              <w:rPr>
                <w:i/>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on behalf of the State, the receipt and disbursement of unclaimed and unidentified monies and other funds held in trust.</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Vehicle Lease Trust – </w:t>
            </w:r>
            <w:r w:rsidRPr="00687A1C">
              <w:rPr>
                <w:i/>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transactions relating to the Government's vehicle pool and fleet management operations.</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Victorian Natural Disasters Relief Account – </w:t>
            </w:r>
            <w:r w:rsidRPr="00687A1C">
              <w:rPr>
                <w:i/>
                <w:iCs/>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the receipt and disbursement of funds in connection with natural disasters in Victoria.</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 xml:space="preserve">Victorian Social Housing Growth Fund – </w:t>
            </w:r>
            <w:r w:rsidRPr="00687A1C">
              <w:rPr>
                <w:i/>
                <w:iCs/>
              </w:rPr>
              <w:t>Financial Management Act 1994</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record the receipt of capital funds and investment revenues pending disbursement of such revenues to increase the supply of social housing either directly through dedicated construction of social and affordable housing or by subsidising rental properties in the private market.</w:t>
            </w:r>
          </w:p>
        </w:tc>
      </w:tr>
      <w:tr w:rsidR="004A3756" w:rsidRPr="00687A1C" w:rsidTr="00750E68">
        <w:trPr>
          <w:cantSplit/>
        </w:trPr>
        <w:tc>
          <w:tcPr>
            <w:tcW w:w="2038" w:type="dxa"/>
            <w:tcBorders>
              <w:top w:val="nil"/>
              <w:left w:val="nil"/>
              <w:bottom w:val="nil"/>
              <w:right w:val="nil"/>
            </w:tcBorders>
            <w:shd w:val="clear" w:color="auto" w:fill="FFFFFF" w:themeFill="background1"/>
          </w:tcPr>
          <w:p w:rsidR="004A3756" w:rsidRPr="00687A1C" w:rsidRDefault="004A3756" w:rsidP="004A3756">
            <w:pPr>
              <w:pStyle w:val="Tabletext"/>
            </w:pPr>
            <w:r w:rsidRPr="00687A1C">
              <w:t>Victorian Transport Fund</w:t>
            </w:r>
            <w:r w:rsidRPr="00687A1C">
              <w:rPr>
                <w:rFonts w:ascii="Calibri" w:hAnsi="Calibri" w:cs="Courier New"/>
              </w:rPr>
              <w:t> </w:t>
            </w:r>
            <w:r w:rsidRPr="00687A1C">
              <w:t xml:space="preserve">– </w:t>
            </w:r>
            <w:r w:rsidRPr="00687A1C">
              <w:rPr>
                <w:i/>
              </w:rPr>
              <w:t>Delivering Victorian Infrastructure (Port of Melbourne Lease Transaction) Act 2016</w:t>
            </w:r>
          </w:p>
        </w:tc>
        <w:tc>
          <w:tcPr>
            <w:tcW w:w="2480" w:type="dxa"/>
            <w:tcBorders>
              <w:top w:val="nil"/>
              <w:left w:val="nil"/>
              <w:bottom w:val="nil"/>
              <w:right w:val="nil"/>
            </w:tcBorders>
            <w:shd w:val="clear" w:color="auto" w:fill="DDDDDD"/>
          </w:tcPr>
          <w:p w:rsidR="004A3756" w:rsidRPr="00687A1C" w:rsidRDefault="004A3756" w:rsidP="004A3756">
            <w:pPr>
              <w:pStyle w:val="Tabletext"/>
            </w:pPr>
            <w:r w:rsidRPr="00687A1C">
              <w:t>To fund infrastructure projects for or in relation to public transport, roads, rail, the movement of freight, ports or other infrastructure (including regional infrastructure).</w:t>
            </w:r>
          </w:p>
        </w:tc>
      </w:tr>
    </w:tbl>
    <w:p w:rsidR="004A3756" w:rsidRPr="00687A1C" w:rsidRDefault="004A3756" w:rsidP="00174AEA"/>
    <w:p w:rsidR="004A3756" w:rsidRPr="00687A1C" w:rsidRDefault="004A3756" w:rsidP="00174AEA"/>
    <w:p w:rsidR="004A3756" w:rsidRPr="00687A1C" w:rsidRDefault="004A3756" w:rsidP="004A3756">
      <w:r w:rsidRPr="00687A1C">
        <w:t>The HomesVic Trust was established under the</w:t>
      </w:r>
      <w:r w:rsidRPr="00687A1C">
        <w:rPr>
          <w:i/>
        </w:rPr>
        <w:t xml:space="preserve"> Financial Management Act 1994 </w:t>
      </w:r>
      <w:r w:rsidRPr="00687A1C">
        <w:t>on 2 November 2017 and the HomesVic shared equity pilot was launched on 12 February 2018. The Government allocated $50</w:t>
      </w:r>
      <w:r w:rsidR="001A74BD" w:rsidRPr="00687A1C">
        <w:rPr>
          <w:rFonts w:ascii="Calibri" w:hAnsi="Calibri" w:cs="Courier New"/>
        </w:rPr>
        <w:t> </w:t>
      </w:r>
      <w:r w:rsidRPr="00687A1C">
        <w:t xml:space="preserve">million to the Department to establish the shared equity pilot. </w:t>
      </w:r>
    </w:p>
    <w:p w:rsidR="00174AEA" w:rsidRPr="00687A1C" w:rsidRDefault="004A3756" w:rsidP="004A3756">
      <w:r w:rsidRPr="00687A1C">
        <w:t>During the year</w:t>
      </w:r>
      <w:r w:rsidR="001A74BD" w:rsidRPr="00687A1C">
        <w:t>,</w:t>
      </w:r>
      <w:r w:rsidRPr="00687A1C">
        <w:t xml:space="preserve"> the 2017 Bourke Street Fund Trust Account was closed. The inter-departmental Transfer Trust was established in May 2017, with an effective date of 30 June 2017.</w:t>
      </w:r>
    </w:p>
    <w:p w:rsidR="00174AEA" w:rsidRPr="00687A1C" w:rsidRDefault="00174AEA" w:rsidP="00174AEA"/>
    <w:p w:rsidR="00174AEA" w:rsidRPr="00687A1C" w:rsidRDefault="00174AEA" w:rsidP="00174AEA"/>
    <w:p w:rsidR="00174AEA" w:rsidRPr="00687A1C" w:rsidRDefault="00174AEA" w:rsidP="00174AEA">
      <w:pPr>
        <w:sectPr w:rsidR="00174AEA" w:rsidRPr="00687A1C" w:rsidSect="00263930">
          <w:type w:val="continuous"/>
          <w:pgSz w:w="11909" w:h="16834" w:code="9"/>
          <w:pgMar w:top="1728" w:right="1152" w:bottom="1152" w:left="1152" w:header="720" w:footer="288" w:gutter="0"/>
          <w:cols w:num="2" w:space="720"/>
          <w:noEndnote/>
        </w:sectPr>
      </w:pPr>
    </w:p>
    <w:p w:rsidR="00174AEA" w:rsidRPr="00687A1C" w:rsidRDefault="00174AEA" w:rsidP="001E1011">
      <w:pPr>
        <w:pStyle w:val="Heading3numbered"/>
        <w:ind w:left="900"/>
      </w:pPr>
      <w:r w:rsidRPr="00687A1C">
        <w:lastRenderedPageBreak/>
        <w:t>Trust account balances relating to trust accounts controlled and/or administered by the Department</w:t>
      </w:r>
    </w:p>
    <w:tbl>
      <w:tblPr>
        <w:tblStyle w:val="AnnualReportfinancialtable"/>
        <w:tblW w:w="4965" w:type="pct"/>
        <w:tblInd w:w="356" w:type="dxa"/>
        <w:tblLayout w:type="fixed"/>
        <w:tblLook w:val="02A0" w:firstRow="1" w:lastRow="0" w:firstColumn="1" w:lastColumn="0" w:noHBand="1" w:noVBand="0"/>
      </w:tblPr>
      <w:tblGrid>
        <w:gridCol w:w="4508"/>
        <w:gridCol w:w="1189"/>
        <w:gridCol w:w="1189"/>
        <w:gridCol w:w="1187"/>
        <w:gridCol w:w="1204"/>
        <w:gridCol w:w="1184"/>
        <w:gridCol w:w="1184"/>
        <w:gridCol w:w="1187"/>
        <w:gridCol w:w="1195"/>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700" w:type="pct"/>
            <w:gridSpan w:val="4"/>
          </w:tcPr>
          <w:p w:rsidR="00174AEA" w:rsidRPr="00687A1C" w:rsidRDefault="00174AEA" w:rsidP="008A3976">
            <w:pPr>
              <w:pStyle w:val="Tabletextheadingcentred"/>
              <w:rPr>
                <w:b/>
              </w:rPr>
            </w:pPr>
            <w:r w:rsidRPr="00687A1C">
              <w:rPr>
                <w:b/>
              </w:rPr>
              <w:t>2018</w:t>
            </w:r>
          </w:p>
        </w:tc>
        <w:tc>
          <w:tcPr>
            <w:cnfStyle w:val="000001000000" w:firstRow="0" w:lastRow="0" w:firstColumn="0" w:lastColumn="0" w:oddVBand="0" w:evenVBand="1" w:oddHBand="0" w:evenHBand="0" w:firstRowFirstColumn="0" w:firstRowLastColumn="0" w:lastRowFirstColumn="0" w:lastRowLastColumn="0"/>
            <w:tcW w:w="1693" w:type="pct"/>
            <w:gridSpan w:val="4"/>
            <w:shd w:val="clear" w:color="auto" w:fill="E0E0E0"/>
          </w:tcPr>
          <w:p w:rsidR="00174AEA" w:rsidRPr="00687A1C" w:rsidRDefault="00174AEA" w:rsidP="008A3976">
            <w:pPr>
              <w:pStyle w:val="Tabletextheadingcentred"/>
            </w:pPr>
            <w:r w:rsidRPr="00687A1C">
              <w:rPr>
                <w:b/>
              </w:rPr>
              <w:t>2017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shd w:val="clear" w:color="auto" w:fill="auto"/>
          </w:tcPr>
          <w:p w:rsidR="00174AEA" w:rsidRPr="00687A1C" w:rsidRDefault="00174AEA" w:rsidP="00EC69FA">
            <w:pPr>
              <w:pStyle w:val="Tabletext"/>
              <w:spacing w:before="0" w:after="0"/>
              <w:rPr>
                <w:sz w:val="4"/>
              </w:rPr>
            </w:pPr>
          </w:p>
        </w:tc>
        <w:tc>
          <w:tcPr>
            <w:cnfStyle w:val="000010000000" w:firstRow="0" w:lastRow="0" w:firstColumn="0" w:lastColumn="0" w:oddVBand="1" w:evenVBand="0" w:oddHBand="0" w:evenHBand="0" w:firstRowFirstColumn="0" w:firstRowLastColumn="0" w:lastRowFirstColumn="0" w:lastRowLastColumn="0"/>
            <w:tcW w:w="1700" w:type="pct"/>
            <w:gridSpan w:val="4"/>
            <w:shd w:val="clear" w:color="auto" w:fill="auto"/>
          </w:tcPr>
          <w:p w:rsidR="00174AEA" w:rsidRPr="00687A1C" w:rsidRDefault="00174AEA" w:rsidP="00EC69FA">
            <w:pPr>
              <w:pStyle w:val="Tabletextheadingcentred"/>
              <w:spacing w:before="0" w:after="0"/>
              <w:rPr>
                <w:sz w:val="4"/>
              </w:rPr>
            </w:pPr>
          </w:p>
        </w:tc>
        <w:tc>
          <w:tcPr>
            <w:cnfStyle w:val="000001000000" w:firstRow="0" w:lastRow="0" w:firstColumn="0" w:lastColumn="0" w:oddVBand="0" w:evenVBand="1" w:oddHBand="0" w:evenHBand="0" w:firstRowFirstColumn="0" w:firstRowLastColumn="0" w:lastRowFirstColumn="0" w:lastRowLastColumn="0"/>
            <w:tcW w:w="1693" w:type="pct"/>
            <w:gridSpan w:val="4"/>
            <w:shd w:val="clear" w:color="auto" w:fill="auto"/>
          </w:tcPr>
          <w:p w:rsidR="00174AEA" w:rsidRPr="00687A1C" w:rsidRDefault="00174AEA" w:rsidP="00EC69FA">
            <w:pPr>
              <w:pStyle w:val="Tabletextheadingcentred"/>
              <w:spacing w:before="0" w:after="0"/>
              <w:rPr>
                <w:sz w:val="4"/>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8A3976">
            <w:pPr>
              <w:pStyle w:val="Tabletextheadingright"/>
            </w:pPr>
            <w:r w:rsidRPr="00687A1C">
              <w:t>Opening balance</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8A3976">
            <w:pPr>
              <w:pStyle w:val="Tabletextheadingright"/>
            </w:pPr>
            <w:r w:rsidRPr="00687A1C">
              <w:t>Inflows</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8A3976">
            <w:pPr>
              <w:pStyle w:val="Tabletextheadingright"/>
            </w:pPr>
            <w:r w:rsidRPr="00687A1C">
              <w:t>Outflows</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8A3976">
            <w:pPr>
              <w:pStyle w:val="Tabletextheadingright"/>
            </w:pPr>
            <w:r w:rsidRPr="00687A1C">
              <w:t>Closing balance</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8A3976">
            <w:pPr>
              <w:pStyle w:val="Tabletextheadingright"/>
            </w:pPr>
            <w:r w:rsidRPr="00687A1C">
              <w:t>Opening balance</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8A3976">
            <w:pPr>
              <w:pStyle w:val="Tabletextheadingright"/>
            </w:pPr>
            <w:r w:rsidRPr="00687A1C">
              <w:t>Inflows</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8A3976">
            <w:pPr>
              <w:pStyle w:val="Tabletextheadingright"/>
            </w:pPr>
            <w:r w:rsidRPr="00687A1C">
              <w:t>Outflows</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8A3976">
            <w:pPr>
              <w:pStyle w:val="Tabletextheadingright"/>
            </w:pPr>
            <w:r w:rsidRPr="00687A1C">
              <w:t>Closing balance</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tcPr>
          <w:p w:rsidR="00174AEA" w:rsidRPr="00687A1C" w:rsidRDefault="00174AEA" w:rsidP="00EC69FA">
            <w:pPr>
              <w:pStyle w:val="Tabletext"/>
              <w:spacing w:before="20" w:after="20"/>
              <w:rPr>
                <w:b/>
                <w:bCs/>
              </w:rPr>
            </w:pPr>
          </w:p>
        </w:tc>
        <w:tc>
          <w:tcPr>
            <w:cnfStyle w:val="000010000000" w:firstRow="0" w:lastRow="0" w:firstColumn="0" w:lastColumn="0" w:oddVBand="1" w:evenVBand="0" w:oddHBand="0" w:evenHBand="0" w:firstRowFirstColumn="0" w:firstRowLastColumn="0" w:lastRowFirstColumn="0" w:lastRowLastColumn="0"/>
            <w:tcW w:w="424" w:type="pct"/>
          </w:tcPr>
          <w:p w:rsidR="00174AEA" w:rsidRPr="00687A1C" w:rsidRDefault="00174AEA" w:rsidP="00EC69FA">
            <w:pPr>
              <w:pStyle w:val="Tabletextheadingright"/>
              <w:spacing w:before="20" w:after="20"/>
            </w:pPr>
            <w:r w:rsidRPr="00687A1C">
              <w:t>$’000</w:t>
            </w:r>
          </w:p>
        </w:tc>
        <w:tc>
          <w:tcPr>
            <w:cnfStyle w:val="000001000000" w:firstRow="0" w:lastRow="0" w:firstColumn="0" w:lastColumn="0" w:oddVBand="0" w:evenVBand="1" w:oddHBand="0" w:evenHBand="0" w:firstRowFirstColumn="0" w:firstRowLastColumn="0" w:lastRowFirstColumn="0" w:lastRowLastColumn="0"/>
            <w:tcW w:w="424" w:type="pct"/>
          </w:tcPr>
          <w:p w:rsidR="00174AEA" w:rsidRPr="00687A1C" w:rsidRDefault="00174AEA" w:rsidP="00EC69FA">
            <w:pPr>
              <w:pStyle w:val="Tabletextheadingright"/>
              <w:spacing w:before="20" w:after="20"/>
            </w:pPr>
            <w:r w:rsidRPr="00687A1C">
              <w:t>$’000</w:t>
            </w:r>
          </w:p>
        </w:tc>
        <w:tc>
          <w:tcPr>
            <w:cnfStyle w:val="000010000000" w:firstRow="0" w:lastRow="0" w:firstColumn="0" w:lastColumn="0" w:oddVBand="1" w:evenVBand="0" w:oddHBand="0" w:evenHBand="0" w:firstRowFirstColumn="0" w:firstRowLastColumn="0" w:lastRowFirstColumn="0" w:lastRowLastColumn="0"/>
            <w:tcW w:w="423" w:type="pct"/>
          </w:tcPr>
          <w:p w:rsidR="00174AEA" w:rsidRPr="00687A1C" w:rsidRDefault="00174AEA" w:rsidP="00EC69FA">
            <w:pPr>
              <w:pStyle w:val="Tabletextheadingright"/>
              <w:spacing w:before="20" w:after="20"/>
            </w:pPr>
            <w:r w:rsidRPr="00687A1C">
              <w:t>$’000</w:t>
            </w:r>
          </w:p>
        </w:tc>
        <w:tc>
          <w:tcPr>
            <w:cnfStyle w:val="000001000000" w:firstRow="0" w:lastRow="0" w:firstColumn="0" w:lastColumn="0" w:oddVBand="0" w:evenVBand="1" w:oddHBand="0" w:evenHBand="0" w:firstRowFirstColumn="0" w:firstRowLastColumn="0" w:lastRowFirstColumn="0" w:lastRowLastColumn="0"/>
            <w:tcW w:w="429" w:type="pct"/>
          </w:tcPr>
          <w:p w:rsidR="00174AEA" w:rsidRPr="00687A1C" w:rsidRDefault="00174AEA" w:rsidP="00EC69FA">
            <w:pPr>
              <w:pStyle w:val="Tabletextheadingright"/>
              <w:spacing w:before="20" w:after="20"/>
            </w:pPr>
            <w:r w:rsidRPr="00687A1C">
              <w:t>$’000</w:t>
            </w:r>
          </w:p>
        </w:tc>
        <w:tc>
          <w:tcPr>
            <w:cnfStyle w:val="000010000000" w:firstRow="0" w:lastRow="0" w:firstColumn="0" w:lastColumn="0" w:oddVBand="1" w:evenVBand="0" w:oddHBand="0" w:evenHBand="0" w:firstRowFirstColumn="0" w:firstRowLastColumn="0" w:lastRowFirstColumn="0" w:lastRowLastColumn="0"/>
            <w:tcW w:w="422" w:type="pct"/>
          </w:tcPr>
          <w:p w:rsidR="00174AEA" w:rsidRPr="00687A1C" w:rsidRDefault="00174AEA" w:rsidP="00EC69FA">
            <w:pPr>
              <w:pStyle w:val="Tabletextheadingright"/>
              <w:spacing w:before="20" w:after="20"/>
            </w:pPr>
            <w:r w:rsidRPr="00687A1C">
              <w:t>$’000</w:t>
            </w:r>
          </w:p>
        </w:tc>
        <w:tc>
          <w:tcPr>
            <w:cnfStyle w:val="000001000000" w:firstRow="0" w:lastRow="0" w:firstColumn="0" w:lastColumn="0" w:oddVBand="0" w:evenVBand="1" w:oddHBand="0" w:evenHBand="0" w:firstRowFirstColumn="0" w:firstRowLastColumn="0" w:lastRowFirstColumn="0" w:lastRowLastColumn="0"/>
            <w:tcW w:w="422" w:type="pct"/>
          </w:tcPr>
          <w:p w:rsidR="00174AEA" w:rsidRPr="00687A1C" w:rsidRDefault="00174AEA" w:rsidP="00EC69FA">
            <w:pPr>
              <w:pStyle w:val="Tabletextheadingright"/>
              <w:spacing w:before="20" w:after="20"/>
            </w:pPr>
            <w:r w:rsidRPr="00687A1C">
              <w:t>$’000</w:t>
            </w:r>
          </w:p>
        </w:tc>
        <w:tc>
          <w:tcPr>
            <w:cnfStyle w:val="000010000000" w:firstRow="0" w:lastRow="0" w:firstColumn="0" w:lastColumn="0" w:oddVBand="1" w:evenVBand="0" w:oddHBand="0" w:evenHBand="0" w:firstRowFirstColumn="0" w:firstRowLastColumn="0" w:lastRowFirstColumn="0" w:lastRowLastColumn="0"/>
            <w:tcW w:w="423" w:type="pct"/>
          </w:tcPr>
          <w:p w:rsidR="00174AEA" w:rsidRPr="00687A1C" w:rsidRDefault="00174AEA" w:rsidP="00EC69FA">
            <w:pPr>
              <w:pStyle w:val="Tabletextheadingright"/>
              <w:spacing w:before="20" w:after="20"/>
            </w:pPr>
            <w:r w:rsidRPr="00687A1C">
              <w:t>$’000</w:t>
            </w:r>
          </w:p>
        </w:tc>
        <w:tc>
          <w:tcPr>
            <w:cnfStyle w:val="000001000000" w:firstRow="0" w:lastRow="0" w:firstColumn="0" w:lastColumn="0" w:oddVBand="0" w:evenVBand="1" w:oddHBand="0" w:evenHBand="0" w:firstRowFirstColumn="0" w:firstRowLastColumn="0" w:lastRowFirstColumn="0" w:lastRowLastColumn="0"/>
            <w:tcW w:w="426" w:type="pct"/>
          </w:tcPr>
          <w:p w:rsidR="00174AEA" w:rsidRPr="00687A1C" w:rsidRDefault="00174AEA" w:rsidP="00EC69FA">
            <w:pPr>
              <w:pStyle w:val="Tabletextheadingright"/>
              <w:spacing w:before="20" w:after="20"/>
            </w:pPr>
            <w:r w:rsidRPr="00687A1C">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tcPr>
          <w:p w:rsidR="00174AEA" w:rsidRPr="00687A1C" w:rsidRDefault="00174AEA" w:rsidP="00EC69FA">
            <w:pPr>
              <w:pStyle w:val="Tabletext"/>
              <w:spacing w:before="0" w:after="0"/>
              <w:rPr>
                <w:sz w:val="8"/>
              </w:rPr>
            </w:pPr>
          </w:p>
        </w:tc>
        <w:tc>
          <w:tcPr>
            <w:cnfStyle w:val="000010000000" w:firstRow="0" w:lastRow="0" w:firstColumn="0" w:lastColumn="0" w:oddVBand="1" w:evenVBand="0" w:oddHBand="0" w:evenHBand="0" w:firstRowFirstColumn="0" w:firstRowLastColumn="0" w:lastRowFirstColumn="0" w:lastRowLastColumn="0"/>
            <w:tcW w:w="424" w:type="pct"/>
          </w:tcPr>
          <w:p w:rsidR="00174AEA" w:rsidRPr="00687A1C" w:rsidRDefault="00174AEA" w:rsidP="00EC69FA">
            <w:pPr>
              <w:pStyle w:val="Tabletextright"/>
              <w:spacing w:before="0" w:after="0"/>
              <w:rPr>
                <w:sz w:val="8"/>
              </w:rPr>
            </w:pPr>
          </w:p>
        </w:tc>
        <w:tc>
          <w:tcPr>
            <w:cnfStyle w:val="000001000000" w:firstRow="0" w:lastRow="0" w:firstColumn="0" w:lastColumn="0" w:oddVBand="0" w:evenVBand="1" w:oddHBand="0" w:evenHBand="0" w:firstRowFirstColumn="0" w:firstRowLastColumn="0" w:lastRowFirstColumn="0" w:lastRowLastColumn="0"/>
            <w:tcW w:w="424" w:type="pct"/>
          </w:tcPr>
          <w:p w:rsidR="00174AEA" w:rsidRPr="00687A1C" w:rsidRDefault="00174AEA" w:rsidP="00EC69FA">
            <w:pPr>
              <w:pStyle w:val="Tabletextright"/>
              <w:spacing w:before="0" w:after="0"/>
              <w:rPr>
                <w:sz w:val="8"/>
              </w:rPr>
            </w:pPr>
          </w:p>
        </w:tc>
        <w:tc>
          <w:tcPr>
            <w:cnfStyle w:val="000010000000" w:firstRow="0" w:lastRow="0" w:firstColumn="0" w:lastColumn="0" w:oddVBand="1" w:evenVBand="0" w:oddHBand="0" w:evenHBand="0" w:firstRowFirstColumn="0" w:firstRowLastColumn="0" w:lastRowFirstColumn="0" w:lastRowLastColumn="0"/>
            <w:tcW w:w="423" w:type="pct"/>
          </w:tcPr>
          <w:p w:rsidR="00174AEA" w:rsidRPr="00687A1C" w:rsidRDefault="00174AEA" w:rsidP="00EC69FA">
            <w:pPr>
              <w:pStyle w:val="Tabletextright"/>
              <w:spacing w:before="0" w:after="0"/>
              <w:rPr>
                <w:sz w:val="8"/>
              </w:rPr>
            </w:pPr>
          </w:p>
        </w:tc>
        <w:tc>
          <w:tcPr>
            <w:cnfStyle w:val="000001000000" w:firstRow="0" w:lastRow="0" w:firstColumn="0" w:lastColumn="0" w:oddVBand="0" w:evenVBand="1" w:oddHBand="0" w:evenHBand="0" w:firstRowFirstColumn="0" w:firstRowLastColumn="0" w:lastRowFirstColumn="0" w:lastRowLastColumn="0"/>
            <w:tcW w:w="429" w:type="pct"/>
          </w:tcPr>
          <w:p w:rsidR="00174AEA" w:rsidRPr="00687A1C" w:rsidRDefault="00174AEA" w:rsidP="00EC69FA">
            <w:pPr>
              <w:pStyle w:val="Tabletextright"/>
              <w:spacing w:before="0" w:after="0"/>
              <w:rPr>
                <w:sz w:val="8"/>
              </w:rPr>
            </w:pPr>
          </w:p>
        </w:tc>
        <w:tc>
          <w:tcPr>
            <w:cnfStyle w:val="000010000000" w:firstRow="0" w:lastRow="0" w:firstColumn="0" w:lastColumn="0" w:oddVBand="1" w:evenVBand="0" w:oddHBand="0" w:evenHBand="0" w:firstRowFirstColumn="0" w:firstRowLastColumn="0" w:lastRowFirstColumn="0" w:lastRowLastColumn="0"/>
            <w:tcW w:w="422" w:type="pct"/>
          </w:tcPr>
          <w:p w:rsidR="00174AEA" w:rsidRPr="00687A1C" w:rsidRDefault="00174AEA" w:rsidP="00EC69FA">
            <w:pPr>
              <w:pStyle w:val="Tabletextright"/>
              <w:spacing w:before="0" w:after="0"/>
              <w:rPr>
                <w:sz w:val="8"/>
              </w:rPr>
            </w:pPr>
          </w:p>
        </w:tc>
        <w:tc>
          <w:tcPr>
            <w:cnfStyle w:val="000001000000" w:firstRow="0" w:lastRow="0" w:firstColumn="0" w:lastColumn="0" w:oddVBand="0" w:evenVBand="1" w:oddHBand="0" w:evenHBand="0" w:firstRowFirstColumn="0" w:firstRowLastColumn="0" w:lastRowFirstColumn="0" w:lastRowLastColumn="0"/>
            <w:tcW w:w="422" w:type="pct"/>
          </w:tcPr>
          <w:p w:rsidR="00174AEA" w:rsidRPr="00687A1C" w:rsidRDefault="00174AEA" w:rsidP="00EC69FA">
            <w:pPr>
              <w:pStyle w:val="Tabletextright"/>
              <w:spacing w:before="0" w:after="0"/>
              <w:rPr>
                <w:sz w:val="8"/>
              </w:rPr>
            </w:pPr>
          </w:p>
        </w:tc>
        <w:tc>
          <w:tcPr>
            <w:cnfStyle w:val="000010000000" w:firstRow="0" w:lastRow="0" w:firstColumn="0" w:lastColumn="0" w:oddVBand="1" w:evenVBand="0" w:oddHBand="0" w:evenHBand="0" w:firstRowFirstColumn="0" w:firstRowLastColumn="0" w:lastRowFirstColumn="0" w:lastRowLastColumn="0"/>
            <w:tcW w:w="423" w:type="pct"/>
          </w:tcPr>
          <w:p w:rsidR="00174AEA" w:rsidRPr="00687A1C" w:rsidRDefault="00174AEA" w:rsidP="00EC69FA">
            <w:pPr>
              <w:pStyle w:val="Tabletextright"/>
              <w:spacing w:before="0" w:after="0"/>
              <w:rPr>
                <w:sz w:val="8"/>
              </w:rPr>
            </w:pPr>
          </w:p>
        </w:tc>
        <w:tc>
          <w:tcPr>
            <w:cnfStyle w:val="000001000000" w:firstRow="0" w:lastRow="0" w:firstColumn="0" w:lastColumn="0" w:oddVBand="0" w:evenVBand="1" w:oddHBand="0" w:evenHBand="0" w:firstRowFirstColumn="0" w:firstRowLastColumn="0" w:lastRowFirstColumn="0" w:lastRowLastColumn="0"/>
            <w:tcW w:w="426" w:type="pct"/>
          </w:tcPr>
          <w:p w:rsidR="00174AEA" w:rsidRPr="00687A1C" w:rsidRDefault="00174AEA" w:rsidP="00EC69FA">
            <w:pPr>
              <w:pStyle w:val="Tabletextright"/>
              <w:spacing w:before="0" w:after="0"/>
              <w:rPr>
                <w:sz w:val="8"/>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rPr>
                <w:b/>
              </w:rPr>
            </w:pPr>
            <w:r w:rsidRPr="00687A1C">
              <w:rPr>
                <w:b/>
              </w:rPr>
              <w:t>Controlled trusts</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EC69FA">
            <w:pPr>
              <w:pStyle w:val="Tabletextright"/>
              <w:spacing w:before="20" w:after="20"/>
              <w:rPr>
                <w:b/>
              </w:rPr>
            </w:pP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EC69FA">
            <w:pPr>
              <w:pStyle w:val="Tabletextright"/>
              <w:spacing w:before="20" w:after="20"/>
              <w:rPr>
                <w:b/>
              </w:rPr>
            </w:pP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EC69FA">
            <w:pPr>
              <w:pStyle w:val="Tabletextright"/>
              <w:spacing w:before="20" w:after="20"/>
              <w:rPr>
                <w:b/>
              </w:rPr>
            </w:pP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EC69FA">
            <w:pPr>
              <w:pStyle w:val="Tabletextright"/>
              <w:spacing w:before="20" w:after="20"/>
              <w:rPr>
                <w:b/>
              </w:rPr>
            </w:pP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EC69FA">
            <w:pPr>
              <w:pStyle w:val="Tabletextright"/>
              <w:spacing w:before="20" w:after="20"/>
              <w:rPr>
                <w:b/>
              </w:rPr>
            </w:pP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EC69FA">
            <w:pPr>
              <w:pStyle w:val="Tabletextright"/>
              <w:spacing w:before="20" w:after="20"/>
              <w:rPr>
                <w:b/>
              </w:rPr>
            </w:pP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EC69FA">
            <w:pPr>
              <w:pStyle w:val="Tabletextright"/>
              <w:spacing w:before="20" w:after="20"/>
              <w:rPr>
                <w:b/>
              </w:rPr>
            </w:pP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EC69FA">
            <w:pPr>
              <w:pStyle w:val="Tabletextright"/>
              <w:spacing w:before="20" w:after="20"/>
              <w:rPr>
                <w:b/>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rPr>
                <w:vertAlign w:val="superscript"/>
              </w:rPr>
            </w:pPr>
            <w:r w:rsidRPr="00687A1C">
              <w:t>Finance Agency Trust</w:t>
            </w:r>
            <w:r w:rsidR="00742300"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t>5</w:t>
            </w:r>
            <w:r w:rsidR="00D8412D" w:rsidRPr="00687A1C">
              <w:t xml:space="preserve"> </w:t>
            </w:r>
            <w:r w:rsidRPr="00687A1C">
              <w:t>795</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15</w:t>
            </w:r>
            <w:r w:rsidR="00D8412D" w:rsidRPr="00687A1C">
              <w:rPr>
                <w:szCs w:val="14"/>
              </w:rPr>
              <w:t xml:space="preserve"> </w:t>
            </w:r>
            <w:r w:rsidRPr="00687A1C">
              <w:rPr>
                <w:szCs w:val="14"/>
              </w:rPr>
              <w:t>332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(12</w:t>
            </w:r>
            <w:r w:rsidR="00D8412D" w:rsidRPr="00687A1C">
              <w:rPr>
                <w:szCs w:val="14"/>
              </w:rPr>
              <w:t xml:space="preserve"> </w:t>
            </w:r>
            <w:r w:rsidRPr="00687A1C">
              <w:rPr>
                <w:szCs w:val="14"/>
              </w:rPr>
              <w:t>764)</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8</w:t>
            </w:r>
            <w:r w:rsidR="00D8412D" w:rsidRPr="00687A1C">
              <w:rPr>
                <w:szCs w:val="14"/>
              </w:rPr>
              <w:t xml:space="preserve"> </w:t>
            </w:r>
            <w:r w:rsidRPr="00687A1C">
              <w:rPr>
                <w:szCs w:val="14"/>
              </w:rPr>
              <w:t>363</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5</w:t>
            </w:r>
            <w:r w:rsidR="00D8412D" w:rsidRPr="00687A1C">
              <w:t xml:space="preserve"> </w:t>
            </w:r>
            <w:r w:rsidRPr="00687A1C">
              <w:t>994</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8</w:t>
            </w:r>
            <w:r w:rsidR="00D8412D" w:rsidRPr="00687A1C">
              <w:t xml:space="preserve"> </w:t>
            </w:r>
            <w:r w:rsidRPr="00687A1C">
              <w:t>740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(8</w:t>
            </w:r>
            <w:r w:rsidR="00D8412D" w:rsidRPr="00687A1C">
              <w:t xml:space="preserve"> </w:t>
            </w:r>
            <w:r w:rsidRPr="00687A1C">
              <w:t>939)</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5</w:t>
            </w:r>
            <w:r w:rsidR="00D8412D" w:rsidRPr="00687A1C">
              <w:t xml:space="preserve"> </w:t>
            </w:r>
            <w:r w:rsidRPr="00687A1C">
              <w:t>795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Government Accommodation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t>4</w:t>
            </w:r>
            <w:r w:rsidR="00D8412D" w:rsidRPr="00687A1C">
              <w:t xml:space="preserve"> </w:t>
            </w:r>
            <w:r w:rsidRPr="00687A1C">
              <w:t>618</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38</w:t>
            </w:r>
            <w:r w:rsidR="00D8412D" w:rsidRPr="00687A1C">
              <w:rPr>
                <w:szCs w:val="14"/>
              </w:rPr>
              <w:t xml:space="preserve"> </w:t>
            </w:r>
            <w:r w:rsidRPr="00687A1C">
              <w:rPr>
                <w:szCs w:val="14"/>
              </w:rPr>
              <w:t>753</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(41</w:t>
            </w:r>
            <w:r w:rsidR="00D8412D" w:rsidRPr="00687A1C">
              <w:rPr>
                <w:szCs w:val="14"/>
              </w:rPr>
              <w:t xml:space="preserve"> </w:t>
            </w:r>
            <w:r w:rsidRPr="00687A1C">
              <w:rPr>
                <w:szCs w:val="14"/>
              </w:rPr>
              <w:t>646)</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1</w:t>
            </w:r>
            <w:r w:rsidR="00D8412D" w:rsidRPr="00687A1C">
              <w:rPr>
                <w:szCs w:val="14"/>
              </w:rPr>
              <w:t xml:space="preserve"> </w:t>
            </w:r>
            <w:r w:rsidRPr="00687A1C">
              <w:rPr>
                <w:szCs w:val="14"/>
              </w:rPr>
              <w:t>725</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3</w:t>
            </w:r>
            <w:r w:rsidR="00D8412D" w:rsidRPr="00687A1C">
              <w:t xml:space="preserve"> </w:t>
            </w:r>
            <w:r w:rsidRPr="00687A1C">
              <w:t>674</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39</w:t>
            </w:r>
            <w:r w:rsidR="00D8412D" w:rsidRPr="00687A1C">
              <w:t xml:space="preserve"> </w:t>
            </w:r>
            <w:r w:rsidRPr="00687A1C">
              <w:t>778</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(38</w:t>
            </w:r>
            <w:r w:rsidR="00D8412D" w:rsidRPr="00687A1C">
              <w:t xml:space="preserve"> </w:t>
            </w:r>
            <w:r w:rsidRPr="00687A1C">
              <w:t>834)</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4</w:t>
            </w:r>
            <w:r w:rsidR="00D8412D" w:rsidRPr="00687A1C">
              <w:t xml:space="preserve"> </w:t>
            </w:r>
            <w:r w:rsidRPr="00687A1C">
              <w:t>618</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Inter-departmental Transfer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82947" w:rsidP="00D8412D">
            <w:pPr>
              <w:pStyle w:val="Tabletextright"/>
              <w:spacing w:before="20" w:after="20"/>
              <w:rPr>
                <w:szCs w:val="14"/>
              </w:rPr>
            </w:pPr>
            <w:r w:rsidRPr="00687A1C">
              <w:rPr>
                <w:szCs w:val="14"/>
              </w:rPr>
              <w:t>4 280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r w:rsidRPr="00687A1C">
              <w:rPr>
                <w:szCs w:val="14"/>
              </w:rPr>
              <w:t>(</w:t>
            </w:r>
            <w:r w:rsidR="00182947" w:rsidRPr="00687A1C">
              <w:rPr>
                <w:szCs w:val="14"/>
              </w:rPr>
              <w:t>728</w:t>
            </w: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3</w:t>
            </w:r>
            <w:r w:rsidR="00D8412D" w:rsidRPr="00687A1C">
              <w:rPr>
                <w:szCs w:val="14"/>
              </w:rPr>
              <w:t xml:space="preserve"> </w:t>
            </w:r>
            <w:r w:rsidRPr="00687A1C">
              <w:rPr>
                <w:szCs w:val="14"/>
              </w:rPr>
              <w:t>552</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spacing w:before="20" w:after="20"/>
              <w:rPr>
                <w:rFonts w:ascii="VIC" w:hAnsi="VIC"/>
                <w:sz w:val="14"/>
                <w:szCs w:val="14"/>
              </w:rPr>
            </w:pPr>
            <w:r w:rsidRPr="00687A1C">
              <w:rPr>
                <w:rFonts w:ascii="VIC" w:hAnsi="VIC"/>
                <w:sz w:val="14"/>
                <w:szCs w:val="14"/>
              </w:rPr>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873A92" w:rsidP="00D8412D">
            <w:pPr>
              <w:pStyle w:val="Tabletextright"/>
              <w:spacing w:before="20" w:after="20"/>
            </w:pPr>
            <w:r w:rsidRPr="00687A1C">
              <w:t>–</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873A92"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873A92"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Master Agencies Media Services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1D1BB4" w:rsidRDefault="00174AEA" w:rsidP="00D8412D">
            <w:pPr>
              <w:pStyle w:val="Tabletextright"/>
              <w:spacing w:before="20" w:after="20"/>
              <w:rPr>
                <w:b/>
                <w:szCs w:val="14"/>
              </w:rPr>
            </w:pPr>
            <w:r w:rsidRPr="00687A1C">
              <w:t>57</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1D1BB4" w:rsidRDefault="00174AEA" w:rsidP="00D8412D">
            <w:pPr>
              <w:pStyle w:val="Tabletextright"/>
              <w:spacing w:before="20" w:after="20"/>
            </w:pPr>
            <w:r w:rsidRPr="00687A1C">
              <w:rPr>
                <w:szCs w:val="14"/>
              </w:rPr>
              <w:t>2</w:t>
            </w:r>
            <w:r w:rsidR="00D8412D" w:rsidRPr="00687A1C">
              <w:rPr>
                <w:szCs w:val="14"/>
              </w:rPr>
              <w:t xml:space="preserve"> </w:t>
            </w:r>
            <w:r w:rsidR="003D7542" w:rsidRPr="00687A1C">
              <w:rPr>
                <w:szCs w:val="14"/>
              </w:rPr>
              <w:t>108</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Del="001D1BB4" w:rsidRDefault="00174AEA" w:rsidP="00D8412D">
            <w:pPr>
              <w:pStyle w:val="Tabletextright"/>
              <w:spacing w:before="20" w:after="20"/>
            </w:pPr>
            <w:r w:rsidRPr="00687A1C">
              <w:rPr>
                <w:szCs w:val="14"/>
              </w:rPr>
              <w:t>(1</w:t>
            </w:r>
            <w:r w:rsidR="00D8412D" w:rsidRPr="00687A1C">
              <w:rPr>
                <w:szCs w:val="14"/>
              </w:rPr>
              <w:t xml:space="preserve"> </w:t>
            </w:r>
            <w:r w:rsidRPr="00687A1C">
              <w:rPr>
                <w:szCs w:val="14"/>
              </w:rPr>
              <w:t>129)</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1D1BB4" w:rsidRDefault="00174AEA" w:rsidP="00D8412D">
            <w:pPr>
              <w:pStyle w:val="Tabletextright"/>
              <w:spacing w:before="20" w:after="20"/>
            </w:pPr>
            <w:r w:rsidRPr="00687A1C">
              <w:rPr>
                <w:szCs w:val="14"/>
              </w:rPr>
              <w:t>1</w:t>
            </w:r>
            <w:r w:rsidR="00D8412D" w:rsidRPr="00687A1C">
              <w:rPr>
                <w:szCs w:val="14"/>
              </w:rPr>
              <w:t xml:space="preserve"> </w:t>
            </w:r>
            <w:r w:rsidRPr="00687A1C">
              <w:rPr>
                <w:szCs w:val="14"/>
              </w:rPr>
              <w:t>036</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577</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4</w:t>
            </w:r>
            <w:r w:rsidR="00D8412D" w:rsidRPr="00687A1C">
              <w:t xml:space="preserve"> </w:t>
            </w:r>
            <w:r w:rsidRPr="00687A1C">
              <w:t>760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(5</w:t>
            </w:r>
            <w:r w:rsidR="00D8412D" w:rsidRPr="00687A1C">
              <w:t xml:space="preserve"> </w:t>
            </w:r>
            <w:r w:rsidRPr="00687A1C">
              <w:t>280)</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57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Shared C</w:t>
            </w:r>
            <w:r w:rsidR="003D7542" w:rsidRPr="00687A1C">
              <w:t>orporate Services Trust Account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t>6</w:t>
            </w:r>
            <w:r w:rsidR="00D8412D" w:rsidRPr="00687A1C">
              <w:t xml:space="preserve"> </w:t>
            </w:r>
            <w:r w:rsidRPr="00687A1C">
              <w:t>702</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92</w:t>
            </w:r>
            <w:r w:rsidR="00D8412D" w:rsidRPr="00687A1C">
              <w:rPr>
                <w:szCs w:val="14"/>
              </w:rPr>
              <w:t xml:space="preserve"> </w:t>
            </w:r>
            <w:r w:rsidRPr="00687A1C">
              <w:rPr>
                <w:szCs w:val="14"/>
              </w:rPr>
              <w:t>637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(94</w:t>
            </w:r>
            <w:r w:rsidR="00D8412D" w:rsidRPr="00687A1C">
              <w:rPr>
                <w:szCs w:val="14"/>
              </w:rPr>
              <w:t xml:space="preserve"> </w:t>
            </w:r>
            <w:r w:rsidRPr="00687A1C">
              <w:rPr>
                <w:szCs w:val="14"/>
              </w:rPr>
              <w:t>207)</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5</w:t>
            </w:r>
            <w:r w:rsidR="00D8412D" w:rsidRPr="00687A1C">
              <w:rPr>
                <w:szCs w:val="14"/>
              </w:rPr>
              <w:t xml:space="preserve"> </w:t>
            </w:r>
            <w:r w:rsidRPr="00687A1C">
              <w:rPr>
                <w:szCs w:val="14"/>
              </w:rPr>
              <w:t>132</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11</w:t>
            </w:r>
            <w:r w:rsidR="00D8412D" w:rsidRPr="00687A1C">
              <w:t xml:space="preserve"> </w:t>
            </w:r>
            <w:r w:rsidRPr="00687A1C">
              <w:t>070</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79</w:t>
            </w:r>
            <w:r w:rsidR="00D8412D" w:rsidRPr="00687A1C">
              <w:t xml:space="preserve"> </w:t>
            </w:r>
            <w:r w:rsidRPr="00687A1C">
              <w:t>719</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(84</w:t>
            </w:r>
            <w:r w:rsidR="00D8412D" w:rsidRPr="00687A1C">
              <w:t xml:space="preserve"> </w:t>
            </w:r>
            <w:r w:rsidRPr="00687A1C">
              <w:t>087)</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6</w:t>
            </w:r>
            <w:r w:rsidR="00D8412D" w:rsidRPr="00687A1C">
              <w:t xml:space="preserve"> </w:t>
            </w:r>
            <w:r w:rsidRPr="00687A1C">
              <w:t>702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Treasury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t>8</w:t>
            </w:r>
            <w:r w:rsidR="00D8412D" w:rsidRPr="00687A1C">
              <w:t xml:space="preserve"> </w:t>
            </w:r>
            <w:r w:rsidRPr="00687A1C">
              <w:t>416</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82947" w:rsidP="00D8412D">
            <w:pPr>
              <w:pStyle w:val="Tabletextright"/>
              <w:spacing w:before="20" w:after="20"/>
              <w:rPr>
                <w:szCs w:val="14"/>
              </w:rPr>
            </w:pPr>
            <w:r w:rsidRPr="00687A1C">
              <w:rPr>
                <w:szCs w:val="14"/>
              </w:rPr>
              <w:t>5 082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82947" w:rsidP="00D8412D">
            <w:pPr>
              <w:pStyle w:val="Tabletextright"/>
              <w:spacing w:before="20" w:after="20"/>
            </w:pPr>
            <w:r w:rsidRPr="00687A1C">
              <w:rPr>
                <w:szCs w:val="14"/>
              </w:rPr>
              <w:t>(7</w:t>
            </w:r>
            <w:r w:rsidR="00D8412D" w:rsidRPr="00687A1C">
              <w:rPr>
                <w:rFonts w:ascii="Courier New" w:hAnsi="Courier New" w:cs="Courier New"/>
                <w:szCs w:val="14"/>
              </w:rPr>
              <w:t xml:space="preserve"> </w:t>
            </w:r>
            <w:r w:rsidR="00174AEA" w:rsidRPr="00687A1C">
              <w:rPr>
                <w:szCs w:val="14"/>
              </w:rPr>
              <w:t>5</w:t>
            </w:r>
            <w:r w:rsidRPr="00687A1C">
              <w:rPr>
                <w:szCs w:val="14"/>
              </w:rPr>
              <w:t>56</w:t>
            </w:r>
            <w:r w:rsidR="00174AEA"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5</w:t>
            </w:r>
            <w:r w:rsidR="00D8412D" w:rsidRPr="00687A1C">
              <w:rPr>
                <w:szCs w:val="14"/>
              </w:rPr>
              <w:t xml:space="preserve"> </w:t>
            </w:r>
            <w:r w:rsidRPr="00687A1C">
              <w:rPr>
                <w:szCs w:val="14"/>
              </w:rPr>
              <w:t>942</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5</w:t>
            </w:r>
            <w:r w:rsidR="00D8412D" w:rsidRPr="00687A1C">
              <w:t xml:space="preserve"> </w:t>
            </w:r>
            <w:r w:rsidRPr="00687A1C">
              <w:t>959</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3</w:t>
            </w:r>
            <w:r w:rsidR="00D8412D" w:rsidRPr="00687A1C">
              <w:t xml:space="preserve"> </w:t>
            </w:r>
            <w:r w:rsidRPr="00687A1C">
              <w:t>722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w:t>
            </w:r>
            <w:r w:rsidR="00D8412D" w:rsidRPr="00687A1C">
              <w:t xml:space="preserve"> </w:t>
            </w:r>
            <w:r w:rsidRPr="00687A1C">
              <w:t>265)</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8</w:t>
            </w:r>
            <w:r w:rsidR="00D8412D" w:rsidRPr="00687A1C">
              <w:t xml:space="preserve"> </w:t>
            </w:r>
            <w:r w:rsidRPr="00687A1C">
              <w:t>416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rPr>
                <w:vertAlign w:val="superscript"/>
              </w:rPr>
            </w:pPr>
            <w:r w:rsidRPr="00687A1C">
              <w:t>Vehicle Lease Trust</w:t>
            </w:r>
            <w:r w:rsidR="00742300" w:rsidRPr="00687A1C">
              <w:rPr>
                <w:vertAlign w:val="superscript"/>
              </w:rPr>
              <w:t>(b)</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t>6</w:t>
            </w:r>
            <w:r w:rsidR="00D8412D" w:rsidRPr="00687A1C">
              <w:t xml:space="preserve"> </w:t>
            </w:r>
            <w:r w:rsidRPr="00687A1C">
              <w:t>704</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82947" w:rsidP="00D8412D">
            <w:pPr>
              <w:pStyle w:val="Tabletextright"/>
              <w:spacing w:before="20" w:after="20"/>
              <w:rPr>
                <w:szCs w:val="14"/>
              </w:rPr>
            </w:pPr>
            <w:r w:rsidRPr="00687A1C">
              <w:rPr>
                <w:szCs w:val="14"/>
              </w:rPr>
              <w:t>2 100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r w:rsidRPr="00687A1C">
              <w:rPr>
                <w:szCs w:val="14"/>
              </w:rPr>
              <w:t>(</w:t>
            </w:r>
            <w:r w:rsidR="00182947" w:rsidRPr="00687A1C">
              <w:rPr>
                <w:szCs w:val="14"/>
              </w:rPr>
              <w:t>4 356</w:t>
            </w: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4</w:t>
            </w:r>
            <w:r w:rsidR="00D8412D" w:rsidRPr="00687A1C">
              <w:rPr>
                <w:szCs w:val="14"/>
              </w:rPr>
              <w:t xml:space="preserve"> </w:t>
            </w:r>
            <w:r w:rsidRPr="00687A1C">
              <w:rPr>
                <w:szCs w:val="14"/>
              </w:rPr>
              <w:t>448</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6</w:t>
            </w:r>
            <w:r w:rsidR="00D8412D" w:rsidRPr="00687A1C">
              <w:t xml:space="preserve"> </w:t>
            </w:r>
            <w:r w:rsidRPr="00687A1C">
              <w:t>658</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83</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(37)</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6</w:t>
            </w:r>
            <w:r w:rsidR="00D8412D" w:rsidRPr="00687A1C">
              <w:t xml:space="preserve"> </w:t>
            </w:r>
            <w:r w:rsidRPr="00687A1C">
              <w:t>704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rPr>
                <w:b/>
              </w:rPr>
            </w:pPr>
            <w:r w:rsidRPr="00687A1C">
              <w:rPr>
                <w:b/>
              </w:rPr>
              <w:t>Total controlled trusts</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bold"/>
              <w:spacing w:before="20" w:after="20"/>
            </w:pPr>
            <w:r w:rsidRPr="00687A1C">
              <w:t>32</w:t>
            </w:r>
            <w:r w:rsidR="00D8412D" w:rsidRPr="00687A1C">
              <w:rPr>
                <w:rFonts w:ascii="Calibri" w:hAnsi="Calibri" w:cs="Calibri"/>
              </w:rPr>
              <w:t xml:space="preserve"> </w:t>
            </w:r>
            <w:r w:rsidRPr="00687A1C">
              <w:t>292</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bold"/>
              <w:spacing w:before="20" w:after="20"/>
            </w:pPr>
            <w:r w:rsidRPr="00687A1C">
              <w:t>160</w:t>
            </w:r>
            <w:r w:rsidR="00D8412D" w:rsidRPr="00687A1C">
              <w:rPr>
                <w:rFonts w:ascii="Calibri" w:hAnsi="Calibri" w:cs="Calibri"/>
              </w:rPr>
              <w:t xml:space="preserve"> </w:t>
            </w:r>
            <w:r w:rsidR="009E4088" w:rsidRPr="00687A1C">
              <w:t>292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bold"/>
              <w:spacing w:before="20" w:after="20"/>
            </w:pPr>
            <w:r w:rsidRPr="00687A1C">
              <w:t>(162</w:t>
            </w:r>
            <w:r w:rsidR="00D8412D" w:rsidRPr="00687A1C">
              <w:rPr>
                <w:rFonts w:ascii="Calibri" w:hAnsi="Calibri" w:cs="Calibri"/>
              </w:rPr>
              <w:t xml:space="preserve"> </w:t>
            </w:r>
            <w:r w:rsidR="009E4088" w:rsidRPr="00687A1C">
              <w:t>386</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bold"/>
              <w:spacing w:before="20" w:after="20"/>
            </w:pPr>
            <w:r w:rsidRPr="00687A1C">
              <w:t>30</w:t>
            </w:r>
            <w:r w:rsidR="00D8412D" w:rsidRPr="00687A1C">
              <w:rPr>
                <w:rFonts w:ascii="Calibri" w:hAnsi="Calibri" w:cs="Calibri"/>
              </w:rPr>
              <w:t xml:space="preserve"> </w:t>
            </w:r>
            <w:r w:rsidRPr="00687A1C">
              <w:t>198</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bold"/>
              <w:spacing w:before="20" w:after="20"/>
            </w:pPr>
            <w:r w:rsidRPr="00687A1C">
              <w:t>33</w:t>
            </w:r>
            <w:r w:rsidR="00D8412D" w:rsidRPr="00687A1C">
              <w:rPr>
                <w:rFonts w:ascii="Calibri" w:hAnsi="Calibri" w:cs="Calibri"/>
              </w:rPr>
              <w:t xml:space="preserve"> </w:t>
            </w:r>
            <w:r w:rsidRPr="00687A1C">
              <w:t>932</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bold"/>
              <w:spacing w:before="20" w:after="20"/>
            </w:pPr>
            <w:r w:rsidRPr="00687A1C">
              <w:t>136</w:t>
            </w:r>
            <w:r w:rsidR="00D8412D" w:rsidRPr="00687A1C">
              <w:rPr>
                <w:rFonts w:ascii="Calibri" w:hAnsi="Calibri" w:cs="Calibri"/>
              </w:rPr>
              <w:t xml:space="preserve"> </w:t>
            </w:r>
            <w:r w:rsidRPr="00687A1C">
              <w:t>802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bold"/>
              <w:spacing w:before="20" w:after="20"/>
            </w:pPr>
            <w:r w:rsidRPr="00687A1C">
              <w:t>(138</w:t>
            </w:r>
            <w:r w:rsidR="00D8412D" w:rsidRPr="00687A1C">
              <w:rPr>
                <w:rFonts w:ascii="Calibri" w:hAnsi="Calibri" w:cs="Calibri"/>
              </w:rPr>
              <w:t xml:space="preserve"> </w:t>
            </w:r>
            <w:r w:rsidRPr="00687A1C">
              <w:t>442)</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bold"/>
              <w:spacing w:before="20" w:after="20"/>
            </w:pPr>
            <w:r w:rsidRPr="00687A1C">
              <w:t>32</w:t>
            </w:r>
            <w:r w:rsidR="00D8412D" w:rsidRPr="00687A1C">
              <w:rPr>
                <w:rFonts w:ascii="Calibri" w:hAnsi="Calibri" w:cs="Calibri"/>
              </w:rPr>
              <w:t xml:space="preserve"> </w:t>
            </w:r>
            <w:r w:rsidRPr="00687A1C">
              <w:t>292</w:t>
            </w:r>
          </w:p>
        </w:tc>
      </w:tr>
      <w:tr w:rsidR="00174AEA" w:rsidRPr="00687A1C" w:rsidTr="008A3976">
        <w:trPr>
          <w:cantSplit/>
          <w:trHeight w:hRule="exact" w:val="120"/>
        </w:trPr>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b/>
                <w:szCs w:val="14"/>
              </w:rPr>
            </w:pP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rPr>
                <w:b/>
                <w:szCs w:val="14"/>
              </w:rPr>
            </w:pP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rPr>
                <w:b/>
              </w:rPr>
            </w:pPr>
            <w:r w:rsidRPr="00687A1C">
              <w:rPr>
                <w:b/>
              </w:rPr>
              <w:t>Administered trusts</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b/>
                <w:szCs w:val="14"/>
              </w:rPr>
            </w:pP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rPr>
                <w:b/>
                <w:szCs w:val="14"/>
              </w:rPr>
            </w:pP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rPr>
                <w:b/>
              </w:rPr>
            </w:pP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rPr>
                <w:b/>
              </w:rPr>
            </w:pP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b/>
              </w:rPr>
            </w:pP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rPr>
                <w:b/>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2017 Bourke Street Fund Trust Account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26</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r w:rsidRPr="00687A1C">
              <w:rPr>
                <w:szCs w:val="14"/>
              </w:rPr>
              <w:t>(26)</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w:t>
            </w:r>
            <w:r w:rsidR="00D8412D" w:rsidRPr="00687A1C">
              <w:t xml:space="preserve"> </w:t>
            </w:r>
            <w:r w:rsidRPr="00687A1C">
              <w:t>594</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w:t>
            </w:r>
            <w:r w:rsidR="00D8412D" w:rsidRPr="00687A1C">
              <w:t xml:space="preserve"> </w:t>
            </w:r>
            <w:r w:rsidRPr="00687A1C">
              <w:t>568)</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26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Asset Sales Deposit Trust Account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rPr>
                <w:bCs/>
                <w:szCs w:val="14"/>
              </w:rPr>
            </w:pPr>
            <w:r w:rsidRPr="00687A1C">
              <w:rPr>
                <w:bCs/>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Del="00BF61BF" w:rsidRDefault="00174AEA" w:rsidP="00D8412D">
            <w:pPr>
              <w:pStyle w:val="Tabletextright"/>
              <w:spacing w:before="20" w:after="20"/>
              <w:rPr>
                <w:szCs w:val="14"/>
              </w:rPr>
            </w:pP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BF61BF"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5</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(5)</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Cattle Compensation Fund</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rPr>
                <w:bCs/>
                <w:szCs w:val="14"/>
              </w:rPr>
            </w:pPr>
            <w:r w:rsidRPr="00687A1C">
              <w:rPr>
                <w:bCs/>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pPr>
            <w:r w:rsidRPr="00687A1C">
              <w:rPr>
                <w:szCs w:val="14"/>
              </w:rPr>
              <w:t>5</w:t>
            </w:r>
            <w:r w:rsidR="00D8412D" w:rsidRPr="00687A1C">
              <w:rPr>
                <w:szCs w:val="14"/>
              </w:rPr>
              <w:t xml:space="preserve"> </w:t>
            </w:r>
            <w:r w:rsidRPr="00687A1C">
              <w:rPr>
                <w:szCs w:val="14"/>
              </w:rPr>
              <w:t>112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Del="00BF61BF" w:rsidRDefault="00174AEA" w:rsidP="00D8412D">
            <w:pPr>
              <w:pStyle w:val="Tabletextright"/>
              <w:spacing w:before="20" w:after="20"/>
            </w:pPr>
            <w:r w:rsidRPr="00687A1C">
              <w:rPr>
                <w:szCs w:val="14"/>
              </w:rPr>
              <w:t>(5</w:t>
            </w:r>
            <w:r w:rsidR="00D8412D" w:rsidRPr="00687A1C">
              <w:rPr>
                <w:szCs w:val="14"/>
              </w:rPr>
              <w:t xml:space="preserve"> </w:t>
            </w:r>
            <w:r w:rsidRPr="00687A1C">
              <w:rPr>
                <w:szCs w:val="14"/>
              </w:rPr>
              <w:t>112)</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BF61BF"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4</w:t>
            </w:r>
            <w:r w:rsidR="00D8412D" w:rsidRPr="00687A1C">
              <w:t xml:space="preserve"> </w:t>
            </w:r>
            <w:r w:rsidRPr="00687A1C">
              <w:t>690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(4</w:t>
            </w:r>
            <w:r w:rsidR="00D8412D" w:rsidRPr="00687A1C">
              <w:t xml:space="preserve"> </w:t>
            </w:r>
            <w:r w:rsidRPr="00687A1C">
              <w:t>690)</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Community Support Fund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27</w:t>
            </w:r>
            <w:r w:rsidR="00D8412D" w:rsidRPr="00687A1C">
              <w:rPr>
                <w:szCs w:val="14"/>
              </w:rPr>
              <w:t xml:space="preserve"> </w:t>
            </w:r>
            <w:r w:rsidRPr="00687A1C">
              <w:rPr>
                <w:szCs w:val="14"/>
              </w:rPr>
              <w:t>904</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149</w:t>
            </w:r>
            <w:r w:rsidR="00D8412D" w:rsidRPr="00687A1C">
              <w:rPr>
                <w:szCs w:val="14"/>
              </w:rPr>
              <w:t xml:space="preserve"> </w:t>
            </w:r>
            <w:r w:rsidR="00EC69FA" w:rsidRPr="00687A1C">
              <w:rPr>
                <w:szCs w:val="14"/>
              </w:rPr>
              <w:t>832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(130</w:t>
            </w:r>
            <w:r w:rsidR="00D8412D" w:rsidRPr="00687A1C">
              <w:rPr>
                <w:szCs w:val="14"/>
              </w:rPr>
              <w:t xml:space="preserve"> </w:t>
            </w:r>
            <w:r w:rsidRPr="00687A1C">
              <w:rPr>
                <w:szCs w:val="14"/>
              </w:rPr>
              <w:t>675)</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47</w:t>
            </w:r>
            <w:r w:rsidR="00D8412D" w:rsidRPr="00687A1C">
              <w:rPr>
                <w:szCs w:val="14"/>
              </w:rPr>
              <w:t xml:space="preserve"> </w:t>
            </w:r>
            <w:r w:rsidRPr="00687A1C">
              <w:rPr>
                <w:szCs w:val="14"/>
              </w:rPr>
              <w:t>061</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32</w:t>
            </w:r>
            <w:r w:rsidR="00D8412D" w:rsidRPr="00687A1C">
              <w:t xml:space="preserve"> </w:t>
            </w:r>
            <w:r w:rsidRPr="00687A1C">
              <w:t>791</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97</w:t>
            </w:r>
            <w:r w:rsidR="00D8412D" w:rsidRPr="00687A1C">
              <w:t xml:space="preserve"> </w:t>
            </w:r>
            <w:r w:rsidRPr="00687A1C">
              <w:t>007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(101</w:t>
            </w:r>
            <w:r w:rsidR="00D8412D" w:rsidRPr="00687A1C">
              <w:t xml:space="preserve"> </w:t>
            </w:r>
            <w:r w:rsidRPr="00687A1C">
              <w:t>894)</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27</w:t>
            </w:r>
            <w:r w:rsidR="00D8412D" w:rsidRPr="00687A1C">
              <w:t xml:space="preserve"> </w:t>
            </w:r>
            <w:r w:rsidRPr="00687A1C">
              <w:t>904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Debt Portfolio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451</w:t>
            </w:r>
            <w:r w:rsidR="00D8412D" w:rsidRPr="00687A1C">
              <w:rPr>
                <w:szCs w:val="14"/>
              </w:rPr>
              <w:t xml:space="preserve"> </w:t>
            </w:r>
            <w:r w:rsidRPr="00687A1C">
              <w:rPr>
                <w:szCs w:val="14"/>
              </w:rPr>
              <w:t>363</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9E4088" w:rsidP="00D8412D">
            <w:pPr>
              <w:pStyle w:val="Tabletextright"/>
              <w:spacing w:before="20" w:after="20"/>
            </w:pPr>
            <w:r w:rsidRPr="00687A1C">
              <w:rPr>
                <w:szCs w:val="14"/>
              </w:rPr>
              <w:t>850</w:t>
            </w:r>
            <w:r w:rsidR="00D8412D" w:rsidRPr="00687A1C">
              <w:rPr>
                <w:szCs w:val="14"/>
              </w:rPr>
              <w:t xml:space="preserve"> </w:t>
            </w:r>
            <w:r w:rsidR="00174AEA" w:rsidRPr="00687A1C">
              <w:rPr>
                <w:szCs w:val="14"/>
              </w:rPr>
              <w:t>000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9E4088" w:rsidP="00D8412D">
            <w:pPr>
              <w:pStyle w:val="Tabletextright"/>
              <w:spacing w:before="20" w:after="20"/>
              <w:rPr>
                <w:szCs w:val="14"/>
              </w:rPr>
            </w:pPr>
            <w:r w:rsidRPr="00687A1C">
              <w:rPr>
                <w:szCs w:val="14"/>
              </w:rPr>
              <w:t>(450 000)</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851</w:t>
            </w:r>
            <w:r w:rsidR="00D8412D" w:rsidRPr="00687A1C">
              <w:rPr>
                <w:szCs w:val="14"/>
              </w:rPr>
              <w:t xml:space="preserve"> </w:t>
            </w:r>
            <w:r w:rsidRPr="00687A1C">
              <w:rPr>
                <w:szCs w:val="14"/>
              </w:rPr>
              <w:t>363</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w:t>
            </w:r>
            <w:r w:rsidR="00D8412D" w:rsidRPr="00687A1C">
              <w:t xml:space="preserve"> </w:t>
            </w:r>
            <w:r w:rsidRPr="00687A1C">
              <w:t>363</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450</w:t>
            </w:r>
            <w:r w:rsidR="00D8412D" w:rsidRPr="00687A1C">
              <w:t xml:space="preserve"> </w:t>
            </w:r>
            <w:r w:rsidRPr="00687A1C">
              <w:t>000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451</w:t>
            </w:r>
            <w:r w:rsidR="00D8412D" w:rsidRPr="00687A1C">
              <w:t xml:space="preserve"> </w:t>
            </w:r>
            <w:r w:rsidRPr="00687A1C">
              <w:t>363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Finance Agency Trust</w:t>
            </w:r>
            <w:r w:rsidR="00EC69FA" w:rsidRPr="00687A1C">
              <w:t xml:space="preserve"> </w:t>
            </w:r>
            <w:r w:rsidR="00EC69FA"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93211E" w:rsidRDefault="00174AEA" w:rsidP="00D8412D">
            <w:pPr>
              <w:pStyle w:val="Tabletextright"/>
              <w:spacing w:before="20" w:after="20"/>
            </w:pPr>
            <w:r w:rsidRPr="00687A1C">
              <w:rPr>
                <w:szCs w:val="14"/>
              </w:rPr>
              <w:t>55</w:t>
            </w:r>
            <w:r w:rsidR="00D8412D" w:rsidRPr="00687A1C">
              <w:rPr>
                <w:szCs w:val="14"/>
              </w:rPr>
              <w:t xml:space="preserve"> </w:t>
            </w:r>
            <w:r w:rsidRPr="00687A1C">
              <w:rPr>
                <w:szCs w:val="14"/>
              </w:rPr>
              <w:t>137</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685E64" w:rsidRDefault="00174AEA" w:rsidP="00D8412D">
            <w:pPr>
              <w:pStyle w:val="Tabletextright"/>
              <w:spacing w:before="20" w:after="20"/>
            </w:pPr>
            <w:r w:rsidRPr="00687A1C">
              <w:rPr>
                <w:szCs w:val="14"/>
              </w:rPr>
              <w:t>59</w:t>
            </w:r>
            <w:r w:rsidR="00D8412D" w:rsidRPr="00687A1C">
              <w:rPr>
                <w:szCs w:val="14"/>
              </w:rPr>
              <w:t xml:space="preserve"> </w:t>
            </w:r>
            <w:r w:rsidR="00EC69FA" w:rsidRPr="00687A1C">
              <w:rPr>
                <w:szCs w:val="14"/>
              </w:rPr>
              <w:t>120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Del="00685E64" w:rsidRDefault="00174AEA" w:rsidP="00D8412D">
            <w:pPr>
              <w:pStyle w:val="Tabletextright"/>
              <w:spacing w:before="20" w:after="20"/>
            </w:pPr>
            <w:r w:rsidRPr="00687A1C">
              <w:rPr>
                <w:szCs w:val="14"/>
              </w:rPr>
              <w:t>(67</w:t>
            </w:r>
            <w:r w:rsidR="00D8412D" w:rsidRPr="00687A1C">
              <w:rPr>
                <w:szCs w:val="14"/>
              </w:rPr>
              <w:t xml:space="preserve"> </w:t>
            </w:r>
            <w:r w:rsidRPr="00687A1C">
              <w:rPr>
                <w:szCs w:val="14"/>
              </w:rPr>
              <w:t>578)</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685E64" w:rsidRDefault="00174AEA" w:rsidP="00D8412D">
            <w:pPr>
              <w:pStyle w:val="Tabletextright"/>
              <w:spacing w:before="20" w:after="20"/>
            </w:pPr>
            <w:r w:rsidRPr="00687A1C">
              <w:rPr>
                <w:szCs w:val="14"/>
              </w:rPr>
              <w:t>46</w:t>
            </w:r>
            <w:r w:rsidR="00D8412D" w:rsidRPr="00687A1C">
              <w:rPr>
                <w:szCs w:val="14"/>
              </w:rPr>
              <w:t xml:space="preserve"> </w:t>
            </w:r>
            <w:r w:rsidRPr="00687A1C">
              <w:rPr>
                <w:szCs w:val="14"/>
              </w:rPr>
              <w:t>679</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48</w:t>
            </w:r>
            <w:r w:rsidR="00D8412D" w:rsidRPr="00687A1C">
              <w:t xml:space="preserve"> </w:t>
            </w:r>
            <w:r w:rsidRPr="00687A1C">
              <w:t>321</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76</w:t>
            </w:r>
            <w:r w:rsidR="00D8412D" w:rsidRPr="00687A1C">
              <w:t xml:space="preserve"> </w:t>
            </w:r>
            <w:r w:rsidRPr="00687A1C">
              <w:t>024</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(69</w:t>
            </w:r>
            <w:r w:rsidR="00D8412D" w:rsidRPr="00687A1C">
              <w:t xml:space="preserve"> </w:t>
            </w:r>
            <w:r w:rsidRPr="00687A1C">
              <w:t>208)</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55</w:t>
            </w:r>
            <w:r w:rsidR="00D8412D" w:rsidRPr="00687A1C">
              <w:t xml:space="preserve"> </w:t>
            </w:r>
            <w:r w:rsidRPr="00687A1C">
              <w:t>137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8D312D">
              <w:t>HomesVic</w:t>
            </w:r>
            <w:r w:rsidR="00204B9E" w:rsidRPr="00687A1C">
              <w:t xml:space="preserve"> </w:t>
            </w:r>
            <w:r w:rsidRPr="00687A1C">
              <w:t>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C627AE">
            <w:pPr>
              <w:pStyle w:val="Tabletextright"/>
              <w:spacing w:before="20" w:after="20"/>
            </w:pPr>
            <w:r w:rsidRPr="00687A1C">
              <w:rPr>
                <w:szCs w:val="14"/>
              </w:rPr>
              <w:t>50</w:t>
            </w:r>
            <w:r w:rsidR="00D8412D" w:rsidRPr="00687A1C">
              <w:rPr>
                <w:szCs w:val="14"/>
              </w:rPr>
              <w:t xml:space="preserve"> </w:t>
            </w:r>
            <w:r w:rsidR="00C627AE" w:rsidRPr="00687A1C">
              <w:rPr>
                <w:szCs w:val="14"/>
              </w:rPr>
              <w:t>230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C627AE">
            <w:pPr>
              <w:pStyle w:val="Tabletextright"/>
              <w:spacing w:before="20" w:after="20"/>
            </w:pPr>
            <w:r w:rsidRPr="00687A1C">
              <w:rPr>
                <w:szCs w:val="14"/>
              </w:rPr>
              <w:t>(</w:t>
            </w:r>
            <w:r w:rsidR="00C627AE" w:rsidRPr="00687A1C">
              <w:rPr>
                <w:szCs w:val="14"/>
              </w:rPr>
              <w:t>3</w:t>
            </w:r>
            <w:r w:rsidR="00D8412D" w:rsidRPr="00687A1C">
              <w:rPr>
                <w:szCs w:val="14"/>
              </w:rPr>
              <w:t xml:space="preserve"> </w:t>
            </w:r>
            <w:r w:rsidRPr="00687A1C">
              <w:rPr>
                <w:szCs w:val="14"/>
              </w:rPr>
              <w:t>000)</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C627AE" w:rsidP="00C627AE">
            <w:pPr>
              <w:pStyle w:val="Tabletextright"/>
              <w:spacing w:before="20" w:after="20"/>
              <w:rPr>
                <w:szCs w:val="14"/>
              </w:rPr>
            </w:pPr>
            <w:r w:rsidRPr="00687A1C">
              <w:rPr>
                <w:szCs w:val="14"/>
              </w:rPr>
              <w:t>47 230</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Inter</w:t>
            </w:r>
            <w:r w:rsidR="00D8412D" w:rsidRPr="00687A1C">
              <w:t>-</w:t>
            </w:r>
            <w:r w:rsidRPr="00687A1C">
              <w:t xml:space="preserve">departmental </w:t>
            </w:r>
            <w:r w:rsidR="00742300" w:rsidRPr="00687A1C">
              <w:t xml:space="preserve">Transfer </w:t>
            </w:r>
            <w:r w:rsidRPr="00687A1C">
              <w:t>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9E4088" w:rsidP="00D8412D">
            <w:pPr>
              <w:pStyle w:val="Tabletextright"/>
              <w:spacing w:before="20" w:after="20"/>
              <w:rPr>
                <w:szCs w:val="14"/>
              </w:rPr>
            </w:pPr>
            <w:r w:rsidRPr="00687A1C">
              <w:rPr>
                <w:szCs w:val="14"/>
              </w:rPr>
              <w:t>17 154</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r w:rsidRPr="00687A1C">
              <w:rPr>
                <w:szCs w:val="14"/>
              </w:rPr>
              <w:t>(</w:t>
            </w:r>
            <w:r w:rsidR="009E4088" w:rsidRPr="00687A1C">
              <w:rPr>
                <w:szCs w:val="14"/>
              </w:rPr>
              <w:t>1 603</w:t>
            </w: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rPr>
                <w:szCs w:val="14"/>
              </w:rPr>
              <w:t>15</w:t>
            </w:r>
            <w:r w:rsidR="00D8412D" w:rsidRPr="00687A1C">
              <w:rPr>
                <w:szCs w:val="14"/>
              </w:rPr>
              <w:t xml:space="preserve"> </w:t>
            </w:r>
            <w:r w:rsidRPr="00687A1C">
              <w:rPr>
                <w:szCs w:val="14"/>
              </w:rPr>
              <w:t>551</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 xml:space="preserve">Public Service Commuter Club Trust </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(205)</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677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r w:rsidRPr="00687A1C">
              <w:rPr>
                <w:szCs w:val="14"/>
              </w:rPr>
              <w:t>(706)</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rPr>
                <w:szCs w:val="14"/>
              </w:rPr>
            </w:pPr>
            <w:r w:rsidRPr="00687A1C">
              <w:rPr>
                <w:szCs w:val="14"/>
              </w:rPr>
              <w:t>(234)</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(168)</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578</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(615)</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(205)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Security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pPr>
            <w:r w:rsidRPr="00687A1C">
              <w:rPr>
                <w:bCs/>
                <w:szCs w:val="14"/>
              </w:rPr>
              <w:t>12</w:t>
            </w:r>
            <w:r w:rsidR="00D8412D" w:rsidRPr="00687A1C">
              <w:rPr>
                <w:bCs/>
                <w:szCs w:val="14"/>
              </w:rPr>
              <w:t xml:space="preserve"> </w:t>
            </w:r>
            <w:r w:rsidRPr="00687A1C">
              <w:rPr>
                <w:bCs/>
                <w:szCs w:val="14"/>
              </w:rPr>
              <w:t>151</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pPr>
            <w:r w:rsidRPr="00687A1C">
              <w:rPr>
                <w:szCs w:val="14"/>
              </w:rPr>
              <w:t>91</w:t>
            </w:r>
            <w:r w:rsidR="00D8412D" w:rsidRPr="00687A1C">
              <w:rPr>
                <w:szCs w:val="14"/>
              </w:rPr>
              <w:t xml:space="preserve"> </w:t>
            </w:r>
            <w:r w:rsidRPr="00687A1C">
              <w:rPr>
                <w:szCs w:val="14"/>
              </w:rPr>
              <w:t>224</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(16</w:t>
            </w:r>
            <w:r w:rsidR="00D8412D" w:rsidRPr="00687A1C">
              <w:rPr>
                <w:szCs w:val="14"/>
              </w:rPr>
              <w:t xml:space="preserve"> </w:t>
            </w:r>
            <w:r w:rsidRPr="00687A1C">
              <w:rPr>
                <w:szCs w:val="14"/>
              </w:rPr>
              <w:t>931)</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BF61BF" w:rsidRDefault="00174AEA" w:rsidP="00D8412D">
            <w:pPr>
              <w:pStyle w:val="Tabletextright"/>
              <w:spacing w:before="20" w:after="20"/>
            </w:pPr>
            <w:r w:rsidRPr="00687A1C">
              <w:rPr>
                <w:szCs w:val="14"/>
              </w:rPr>
              <w:t>86</w:t>
            </w:r>
            <w:r w:rsidR="00D8412D" w:rsidRPr="00687A1C">
              <w:rPr>
                <w:szCs w:val="14"/>
              </w:rPr>
              <w:t xml:space="preserve"> </w:t>
            </w:r>
            <w:r w:rsidRPr="00687A1C">
              <w:rPr>
                <w:szCs w:val="14"/>
              </w:rPr>
              <w:t>444</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30</w:t>
            </w:r>
            <w:r w:rsidR="00D8412D" w:rsidRPr="00687A1C">
              <w:t xml:space="preserve"> </w:t>
            </w:r>
            <w:r w:rsidRPr="00687A1C">
              <w:t>430</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84</w:t>
            </w:r>
            <w:r w:rsidR="00D8412D" w:rsidRPr="00687A1C">
              <w:t xml:space="preserve"> </w:t>
            </w:r>
            <w:r w:rsidRPr="00687A1C">
              <w:t>039</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(102</w:t>
            </w:r>
            <w:r w:rsidR="00D8412D" w:rsidRPr="00687A1C">
              <w:t xml:space="preserve"> </w:t>
            </w:r>
            <w:r w:rsidRPr="00687A1C">
              <w:t>318)</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12</w:t>
            </w:r>
            <w:r w:rsidR="00D8412D" w:rsidRPr="00687A1C">
              <w:t xml:space="preserve"> </w:t>
            </w:r>
            <w:r w:rsidRPr="00687A1C">
              <w:t>151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Sheep And Goat Compensation Fund</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rPr>
                <w:bCs/>
                <w:szCs w:val="14"/>
              </w:rPr>
            </w:pPr>
            <w:r w:rsidRPr="00687A1C">
              <w:rPr>
                <w:bCs/>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pPr>
            <w:r w:rsidRPr="00687A1C">
              <w:rPr>
                <w:szCs w:val="14"/>
              </w:rPr>
              <w:t>1</w:t>
            </w:r>
            <w:r w:rsidR="00D8412D" w:rsidRPr="00687A1C">
              <w:rPr>
                <w:szCs w:val="14"/>
              </w:rPr>
              <w:t xml:space="preserve"> </w:t>
            </w:r>
            <w:r w:rsidRPr="00687A1C">
              <w:rPr>
                <w:szCs w:val="14"/>
              </w:rPr>
              <w:t>408</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(1</w:t>
            </w:r>
            <w:r w:rsidR="00D8412D" w:rsidRPr="00687A1C">
              <w:rPr>
                <w:szCs w:val="14"/>
              </w:rPr>
              <w:t xml:space="preserve"> </w:t>
            </w:r>
            <w:r w:rsidRPr="00687A1C">
              <w:rPr>
                <w:szCs w:val="14"/>
              </w:rPr>
              <w:t>408)</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BF61BF"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w:t>
            </w:r>
            <w:r w:rsidR="00D8412D" w:rsidRPr="00687A1C">
              <w:t xml:space="preserve"> </w:t>
            </w:r>
            <w:r w:rsidRPr="00687A1C">
              <w:t>187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w:t>
            </w:r>
            <w:r w:rsidR="00D8412D" w:rsidRPr="00687A1C">
              <w:t xml:space="preserve"> </w:t>
            </w:r>
            <w:r w:rsidRPr="00687A1C">
              <w:t>187)</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Swine Compensation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rPr>
                <w:bCs/>
                <w:szCs w:val="14"/>
              </w:rPr>
            </w:pPr>
            <w:r w:rsidRPr="00687A1C">
              <w:rPr>
                <w:bCs/>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BF61BF" w:rsidRDefault="00174AEA" w:rsidP="00D8412D">
            <w:pPr>
              <w:pStyle w:val="Tabletextright"/>
              <w:spacing w:before="20" w:after="20"/>
              <w:rPr>
                <w:szCs w:val="14"/>
              </w:rPr>
            </w:pPr>
            <w:r w:rsidRPr="00687A1C">
              <w:rPr>
                <w:szCs w:val="14"/>
              </w:rPr>
              <w:t>192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rPr>
                <w:szCs w:val="14"/>
              </w:rPr>
            </w:pPr>
            <w:r w:rsidRPr="00687A1C">
              <w:rPr>
                <w:szCs w:val="14"/>
              </w:rPr>
              <w:t>(192)</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BF61BF"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196</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(196)</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Treasury Trust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t>10</w:t>
            </w:r>
            <w:r w:rsidR="00D8412D" w:rsidRPr="00687A1C">
              <w:t xml:space="preserve"> </w:t>
            </w:r>
            <w:r w:rsidRPr="00687A1C">
              <w:t>075</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t>100</w:t>
            </w:r>
            <w:r w:rsidR="00D8412D" w:rsidRPr="00687A1C">
              <w:t xml:space="preserve"> </w:t>
            </w:r>
            <w:r w:rsidR="009E4088" w:rsidRPr="00687A1C">
              <w:t>300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(110</w:t>
            </w:r>
            <w:r w:rsidR="009E4088" w:rsidRPr="00687A1C">
              <w:t xml:space="preserve"> 375</w:t>
            </w:r>
            <w:r w:rsidRPr="00687A1C">
              <w:t>)</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pPr>
            <w:r w:rsidRPr="00687A1C">
              <w:t>–</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7</w:t>
            </w:r>
            <w:r w:rsidR="00D8412D" w:rsidRPr="00687A1C">
              <w:t xml:space="preserve"> </w:t>
            </w:r>
            <w:r w:rsidRPr="00687A1C">
              <w:t>709</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3</w:t>
            </w:r>
            <w:r w:rsidR="00D8412D" w:rsidRPr="00687A1C">
              <w:t xml:space="preserve"> </w:t>
            </w:r>
            <w:r w:rsidRPr="00687A1C">
              <w:t>049</w:t>
            </w:r>
            <w:r w:rsidR="00D8412D" w:rsidRPr="00687A1C">
              <w:t xml:space="preserve"> </w:t>
            </w:r>
            <w:r w:rsidRPr="00687A1C">
              <w:t>811</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(3</w:t>
            </w:r>
            <w:r w:rsidR="00D8412D" w:rsidRPr="00687A1C">
              <w:t xml:space="preserve"> </w:t>
            </w:r>
            <w:r w:rsidRPr="00687A1C">
              <w:t>047</w:t>
            </w:r>
            <w:r w:rsidR="00D8412D" w:rsidRPr="00687A1C">
              <w:t xml:space="preserve"> </w:t>
            </w:r>
            <w:r w:rsidRPr="00687A1C">
              <w:t>445)</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10</w:t>
            </w:r>
            <w:r w:rsidR="00D8412D" w:rsidRPr="00687A1C">
              <w:t xml:space="preserve"> </w:t>
            </w:r>
            <w:r w:rsidRPr="00687A1C">
              <w:t>075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Vehicle Lease Trust</w:t>
            </w:r>
            <w:r w:rsidR="00EC69FA" w:rsidRPr="00687A1C">
              <w:t xml:space="preserve"> </w:t>
            </w:r>
            <w:r w:rsidR="00EC69FA" w:rsidRPr="00687A1C">
              <w:rPr>
                <w:vertAlign w:val="superscript"/>
              </w:rPr>
              <w:t>(b)</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19</w:t>
            </w:r>
            <w:r w:rsidR="00D8412D" w:rsidRPr="00687A1C">
              <w:rPr>
                <w:szCs w:val="14"/>
              </w:rPr>
              <w:t xml:space="preserve"> </w:t>
            </w:r>
            <w:r w:rsidRPr="00687A1C">
              <w:rPr>
                <w:szCs w:val="14"/>
              </w:rPr>
              <w:t>350</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158</w:t>
            </w:r>
            <w:r w:rsidR="00D8412D" w:rsidRPr="00687A1C">
              <w:rPr>
                <w:szCs w:val="14"/>
              </w:rPr>
              <w:t xml:space="preserve"> </w:t>
            </w:r>
            <w:r w:rsidRPr="00687A1C">
              <w:rPr>
                <w:szCs w:val="14"/>
              </w:rPr>
              <w:t>431</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(177</w:t>
            </w:r>
            <w:r w:rsidR="00D8412D" w:rsidRPr="00687A1C">
              <w:rPr>
                <w:szCs w:val="14"/>
              </w:rPr>
              <w:t xml:space="preserve"> </w:t>
            </w:r>
            <w:r w:rsidRPr="00687A1C">
              <w:rPr>
                <w:szCs w:val="14"/>
              </w:rPr>
              <w:t>417)</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rPr>
                <w:szCs w:val="14"/>
              </w:rPr>
            </w:pPr>
            <w:r w:rsidRPr="00687A1C">
              <w:rPr>
                <w:szCs w:val="14"/>
              </w:rPr>
              <w:t>364</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15</w:t>
            </w:r>
            <w:r w:rsidR="00D8412D" w:rsidRPr="00687A1C">
              <w:t xml:space="preserve"> </w:t>
            </w:r>
            <w:r w:rsidRPr="00687A1C">
              <w:t>468</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159</w:t>
            </w:r>
            <w:r w:rsidR="00D8412D" w:rsidRPr="00687A1C">
              <w:t xml:space="preserve"> </w:t>
            </w:r>
            <w:r w:rsidRPr="00687A1C">
              <w:t>306</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(155</w:t>
            </w:r>
            <w:r w:rsidR="00D8412D" w:rsidRPr="00687A1C">
              <w:t xml:space="preserve"> </w:t>
            </w:r>
            <w:r w:rsidRPr="00687A1C">
              <w:t>424)</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19</w:t>
            </w:r>
            <w:r w:rsidR="00D8412D" w:rsidRPr="00687A1C">
              <w:t xml:space="preserve"> </w:t>
            </w:r>
            <w:r w:rsidRPr="00687A1C">
              <w:t>350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Victorian Natural Disasters Relief Account</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89</w:t>
            </w:r>
            <w:r w:rsidR="00D8412D" w:rsidRPr="00687A1C">
              <w:rPr>
                <w:szCs w:val="14"/>
              </w:rPr>
              <w:t xml:space="preserve"> </w:t>
            </w:r>
            <w:r w:rsidRPr="00687A1C">
              <w:rPr>
                <w:szCs w:val="14"/>
              </w:rPr>
              <w:t>775</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9E4088" w:rsidP="00D8412D">
            <w:pPr>
              <w:pStyle w:val="Tabletextright"/>
              <w:spacing w:before="20" w:after="20"/>
              <w:rPr>
                <w:szCs w:val="14"/>
              </w:rPr>
            </w:pPr>
            <w:r w:rsidRPr="00687A1C">
              <w:rPr>
                <w:szCs w:val="14"/>
              </w:rPr>
              <w:t>134 40</w:t>
            </w:r>
            <w:r w:rsidR="00D8412D" w:rsidRPr="00687A1C">
              <w:rPr>
                <w:szCs w:val="14"/>
              </w:rPr>
              <w:t>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(63</w:t>
            </w:r>
            <w:r w:rsidR="00D8412D" w:rsidRPr="00687A1C">
              <w:rPr>
                <w:szCs w:val="14"/>
              </w:rPr>
              <w:t xml:space="preserve"> </w:t>
            </w:r>
            <w:r w:rsidRPr="00687A1C">
              <w:rPr>
                <w:szCs w:val="14"/>
              </w:rPr>
              <w:t>053)</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9E4088" w:rsidP="00D8412D">
            <w:pPr>
              <w:pStyle w:val="Tabletextright"/>
              <w:spacing w:before="20" w:after="20"/>
              <w:rPr>
                <w:szCs w:val="14"/>
              </w:rPr>
            </w:pPr>
            <w:r w:rsidRPr="00687A1C">
              <w:rPr>
                <w:szCs w:val="14"/>
              </w:rPr>
              <w:t>161 129</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128</w:t>
            </w:r>
            <w:r w:rsidR="00D8412D" w:rsidRPr="00687A1C">
              <w:t xml:space="preserve"> </w:t>
            </w:r>
            <w:r w:rsidRPr="00687A1C">
              <w:t>306</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10</w:t>
            </w:r>
            <w:r w:rsidR="00D8412D" w:rsidRPr="00687A1C">
              <w:t xml:space="preserve"> </w:t>
            </w:r>
            <w:r w:rsidRPr="00687A1C">
              <w:t>293</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(48</w:t>
            </w:r>
            <w:r w:rsidR="00D8412D" w:rsidRPr="00687A1C">
              <w:t xml:space="preserve"> </w:t>
            </w:r>
            <w:r w:rsidRPr="00687A1C">
              <w:t>824)</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89</w:t>
            </w:r>
            <w:r w:rsidR="00D8412D" w:rsidRPr="00687A1C">
              <w:t xml:space="preserve"> </w:t>
            </w:r>
            <w:r w:rsidRPr="00687A1C">
              <w:t>775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Victorian Social Housing Growth Fund</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rPr>
                <w:szCs w:val="14"/>
              </w:rPr>
            </w:pPr>
            <w:r w:rsidRPr="00687A1C">
              <w:rPr>
                <w:szCs w:val="14"/>
              </w:rPr>
              <w:t>–</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174AEA" w:rsidP="00D8412D">
            <w:pPr>
              <w:pStyle w:val="Tabletextright"/>
              <w:spacing w:before="20" w:after="20"/>
            </w:pPr>
            <w:r w:rsidRPr="00687A1C">
              <w:rPr>
                <w:szCs w:val="14"/>
              </w:rPr>
              <w:t>300</w:t>
            </w:r>
            <w:r w:rsidR="00D8412D" w:rsidRPr="00687A1C">
              <w:rPr>
                <w:szCs w:val="14"/>
              </w:rPr>
              <w:t xml:space="preserve"> </w:t>
            </w:r>
            <w:r w:rsidRPr="00687A1C">
              <w:rPr>
                <w:szCs w:val="14"/>
              </w:rPr>
              <w:t>073</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szCs w:val="14"/>
              </w:rPr>
              <w:t>(300</w:t>
            </w:r>
            <w:r w:rsidR="00D8412D" w:rsidRPr="00687A1C">
              <w:rPr>
                <w:szCs w:val="14"/>
              </w:rPr>
              <w:t xml:space="preserve"> </w:t>
            </w:r>
            <w:r w:rsidRPr="00687A1C">
              <w:rPr>
                <w:szCs w:val="14"/>
              </w:rPr>
              <w:t>073)</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
              <w:spacing w:before="20" w:after="20"/>
              <w:rPr>
                <w:szCs w:val="14"/>
              </w:rPr>
            </w:pPr>
            <w:r w:rsidRPr="00687A1C">
              <w:rPr>
                <w:szCs w:val="14"/>
              </w:rPr>
              <w:t>–</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100</w:t>
            </w:r>
            <w:r w:rsidR="00D8412D" w:rsidRPr="00687A1C">
              <w:t xml:space="preserve"> </w:t>
            </w:r>
            <w:r w:rsidRPr="00687A1C">
              <w:t>000</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873A92" w:rsidP="00D8412D">
            <w:pPr>
              <w:pStyle w:val="Tabletextright"/>
              <w:spacing w:before="20" w:after="20"/>
            </w:pPr>
            <w:r w:rsidRPr="00687A1C">
              <w:t>(</w:t>
            </w:r>
            <w:r w:rsidR="00174AEA" w:rsidRPr="00687A1C">
              <w:t>100</w:t>
            </w:r>
            <w:r w:rsidR="00D8412D" w:rsidRPr="00687A1C">
              <w:t xml:space="preserve"> </w:t>
            </w:r>
            <w:r w:rsidR="00174AEA" w:rsidRPr="00687A1C">
              <w:t>000</w:t>
            </w:r>
            <w:r w:rsidRPr="00687A1C">
              <w:t>)</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873A92" w:rsidP="00D8412D">
            <w:pPr>
              <w:pStyle w:val="Tabletextright"/>
              <w:spacing w:before="20" w:after="20"/>
            </w:pPr>
            <w:r w:rsidRPr="00687A1C">
              <w:t>–</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pPr>
            <w:r w:rsidRPr="00687A1C">
              <w:t>Victorian Transport Fund</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Del="001D1BB4" w:rsidRDefault="00174AEA" w:rsidP="00D8412D">
            <w:pPr>
              <w:pStyle w:val="Tabletextright"/>
              <w:spacing w:before="20" w:after="20"/>
            </w:pPr>
            <w:r w:rsidRPr="00687A1C">
              <w:rPr>
                <w:szCs w:val="14"/>
              </w:rPr>
              <w:t>9</w:t>
            </w:r>
            <w:r w:rsidR="00D8412D" w:rsidRPr="00687A1C">
              <w:rPr>
                <w:szCs w:val="14"/>
              </w:rPr>
              <w:t xml:space="preserve"> </w:t>
            </w:r>
            <w:r w:rsidRPr="00687A1C">
              <w:rPr>
                <w:szCs w:val="14"/>
              </w:rPr>
              <w:t>230</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Del="001D1BB4" w:rsidRDefault="00174AEA" w:rsidP="00D8412D">
            <w:pPr>
              <w:pStyle w:val="Tabletextright"/>
              <w:spacing w:before="20" w:after="20"/>
            </w:pPr>
            <w:r w:rsidRPr="00687A1C">
              <w:rPr>
                <w:szCs w:val="14"/>
              </w:rPr>
              <w:t>3</w:t>
            </w:r>
            <w:r w:rsidR="00D8412D" w:rsidRPr="00687A1C">
              <w:rPr>
                <w:szCs w:val="14"/>
              </w:rPr>
              <w:t xml:space="preserve"> </w:t>
            </w:r>
            <w:r w:rsidRPr="00687A1C">
              <w:rPr>
                <w:szCs w:val="14"/>
              </w:rPr>
              <w:t>096</w:t>
            </w:r>
            <w:r w:rsidR="00D8412D" w:rsidRPr="00687A1C">
              <w:rPr>
                <w:szCs w:val="14"/>
              </w:rPr>
              <w:t xml:space="preserve"> </w:t>
            </w:r>
            <w:r w:rsidRPr="00687A1C">
              <w:rPr>
                <w:szCs w:val="14"/>
              </w:rPr>
              <w:t>707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Del="001D1BB4" w:rsidRDefault="00174AEA" w:rsidP="00D8412D">
            <w:pPr>
              <w:pStyle w:val="Tabletextright"/>
              <w:spacing w:before="20" w:after="20"/>
            </w:pPr>
            <w:r w:rsidRPr="00687A1C">
              <w:rPr>
                <w:szCs w:val="14"/>
              </w:rPr>
              <w:t>(3</w:t>
            </w:r>
            <w:r w:rsidR="00D8412D" w:rsidRPr="00687A1C">
              <w:rPr>
                <w:szCs w:val="14"/>
              </w:rPr>
              <w:t xml:space="preserve"> </w:t>
            </w:r>
            <w:r w:rsidRPr="00687A1C">
              <w:rPr>
                <w:szCs w:val="14"/>
              </w:rPr>
              <w:t>096</w:t>
            </w:r>
            <w:r w:rsidR="00D8412D" w:rsidRPr="00687A1C">
              <w:rPr>
                <w:szCs w:val="14"/>
              </w:rPr>
              <w:t xml:space="preserve"> </w:t>
            </w:r>
            <w:r w:rsidRPr="00687A1C">
              <w:rPr>
                <w:szCs w:val="14"/>
              </w:rPr>
              <w:t>707)</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Del="001D1BB4" w:rsidRDefault="00174AEA" w:rsidP="00D8412D">
            <w:pPr>
              <w:pStyle w:val="Tabletextright"/>
              <w:spacing w:before="20" w:after="20"/>
            </w:pPr>
            <w:r w:rsidRPr="00687A1C">
              <w:rPr>
                <w:szCs w:val="14"/>
              </w:rPr>
              <w:t>9</w:t>
            </w:r>
            <w:r w:rsidR="00D8412D" w:rsidRPr="00687A1C">
              <w:rPr>
                <w:szCs w:val="14"/>
              </w:rPr>
              <w:t xml:space="preserve"> </w:t>
            </w:r>
            <w:r w:rsidRPr="00687A1C">
              <w:rPr>
                <w:szCs w:val="14"/>
              </w:rPr>
              <w:t>230</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
              <w:spacing w:before="20" w:after="20"/>
            </w:pPr>
            <w:r w:rsidRPr="00687A1C">
              <w:t>11</w:t>
            </w:r>
            <w:r w:rsidR="00D8412D" w:rsidRPr="00687A1C">
              <w:t xml:space="preserve"> </w:t>
            </w:r>
            <w:r w:rsidRPr="00687A1C">
              <w:t>269</w:t>
            </w:r>
            <w:r w:rsidR="00D8412D" w:rsidRPr="00687A1C">
              <w:t xml:space="preserve"> </w:t>
            </w:r>
            <w:r w:rsidRPr="00687A1C">
              <w:t>562</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t>(11</w:t>
            </w:r>
            <w:r w:rsidR="00D8412D" w:rsidRPr="00687A1C">
              <w:t xml:space="preserve"> </w:t>
            </w:r>
            <w:r w:rsidRPr="00687A1C">
              <w:t>260</w:t>
            </w:r>
            <w:r w:rsidR="00D8412D" w:rsidRPr="00687A1C">
              <w:t xml:space="preserve"> </w:t>
            </w:r>
            <w:r w:rsidRPr="00687A1C">
              <w:t>332)</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t>9</w:t>
            </w:r>
            <w:r w:rsidR="00D8412D" w:rsidRPr="00687A1C">
              <w:t xml:space="preserve"> </w:t>
            </w:r>
            <w:r w:rsidRPr="00687A1C">
              <w:t>230</w:t>
            </w:r>
          </w:p>
        </w:tc>
      </w:tr>
      <w:tr w:rsidR="00174AEA" w:rsidRPr="00687A1C" w:rsidTr="008A3976">
        <w:trPr>
          <w:trHeight w:val="108"/>
        </w:trPr>
        <w:tc>
          <w:tcPr>
            <w:cnfStyle w:val="001000000000" w:firstRow="0" w:lastRow="0" w:firstColumn="1" w:lastColumn="0" w:oddVBand="0" w:evenVBand="0" w:oddHBand="0" w:evenHBand="0" w:firstRowFirstColumn="0" w:firstRowLastColumn="0" w:lastRowFirstColumn="0" w:lastRowLastColumn="0"/>
            <w:tcW w:w="1607" w:type="pct"/>
            <w:vAlign w:val="bottom"/>
          </w:tcPr>
          <w:p w:rsidR="00174AEA" w:rsidRPr="00687A1C" w:rsidRDefault="00174AEA" w:rsidP="00EC69FA">
            <w:pPr>
              <w:pStyle w:val="Tabletext"/>
              <w:spacing w:before="20" w:after="20"/>
              <w:rPr>
                <w:b/>
              </w:rPr>
            </w:pPr>
            <w:r w:rsidRPr="00687A1C">
              <w:rPr>
                <w:b/>
              </w:rPr>
              <w:t>Total administered trusts</w:t>
            </w:r>
          </w:p>
        </w:tc>
        <w:tc>
          <w:tcPr>
            <w:cnfStyle w:val="000010000000" w:firstRow="0" w:lastRow="0" w:firstColumn="0" w:lastColumn="0" w:oddVBand="1" w:evenVBand="0" w:oddHBand="0" w:evenHBand="0" w:firstRowFirstColumn="0" w:firstRowLastColumn="0" w:lastRowFirstColumn="0" w:lastRowLastColumn="0"/>
            <w:tcW w:w="424" w:type="pct"/>
            <w:vAlign w:val="bottom"/>
          </w:tcPr>
          <w:p w:rsidR="00174AEA" w:rsidRPr="00687A1C" w:rsidRDefault="00174AEA" w:rsidP="00D8412D">
            <w:pPr>
              <w:pStyle w:val="Tabletextrightbold"/>
              <w:spacing w:before="20" w:after="20"/>
            </w:pPr>
            <w:r w:rsidRPr="00687A1C">
              <w:t>674</w:t>
            </w:r>
            <w:r w:rsidR="00D8412D" w:rsidRPr="00687A1C">
              <w:rPr>
                <w:rFonts w:ascii="Calibri" w:hAnsi="Calibri" w:cs="Calibri"/>
              </w:rPr>
              <w:t xml:space="preserve"> </w:t>
            </w:r>
            <w:r w:rsidRPr="00687A1C">
              <w:t>806</w:t>
            </w:r>
          </w:p>
        </w:tc>
        <w:tc>
          <w:tcPr>
            <w:cnfStyle w:val="000001000000" w:firstRow="0" w:lastRow="0" w:firstColumn="0" w:lastColumn="0" w:oddVBand="0" w:evenVBand="1" w:oddHBand="0" w:evenHBand="0" w:firstRowFirstColumn="0" w:firstRowLastColumn="0" w:lastRowFirstColumn="0" w:lastRowLastColumn="0"/>
            <w:tcW w:w="424" w:type="pct"/>
            <w:vAlign w:val="bottom"/>
          </w:tcPr>
          <w:p w:rsidR="00174AEA" w:rsidRPr="00687A1C" w:rsidRDefault="009E4088" w:rsidP="00D8412D">
            <w:pPr>
              <w:pStyle w:val="Tabletextrightbold"/>
              <w:spacing w:before="20" w:after="20"/>
            </w:pPr>
            <w:r w:rsidRPr="00687A1C">
              <w:t xml:space="preserve">5 014 </w:t>
            </w:r>
            <w:r w:rsidR="00C627AE" w:rsidRPr="00687A1C">
              <w:t>867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C627AE">
            <w:pPr>
              <w:pStyle w:val="Tabletextrightbold"/>
              <w:spacing w:before="20" w:after="20"/>
            </w:pPr>
            <w:r w:rsidRPr="00687A1C">
              <w:t>(4</w:t>
            </w:r>
            <w:r w:rsidR="00C627AE" w:rsidRPr="00687A1C">
              <w:t xml:space="preserve"> 424 </w:t>
            </w:r>
            <w:r w:rsidR="009E4088" w:rsidRPr="00687A1C">
              <w:t>856</w:t>
            </w:r>
            <w:r w:rsidRPr="00687A1C">
              <w:t>)</w:t>
            </w:r>
          </w:p>
        </w:tc>
        <w:tc>
          <w:tcPr>
            <w:cnfStyle w:val="000001000000" w:firstRow="0" w:lastRow="0" w:firstColumn="0" w:lastColumn="0" w:oddVBand="0" w:evenVBand="1" w:oddHBand="0" w:evenHBand="0" w:firstRowFirstColumn="0" w:firstRowLastColumn="0" w:lastRowFirstColumn="0" w:lastRowLastColumn="0"/>
            <w:tcW w:w="429" w:type="pct"/>
            <w:vAlign w:val="bottom"/>
          </w:tcPr>
          <w:p w:rsidR="00174AEA" w:rsidRPr="00687A1C" w:rsidRDefault="00174AEA" w:rsidP="00D8412D">
            <w:pPr>
              <w:pStyle w:val="Tabletextrightbold"/>
              <w:spacing w:before="20" w:after="20"/>
            </w:pPr>
            <w:r w:rsidRPr="00687A1C">
              <w:t>1</w:t>
            </w:r>
            <w:r w:rsidR="00D8412D" w:rsidRPr="00687A1C">
              <w:rPr>
                <w:rFonts w:ascii="Calibri" w:hAnsi="Calibri" w:cs="Calibri"/>
              </w:rPr>
              <w:t xml:space="preserve"> </w:t>
            </w:r>
            <w:r w:rsidR="00C627AE" w:rsidRPr="00687A1C">
              <w:t>264 817</w:t>
            </w:r>
          </w:p>
        </w:tc>
        <w:tc>
          <w:tcPr>
            <w:cnfStyle w:val="000010000000" w:firstRow="0" w:lastRow="0" w:firstColumn="0" w:lastColumn="0" w:oddVBand="1" w:evenVBand="0" w:oddHBand="0" w:evenHBand="0" w:firstRowFirstColumn="0" w:firstRowLastColumn="0" w:lastRowFirstColumn="0" w:lastRowLastColumn="0"/>
            <w:tcW w:w="422" w:type="pct"/>
            <w:vAlign w:val="bottom"/>
          </w:tcPr>
          <w:p w:rsidR="00174AEA" w:rsidRPr="00687A1C" w:rsidRDefault="00174AEA" w:rsidP="00D8412D">
            <w:pPr>
              <w:pStyle w:val="Tabletextrightbold"/>
              <w:spacing w:before="20" w:after="20"/>
            </w:pPr>
            <w:r w:rsidRPr="00687A1C">
              <w:t>264</w:t>
            </w:r>
            <w:r w:rsidR="00D8412D" w:rsidRPr="00687A1C">
              <w:rPr>
                <w:rFonts w:ascii="Calibri" w:hAnsi="Calibri" w:cs="Calibri"/>
              </w:rPr>
              <w:t xml:space="preserve"> </w:t>
            </w:r>
            <w:r w:rsidRPr="00687A1C">
              <w:t>225</w:t>
            </w:r>
          </w:p>
        </w:tc>
        <w:tc>
          <w:tcPr>
            <w:cnfStyle w:val="000001000000" w:firstRow="0" w:lastRow="0" w:firstColumn="0" w:lastColumn="0" w:oddVBand="0" w:evenVBand="1" w:oddHBand="0" w:evenHBand="0" w:firstRowFirstColumn="0" w:firstRowLastColumn="0" w:lastRowFirstColumn="0" w:lastRowLastColumn="0"/>
            <w:tcW w:w="422" w:type="pct"/>
            <w:vAlign w:val="bottom"/>
          </w:tcPr>
          <w:p w:rsidR="00174AEA" w:rsidRPr="00687A1C" w:rsidRDefault="00174AEA" w:rsidP="00D8412D">
            <w:pPr>
              <w:pStyle w:val="Tabletextrightbold"/>
              <w:spacing w:before="20" w:after="20"/>
            </w:pPr>
            <w:r w:rsidRPr="00687A1C">
              <w:t>15</w:t>
            </w:r>
            <w:r w:rsidR="00D8412D" w:rsidRPr="00687A1C">
              <w:rPr>
                <w:rFonts w:ascii="Calibri" w:hAnsi="Calibri" w:cs="Calibri"/>
              </w:rPr>
              <w:t xml:space="preserve"> </w:t>
            </w:r>
            <w:r w:rsidRPr="00687A1C">
              <w:t>304</w:t>
            </w:r>
            <w:r w:rsidR="00D8412D" w:rsidRPr="00687A1C">
              <w:rPr>
                <w:rFonts w:ascii="Calibri" w:hAnsi="Calibri" w:cs="Calibri"/>
              </w:rPr>
              <w:t xml:space="preserve"> </w:t>
            </w:r>
            <w:r w:rsidRPr="00687A1C">
              <w:t>287</w:t>
            </w:r>
          </w:p>
        </w:tc>
        <w:tc>
          <w:tcPr>
            <w:cnfStyle w:val="000010000000" w:firstRow="0" w:lastRow="0" w:firstColumn="0" w:lastColumn="0" w:oddVBand="1" w:evenVBand="0" w:oddHBand="0" w:evenHBand="0" w:firstRowFirstColumn="0" w:firstRowLastColumn="0" w:lastRowFirstColumn="0" w:lastRowLastColumn="0"/>
            <w:tcW w:w="423" w:type="pct"/>
            <w:vAlign w:val="bottom"/>
          </w:tcPr>
          <w:p w:rsidR="00174AEA" w:rsidRPr="00687A1C" w:rsidRDefault="00174AEA" w:rsidP="00D8412D">
            <w:pPr>
              <w:pStyle w:val="Tabletextright"/>
              <w:spacing w:before="20" w:after="20"/>
            </w:pPr>
            <w:r w:rsidRPr="00687A1C">
              <w:rPr>
                <w:b/>
              </w:rPr>
              <w:t>(14</w:t>
            </w:r>
            <w:r w:rsidR="00D8412D" w:rsidRPr="00687A1C">
              <w:rPr>
                <w:rFonts w:ascii="Calibri" w:hAnsi="Calibri" w:cs="Calibri"/>
                <w:b/>
              </w:rPr>
              <w:t xml:space="preserve"> </w:t>
            </w:r>
            <w:r w:rsidRPr="00687A1C">
              <w:rPr>
                <w:b/>
              </w:rPr>
              <w:t>893</w:t>
            </w:r>
            <w:r w:rsidR="00D8412D" w:rsidRPr="00687A1C">
              <w:rPr>
                <w:rFonts w:ascii="Calibri" w:hAnsi="Calibri" w:cs="Calibri"/>
                <w:b/>
              </w:rPr>
              <w:t xml:space="preserve"> </w:t>
            </w:r>
            <w:r w:rsidRPr="00687A1C">
              <w:rPr>
                <w:b/>
              </w:rPr>
              <w:t>706)</w:t>
            </w:r>
          </w:p>
        </w:tc>
        <w:tc>
          <w:tcPr>
            <w:cnfStyle w:val="000001000000" w:firstRow="0" w:lastRow="0" w:firstColumn="0" w:lastColumn="0" w:oddVBand="0" w:evenVBand="1" w:oddHBand="0" w:evenHBand="0" w:firstRowFirstColumn="0" w:firstRowLastColumn="0" w:lastRowFirstColumn="0" w:lastRowLastColumn="0"/>
            <w:tcW w:w="426" w:type="pct"/>
            <w:vAlign w:val="bottom"/>
          </w:tcPr>
          <w:p w:rsidR="00174AEA" w:rsidRPr="00687A1C" w:rsidRDefault="00174AEA" w:rsidP="00D8412D">
            <w:pPr>
              <w:pStyle w:val="Tabletextright"/>
              <w:spacing w:before="20" w:after="20"/>
            </w:pPr>
            <w:r w:rsidRPr="00687A1C">
              <w:rPr>
                <w:b/>
              </w:rPr>
              <w:t>674</w:t>
            </w:r>
            <w:r w:rsidR="00D8412D" w:rsidRPr="00687A1C">
              <w:rPr>
                <w:rFonts w:ascii="Calibri" w:hAnsi="Calibri" w:cs="Calibri"/>
                <w:b/>
              </w:rPr>
              <w:t xml:space="preserve"> </w:t>
            </w:r>
            <w:r w:rsidRPr="00687A1C">
              <w:rPr>
                <w:b/>
              </w:rPr>
              <w:t>806</w:t>
            </w:r>
          </w:p>
        </w:tc>
      </w:tr>
    </w:tbl>
    <w:p w:rsidR="00174AEA" w:rsidRPr="00687A1C" w:rsidRDefault="00EC69FA" w:rsidP="00EC69FA">
      <w:pPr>
        <w:pStyle w:val="Notes"/>
        <w:ind w:left="360"/>
      </w:pPr>
      <w:r w:rsidRPr="00687A1C">
        <w:t>Notes:</w:t>
      </w:r>
    </w:p>
    <w:p w:rsidR="00EC69FA" w:rsidRPr="00687A1C" w:rsidRDefault="00EC69FA" w:rsidP="00EC69FA">
      <w:pPr>
        <w:pStyle w:val="Notes"/>
        <w:ind w:left="360"/>
      </w:pPr>
      <w:r w:rsidRPr="00687A1C">
        <w:t>(a) The Department has reclassified part of the Finance Agency Trust comprising advances received for capital works on behalf of client departments from a controlled trust to an administered trust. The portion remaining in the controlled trust relates to the Department’s owned buildings and fitouts.</w:t>
      </w:r>
    </w:p>
    <w:p w:rsidR="00EC69FA" w:rsidRPr="00687A1C" w:rsidRDefault="00EC69FA" w:rsidP="00EC69FA">
      <w:pPr>
        <w:pStyle w:val="Notes"/>
        <w:ind w:left="360"/>
      </w:pPr>
      <w:r w:rsidRPr="00687A1C">
        <w:t xml:space="preserve">(b) The Department has reclassified </w:t>
      </w:r>
      <w:r w:rsidR="009E4088" w:rsidRPr="00687A1C">
        <w:t xml:space="preserve">the </w:t>
      </w:r>
      <w:r w:rsidRPr="00687A1C">
        <w:t>VicFleet business unit that operates the VicFleet lease facility on behalf of the State from an administered trust to a controlled trust. The portion remaining in the administered trust relates to the VicFleet Lease Management Service.</w:t>
      </w:r>
    </w:p>
    <w:p w:rsidR="00174AEA" w:rsidRPr="00687A1C" w:rsidRDefault="00174AEA" w:rsidP="00174AEA">
      <w:pPr>
        <w:sectPr w:rsidR="00174AEA" w:rsidRPr="00687A1C" w:rsidSect="008A3976">
          <w:headerReference w:type="even" r:id="rId85"/>
          <w:headerReference w:type="default" r:id="rId86"/>
          <w:footerReference w:type="even" r:id="rId87"/>
          <w:footerReference w:type="default" r:id="rId88"/>
          <w:pgSz w:w="16834" w:h="11909" w:orient="landscape" w:code="9"/>
          <w:pgMar w:top="1152" w:right="1728" w:bottom="900" w:left="1152" w:header="720" w:footer="288" w:gutter="0"/>
          <w:cols w:space="720"/>
          <w:noEndnote/>
          <w:docGrid w:linePitch="231"/>
        </w:sectPr>
      </w:pPr>
    </w:p>
    <w:p w:rsidR="00174AEA" w:rsidRPr="00687A1C" w:rsidRDefault="00174AEA" w:rsidP="00174AEA">
      <w:pPr>
        <w:pStyle w:val="Heading4"/>
      </w:pPr>
      <w:r w:rsidRPr="00687A1C">
        <w:lastRenderedPageBreak/>
        <w:t>Victorian Natural Disasters Relief Account</w:t>
      </w:r>
    </w:p>
    <w:p w:rsidR="00174AEA" w:rsidRPr="00687A1C" w:rsidRDefault="00174AEA" w:rsidP="00174AEA">
      <w:r w:rsidRPr="00687A1C">
        <w:t>The Victorian Natural Disasters Relief Account was established to provide natural disaster relief in accordance with the Commonwealth-State Natural Disaster Arrangements. Monies from the Trust are paid to individuals</w:t>
      </w:r>
      <w:r w:rsidR="007F419B" w:rsidRPr="00687A1C">
        <w:t>,</w:t>
      </w:r>
      <w:r w:rsidRPr="00687A1C">
        <w:t xml:space="preserve"> small businesses</w:t>
      </w:r>
      <w:r w:rsidR="007F419B" w:rsidRPr="00687A1C">
        <w:t>,</w:t>
      </w:r>
      <w:r w:rsidRPr="00687A1C">
        <w:t xml:space="preserve"> primary producers and local councils by appropriate service delivery departments following the approval of the Treasurer or his delegate. The following assistance measures are provided from the trust:</w:t>
      </w:r>
    </w:p>
    <w:p w:rsidR="001E1011" w:rsidRPr="00687A1C" w:rsidRDefault="001E1011" w:rsidP="001E1011">
      <w:pPr>
        <w:pStyle w:val="Bullet"/>
      </w:pPr>
      <w:r w:rsidRPr="00687A1C">
        <w:t>grants for restoration of municipal and other public assets;</w:t>
      </w:r>
    </w:p>
    <w:p w:rsidR="001E1011" w:rsidRPr="00687A1C" w:rsidRDefault="001E1011" w:rsidP="001E1011">
      <w:pPr>
        <w:pStyle w:val="Bullet"/>
      </w:pPr>
      <w:r w:rsidRPr="00687A1C">
        <w:t>grants for the relief of personal hardship and distress;</w:t>
      </w:r>
    </w:p>
    <w:p w:rsidR="001E1011" w:rsidRPr="00687A1C" w:rsidRDefault="001E1011" w:rsidP="001E1011">
      <w:pPr>
        <w:pStyle w:val="Bullet"/>
      </w:pPr>
      <w:r w:rsidRPr="00687A1C">
        <w:t>loan assistance and grants provided by the Bendigo and Adelaide Bank; and</w:t>
      </w:r>
    </w:p>
    <w:p w:rsidR="001E1011" w:rsidRPr="00687A1C" w:rsidRDefault="001E1011" w:rsidP="001E1011">
      <w:pPr>
        <w:pStyle w:val="Bullet"/>
      </w:pPr>
      <w:r w:rsidRPr="00687A1C">
        <w:t xml:space="preserve">grants for emergency protection and asset restoration works. </w:t>
      </w:r>
    </w:p>
    <w:p w:rsidR="00174AEA" w:rsidRPr="00687A1C" w:rsidRDefault="00174AEA" w:rsidP="00174AEA"/>
    <w:p w:rsidR="00174AEA" w:rsidRPr="00687A1C" w:rsidRDefault="00174AEA" w:rsidP="00174AEA">
      <w:pPr>
        <w:sectPr w:rsidR="00174AEA" w:rsidRPr="00687A1C" w:rsidSect="00E14CFD">
          <w:headerReference w:type="even" r:id="rId89"/>
          <w:headerReference w:type="default" r:id="rId90"/>
          <w:footerReference w:type="even" r:id="rId91"/>
          <w:footerReference w:type="default" r:id="rId92"/>
          <w:type w:val="continuous"/>
          <w:pgSz w:w="11909" w:h="16834" w:code="9"/>
          <w:pgMar w:top="1728" w:right="1152" w:bottom="1152" w:left="1152" w:header="720" w:footer="288" w:gutter="0"/>
          <w:cols w:num="2" w:space="720"/>
          <w:noEndnote/>
        </w:sectPr>
      </w:pPr>
    </w:p>
    <w:p w:rsidR="00174AEA" w:rsidRPr="00687A1C" w:rsidRDefault="00742300" w:rsidP="00174AEA">
      <w:r w:rsidRPr="00687A1C">
        <w:t>The cash and cash equivalents of the Trust for the reporting period were:</w:t>
      </w:r>
    </w:p>
    <w:tbl>
      <w:tblPr>
        <w:tblStyle w:val="AnnualReporttexttable"/>
        <w:tblW w:w="8002" w:type="dxa"/>
        <w:tblLayout w:type="fixed"/>
        <w:tblLook w:val="00A0" w:firstRow="1" w:lastRow="0" w:firstColumn="1" w:lastColumn="0" w:noHBand="0" w:noVBand="0"/>
      </w:tblPr>
      <w:tblGrid>
        <w:gridCol w:w="5508"/>
        <w:gridCol w:w="1247"/>
        <w:gridCol w:w="1247"/>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47" w:type="dxa"/>
            <w:shd w:val="clear" w:color="auto" w:fill="auto"/>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247" w:type="dxa"/>
            <w:shd w:val="clear" w:color="auto" w:fill="auto"/>
          </w:tcPr>
          <w:p w:rsidR="00174AEA" w:rsidRPr="00687A1C" w:rsidRDefault="00174AEA" w:rsidP="008A3976">
            <w:pPr>
              <w:pStyle w:val="Tabletextheadingright"/>
              <w:rPr>
                <w:b/>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Opening balance</w:t>
            </w:r>
          </w:p>
        </w:tc>
        <w:tc>
          <w:tcPr>
            <w:cnfStyle w:val="000010000000" w:firstRow="0" w:lastRow="0" w:firstColumn="0" w:lastColumn="0" w:oddVBand="1" w:evenVBand="0" w:oddHBand="0" w:evenHBand="0" w:firstRowFirstColumn="0" w:firstRowLastColumn="0" w:lastRowFirstColumn="0" w:lastRowLastColumn="0"/>
            <w:tcW w:w="1247" w:type="dxa"/>
            <w:vAlign w:val="bottom"/>
          </w:tcPr>
          <w:p w:rsidR="00174AEA" w:rsidRPr="00687A1C" w:rsidRDefault="00174AEA" w:rsidP="00D8412D">
            <w:pPr>
              <w:pStyle w:val="Tabletextrightbold"/>
            </w:pPr>
            <w:r w:rsidRPr="00687A1C">
              <w:t>89</w:t>
            </w:r>
            <w:r w:rsidR="00D8412D" w:rsidRPr="00687A1C">
              <w:rPr>
                <w:rFonts w:ascii="Calibri" w:hAnsi="Calibri" w:cs="Calibri"/>
              </w:rPr>
              <w:t xml:space="preserve"> </w:t>
            </w:r>
            <w:r w:rsidRPr="00687A1C">
              <w:t xml:space="preserve">775 </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bold"/>
            </w:pPr>
            <w:r w:rsidRPr="00687A1C">
              <w:t>128</w:t>
            </w:r>
            <w:r w:rsidR="00D8412D" w:rsidRPr="00687A1C">
              <w:rPr>
                <w:rFonts w:ascii="Calibri" w:hAnsi="Calibri" w:cs="Calibri"/>
              </w:rPr>
              <w:t xml:space="preserve"> </w:t>
            </w:r>
            <w:r w:rsidRPr="00687A1C">
              <w:t>306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9E4088">
            <w:pPr>
              <w:pStyle w:val="Tabletextbold"/>
            </w:pPr>
            <w:r w:rsidRPr="00687A1C">
              <w:t>Inflows</w:t>
            </w:r>
          </w:p>
        </w:tc>
        <w:tc>
          <w:tcPr>
            <w:cnfStyle w:val="000010000000" w:firstRow="0" w:lastRow="0" w:firstColumn="0" w:lastColumn="0" w:oddVBand="1" w:evenVBand="0" w:oddHBand="0" w:evenHBand="0" w:firstRowFirstColumn="0" w:firstRowLastColumn="0" w:lastRowFirstColumn="0" w:lastRowLastColumn="0"/>
            <w:tcW w:w="1247" w:type="dxa"/>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Appropriation revenue</w:t>
            </w:r>
          </w:p>
        </w:tc>
        <w:tc>
          <w:tcPr>
            <w:cnfStyle w:val="000010000000" w:firstRow="0" w:lastRow="0" w:firstColumn="0" w:lastColumn="0" w:oddVBand="1" w:evenVBand="0" w:oddHBand="0" w:evenHBand="0" w:firstRowFirstColumn="0" w:firstRowLastColumn="0" w:lastRowFirstColumn="0" w:lastRowLastColumn="0"/>
            <w:tcW w:w="1247" w:type="dxa"/>
            <w:vAlign w:val="bottom"/>
          </w:tcPr>
          <w:p w:rsidR="00174AEA" w:rsidRPr="00687A1C" w:rsidRDefault="009E4088" w:rsidP="008A3976">
            <w:pPr>
              <w:pStyle w:val="Tabletextright"/>
            </w:pPr>
            <w:r w:rsidRPr="00687A1C">
              <w:t>132 800</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
            </w:pPr>
            <w:r w:rsidRPr="00687A1C">
              <w:t>8</w:t>
            </w:r>
            <w:r w:rsidR="00D8412D" w:rsidRPr="00687A1C">
              <w:t xml:space="preserve"> </w:t>
            </w:r>
            <w:r w:rsidRPr="00687A1C">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Clean up costs recoveries</w:t>
            </w:r>
          </w:p>
        </w:tc>
        <w:tc>
          <w:tcPr>
            <w:cnfStyle w:val="000010000000" w:firstRow="0" w:lastRow="0" w:firstColumn="0" w:lastColumn="0" w:oddVBand="1" w:evenVBand="0" w:oddHBand="0" w:evenHBand="0" w:firstRowFirstColumn="0" w:firstRowLastColumn="0" w:lastRowFirstColumn="0" w:lastRowLastColumn="0"/>
            <w:tcW w:w="1247" w:type="dxa"/>
            <w:vAlign w:val="bottom"/>
          </w:tcPr>
          <w:p w:rsidR="00174AEA" w:rsidRPr="00687A1C" w:rsidRDefault="00174AEA" w:rsidP="00D8412D">
            <w:pPr>
              <w:pStyle w:val="Tabletextright"/>
            </w:pPr>
            <w:r w:rsidRPr="00687A1C">
              <w:t>1</w:t>
            </w:r>
            <w:r w:rsidR="00D8412D" w:rsidRPr="00687A1C">
              <w:t xml:space="preserve"> </w:t>
            </w:r>
            <w:r w:rsidRPr="00687A1C">
              <w:t>607</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
            </w:pPr>
            <w:r w:rsidRPr="00687A1C">
              <w:t>2</w:t>
            </w:r>
            <w:r w:rsidR="00D8412D" w:rsidRPr="00687A1C">
              <w:t xml:space="preserve"> </w:t>
            </w:r>
            <w:r w:rsidRPr="00687A1C">
              <w:t>293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9E4088" w:rsidP="008A3976">
            <w:pPr>
              <w:pStyle w:val="Tabletextrightbold"/>
            </w:pPr>
            <w:r w:rsidRPr="00687A1C">
              <w:t>134 407</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9E4088" w:rsidP="008A3976">
            <w:pPr>
              <w:pStyle w:val="Tabletextrightbold"/>
            </w:pPr>
            <w:r w:rsidRPr="00687A1C">
              <w:t>10 293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Outflows</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Grants to other government departments, agencies and authorities</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873A92" w:rsidP="00D8412D">
            <w:pPr>
              <w:pStyle w:val="Tabletextright"/>
            </w:pPr>
            <w:r w:rsidRPr="00687A1C">
              <w:t>8</w:t>
            </w:r>
            <w:r w:rsidR="00D8412D" w:rsidRPr="00687A1C">
              <w:t xml:space="preserve"> </w:t>
            </w:r>
            <w:r w:rsidRPr="00687A1C">
              <w:t>262</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
            </w:pPr>
            <w:r w:rsidRPr="00687A1C">
              <w:t>3</w:t>
            </w:r>
            <w:r w:rsidR="00D8412D" w:rsidRPr="00687A1C">
              <w:t xml:space="preserve"> </w:t>
            </w:r>
            <w:r w:rsidRPr="00687A1C">
              <w:t xml:space="preserve">809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Grants to local government</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873A92" w:rsidP="00D8412D">
            <w:pPr>
              <w:pStyle w:val="Tabletextright"/>
            </w:pPr>
            <w:r w:rsidRPr="00687A1C">
              <w:t>51</w:t>
            </w:r>
            <w:r w:rsidR="00D8412D" w:rsidRPr="00687A1C">
              <w:t xml:space="preserve"> </w:t>
            </w:r>
            <w:r w:rsidRPr="00687A1C">
              <w:t>866</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
            </w:pPr>
            <w:r w:rsidRPr="00687A1C">
              <w:t>26</w:t>
            </w:r>
            <w:r w:rsidR="00D8412D" w:rsidRPr="00687A1C">
              <w:t xml:space="preserve"> </w:t>
            </w:r>
            <w:r w:rsidRPr="00687A1C">
              <w:t xml:space="preserve">955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Grants to not</w:t>
            </w:r>
            <w:r w:rsidRPr="00687A1C">
              <w:noBreakHyphen/>
              <w:t>for</w:t>
            </w:r>
            <w:r w:rsidRPr="00687A1C">
              <w:noBreakHyphen/>
              <w:t>profit organisations and rural communities</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873A92" w:rsidP="00D8412D">
            <w:pPr>
              <w:pStyle w:val="Tabletextright"/>
            </w:pPr>
            <w:r w:rsidRPr="00687A1C">
              <w:t>2</w:t>
            </w:r>
            <w:r w:rsidR="00D8412D" w:rsidRPr="00687A1C">
              <w:t xml:space="preserve"> </w:t>
            </w:r>
            <w:r w:rsidRPr="00687A1C">
              <w:t>084</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
            </w:pPr>
            <w:r w:rsidRPr="00687A1C">
              <w:t>2</w:t>
            </w:r>
            <w:r w:rsidR="00D8412D" w:rsidRPr="00687A1C">
              <w:t xml:space="preserve"> </w:t>
            </w:r>
            <w:r w:rsidRPr="00687A1C">
              <w:t xml:space="preserve">228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Disaster clean-up costs</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873A92" w:rsidP="008A3976">
            <w:pPr>
              <w:pStyle w:val="Tabletextright"/>
            </w:pPr>
            <w:r w:rsidRPr="00687A1C">
              <w:t>13</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
            </w:pPr>
            <w:r w:rsidRPr="00687A1C">
              <w:t>15</w:t>
            </w:r>
            <w:r w:rsidR="00D8412D" w:rsidRPr="00687A1C">
              <w:t xml:space="preserve"> </w:t>
            </w:r>
            <w:r w:rsidRPr="00687A1C">
              <w:t xml:space="preserve">043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Audit fees</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873A92" w:rsidP="008A3976">
            <w:pPr>
              <w:pStyle w:val="Tabletextright"/>
            </w:pPr>
            <w:r w:rsidRPr="00687A1C">
              <w:t>6</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8A3976">
            <w:pPr>
              <w:pStyle w:val="Tabletextright"/>
            </w:pPr>
            <w:r w:rsidRPr="00687A1C">
              <w:t xml:space="preserve">15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r w:rsidRPr="00687A1C">
              <w:t>Other operating costs</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873A92" w:rsidP="008A3976">
            <w:pPr>
              <w:pStyle w:val="Tabletextright"/>
            </w:pPr>
            <w:r w:rsidRPr="00687A1C">
              <w:t>822</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8A3976">
            <w:pPr>
              <w:pStyle w:val="Tabletextright"/>
            </w:pPr>
            <w:r w:rsidRPr="00687A1C">
              <w:t xml:space="preserve">774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174AEA" w:rsidP="00D8412D">
            <w:pPr>
              <w:pStyle w:val="Tabletextrightbold"/>
            </w:pPr>
            <w:r w:rsidRPr="00687A1C">
              <w:t>63</w:t>
            </w:r>
            <w:r w:rsidR="00D8412D" w:rsidRPr="00687A1C">
              <w:rPr>
                <w:rFonts w:ascii="Calibri" w:hAnsi="Calibri" w:cs="Calibri"/>
              </w:rPr>
              <w:t xml:space="preserve"> </w:t>
            </w:r>
            <w:r w:rsidR="00873A92" w:rsidRPr="00687A1C">
              <w:t>053</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bold"/>
            </w:pPr>
            <w:r w:rsidRPr="00687A1C">
              <w:t>48</w:t>
            </w:r>
            <w:r w:rsidR="00D8412D" w:rsidRPr="00687A1C">
              <w:rPr>
                <w:rFonts w:ascii="Calibri" w:hAnsi="Calibri" w:cs="Calibri"/>
              </w:rPr>
              <w:t xml:space="preserve"> </w:t>
            </w:r>
            <w:r w:rsidRPr="00687A1C">
              <w:t>824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508" w:type="dxa"/>
          </w:tcPr>
          <w:p w:rsidR="00174AEA" w:rsidRPr="00687A1C" w:rsidRDefault="00174AEA" w:rsidP="008A3976">
            <w:pPr>
              <w:pStyle w:val="Tabletextbold"/>
            </w:pPr>
            <w:r w:rsidRPr="00687A1C">
              <w:t>Closing balance</w:t>
            </w:r>
          </w:p>
        </w:tc>
        <w:tc>
          <w:tcPr>
            <w:cnfStyle w:val="000010000000" w:firstRow="0" w:lastRow="0" w:firstColumn="0" w:lastColumn="0" w:oddVBand="1" w:evenVBand="0" w:oddHBand="0" w:evenHBand="0" w:firstRowFirstColumn="0" w:firstRowLastColumn="0" w:lastRowFirstColumn="0" w:lastRowLastColumn="0"/>
            <w:tcW w:w="1247" w:type="dxa"/>
          </w:tcPr>
          <w:p w:rsidR="00174AEA" w:rsidRPr="00687A1C" w:rsidRDefault="009E4088" w:rsidP="008A3976">
            <w:pPr>
              <w:pStyle w:val="Tabletextrightbold"/>
            </w:pPr>
            <w:r w:rsidRPr="00687A1C">
              <w:t>161 129</w:t>
            </w:r>
          </w:p>
        </w:tc>
        <w:tc>
          <w:tcPr>
            <w:cnfStyle w:val="000001000000" w:firstRow="0" w:lastRow="0" w:firstColumn="0" w:lastColumn="0" w:oddVBand="0" w:evenVBand="1" w:oddHBand="0" w:evenHBand="0" w:firstRowFirstColumn="0" w:firstRowLastColumn="0" w:lastRowFirstColumn="0" w:lastRowLastColumn="0"/>
            <w:tcW w:w="1247" w:type="dxa"/>
          </w:tcPr>
          <w:p w:rsidR="00174AEA" w:rsidRPr="00687A1C" w:rsidRDefault="00174AEA" w:rsidP="00D8412D">
            <w:pPr>
              <w:pStyle w:val="Tabletextrightbold"/>
            </w:pPr>
            <w:r w:rsidRPr="00687A1C">
              <w:t>89</w:t>
            </w:r>
            <w:r w:rsidR="00D8412D" w:rsidRPr="00687A1C">
              <w:rPr>
                <w:rFonts w:ascii="Calibri" w:hAnsi="Calibri" w:cs="Calibri"/>
              </w:rPr>
              <w:t xml:space="preserve"> </w:t>
            </w:r>
            <w:r w:rsidRPr="00687A1C">
              <w:t>775</w:t>
            </w:r>
          </w:p>
        </w:tc>
      </w:tr>
    </w:tbl>
    <w:p w:rsidR="00174AEA" w:rsidRPr="00687A1C" w:rsidRDefault="00174AEA" w:rsidP="00174AEA"/>
    <w:p w:rsidR="00174AEA" w:rsidRPr="00687A1C" w:rsidRDefault="00174AEA" w:rsidP="00174AEA">
      <w:pPr>
        <w:sectPr w:rsidR="00174AEA" w:rsidRPr="00687A1C" w:rsidSect="0021386B">
          <w:type w:val="continuous"/>
          <w:pgSz w:w="11909" w:h="16834" w:code="9"/>
          <w:pgMar w:top="1728" w:right="1152" w:bottom="1152" w:left="1152" w:header="720" w:footer="288" w:gutter="0"/>
          <w:cols w:space="720"/>
          <w:noEndnote/>
        </w:sectPr>
      </w:pPr>
    </w:p>
    <w:p w:rsidR="00174AEA" w:rsidRPr="00687A1C" w:rsidRDefault="00174AEA" w:rsidP="00174AEA">
      <w:pPr>
        <w:pStyle w:val="Heading2numbered"/>
      </w:pPr>
      <w:bookmarkStart w:id="114" w:name="_Toc303670561"/>
      <w:bookmarkStart w:id="115" w:name="_Toc335740859"/>
      <w:bookmarkStart w:id="116" w:name="_Toc433892186"/>
      <w:bookmarkStart w:id="117" w:name="_Toc495304300"/>
      <w:bookmarkStart w:id="118" w:name="_Toc525026209"/>
      <w:bookmarkStart w:id="119" w:name="_Toc525026244"/>
      <w:r w:rsidRPr="00687A1C">
        <w:lastRenderedPageBreak/>
        <w:t>Commitments for expenditure</w:t>
      </w:r>
      <w:bookmarkEnd w:id="114"/>
      <w:bookmarkEnd w:id="115"/>
      <w:bookmarkEnd w:id="116"/>
      <w:bookmarkEnd w:id="117"/>
      <w:bookmarkEnd w:id="118"/>
      <w:bookmarkEnd w:id="119"/>
    </w:p>
    <w:p w:rsidR="00174AEA" w:rsidRPr="00687A1C" w:rsidRDefault="00174AEA" w:rsidP="00174AEA">
      <w:pPr>
        <w:sectPr w:rsidR="00174AEA" w:rsidRPr="00687A1C" w:rsidSect="004F6CE6">
          <w:headerReference w:type="default" r:id="rId93"/>
          <w:pgSz w:w="11909" w:h="16834" w:code="9"/>
          <w:pgMar w:top="1728" w:right="1152" w:bottom="1152" w:left="1152" w:header="720" w:footer="288" w:gutter="0"/>
          <w:cols w:num="2" w:space="720"/>
          <w:noEndnote/>
        </w:sectPr>
      </w:pPr>
    </w:p>
    <w:p w:rsidR="00174AEA" w:rsidRPr="00687A1C" w:rsidRDefault="00174AEA" w:rsidP="00174AEA">
      <w:r w:rsidRPr="00687A1C">
        <w:t>Commitments for future expenditure include operating and capital commitments arising from contracts. These commitments are disclosed at their nominal value and inclusive of GST payable. These future expenditures cease to be disclosed as commitments once the related liabilities are recognised in the balance sheet.</w:t>
      </w:r>
    </w:p>
    <w:p w:rsidR="009E4088" w:rsidRPr="00687A1C" w:rsidRDefault="009E4088" w:rsidP="00174AEA"/>
    <w:p w:rsidR="009E4088" w:rsidRPr="00687A1C" w:rsidRDefault="009E4088" w:rsidP="00174AEA"/>
    <w:p w:rsidR="009E4088" w:rsidRPr="00687A1C" w:rsidRDefault="009E4088" w:rsidP="00174AEA"/>
    <w:p w:rsidR="00174AEA" w:rsidRPr="00687A1C" w:rsidRDefault="00174AEA" w:rsidP="00174AEA">
      <w:pPr>
        <w:sectPr w:rsidR="00174AEA" w:rsidRPr="00687A1C" w:rsidSect="00AC3C2D">
          <w:headerReference w:type="default" r:id="rId94"/>
          <w:type w:val="continuous"/>
          <w:pgSz w:w="11909" w:h="16834" w:code="9"/>
          <w:pgMar w:top="1728" w:right="659" w:bottom="1152" w:left="1152" w:header="720" w:footer="288" w:gutter="0"/>
          <w:cols w:num="2" w:space="720"/>
          <w:noEndnote/>
        </w:sectPr>
      </w:pPr>
    </w:p>
    <w:p w:rsidR="00174AEA" w:rsidRPr="00687A1C" w:rsidRDefault="00174AEA" w:rsidP="00174AEA"/>
    <w:tbl>
      <w:tblPr>
        <w:tblStyle w:val="AnnualReporttexttable"/>
        <w:tblW w:w="0" w:type="auto"/>
        <w:tblLayout w:type="fixed"/>
        <w:tblLook w:val="02A0" w:firstRow="1" w:lastRow="0" w:firstColumn="1" w:lastColumn="0" w:noHBand="1" w:noVBand="0"/>
      </w:tblPr>
      <w:tblGrid>
        <w:gridCol w:w="5148"/>
        <w:gridCol w:w="1080"/>
        <w:gridCol w:w="1080"/>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80" w:type="dxa"/>
            <w:shd w:val="clear" w:color="auto" w:fill="auto"/>
          </w:tcPr>
          <w:p w:rsidR="00174AEA" w:rsidRPr="00687A1C" w:rsidRDefault="00174AEA" w:rsidP="008A3976">
            <w:pPr>
              <w:pStyle w:val="Tabletextheadingright"/>
              <w:rPr>
                <w:b/>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Capital commitments</w:t>
            </w:r>
          </w:p>
          <w:p w:rsidR="00174AEA" w:rsidRPr="00687A1C" w:rsidRDefault="00174AEA" w:rsidP="008A3976">
            <w:pPr>
              <w:pStyle w:val="Tabletext"/>
            </w:pPr>
            <w:r w:rsidRPr="00687A1C">
              <w:t>Contracted commitments for capital expenditure on building improvements, fitouts and IT development, at the reporting date but not recognised as liabilities, and payable: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bullet"/>
            </w:pPr>
            <w:r w:rsidRPr="00687A1C">
              <w:t>within one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332099" w:rsidP="00D8412D">
            <w:pPr>
              <w:pStyle w:val="Tabletextright"/>
            </w:pPr>
            <w:r w:rsidRPr="00687A1C">
              <w:t>13</w:t>
            </w:r>
            <w:r w:rsidR="00D8412D" w:rsidRPr="00687A1C">
              <w:rPr>
                <w:rFonts w:ascii="Calibri" w:hAnsi="Calibri" w:cs="Courier New"/>
              </w:rPr>
              <w:t xml:space="preserve"> </w:t>
            </w:r>
            <w:r w:rsidRPr="00687A1C">
              <w:t>259</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677BF0" w:rsidP="00D8412D">
            <w:pPr>
              <w:pStyle w:val="Tabletextright"/>
            </w:pPr>
            <w:r w:rsidRPr="00687A1C">
              <w:t>8</w:t>
            </w:r>
            <w:r w:rsidR="00D8412D" w:rsidRPr="00687A1C">
              <w:rPr>
                <w:rFonts w:ascii="Calibri" w:hAnsi="Calibri" w:cs="Courier New"/>
              </w:rPr>
              <w:t xml:space="preserve"> </w:t>
            </w:r>
            <w:r w:rsidRPr="00687A1C">
              <w:t>256</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bullet"/>
            </w:pPr>
            <w:r w:rsidRPr="00687A1C">
              <w:t>later than one year but not later than five years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332099" w:rsidP="004B72E1">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174AEA" w:rsidP="00D8412D">
            <w:pPr>
              <w:pStyle w:val="Tabletextright"/>
            </w:pPr>
            <w:r w:rsidRPr="00687A1C">
              <w:t>4</w:t>
            </w:r>
            <w:r w:rsidR="00D8412D" w:rsidRPr="00687A1C">
              <w:rPr>
                <w:rFonts w:ascii="Calibri" w:hAnsi="Calibri" w:cs="Courier New"/>
              </w:rPr>
              <w:t xml:space="preserve"> </w:t>
            </w:r>
            <w:r w:rsidRPr="00687A1C">
              <w:t>011</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742300" w:rsidP="00742300">
            <w:pPr>
              <w:pStyle w:val="Tabletextbold"/>
            </w:pPr>
            <w:r w:rsidRPr="00687A1C">
              <w:t>Total capital commitments (inclusive of GST)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174AEA" w:rsidRPr="00687A1C" w:rsidRDefault="004B72E1" w:rsidP="00D8412D">
            <w:pPr>
              <w:pStyle w:val="Tabletextrightbold"/>
            </w:pPr>
            <w:r w:rsidRPr="00687A1C">
              <w:t>13</w:t>
            </w:r>
            <w:r w:rsidR="00D8412D" w:rsidRPr="00687A1C">
              <w:rPr>
                <w:rFonts w:ascii="Calibri" w:hAnsi="Calibri" w:cs="Courier New"/>
              </w:rPr>
              <w:t xml:space="preserve"> </w:t>
            </w:r>
            <w:r w:rsidRPr="00687A1C">
              <w:t>259</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174AEA" w:rsidRPr="00687A1C" w:rsidRDefault="00677BF0" w:rsidP="00D8412D">
            <w:pPr>
              <w:pStyle w:val="Tabletextrightbold"/>
            </w:pPr>
            <w:r w:rsidRPr="00687A1C">
              <w:t>12</w:t>
            </w:r>
            <w:r w:rsidR="00D8412D" w:rsidRPr="00687A1C">
              <w:rPr>
                <w:rFonts w:ascii="Calibri" w:hAnsi="Calibri" w:cs="Courier New"/>
              </w:rPr>
              <w:t xml:space="preserve"> </w:t>
            </w:r>
            <w:r w:rsidRPr="00687A1C">
              <w:t>267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
              <w:rPr>
                <w:color w:val="000000"/>
              </w:rPr>
            </w:pP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8A3976">
            <w:pPr>
              <w:pStyle w:val="Tabletextbold"/>
            </w:pPr>
            <w:r w:rsidRPr="00687A1C">
              <w:t>Outsourcing commitments</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174AEA" w:rsidRPr="00687A1C" w:rsidRDefault="00174AEA" w:rsidP="009E7581">
            <w:pPr>
              <w:pStyle w:val="Tabletext"/>
            </w:pPr>
            <w:r w:rsidRPr="00687A1C">
              <w:t>Commitments under outsourcing contracts for human resource</w:t>
            </w:r>
            <w:r w:rsidR="009E7581" w:rsidRPr="00687A1C">
              <w:t>,</w:t>
            </w:r>
            <w:r w:rsidRPr="00687A1C">
              <w:t xml:space="preserve"> property management and security services, and payable:</w:t>
            </w:r>
          </w:p>
        </w:tc>
        <w:tc>
          <w:tcPr>
            <w:cnfStyle w:val="000010000000" w:firstRow="0" w:lastRow="0" w:firstColumn="0" w:lastColumn="0" w:oddVBand="1" w:evenVBand="0" w:oddHBand="0" w:evenHBand="0" w:firstRowFirstColumn="0" w:firstRowLastColumn="0" w:lastRowFirstColumn="0" w:lastRowLastColumn="0"/>
            <w:tcW w:w="1080"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174AEA" w:rsidRPr="00687A1C" w:rsidRDefault="00174AEA" w:rsidP="008A3976">
            <w:pPr>
              <w:pStyle w:val="Tabletextright"/>
            </w:pPr>
          </w:p>
        </w:tc>
      </w:tr>
      <w:tr w:rsidR="00677BF0"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bullet"/>
            </w:pPr>
            <w:r w:rsidRPr="00687A1C">
              <w:t>within one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rPr>
                <w:bCs/>
              </w:rPr>
              <w:t>19</w:t>
            </w:r>
            <w:r w:rsidR="00D8412D" w:rsidRPr="00687A1C">
              <w:rPr>
                <w:bCs/>
              </w:rPr>
              <w:t xml:space="preserve"> </w:t>
            </w:r>
            <w:r w:rsidRPr="00687A1C">
              <w:rPr>
                <w:bCs/>
              </w:rPr>
              <w:t>503</w:t>
            </w: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D8412D">
            <w:pPr>
              <w:pStyle w:val="Tabletextright"/>
            </w:pPr>
            <w:r w:rsidRPr="00687A1C">
              <w:t>3</w:t>
            </w:r>
            <w:r w:rsidR="00D8412D" w:rsidRPr="00687A1C">
              <w:t xml:space="preserve"> </w:t>
            </w:r>
            <w:r w:rsidRPr="00687A1C">
              <w:t>887</w:t>
            </w:r>
          </w:p>
        </w:tc>
      </w:tr>
      <w:tr w:rsidR="00677BF0"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bullet"/>
            </w:pPr>
            <w:r w:rsidRPr="00687A1C">
              <w:t>later than one year but not later than five years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rPr>
                <w:bCs/>
              </w:rPr>
              <w:t>55</w:t>
            </w:r>
            <w:r w:rsidR="00D8412D" w:rsidRPr="00687A1C">
              <w:rPr>
                <w:bCs/>
              </w:rPr>
              <w:t xml:space="preserve"> </w:t>
            </w:r>
            <w:r w:rsidRPr="00687A1C">
              <w:rPr>
                <w:bCs/>
              </w:rPr>
              <w:t>060</w:t>
            </w: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8A3976">
            <w:pPr>
              <w:pStyle w:val="Tabletextright"/>
            </w:pPr>
            <w:r w:rsidRPr="00687A1C">
              <w:t>–</w:t>
            </w:r>
          </w:p>
        </w:tc>
      </w:tr>
      <w:tr w:rsidR="00677BF0"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bullet"/>
            </w:pPr>
            <w:r w:rsidRPr="00687A1C">
              <w:t>later than five years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rPr>
                <w:bCs/>
              </w:rPr>
              <w:t>4</w:t>
            </w:r>
            <w:r w:rsidR="00D8412D" w:rsidRPr="00687A1C">
              <w:rPr>
                <w:bCs/>
              </w:rPr>
              <w:t xml:space="preserve"> </w:t>
            </w:r>
            <w:r w:rsidRPr="00687A1C">
              <w:rPr>
                <w:bCs/>
              </w:rPr>
              <w:t>363</w:t>
            </w: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8A3976">
            <w:pPr>
              <w:pStyle w:val="Tabletextright"/>
            </w:pPr>
            <w:r w:rsidRPr="00687A1C">
              <w:t>–</w:t>
            </w:r>
          </w:p>
        </w:tc>
      </w:tr>
      <w:tr w:rsidR="00677BF0"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text"/>
              <w:rPr>
                <w:b/>
              </w:rPr>
            </w:pPr>
            <w:r w:rsidRPr="00687A1C">
              <w:rPr>
                <w:b/>
              </w:rPr>
              <w:t>Total outsourcing commitments (inclusive of GST)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bold"/>
            </w:pPr>
            <w:r w:rsidRPr="00687A1C">
              <w:t>78</w:t>
            </w:r>
            <w:r w:rsidR="00D8412D" w:rsidRPr="00687A1C">
              <w:rPr>
                <w:rFonts w:ascii="Calibri" w:hAnsi="Calibri" w:cs="Courier New"/>
              </w:rPr>
              <w:t xml:space="preserve"> </w:t>
            </w:r>
            <w:r w:rsidRPr="00687A1C">
              <w:t>926</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rPr>
                <w:b/>
              </w:rPr>
              <w:t>3</w:t>
            </w:r>
            <w:r w:rsidR="00D8412D" w:rsidRPr="00687A1C">
              <w:rPr>
                <w:b/>
              </w:rPr>
              <w:t xml:space="preserve"> </w:t>
            </w:r>
            <w:r w:rsidRPr="00687A1C">
              <w:rPr>
                <w:b/>
              </w:rPr>
              <w:t>887</w:t>
            </w:r>
          </w:p>
        </w:tc>
      </w:tr>
      <w:tr w:rsidR="00677BF0"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tcPr>
          <w:p w:rsidR="00677BF0" w:rsidRPr="00687A1C" w:rsidRDefault="00677BF0" w:rsidP="008A3976">
            <w:pPr>
              <w:pStyle w:val="Tabletextrightbold"/>
            </w:pP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8A3976">
            <w:pPr>
              <w:pStyle w:val="Tabletextrightbold"/>
            </w:pPr>
          </w:p>
        </w:tc>
      </w:tr>
      <w:tr w:rsidR="00677BF0"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677BF0">
            <w:pPr>
              <w:pStyle w:val="Tabletext"/>
            </w:pPr>
            <w:r w:rsidRPr="00687A1C">
              <w:t>In addition, the outsourcing of information technology services is subject to an open</w:t>
            </w:r>
            <w:r w:rsidRPr="00687A1C">
              <w:noBreakHyphen/>
              <w:t>ended memorandum of understanding with an annual cost to the Department of $7</w:t>
            </w:r>
            <w:r w:rsidRPr="00687A1C">
              <w:rPr>
                <w:rFonts w:ascii="Calibri" w:hAnsi="Calibri" w:cs="Courier New"/>
              </w:rPr>
              <w:t> </w:t>
            </w:r>
            <w:r w:rsidRPr="00687A1C">
              <w:t>019</w:t>
            </w:r>
            <w:r w:rsidRPr="00687A1C">
              <w:rPr>
                <w:rFonts w:ascii="Calibri" w:hAnsi="Calibri" w:cs="Courier New"/>
              </w:rPr>
              <w:t> </w:t>
            </w:r>
            <w:r w:rsidRPr="00687A1C">
              <w:t>911 (2017 – $7</w:t>
            </w:r>
            <w:r w:rsidRPr="00687A1C">
              <w:rPr>
                <w:rFonts w:ascii="Calibri" w:hAnsi="Calibri" w:cs="Courier New"/>
              </w:rPr>
              <w:t> </w:t>
            </w:r>
            <w:r w:rsidRPr="00687A1C">
              <w:t>197</w:t>
            </w:r>
            <w:r w:rsidRPr="00687A1C">
              <w:rPr>
                <w:rFonts w:ascii="Calibri" w:hAnsi="Calibri" w:cs="Courier New"/>
              </w:rPr>
              <w:t> </w:t>
            </w:r>
            <w:r w:rsidRPr="00687A1C">
              <w:t>066).</w:t>
            </w:r>
          </w:p>
        </w:tc>
        <w:tc>
          <w:tcPr>
            <w:cnfStyle w:val="000010000000" w:firstRow="0" w:lastRow="0" w:firstColumn="0" w:lastColumn="0" w:oddVBand="1" w:evenVBand="0" w:oddHBand="0" w:evenHBand="0" w:firstRowFirstColumn="0" w:firstRowLastColumn="0" w:lastRowFirstColumn="0" w:lastRowLastColumn="0"/>
            <w:tcW w:w="1080" w:type="dxa"/>
          </w:tcPr>
          <w:p w:rsidR="00677BF0" w:rsidRPr="00687A1C" w:rsidRDefault="00677BF0"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8A3976">
            <w:pPr>
              <w:pStyle w:val="Tabletextright"/>
            </w:pPr>
          </w:p>
        </w:tc>
      </w:tr>
      <w:tr w:rsidR="00677BF0" w:rsidRPr="00687A1C" w:rsidTr="008A3976">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text"/>
            </w:pPr>
          </w:p>
        </w:tc>
        <w:tc>
          <w:tcPr>
            <w:cnfStyle w:val="000010000000" w:firstRow="0" w:lastRow="0" w:firstColumn="0" w:lastColumn="0" w:oddVBand="1" w:evenVBand="0" w:oddHBand="0" w:evenHBand="0" w:firstRowFirstColumn="0" w:firstRowLastColumn="0" w:lastRowFirstColumn="0" w:lastRowLastColumn="0"/>
            <w:tcW w:w="1080" w:type="dxa"/>
          </w:tcPr>
          <w:p w:rsidR="00677BF0" w:rsidRPr="00687A1C" w:rsidRDefault="00677BF0"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8A3976">
            <w:pPr>
              <w:pStyle w:val="Tabletextright"/>
            </w:pPr>
          </w:p>
        </w:tc>
      </w:tr>
      <w:tr w:rsidR="00677BF0" w:rsidRPr="00687A1C" w:rsidTr="008A3976">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textbold"/>
            </w:pPr>
            <w:r w:rsidRPr="00687A1C">
              <w:t>Operating lease commitments</w:t>
            </w:r>
          </w:p>
        </w:tc>
        <w:tc>
          <w:tcPr>
            <w:cnfStyle w:val="000010000000" w:firstRow="0" w:lastRow="0" w:firstColumn="0" w:lastColumn="0" w:oddVBand="1" w:evenVBand="0" w:oddHBand="0" w:evenHBand="0" w:firstRowFirstColumn="0" w:firstRowLastColumn="0" w:lastRowFirstColumn="0" w:lastRowLastColumn="0"/>
            <w:tcW w:w="1080" w:type="dxa"/>
          </w:tcPr>
          <w:p w:rsidR="00677BF0" w:rsidRPr="00687A1C" w:rsidRDefault="00677BF0"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8A3976">
            <w:pPr>
              <w:pStyle w:val="Tabletextright"/>
            </w:pPr>
          </w:p>
        </w:tc>
      </w:tr>
      <w:tr w:rsidR="00677BF0" w:rsidRPr="00687A1C" w:rsidTr="008A3976">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text"/>
            </w:pPr>
            <w:r w:rsidRPr="00687A1C">
              <w:t>Commitments for minimum lease payments in relation to non</w:t>
            </w:r>
            <w:r w:rsidRPr="00687A1C">
              <w:noBreakHyphen/>
              <w:t>cancellable operating leases, not recognised as liabilities, are payable as follows:</w:t>
            </w:r>
          </w:p>
        </w:tc>
        <w:tc>
          <w:tcPr>
            <w:cnfStyle w:val="000010000000" w:firstRow="0" w:lastRow="0" w:firstColumn="0" w:lastColumn="0" w:oddVBand="1" w:evenVBand="0" w:oddHBand="0" w:evenHBand="0" w:firstRowFirstColumn="0" w:firstRowLastColumn="0" w:lastRowFirstColumn="0" w:lastRowLastColumn="0"/>
            <w:tcW w:w="1080" w:type="dxa"/>
          </w:tcPr>
          <w:p w:rsidR="00677BF0" w:rsidRPr="00687A1C" w:rsidRDefault="00677BF0"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080" w:type="dxa"/>
          </w:tcPr>
          <w:p w:rsidR="00677BF0" w:rsidRPr="00687A1C" w:rsidRDefault="00677BF0" w:rsidP="008A3976">
            <w:pPr>
              <w:pStyle w:val="Tabletextright"/>
            </w:pPr>
          </w:p>
        </w:tc>
      </w:tr>
      <w:tr w:rsidR="00677BF0" w:rsidRPr="00687A1C" w:rsidTr="008A3976">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Del="00EA5B29" w:rsidRDefault="00677BF0" w:rsidP="008A3976">
            <w:pPr>
              <w:pStyle w:val="Tablebullet"/>
            </w:pPr>
            <w:r w:rsidRPr="00687A1C">
              <w:t>within one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t>7</w:t>
            </w:r>
            <w:r w:rsidR="00D8412D" w:rsidRPr="00687A1C">
              <w:t xml:space="preserve"> </w:t>
            </w:r>
            <w:r w:rsidRPr="00687A1C">
              <w:t>553</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t>6</w:t>
            </w:r>
            <w:r w:rsidR="00D8412D" w:rsidRPr="00687A1C">
              <w:t xml:space="preserve"> </w:t>
            </w:r>
            <w:r w:rsidRPr="00687A1C">
              <w:t>255</w:t>
            </w:r>
          </w:p>
        </w:tc>
      </w:tr>
      <w:tr w:rsidR="00677BF0" w:rsidRPr="00687A1C" w:rsidTr="008A3976">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bullet"/>
            </w:pPr>
            <w:r w:rsidRPr="00687A1C">
              <w:t>later than one year but not later than five years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t>13</w:t>
            </w:r>
            <w:r w:rsidR="00D8412D" w:rsidRPr="00687A1C">
              <w:t xml:space="preserve"> </w:t>
            </w:r>
            <w:r w:rsidRPr="00687A1C">
              <w:t>553</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t>18</w:t>
            </w:r>
            <w:r w:rsidR="00D8412D" w:rsidRPr="00687A1C">
              <w:t xml:space="preserve"> </w:t>
            </w:r>
            <w:r w:rsidRPr="00687A1C">
              <w:t>788</w:t>
            </w:r>
          </w:p>
        </w:tc>
      </w:tr>
      <w:tr w:rsidR="00677BF0" w:rsidRPr="00687A1C" w:rsidTr="008A3976">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bullet"/>
            </w:pPr>
            <w:r w:rsidRPr="00687A1C">
              <w:t>later than five years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t>1</w:t>
            </w:r>
            <w:r w:rsidR="00D8412D" w:rsidRPr="00687A1C">
              <w:t xml:space="preserve"> </w:t>
            </w:r>
            <w:r w:rsidRPr="00687A1C">
              <w:t>035</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t>1</w:t>
            </w:r>
            <w:r w:rsidR="00D8412D" w:rsidRPr="00687A1C">
              <w:t xml:space="preserve"> </w:t>
            </w:r>
            <w:r w:rsidRPr="00687A1C">
              <w:t>371</w:t>
            </w:r>
          </w:p>
        </w:tc>
      </w:tr>
      <w:tr w:rsidR="00677BF0" w:rsidRPr="00687A1C" w:rsidTr="008A3976">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5148" w:type="dxa"/>
          </w:tcPr>
          <w:p w:rsidR="00677BF0" w:rsidRPr="00687A1C" w:rsidRDefault="00677BF0" w:rsidP="008A3976">
            <w:pPr>
              <w:pStyle w:val="Tabletextbold"/>
            </w:pPr>
            <w:r w:rsidRPr="00687A1C">
              <w:t>Total operating lease commitments (inclusive of GST)</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677BF0" w:rsidRPr="00687A1C" w:rsidRDefault="00677BF0" w:rsidP="00D8412D">
            <w:pPr>
              <w:pStyle w:val="Tabletextrightbold"/>
            </w:pPr>
            <w:r w:rsidRPr="00687A1C">
              <w:t>22</w:t>
            </w:r>
            <w:r w:rsidR="00D8412D" w:rsidRPr="00687A1C">
              <w:rPr>
                <w:rFonts w:ascii="Calibri" w:hAnsi="Calibri" w:cs="Courier New"/>
              </w:rPr>
              <w:t xml:space="preserve"> </w:t>
            </w:r>
            <w:r w:rsidRPr="00687A1C">
              <w:t>141</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677BF0" w:rsidRPr="00687A1C" w:rsidRDefault="00677BF0" w:rsidP="00D8412D">
            <w:pPr>
              <w:pStyle w:val="Tabletextright"/>
            </w:pPr>
            <w:r w:rsidRPr="00687A1C">
              <w:rPr>
                <w:b/>
              </w:rPr>
              <w:t>26</w:t>
            </w:r>
            <w:r w:rsidR="00D8412D" w:rsidRPr="00687A1C">
              <w:rPr>
                <w:b/>
              </w:rPr>
              <w:t xml:space="preserve"> </w:t>
            </w:r>
            <w:r w:rsidRPr="00687A1C">
              <w:rPr>
                <w:b/>
              </w:rPr>
              <w:t>414</w:t>
            </w:r>
          </w:p>
        </w:tc>
      </w:tr>
    </w:tbl>
    <w:p w:rsidR="00174AEA" w:rsidRPr="00687A1C" w:rsidRDefault="00174AEA" w:rsidP="00174AEA"/>
    <w:p w:rsidR="00174AEA" w:rsidRPr="00687A1C" w:rsidRDefault="00174AEA" w:rsidP="00174AEA"/>
    <w:bookmarkEnd w:id="104"/>
    <w:p w:rsidR="00174AEA" w:rsidRPr="00687A1C" w:rsidRDefault="00174AEA" w:rsidP="00174AEA"/>
    <w:p w:rsidR="00174AEA" w:rsidRPr="00687A1C" w:rsidRDefault="00174AEA" w:rsidP="00174AEA">
      <w:pPr>
        <w:sectPr w:rsidR="00174AEA" w:rsidRPr="00687A1C" w:rsidSect="00AC3C2D">
          <w:type w:val="continuous"/>
          <w:pgSz w:w="11909" w:h="16834" w:code="9"/>
          <w:pgMar w:top="1728" w:right="659" w:bottom="1152" w:left="1152" w:header="720" w:footer="288" w:gutter="0"/>
          <w:cols w:space="720"/>
          <w:noEndnote/>
        </w:sectPr>
      </w:pPr>
    </w:p>
    <w:p w:rsidR="00174AEA" w:rsidRPr="00687A1C" w:rsidRDefault="00174AEA" w:rsidP="00174AEA">
      <w:pPr>
        <w:pStyle w:val="Heading1numbered"/>
      </w:pPr>
      <w:bookmarkStart w:id="120" w:name="_Toc495304301"/>
      <w:bookmarkStart w:id="121" w:name="_Toc525026210"/>
      <w:r w:rsidRPr="00687A1C">
        <w:lastRenderedPageBreak/>
        <w:t>Risks, contingencies and valuation judgements</w:t>
      </w:r>
      <w:bookmarkEnd w:id="120"/>
      <w:bookmarkEnd w:id="121"/>
    </w:p>
    <w:p w:rsidR="00174AEA" w:rsidRPr="00687A1C" w:rsidRDefault="00174AEA" w:rsidP="00174AEA">
      <w:pPr>
        <w:sectPr w:rsidR="00174AEA" w:rsidRPr="00687A1C" w:rsidSect="0021386B">
          <w:headerReference w:type="default" r:id="rId95"/>
          <w:pgSz w:w="11909" w:h="16834" w:code="9"/>
          <w:pgMar w:top="1728" w:right="1152" w:bottom="1152" w:left="1152" w:header="720" w:footer="288" w:gutter="0"/>
          <w:cols w:space="720"/>
          <w:noEndnote/>
        </w:sectPr>
      </w:pPr>
    </w:p>
    <w:p w:rsidR="00174AEA" w:rsidRPr="00687A1C" w:rsidRDefault="00174AEA" w:rsidP="00174AEA">
      <w:pPr>
        <w:pStyle w:val="Heading4"/>
      </w:pPr>
      <w:bookmarkStart w:id="122" w:name="Section_08"/>
      <w:r w:rsidRPr="00687A1C">
        <w:t>Introduction</w:t>
      </w:r>
    </w:p>
    <w:p w:rsidR="00174AEA" w:rsidRPr="00687A1C" w:rsidRDefault="00174AEA" w:rsidP="00174AEA">
      <w:r w:rsidRPr="00687A1C">
        <w:t>The Department is exposed to risk from its activities and outside factors. In addition</w:t>
      </w:r>
      <w:r w:rsidR="009E7581" w:rsidRPr="00687A1C">
        <w:t>,</w:t>
      </w:r>
      <w:r w:rsidRPr="00687A1C">
        <w:t xml:space="preserve"> it is often necessary to make judgements and estimates associated with recognition and measurement of items in the financial statements. This section sets out financial instrument specific information</w:t>
      </w:r>
      <w:r w:rsidR="009E7581" w:rsidRPr="00687A1C">
        <w:t>,</w:t>
      </w:r>
      <w:r w:rsidRPr="00687A1C">
        <w:t xml:space="preserve"> (including exposures to financial risks) as well as those items that are contingent in nature or require a higher level of judgement to be applied</w:t>
      </w:r>
      <w:r w:rsidR="009E7581" w:rsidRPr="00687A1C">
        <w:t>,</w:t>
      </w:r>
      <w:r w:rsidRPr="00687A1C">
        <w:t xml:space="preserve"> which for the Department related mainly to fair value determination.</w:t>
      </w:r>
    </w:p>
    <w:p w:rsidR="00174AEA" w:rsidRPr="00687A1C" w:rsidRDefault="00174AEA" w:rsidP="00174AEA"/>
    <w:p w:rsidR="00174AEA" w:rsidRPr="00687A1C" w:rsidRDefault="00174AEA" w:rsidP="00174AEA">
      <w:pPr>
        <w:pStyle w:val="Heading4"/>
      </w:pPr>
      <w:r w:rsidRPr="00687A1C">
        <w:br w:type="column"/>
      </w:r>
      <w:r w:rsidRPr="00687A1C">
        <w:t>Structure</w:t>
      </w:r>
    </w:p>
    <w:p w:rsidR="00F97BB9" w:rsidRDefault="00174AEA">
      <w:pPr>
        <w:pStyle w:val="TOC5"/>
        <w:rPr>
          <w:noProof/>
          <w:color w:val="auto"/>
          <w:sz w:val="22"/>
        </w:rPr>
      </w:pPr>
      <w:r w:rsidRPr="00687A1C">
        <w:rPr>
          <w:b/>
        </w:rPr>
        <w:fldChar w:fldCharType="begin"/>
      </w:r>
      <w:r w:rsidRPr="00687A1C">
        <w:rPr>
          <w:b/>
        </w:rPr>
        <w:instrText xml:space="preserve"> TOC \h \z \t "Heading 2 numbered,5" \b Section_08 </w:instrText>
      </w:r>
      <w:r w:rsidRPr="00687A1C">
        <w:rPr>
          <w:b/>
        </w:rPr>
        <w:fldChar w:fldCharType="separate"/>
      </w:r>
      <w:hyperlink w:anchor="_Toc525026245" w:history="1">
        <w:r w:rsidR="00F97BB9" w:rsidRPr="00DE61D8">
          <w:rPr>
            <w:rStyle w:val="Hyperlink"/>
            <w:noProof/>
          </w:rPr>
          <w:t>8.1</w:t>
        </w:r>
        <w:r w:rsidR="00F97BB9">
          <w:rPr>
            <w:noProof/>
            <w:color w:val="auto"/>
            <w:sz w:val="22"/>
          </w:rPr>
          <w:tab/>
        </w:r>
        <w:r w:rsidR="00F97BB9" w:rsidRPr="00DE61D8">
          <w:rPr>
            <w:rStyle w:val="Hyperlink"/>
            <w:noProof/>
          </w:rPr>
          <w:t>Financial instruments specific disclosures</w:t>
        </w:r>
        <w:r w:rsidR="00F97BB9">
          <w:rPr>
            <w:noProof/>
            <w:webHidden/>
          </w:rPr>
          <w:tab/>
        </w:r>
        <w:r w:rsidR="00F97BB9">
          <w:rPr>
            <w:noProof/>
            <w:webHidden/>
          </w:rPr>
          <w:fldChar w:fldCharType="begin"/>
        </w:r>
        <w:r w:rsidR="00F97BB9">
          <w:rPr>
            <w:noProof/>
            <w:webHidden/>
          </w:rPr>
          <w:instrText xml:space="preserve"> PAGEREF _Toc525026245 \h </w:instrText>
        </w:r>
        <w:r w:rsidR="00F97BB9">
          <w:rPr>
            <w:noProof/>
            <w:webHidden/>
          </w:rPr>
        </w:r>
        <w:r w:rsidR="00F97BB9">
          <w:rPr>
            <w:noProof/>
            <w:webHidden/>
          </w:rPr>
          <w:fldChar w:fldCharType="separate"/>
        </w:r>
        <w:r w:rsidR="00BE5F15">
          <w:rPr>
            <w:noProof/>
            <w:webHidden/>
          </w:rPr>
          <w:t>85</w:t>
        </w:r>
        <w:r w:rsidR="00F97BB9">
          <w:rPr>
            <w:noProof/>
            <w:webHidden/>
          </w:rPr>
          <w:fldChar w:fldCharType="end"/>
        </w:r>
      </w:hyperlink>
    </w:p>
    <w:p w:rsidR="00F97BB9" w:rsidRDefault="00EC4CFD">
      <w:pPr>
        <w:pStyle w:val="TOC5"/>
        <w:rPr>
          <w:noProof/>
          <w:color w:val="auto"/>
          <w:sz w:val="22"/>
        </w:rPr>
      </w:pPr>
      <w:hyperlink w:anchor="_Toc525026246" w:history="1">
        <w:r w:rsidR="00F97BB9" w:rsidRPr="00DE61D8">
          <w:rPr>
            <w:rStyle w:val="Hyperlink"/>
            <w:noProof/>
          </w:rPr>
          <w:t>8.2</w:t>
        </w:r>
        <w:r w:rsidR="00F97BB9">
          <w:rPr>
            <w:noProof/>
            <w:color w:val="auto"/>
            <w:sz w:val="22"/>
          </w:rPr>
          <w:tab/>
        </w:r>
        <w:r w:rsidR="00F97BB9" w:rsidRPr="00DE61D8">
          <w:rPr>
            <w:rStyle w:val="Hyperlink"/>
            <w:noProof/>
          </w:rPr>
          <w:t>Contingent assets and contingent liabilities</w:t>
        </w:r>
        <w:r w:rsidR="00F97BB9">
          <w:rPr>
            <w:noProof/>
            <w:webHidden/>
          </w:rPr>
          <w:tab/>
        </w:r>
        <w:r w:rsidR="00F97BB9">
          <w:rPr>
            <w:noProof/>
            <w:webHidden/>
          </w:rPr>
          <w:fldChar w:fldCharType="begin"/>
        </w:r>
        <w:r w:rsidR="00F97BB9">
          <w:rPr>
            <w:noProof/>
            <w:webHidden/>
          </w:rPr>
          <w:instrText xml:space="preserve"> PAGEREF _Toc525026246 \h </w:instrText>
        </w:r>
        <w:r w:rsidR="00F97BB9">
          <w:rPr>
            <w:noProof/>
            <w:webHidden/>
          </w:rPr>
        </w:r>
        <w:r w:rsidR="00F97BB9">
          <w:rPr>
            <w:noProof/>
            <w:webHidden/>
          </w:rPr>
          <w:fldChar w:fldCharType="separate"/>
        </w:r>
        <w:r w:rsidR="00BE5F15">
          <w:rPr>
            <w:noProof/>
            <w:webHidden/>
          </w:rPr>
          <w:t>88</w:t>
        </w:r>
        <w:r w:rsidR="00F97BB9">
          <w:rPr>
            <w:noProof/>
            <w:webHidden/>
          </w:rPr>
          <w:fldChar w:fldCharType="end"/>
        </w:r>
      </w:hyperlink>
    </w:p>
    <w:p w:rsidR="00F97BB9" w:rsidRDefault="00EC4CFD">
      <w:pPr>
        <w:pStyle w:val="TOC5"/>
        <w:rPr>
          <w:noProof/>
          <w:color w:val="auto"/>
          <w:sz w:val="22"/>
        </w:rPr>
      </w:pPr>
      <w:hyperlink w:anchor="_Toc525026247" w:history="1">
        <w:r w:rsidR="00F97BB9" w:rsidRPr="00DE61D8">
          <w:rPr>
            <w:rStyle w:val="Hyperlink"/>
            <w:noProof/>
          </w:rPr>
          <w:t>8.3</w:t>
        </w:r>
        <w:r w:rsidR="00F97BB9">
          <w:rPr>
            <w:noProof/>
            <w:color w:val="auto"/>
            <w:sz w:val="22"/>
          </w:rPr>
          <w:tab/>
        </w:r>
        <w:r w:rsidR="00F97BB9" w:rsidRPr="00DE61D8">
          <w:rPr>
            <w:rStyle w:val="Hyperlink"/>
            <w:noProof/>
          </w:rPr>
          <w:t>Fair value determination</w:t>
        </w:r>
        <w:r w:rsidR="00F97BB9">
          <w:rPr>
            <w:noProof/>
            <w:webHidden/>
          </w:rPr>
          <w:tab/>
        </w:r>
        <w:r w:rsidR="00F97BB9">
          <w:rPr>
            <w:noProof/>
            <w:webHidden/>
          </w:rPr>
          <w:fldChar w:fldCharType="begin"/>
        </w:r>
        <w:r w:rsidR="00F97BB9">
          <w:rPr>
            <w:noProof/>
            <w:webHidden/>
          </w:rPr>
          <w:instrText xml:space="preserve"> PAGEREF _Toc525026247 \h </w:instrText>
        </w:r>
        <w:r w:rsidR="00F97BB9">
          <w:rPr>
            <w:noProof/>
            <w:webHidden/>
          </w:rPr>
        </w:r>
        <w:r w:rsidR="00F97BB9">
          <w:rPr>
            <w:noProof/>
            <w:webHidden/>
          </w:rPr>
          <w:fldChar w:fldCharType="separate"/>
        </w:r>
        <w:r w:rsidR="00BE5F15">
          <w:rPr>
            <w:noProof/>
            <w:webHidden/>
          </w:rPr>
          <w:t>88</w:t>
        </w:r>
        <w:r w:rsidR="00F97BB9">
          <w:rPr>
            <w:noProof/>
            <w:webHidden/>
          </w:rPr>
          <w:fldChar w:fldCharType="end"/>
        </w:r>
      </w:hyperlink>
    </w:p>
    <w:p w:rsidR="00174AEA" w:rsidRPr="00687A1C" w:rsidRDefault="00174AEA" w:rsidP="00174AEA">
      <w:r w:rsidRPr="00687A1C">
        <w:rPr>
          <w:b/>
          <w:spacing w:val="-2"/>
          <w:szCs w:val="19"/>
        </w:rPr>
        <w:fldChar w:fldCharType="end"/>
      </w:r>
    </w:p>
    <w:p w:rsidR="00174AEA" w:rsidRPr="00687A1C" w:rsidRDefault="00174AEA" w:rsidP="00174AEA"/>
    <w:p w:rsidR="00174AEA" w:rsidRPr="00687A1C" w:rsidRDefault="00174AEA" w:rsidP="00174AEA"/>
    <w:p w:rsidR="00174AEA" w:rsidRPr="00687A1C" w:rsidRDefault="00174AEA" w:rsidP="00174AEA">
      <w:pPr>
        <w:sectPr w:rsidR="00174AEA" w:rsidRPr="00687A1C" w:rsidSect="0021386B">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123" w:name="_Toc495304302"/>
      <w:bookmarkStart w:id="124" w:name="_Toc525026211"/>
      <w:bookmarkStart w:id="125" w:name="_Toc525026245"/>
      <w:r w:rsidRPr="00687A1C">
        <w:t>Financial instruments specific disclosures</w:t>
      </w:r>
      <w:bookmarkEnd w:id="123"/>
      <w:bookmarkEnd w:id="124"/>
      <w:bookmarkEnd w:id="125"/>
    </w:p>
    <w:p w:rsidR="00174AEA" w:rsidRPr="00687A1C" w:rsidRDefault="00174AEA" w:rsidP="00174AEA">
      <w:r w:rsidRPr="00687A1C">
        <w:t>Financial instruments arise out of contractual agreements that give rise to a financial asset of one entity and a financial liability or equity instrument of another entity. Due to the nature of the Department’s activities</w:t>
      </w:r>
      <w:r w:rsidR="009E7581" w:rsidRPr="00687A1C">
        <w:t>,</w:t>
      </w:r>
      <w:r w:rsidRPr="00687A1C">
        <w:rPr>
          <w:rFonts w:ascii="VIC" w:hAnsi="VIC"/>
        </w:rPr>
        <w:t xml:space="preserve"> </w:t>
      </w:r>
      <w:r w:rsidRPr="00687A1C">
        <w:t>certain financial assets and financial liabilities arise under statute rather than a contract (for example taxes</w:t>
      </w:r>
      <w:r w:rsidR="009E7581" w:rsidRPr="00687A1C">
        <w:t>,</w:t>
      </w:r>
      <w:r w:rsidRPr="00687A1C">
        <w:rPr>
          <w:rFonts w:ascii="VIC" w:hAnsi="VIC"/>
        </w:rPr>
        <w:t xml:space="preserve"> </w:t>
      </w:r>
      <w:r w:rsidRPr="00687A1C">
        <w:t>fines and penalties). Such assets and liabilities do not meet the definition of financial instruments in AASB</w:t>
      </w:r>
      <w:r w:rsidRPr="00687A1C">
        <w:rPr>
          <w:rFonts w:ascii="Calibri" w:hAnsi="Calibri" w:cs="Calibri"/>
        </w:rPr>
        <w:t> </w:t>
      </w:r>
      <w:r w:rsidRPr="00687A1C">
        <w:t xml:space="preserve">132 </w:t>
      </w:r>
      <w:r w:rsidRPr="00687A1C">
        <w:rPr>
          <w:i/>
        </w:rPr>
        <w:t>Financial Instruments: Presentation</w:t>
      </w:r>
      <w:r w:rsidRPr="00687A1C">
        <w:t xml:space="preserve">. </w:t>
      </w:r>
    </w:p>
    <w:p w:rsidR="00174AEA" w:rsidRPr="00687A1C" w:rsidRDefault="00174AEA" w:rsidP="00174AEA">
      <w:r w:rsidRPr="00687A1C">
        <w:t>For note disclosure purposes</w:t>
      </w:r>
      <w:r w:rsidR="009E7581" w:rsidRPr="00687A1C">
        <w:t>,</w:t>
      </w:r>
      <w:r w:rsidRPr="00687A1C">
        <w:rPr>
          <w:rFonts w:ascii="VIC" w:hAnsi="VIC"/>
        </w:rPr>
        <w:t xml:space="preserve"> </w:t>
      </w:r>
      <w:r w:rsidRPr="00687A1C">
        <w:t>a distinction is made between those financial assets and liabilities that meet the definition of financial instruments in accordance with AASB</w:t>
      </w:r>
      <w:r w:rsidRPr="00687A1C">
        <w:rPr>
          <w:rFonts w:ascii="Calibri" w:hAnsi="Calibri" w:cs="Calibri"/>
        </w:rPr>
        <w:t> </w:t>
      </w:r>
      <w:r w:rsidRPr="00687A1C">
        <w:t>132 and those that do not. The following refers to financial instruments unless otherwise stated.</w:t>
      </w:r>
    </w:p>
    <w:p w:rsidR="00174AEA" w:rsidRPr="00687A1C" w:rsidRDefault="00174AEA" w:rsidP="00174AEA">
      <w:pPr>
        <w:pStyle w:val="Heading4"/>
      </w:pPr>
      <w:r w:rsidRPr="00687A1C">
        <w:t>Categories of financial instruments</w:t>
      </w:r>
    </w:p>
    <w:p w:rsidR="00174AEA" w:rsidRPr="00687A1C" w:rsidRDefault="00174AEA" w:rsidP="00174AEA">
      <w:pPr>
        <w:pStyle w:val="Heading5"/>
      </w:pPr>
      <w:r w:rsidRPr="00687A1C">
        <w:t xml:space="preserve">Loans and receivables </w:t>
      </w:r>
    </w:p>
    <w:p w:rsidR="00174AEA" w:rsidRPr="00687A1C" w:rsidRDefault="00174AEA" w:rsidP="00174AEA">
      <w:r w:rsidRPr="00687A1C">
        <w:t>Loans and receivables are financial instrument assets with fixed and determinable payments that are not quoted on an active market. These assets are initially recognised at fair value plus any directly attributable transaction costs. Subsequent to initial measurement</w:t>
      </w:r>
      <w:r w:rsidR="009E7581" w:rsidRPr="00687A1C">
        <w:t>,</w:t>
      </w:r>
      <w:r w:rsidRPr="00687A1C">
        <w:t xml:space="preserve"> loans and receivables are measured at amortised cost using the effective interest method (and for assets</w:t>
      </w:r>
      <w:r w:rsidR="009E7581" w:rsidRPr="00687A1C">
        <w:t>,</w:t>
      </w:r>
      <w:r w:rsidRPr="00687A1C">
        <w:t xml:space="preserve"> less any impairment). The loans and receivables category includes cash and deposits</w:t>
      </w:r>
      <w:r w:rsidR="007F419B" w:rsidRPr="00687A1C">
        <w:t>,</w:t>
      </w:r>
      <w:r w:rsidRPr="00687A1C">
        <w:t xml:space="preserve"> term deposits with maturity greater than three months</w:t>
      </w:r>
      <w:r w:rsidR="007F419B" w:rsidRPr="00687A1C">
        <w:t>,</w:t>
      </w:r>
      <w:r w:rsidRPr="00687A1C">
        <w:t xml:space="preserve"> trade receivables</w:t>
      </w:r>
      <w:r w:rsidR="007F419B" w:rsidRPr="00687A1C">
        <w:t>,</w:t>
      </w:r>
      <w:r w:rsidRPr="00687A1C">
        <w:t xml:space="preserve"> loans and other receivables</w:t>
      </w:r>
      <w:r w:rsidR="007F419B" w:rsidRPr="00687A1C">
        <w:t>,</w:t>
      </w:r>
      <w:r w:rsidRPr="00687A1C">
        <w:t xml:space="preserve"> but not statutory receivables.</w:t>
      </w:r>
    </w:p>
    <w:p w:rsidR="00174AEA" w:rsidRPr="00687A1C" w:rsidRDefault="00174AEA" w:rsidP="00174AEA">
      <w:pPr>
        <w:pStyle w:val="Heading5"/>
      </w:pPr>
      <w:r w:rsidRPr="00687A1C">
        <w:br w:type="column"/>
      </w:r>
      <w:r w:rsidRPr="00687A1C">
        <w:t>Financial liabilities at amortised cost</w:t>
      </w:r>
    </w:p>
    <w:p w:rsidR="00174AEA" w:rsidRPr="00687A1C" w:rsidRDefault="00174AEA" w:rsidP="00174AEA">
      <w:r w:rsidRPr="00687A1C">
        <w:t>Financial instrument liabilities are initially recognised on the date they are originated. They are initially measured at fair value plus any directly attributable transaction costs. Subsequent to initial recognition</w:t>
      </w:r>
      <w:r w:rsidR="008F720B" w:rsidRPr="00687A1C">
        <w:t>,</w:t>
      </w:r>
      <w:r w:rsidRPr="00687A1C">
        <w:t xml:space="preserve"> these financial instruments are measured at amortised cost with any difference between the initial recognised amount and the redemption value being recognised in income and expenses over the period of the interest</w:t>
      </w:r>
      <w:r w:rsidRPr="00687A1C">
        <w:noBreakHyphen/>
        <w:t>bearing liability</w:t>
      </w:r>
      <w:r w:rsidR="008F720B" w:rsidRPr="00687A1C">
        <w:t>,</w:t>
      </w:r>
      <w:r w:rsidRPr="00687A1C">
        <w:t xml:space="preserve"> using the effective interest rate method. Financial instrument liabilities measured at amortised cost include all of the Department’s contractual payables</w:t>
      </w:r>
      <w:r w:rsidR="008F720B" w:rsidRPr="00687A1C">
        <w:t>,</w:t>
      </w:r>
      <w:r w:rsidRPr="00687A1C">
        <w:t xml:space="preserve"> deposits held and advances received</w:t>
      </w:r>
      <w:r w:rsidR="008F720B" w:rsidRPr="00687A1C">
        <w:t>,</w:t>
      </w:r>
      <w:r w:rsidRPr="00687A1C">
        <w:t xml:space="preserve"> and interest</w:t>
      </w:r>
      <w:r w:rsidRPr="00687A1C">
        <w:noBreakHyphen/>
        <w:t>bearing arrangements other than those designated at fair value through profit or loss.</w:t>
      </w:r>
    </w:p>
    <w:p w:rsidR="00174AEA" w:rsidRPr="00687A1C" w:rsidRDefault="00174AEA" w:rsidP="00174AEA">
      <w:pPr>
        <w:pStyle w:val="Heading5"/>
      </w:pPr>
      <w:r w:rsidRPr="00687A1C">
        <w:t>Derecognition of financial liabilities</w:t>
      </w:r>
    </w:p>
    <w:p w:rsidR="00174AEA" w:rsidRPr="00687A1C" w:rsidRDefault="00174AEA" w:rsidP="00174AEA">
      <w:r w:rsidRPr="00687A1C">
        <w:t>A financial liability is derecognised when the obligation under the liability is discharged</w:t>
      </w:r>
      <w:r w:rsidR="007F419B" w:rsidRPr="00687A1C">
        <w:t>,</w:t>
      </w:r>
      <w:r w:rsidRPr="00687A1C">
        <w:t xml:space="preserve"> cancelled or expires.</w:t>
      </w:r>
    </w:p>
    <w:p w:rsidR="00174AEA" w:rsidRPr="00687A1C" w:rsidRDefault="00174AEA" w:rsidP="00174AEA">
      <w:r w:rsidRPr="00687A1C">
        <w:t>When an existing financial liability is replaced by another from the same lender on substantially different terms</w:t>
      </w:r>
      <w:r w:rsidR="008F720B" w:rsidRPr="00687A1C">
        <w:t>,</w:t>
      </w:r>
      <w:r w:rsidRPr="00687A1C">
        <w:t xml:space="preserve"> or the terms of an existing liability are substantially modified</w:t>
      </w:r>
      <w:r w:rsidR="008F720B" w:rsidRPr="00687A1C">
        <w:t>,</w:t>
      </w:r>
      <w:r w:rsidRPr="00687A1C">
        <w:t xml:space="preserve"> such an exchange or modification is treated as a derecognition of the original liability and the recognition of a new liability. The difference in the respective carrying amounts is recognised as an other economic flow in the comprehensive operating statement.</w:t>
      </w:r>
    </w:p>
    <w:p w:rsidR="00174AEA" w:rsidRPr="00687A1C" w:rsidRDefault="00174AEA" w:rsidP="00174AEA"/>
    <w:p w:rsidR="00174AEA" w:rsidRPr="00687A1C" w:rsidRDefault="00174AEA" w:rsidP="00174AEA">
      <w:pPr>
        <w:pStyle w:val="Heading3numbered"/>
        <w:sectPr w:rsidR="00174AEA" w:rsidRPr="00687A1C" w:rsidSect="0021386B">
          <w:type w:val="continuous"/>
          <w:pgSz w:w="11909" w:h="16834" w:code="9"/>
          <w:pgMar w:top="1728" w:right="1152" w:bottom="1152" w:left="1152" w:header="720" w:footer="288" w:gutter="0"/>
          <w:cols w:num="2" w:space="720"/>
          <w:noEndnote/>
        </w:sectPr>
      </w:pPr>
    </w:p>
    <w:p w:rsidR="00174AEA" w:rsidRPr="00687A1C" w:rsidRDefault="00174AEA" w:rsidP="00174AEA">
      <w:pPr>
        <w:pStyle w:val="Heading3numbered"/>
      </w:pPr>
      <w:r w:rsidRPr="00687A1C">
        <w:lastRenderedPageBreak/>
        <w:t>Categorisation of financial instruments</w:t>
      </w:r>
    </w:p>
    <w:p w:rsidR="00174AEA" w:rsidRPr="00687A1C" w:rsidRDefault="00174AEA" w:rsidP="00174AEA">
      <w:pPr>
        <w:pStyle w:val="Heading5"/>
      </w:pPr>
      <w:r w:rsidRPr="00687A1C">
        <w:t>Carrying amount of financial instruments by category:</w:t>
      </w:r>
    </w:p>
    <w:tbl>
      <w:tblPr>
        <w:tblStyle w:val="AnnualReporttexttable"/>
        <w:tblW w:w="4590" w:type="pct"/>
        <w:tblLayout w:type="fixed"/>
        <w:tblLook w:val="01E0" w:firstRow="1" w:lastRow="1" w:firstColumn="1" w:lastColumn="1" w:noHBand="0" w:noVBand="0"/>
      </w:tblPr>
      <w:tblGrid>
        <w:gridCol w:w="3080"/>
        <w:gridCol w:w="719"/>
        <w:gridCol w:w="3062"/>
        <w:gridCol w:w="1078"/>
        <w:gridCol w:w="1077"/>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shd w:val="clear" w:color="auto" w:fill="auto"/>
          </w:tcPr>
          <w:p w:rsidR="00174AEA" w:rsidRPr="00687A1C" w:rsidRDefault="00174AEA" w:rsidP="008A3976">
            <w:pPr>
              <w:pStyle w:val="Tabletextheadingleft"/>
              <w:rPr>
                <w:b/>
              </w:rPr>
            </w:pP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headingcentred"/>
              <w:rPr>
                <w:b/>
              </w:rPr>
            </w:pPr>
            <w:r w:rsidRPr="00687A1C">
              <w:rPr>
                <w:b/>
              </w:rPr>
              <w:t>Note</w:t>
            </w:r>
          </w:p>
        </w:tc>
        <w:tc>
          <w:tcPr>
            <w:cnfStyle w:val="000001000000" w:firstRow="0" w:lastRow="0" w:firstColumn="0" w:lastColumn="0" w:oddVBand="0" w:evenVBand="1" w:oddHBand="0" w:evenHBand="0" w:firstRowFirstColumn="0" w:firstRowLastColumn="0" w:lastRowFirstColumn="0" w:lastRowLastColumn="0"/>
            <w:tcW w:w="1698" w:type="pct"/>
            <w:shd w:val="clear" w:color="auto" w:fill="auto"/>
            <w:vAlign w:val="bottom"/>
          </w:tcPr>
          <w:p w:rsidR="00174AEA" w:rsidRPr="00687A1C" w:rsidRDefault="00174AEA" w:rsidP="008A3976">
            <w:pPr>
              <w:pStyle w:val="Tabletextheadingleft"/>
              <w:rPr>
                <w:b/>
              </w:rPr>
            </w:pPr>
            <w:r w:rsidRPr="00687A1C">
              <w:rPr>
                <w:b/>
              </w:rPr>
              <w:t>Category</w:t>
            </w:r>
          </w:p>
        </w:tc>
        <w:tc>
          <w:tcPr>
            <w:cnfStyle w:val="000010000000" w:firstRow="0" w:lastRow="0" w:firstColumn="0" w:lastColumn="0" w:oddVBand="1" w:evenVBand="0" w:oddHBand="0" w:evenHBand="0" w:firstRowFirstColumn="0" w:firstRowLastColumn="0" w:lastRowFirstColumn="0" w:lastRowLastColumn="0"/>
            <w:tcW w:w="598" w:type="pct"/>
            <w:shd w:val="clear" w:color="auto" w:fill="auto"/>
            <w:vAlign w:val="bottom"/>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598" w:type="pct"/>
            <w:shd w:val="clear" w:color="auto" w:fill="auto"/>
            <w:vAlign w:val="bottom"/>
          </w:tcPr>
          <w:p w:rsidR="00174AEA" w:rsidRPr="00687A1C" w:rsidRDefault="00174AEA" w:rsidP="008A3976">
            <w:pPr>
              <w:pStyle w:val="Tabletextheadingright"/>
              <w:rPr>
                <w:b/>
              </w:rPr>
            </w:pPr>
            <w:r w:rsidRPr="00687A1C">
              <w:rPr>
                <w:b/>
              </w:rPr>
              <w:t>2017</w:t>
            </w:r>
            <w:r w:rsidRPr="00687A1C">
              <w:rPr>
                <w:b/>
              </w:rPr>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bold"/>
            </w:pPr>
            <w:r w:rsidRPr="00687A1C">
              <w:t>Financial assets</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tcPr>
          <w:p w:rsidR="00174AEA" w:rsidRPr="00687A1C" w:rsidRDefault="00174AEA" w:rsidP="008A3976">
            <w:pPr>
              <w:pStyle w:val="Tabletextcentred"/>
            </w:pP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598" w:type="pct"/>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598" w:type="pct"/>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
            </w:pPr>
            <w:r w:rsidRPr="00687A1C">
              <w:t>Cash and deposits</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centred"/>
            </w:pPr>
            <w:r w:rsidRPr="00687A1C">
              <w:t>7.2</w:t>
            </w: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r w:rsidRPr="00687A1C">
              <w:t>Loans and receivables and cash</w:t>
            </w: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174AEA" w:rsidP="00D8412D">
            <w:pPr>
              <w:pStyle w:val="Tabletextright"/>
            </w:pPr>
            <w:r w:rsidRPr="00687A1C">
              <w:t>30</w:t>
            </w:r>
            <w:r w:rsidR="00D8412D" w:rsidRPr="00687A1C">
              <w:t xml:space="preserve"> </w:t>
            </w:r>
            <w:r w:rsidRPr="00687A1C">
              <w:t xml:space="preserve">200 </w:t>
            </w:r>
          </w:p>
        </w:tc>
        <w:tc>
          <w:tcPr>
            <w:cnfStyle w:val="000001000000" w:firstRow="0" w:lastRow="0" w:firstColumn="0" w:lastColumn="0" w:oddVBand="0" w:evenVBand="1" w:oddHBand="0" w:evenHBand="0" w:firstRowFirstColumn="0" w:firstRowLastColumn="0" w:lastRowFirstColumn="0" w:lastRowLastColumn="0"/>
            <w:tcW w:w="598" w:type="pct"/>
            <w:vAlign w:val="bottom"/>
          </w:tcPr>
          <w:p w:rsidR="00174AEA" w:rsidRPr="00687A1C" w:rsidRDefault="00174AEA" w:rsidP="00D8412D">
            <w:pPr>
              <w:pStyle w:val="Tabletextright"/>
            </w:pPr>
            <w:r w:rsidRPr="00687A1C">
              <w:t>32</w:t>
            </w:r>
            <w:r w:rsidR="00D8412D" w:rsidRPr="00687A1C">
              <w:t xml:space="preserve"> </w:t>
            </w:r>
            <w:r w:rsidRPr="00687A1C">
              <w:t>294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
            </w:pPr>
            <w:r w:rsidRPr="00687A1C">
              <w:t xml:space="preserve">Receivables </w:t>
            </w:r>
            <w:r w:rsidRPr="00687A1C">
              <w:rPr>
                <w:szCs w:val="16"/>
                <w:vertAlign w:val="superscript"/>
              </w:rPr>
              <w:t>(a)</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centred"/>
            </w:pPr>
            <w:r w:rsidRPr="00687A1C">
              <w:t>6.1</w:t>
            </w: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r w:rsidRPr="00687A1C">
              <w:t>Loans and receivables and cash</w:t>
            </w: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677BF0" w:rsidP="00D8412D">
            <w:pPr>
              <w:pStyle w:val="Tabletextright"/>
            </w:pPr>
            <w:r w:rsidRPr="00687A1C">
              <w:t>14</w:t>
            </w:r>
            <w:r w:rsidR="00D8412D" w:rsidRPr="00687A1C">
              <w:rPr>
                <w:rFonts w:ascii="Calibri" w:hAnsi="Calibri" w:cs="Courier New"/>
              </w:rPr>
              <w:t xml:space="preserve"> </w:t>
            </w:r>
            <w:r w:rsidRPr="00687A1C">
              <w:t>822</w:t>
            </w:r>
          </w:p>
        </w:tc>
        <w:tc>
          <w:tcPr>
            <w:cnfStyle w:val="000001000000" w:firstRow="0" w:lastRow="0" w:firstColumn="0" w:lastColumn="0" w:oddVBand="0" w:evenVBand="1" w:oddHBand="0" w:evenHBand="0" w:firstRowFirstColumn="0" w:firstRowLastColumn="0" w:lastRowFirstColumn="0" w:lastRowLastColumn="0"/>
            <w:tcW w:w="598" w:type="pct"/>
            <w:vAlign w:val="bottom"/>
          </w:tcPr>
          <w:p w:rsidR="00174AEA" w:rsidRPr="00687A1C" w:rsidRDefault="00174AEA" w:rsidP="00D8412D">
            <w:pPr>
              <w:pStyle w:val="Tabletextright"/>
            </w:pPr>
            <w:r w:rsidRPr="00687A1C">
              <w:t>16</w:t>
            </w:r>
            <w:r w:rsidR="00D8412D" w:rsidRPr="00687A1C">
              <w:t xml:space="preserve"> </w:t>
            </w:r>
            <w:r w:rsidRPr="00687A1C">
              <w:t>493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vAlign w:val="bottom"/>
          </w:tcPr>
          <w:p w:rsidR="00174AEA" w:rsidRPr="00687A1C" w:rsidRDefault="00174AEA" w:rsidP="008A3976">
            <w:pPr>
              <w:pStyle w:val="Tabletextbold"/>
            </w:pPr>
            <w:r w:rsidRPr="00687A1C">
              <w:t>Total contractual financial assets</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centred"/>
            </w:pP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677BF0" w:rsidP="00D8412D">
            <w:pPr>
              <w:pStyle w:val="Tabletextright"/>
            </w:pPr>
            <w:r w:rsidRPr="00687A1C">
              <w:rPr>
                <w:b/>
              </w:rPr>
              <w:t>45</w:t>
            </w:r>
            <w:r w:rsidR="00D8412D" w:rsidRPr="00687A1C">
              <w:rPr>
                <w:rFonts w:ascii="Calibri" w:hAnsi="Calibri" w:cs="Courier New"/>
                <w:b/>
              </w:rPr>
              <w:t xml:space="preserve"> </w:t>
            </w:r>
            <w:r w:rsidRPr="00687A1C">
              <w:rPr>
                <w:b/>
              </w:rPr>
              <w:t>022</w:t>
            </w:r>
          </w:p>
        </w:tc>
        <w:tc>
          <w:tcPr>
            <w:cnfStyle w:val="000001000000" w:firstRow="0" w:lastRow="0" w:firstColumn="0" w:lastColumn="0" w:oddVBand="0" w:evenVBand="1" w:oddHBand="0" w:evenHBand="0" w:firstRowFirstColumn="0" w:firstRowLastColumn="0" w:lastRowFirstColumn="0" w:lastRowLastColumn="0"/>
            <w:tcW w:w="598" w:type="pct"/>
            <w:vAlign w:val="bottom"/>
          </w:tcPr>
          <w:p w:rsidR="00174AEA" w:rsidRPr="00687A1C" w:rsidRDefault="00174AEA" w:rsidP="00D8412D">
            <w:pPr>
              <w:pStyle w:val="Tabletextright"/>
            </w:pPr>
            <w:r w:rsidRPr="00687A1C">
              <w:rPr>
                <w:b/>
              </w:rPr>
              <w:t>48</w:t>
            </w:r>
            <w:r w:rsidR="00D8412D" w:rsidRPr="00687A1C">
              <w:rPr>
                <w:b/>
              </w:rPr>
              <w:t xml:space="preserve"> </w:t>
            </w:r>
            <w:r w:rsidRPr="00687A1C">
              <w:rPr>
                <w:b/>
              </w:rPr>
              <w:t>787</w:t>
            </w:r>
          </w:p>
        </w:tc>
      </w:tr>
      <w:tr w:rsidR="00174AEA" w:rsidRPr="00687A1C" w:rsidTr="008A3976">
        <w:trPr>
          <w:trHeight w:hRule="exact" w:val="120"/>
        </w:trPr>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bold"/>
            </w:pP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centred"/>
              <w:rPr>
                <w:b/>
              </w:rPr>
            </w:pP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598" w:type="pct"/>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bold"/>
            </w:pPr>
            <w:r w:rsidRPr="00687A1C">
              <w:t>Financial liabilities</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centred"/>
              <w:rPr>
                <w:b/>
              </w:rPr>
            </w:pP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174AEA" w:rsidP="008A3976">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598" w:type="pct"/>
          </w:tcPr>
          <w:p w:rsidR="00174AEA" w:rsidRPr="00687A1C" w:rsidRDefault="00174AEA" w:rsidP="008A3976">
            <w:pPr>
              <w:pStyle w:val="Tabletextright"/>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
            </w:pPr>
            <w:r w:rsidRPr="00687A1C">
              <w:t xml:space="preserve">Payables </w:t>
            </w:r>
            <w:r w:rsidRPr="00687A1C">
              <w:rPr>
                <w:szCs w:val="16"/>
                <w:vertAlign w:val="superscript"/>
              </w:rPr>
              <w:t>(a)</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centred"/>
            </w:pPr>
            <w:r w:rsidRPr="00687A1C">
              <w:t>6.2</w:t>
            </w: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r w:rsidRPr="00687A1C">
              <w:t>Financial liabilities at amortised cost</w:t>
            </w:r>
          </w:p>
        </w:tc>
        <w:tc>
          <w:tcPr>
            <w:cnfStyle w:val="000010000000" w:firstRow="0" w:lastRow="0" w:firstColumn="0" w:lastColumn="0" w:oddVBand="1" w:evenVBand="0" w:oddHBand="0" w:evenHBand="0" w:firstRowFirstColumn="0" w:firstRowLastColumn="0" w:lastRowFirstColumn="0" w:lastRowLastColumn="0"/>
            <w:tcW w:w="598" w:type="pct"/>
          </w:tcPr>
          <w:p w:rsidR="00174AEA" w:rsidRPr="00687A1C" w:rsidRDefault="00677BF0" w:rsidP="00D8412D">
            <w:pPr>
              <w:pStyle w:val="Tabletextright"/>
            </w:pPr>
            <w:r w:rsidRPr="00687A1C">
              <w:t>33</w:t>
            </w:r>
            <w:r w:rsidR="00D8412D" w:rsidRPr="00687A1C">
              <w:rPr>
                <w:rFonts w:ascii="Calibri" w:hAnsi="Calibri" w:cs="Courier New"/>
              </w:rPr>
              <w:t xml:space="preserve"> </w:t>
            </w:r>
            <w:r w:rsidRPr="00687A1C">
              <w:t>665</w:t>
            </w:r>
          </w:p>
        </w:tc>
        <w:tc>
          <w:tcPr>
            <w:cnfStyle w:val="000001000000" w:firstRow="0" w:lastRow="0" w:firstColumn="0" w:lastColumn="0" w:oddVBand="0" w:evenVBand="1" w:oddHBand="0" w:evenHBand="0" w:firstRowFirstColumn="0" w:firstRowLastColumn="0" w:lastRowFirstColumn="0" w:lastRowLastColumn="0"/>
            <w:tcW w:w="598" w:type="pct"/>
          </w:tcPr>
          <w:p w:rsidR="00174AEA" w:rsidRPr="00687A1C" w:rsidRDefault="00174AEA" w:rsidP="00D8412D">
            <w:pPr>
              <w:pStyle w:val="Tabletextright"/>
            </w:pPr>
            <w:r w:rsidRPr="00687A1C">
              <w:t>32</w:t>
            </w:r>
            <w:r w:rsidR="00D8412D" w:rsidRPr="00687A1C">
              <w:t xml:space="preserve"> </w:t>
            </w:r>
            <w:r w:rsidRPr="00687A1C">
              <w:t>754</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
            </w:pPr>
            <w:r w:rsidRPr="00687A1C">
              <w:t>Borrowings</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vAlign w:val="bottom"/>
          </w:tcPr>
          <w:p w:rsidR="00174AEA" w:rsidRPr="00687A1C" w:rsidRDefault="00174AEA" w:rsidP="008A3976">
            <w:pPr>
              <w:pStyle w:val="Tabletextcentred"/>
            </w:pPr>
            <w:r w:rsidRPr="00687A1C">
              <w:t>7.1</w:t>
            </w: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r w:rsidRPr="00687A1C">
              <w:t>Financial liabilities at amortised cost</w:t>
            </w:r>
          </w:p>
        </w:tc>
        <w:tc>
          <w:tcPr>
            <w:cnfStyle w:val="000010000000" w:firstRow="0" w:lastRow="0" w:firstColumn="0" w:lastColumn="0" w:oddVBand="1" w:evenVBand="0" w:oddHBand="0" w:evenHBand="0" w:firstRowFirstColumn="0" w:firstRowLastColumn="0" w:lastRowFirstColumn="0" w:lastRowLastColumn="0"/>
            <w:tcW w:w="598" w:type="pct"/>
          </w:tcPr>
          <w:p w:rsidR="00174AEA" w:rsidRPr="00687A1C" w:rsidRDefault="00174AEA" w:rsidP="00D8412D">
            <w:pPr>
              <w:pStyle w:val="Tabletextright"/>
            </w:pPr>
            <w:r w:rsidRPr="00687A1C">
              <w:t>4</w:t>
            </w:r>
            <w:r w:rsidR="00D8412D" w:rsidRPr="00687A1C">
              <w:t xml:space="preserve"> </w:t>
            </w:r>
            <w:r w:rsidRPr="00687A1C">
              <w:t>732</w:t>
            </w:r>
          </w:p>
        </w:tc>
        <w:tc>
          <w:tcPr>
            <w:cnfStyle w:val="000001000000" w:firstRow="0" w:lastRow="0" w:firstColumn="0" w:lastColumn="0" w:oddVBand="0" w:evenVBand="1" w:oddHBand="0" w:evenHBand="0" w:firstRowFirstColumn="0" w:firstRowLastColumn="0" w:lastRowFirstColumn="0" w:lastRowLastColumn="0"/>
            <w:tcW w:w="598" w:type="pct"/>
          </w:tcPr>
          <w:p w:rsidR="00174AEA" w:rsidRPr="00687A1C" w:rsidRDefault="00174AEA" w:rsidP="00D8412D">
            <w:pPr>
              <w:pStyle w:val="Tabletextright"/>
            </w:pPr>
            <w:r w:rsidRPr="00687A1C">
              <w:t>4</w:t>
            </w:r>
            <w:r w:rsidR="00D8412D" w:rsidRPr="00687A1C">
              <w:t xml:space="preserve"> </w:t>
            </w:r>
            <w:r w:rsidRPr="00687A1C">
              <w:t>765</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bold"/>
            </w:pPr>
            <w:r w:rsidRPr="00687A1C">
              <w:t>Total contractual financial liabilities</w:t>
            </w:r>
          </w:p>
        </w:tc>
        <w:tc>
          <w:tcPr>
            <w:cnfStyle w:val="000010000000" w:firstRow="0" w:lastRow="0" w:firstColumn="0" w:lastColumn="0" w:oddVBand="1" w:evenVBand="0" w:oddHBand="0" w:evenHBand="0" w:firstRowFirstColumn="0" w:firstRowLastColumn="0" w:lastRowFirstColumn="0" w:lastRowLastColumn="0"/>
            <w:tcW w:w="399" w:type="pct"/>
            <w:shd w:val="clear" w:color="auto" w:fill="auto"/>
          </w:tcPr>
          <w:p w:rsidR="00174AEA" w:rsidRPr="00687A1C" w:rsidRDefault="00174AEA" w:rsidP="008A3976">
            <w:pPr>
              <w:pStyle w:val="Tabletextcentred"/>
            </w:pPr>
          </w:p>
        </w:tc>
        <w:tc>
          <w:tcPr>
            <w:cnfStyle w:val="000001000000" w:firstRow="0" w:lastRow="0" w:firstColumn="0" w:lastColumn="0" w:oddVBand="0" w:evenVBand="1" w:oddHBand="0" w:evenHBand="0" w:firstRowFirstColumn="0" w:firstRowLastColumn="0" w:lastRowFirstColumn="0" w:lastRowLastColumn="0"/>
            <w:tcW w:w="1698"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598" w:type="pct"/>
          </w:tcPr>
          <w:p w:rsidR="00174AEA" w:rsidRPr="00687A1C" w:rsidRDefault="00677BF0" w:rsidP="00D8412D">
            <w:pPr>
              <w:pStyle w:val="Tabletextrightbold"/>
            </w:pPr>
            <w:r w:rsidRPr="00687A1C">
              <w:t>38</w:t>
            </w:r>
            <w:r w:rsidR="00D8412D" w:rsidRPr="00687A1C">
              <w:rPr>
                <w:rFonts w:ascii="Calibri" w:hAnsi="Calibri" w:cs="Courier New"/>
              </w:rPr>
              <w:t xml:space="preserve"> </w:t>
            </w:r>
            <w:r w:rsidRPr="00687A1C">
              <w:t>397</w:t>
            </w:r>
          </w:p>
        </w:tc>
        <w:tc>
          <w:tcPr>
            <w:cnfStyle w:val="000001000000" w:firstRow="0" w:lastRow="0" w:firstColumn="0" w:lastColumn="0" w:oddVBand="0" w:evenVBand="1" w:oddHBand="0" w:evenHBand="0" w:firstRowFirstColumn="0" w:firstRowLastColumn="0" w:lastRowFirstColumn="0" w:lastRowLastColumn="0"/>
            <w:tcW w:w="598" w:type="pct"/>
          </w:tcPr>
          <w:p w:rsidR="00174AEA" w:rsidRPr="00687A1C" w:rsidRDefault="00174AEA" w:rsidP="00D8412D">
            <w:pPr>
              <w:pStyle w:val="Tabletextrightbold"/>
            </w:pPr>
            <w:r w:rsidRPr="00687A1C">
              <w:t>37</w:t>
            </w:r>
            <w:r w:rsidR="00D8412D" w:rsidRPr="00687A1C">
              <w:rPr>
                <w:rFonts w:ascii="Calibri" w:hAnsi="Calibri" w:cs="Calibri"/>
              </w:rPr>
              <w:t xml:space="preserve"> </w:t>
            </w:r>
            <w:r w:rsidRPr="00687A1C">
              <w:t>519</w:t>
            </w:r>
          </w:p>
        </w:tc>
      </w:tr>
    </w:tbl>
    <w:p w:rsidR="00174AEA" w:rsidRPr="00687A1C" w:rsidRDefault="00174AEA" w:rsidP="00174AEA"/>
    <w:p w:rsidR="00174AEA" w:rsidRPr="00687A1C" w:rsidRDefault="00174AEA" w:rsidP="00174AEA">
      <w:pPr>
        <w:pStyle w:val="Heading5"/>
      </w:pPr>
      <w:r w:rsidRPr="00687A1C">
        <w:t>Net holding gain/(loss) on financial instruments by category:</w:t>
      </w:r>
    </w:p>
    <w:tbl>
      <w:tblPr>
        <w:tblStyle w:val="AnnualReporttexttable"/>
        <w:tblW w:w="4590" w:type="pct"/>
        <w:tblLayout w:type="fixed"/>
        <w:tblLook w:val="01E0" w:firstRow="1" w:lastRow="1" w:firstColumn="1" w:lastColumn="1" w:noHBand="0" w:noVBand="0"/>
      </w:tblPr>
      <w:tblGrid>
        <w:gridCol w:w="3081"/>
        <w:gridCol w:w="721"/>
        <w:gridCol w:w="3058"/>
        <w:gridCol w:w="1078"/>
        <w:gridCol w:w="1078"/>
      </w:tblGrid>
      <w:tr w:rsidR="00174AEA" w:rsidRPr="00687A1C" w:rsidTr="009E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shd w:val="clear" w:color="auto" w:fill="auto"/>
          </w:tcPr>
          <w:p w:rsidR="00174AEA" w:rsidRPr="00687A1C" w:rsidRDefault="00174AEA" w:rsidP="008A3976">
            <w:pPr>
              <w:pStyle w:val="Tabletextheadingleft"/>
              <w:rPr>
                <w:b/>
              </w:rPr>
            </w:pPr>
          </w:p>
        </w:tc>
        <w:tc>
          <w:tcPr>
            <w:cnfStyle w:val="000010000000" w:firstRow="0" w:lastRow="0" w:firstColumn="0" w:lastColumn="0" w:oddVBand="1" w:evenVBand="0" w:oddHBand="0" w:evenHBand="0" w:firstRowFirstColumn="0" w:firstRowLastColumn="0" w:lastRowFirstColumn="0" w:lastRowLastColumn="0"/>
            <w:tcW w:w="400" w:type="pct"/>
            <w:shd w:val="clear" w:color="auto" w:fill="auto"/>
            <w:vAlign w:val="bottom"/>
          </w:tcPr>
          <w:p w:rsidR="00174AEA" w:rsidRPr="00687A1C" w:rsidRDefault="00174AEA" w:rsidP="008A3976">
            <w:pPr>
              <w:pStyle w:val="Tabletextheadingcentred"/>
              <w:rPr>
                <w:b/>
              </w:rPr>
            </w:pPr>
          </w:p>
        </w:tc>
        <w:tc>
          <w:tcPr>
            <w:cnfStyle w:val="000001000000" w:firstRow="0" w:lastRow="0" w:firstColumn="0" w:lastColumn="0" w:oddVBand="0" w:evenVBand="1" w:oddHBand="0" w:evenHBand="0" w:firstRowFirstColumn="0" w:firstRowLastColumn="0" w:lastRowFirstColumn="0" w:lastRowLastColumn="0"/>
            <w:tcW w:w="1696" w:type="pct"/>
            <w:shd w:val="clear" w:color="auto" w:fill="auto"/>
            <w:vAlign w:val="bottom"/>
          </w:tcPr>
          <w:p w:rsidR="00174AEA" w:rsidRPr="00687A1C" w:rsidRDefault="00174AEA" w:rsidP="008A3976">
            <w:pPr>
              <w:pStyle w:val="Tabletextheadingleft"/>
              <w:rPr>
                <w:b/>
              </w:rPr>
            </w:pPr>
            <w:r w:rsidRPr="00687A1C">
              <w:rPr>
                <w:b/>
              </w:rPr>
              <w:t>Category</w:t>
            </w:r>
          </w:p>
        </w:tc>
        <w:tc>
          <w:tcPr>
            <w:cnfStyle w:val="000010000000" w:firstRow="0" w:lastRow="0" w:firstColumn="0" w:lastColumn="0" w:oddVBand="1" w:evenVBand="0" w:oddHBand="0" w:evenHBand="0" w:firstRowFirstColumn="0" w:firstRowLastColumn="0" w:lastRowFirstColumn="0" w:lastRowLastColumn="0"/>
            <w:tcW w:w="598" w:type="pct"/>
            <w:shd w:val="clear" w:color="auto" w:fill="auto"/>
            <w:vAlign w:val="bottom"/>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598" w:type="pct"/>
            <w:shd w:val="clear" w:color="auto" w:fill="auto"/>
            <w:vAlign w:val="bottom"/>
          </w:tcPr>
          <w:p w:rsidR="00174AEA" w:rsidRPr="00687A1C" w:rsidRDefault="00174AEA" w:rsidP="008A3976">
            <w:pPr>
              <w:pStyle w:val="Tabletextheadingright"/>
              <w:rPr>
                <w:b/>
              </w:rPr>
            </w:pPr>
            <w:r w:rsidRPr="00687A1C">
              <w:rPr>
                <w:b/>
              </w:rPr>
              <w:t>2017</w:t>
            </w:r>
            <w:r w:rsidRPr="00687A1C">
              <w:rPr>
                <w:b/>
              </w:rPr>
              <w:br/>
              <w:t>$’000</w:t>
            </w:r>
          </w:p>
        </w:tc>
      </w:tr>
      <w:tr w:rsidR="00174AEA" w:rsidRPr="00687A1C" w:rsidTr="009E4088">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bold"/>
            </w:pPr>
            <w:r w:rsidRPr="00687A1C">
              <w:t>Financial liabilities</w:t>
            </w:r>
          </w:p>
        </w:tc>
        <w:tc>
          <w:tcPr>
            <w:cnfStyle w:val="000010000000" w:firstRow="0" w:lastRow="0" w:firstColumn="0" w:lastColumn="0" w:oddVBand="1" w:evenVBand="0" w:oddHBand="0" w:evenHBand="0" w:firstRowFirstColumn="0" w:firstRowLastColumn="0" w:lastRowFirstColumn="0" w:lastRowLastColumn="0"/>
            <w:tcW w:w="400" w:type="pct"/>
            <w:shd w:val="clear" w:color="auto" w:fill="auto"/>
          </w:tcPr>
          <w:p w:rsidR="00174AEA" w:rsidRPr="00687A1C" w:rsidRDefault="00174AEA" w:rsidP="008A3976">
            <w:pPr>
              <w:pStyle w:val="Tabletext"/>
            </w:pPr>
          </w:p>
        </w:tc>
        <w:tc>
          <w:tcPr>
            <w:cnfStyle w:val="000001000000" w:firstRow="0" w:lastRow="0" w:firstColumn="0" w:lastColumn="0" w:oddVBand="0" w:evenVBand="1" w:oddHBand="0" w:evenHBand="0" w:firstRowFirstColumn="0" w:firstRowLastColumn="0" w:lastRowFirstColumn="0" w:lastRowLastColumn="0"/>
            <w:tcW w:w="1696"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174AEA" w:rsidP="008A3976">
            <w:pPr>
              <w:pStyle w:val="Tabletextright"/>
              <w:rPr>
                <w:b/>
                <w:bCs/>
              </w:rPr>
            </w:pPr>
          </w:p>
        </w:tc>
        <w:tc>
          <w:tcPr>
            <w:cnfStyle w:val="000001000000" w:firstRow="0" w:lastRow="0" w:firstColumn="0" w:lastColumn="0" w:oddVBand="0" w:evenVBand="1" w:oddHBand="0" w:evenHBand="0" w:firstRowFirstColumn="0" w:firstRowLastColumn="0" w:lastRowFirstColumn="0" w:lastRowLastColumn="0"/>
            <w:tcW w:w="598" w:type="pct"/>
            <w:vAlign w:val="bottom"/>
          </w:tcPr>
          <w:p w:rsidR="00174AEA" w:rsidRPr="00687A1C" w:rsidRDefault="00174AEA" w:rsidP="008A3976">
            <w:pPr>
              <w:pStyle w:val="Tabletextright"/>
              <w:rPr>
                <w:bCs/>
              </w:rPr>
            </w:pPr>
          </w:p>
        </w:tc>
      </w:tr>
      <w:tr w:rsidR="00174AEA" w:rsidRPr="00687A1C" w:rsidTr="009E4088">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
            </w:pPr>
            <w:r w:rsidRPr="00687A1C">
              <w:t xml:space="preserve">Payables </w:t>
            </w:r>
            <w:r w:rsidRPr="00687A1C">
              <w:rPr>
                <w:szCs w:val="16"/>
                <w:vertAlign w:val="superscript"/>
              </w:rPr>
              <w:t>(a)</w:t>
            </w:r>
          </w:p>
        </w:tc>
        <w:tc>
          <w:tcPr>
            <w:cnfStyle w:val="000010000000" w:firstRow="0" w:lastRow="0" w:firstColumn="0" w:lastColumn="0" w:oddVBand="1" w:evenVBand="0" w:oddHBand="0" w:evenHBand="0" w:firstRowFirstColumn="0" w:firstRowLastColumn="0" w:lastRowFirstColumn="0" w:lastRowLastColumn="0"/>
            <w:tcW w:w="400" w:type="pct"/>
            <w:shd w:val="clear" w:color="auto" w:fill="auto"/>
          </w:tcPr>
          <w:p w:rsidR="00174AEA" w:rsidRPr="00687A1C" w:rsidRDefault="00174AEA" w:rsidP="008A3976">
            <w:pPr>
              <w:pStyle w:val="Tabletext"/>
            </w:pPr>
          </w:p>
        </w:tc>
        <w:tc>
          <w:tcPr>
            <w:cnfStyle w:val="000001000000" w:firstRow="0" w:lastRow="0" w:firstColumn="0" w:lastColumn="0" w:oddVBand="0" w:evenVBand="1" w:oddHBand="0" w:evenHBand="0" w:firstRowFirstColumn="0" w:firstRowLastColumn="0" w:lastRowFirstColumn="0" w:lastRowLastColumn="0"/>
            <w:tcW w:w="1696" w:type="pct"/>
          </w:tcPr>
          <w:p w:rsidR="00174AEA" w:rsidRPr="00687A1C" w:rsidRDefault="00174AEA" w:rsidP="008A3976">
            <w:pPr>
              <w:pStyle w:val="Tabletext"/>
            </w:pPr>
            <w:r w:rsidRPr="00687A1C">
              <w:t>Financial liabilities at amortised cost</w:t>
            </w: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92078A" w:rsidP="008A3976">
            <w:pPr>
              <w:pStyle w:val="Tabletextright"/>
              <w:rPr>
                <w:b/>
                <w:bCs/>
              </w:rPr>
            </w:pPr>
            <w:r>
              <w:rPr>
                <w:b/>
                <w:bCs/>
              </w:rPr>
              <w:t>–</w:t>
            </w:r>
          </w:p>
        </w:tc>
        <w:tc>
          <w:tcPr>
            <w:cnfStyle w:val="000001000000" w:firstRow="0" w:lastRow="0" w:firstColumn="0" w:lastColumn="0" w:oddVBand="0" w:evenVBand="1" w:oddHBand="0" w:evenHBand="0" w:firstRowFirstColumn="0" w:firstRowLastColumn="0" w:lastRowFirstColumn="0" w:lastRowLastColumn="0"/>
            <w:tcW w:w="598" w:type="pct"/>
            <w:vAlign w:val="bottom"/>
          </w:tcPr>
          <w:p w:rsidR="00174AEA" w:rsidRPr="00687A1C" w:rsidRDefault="0092078A" w:rsidP="008A3976">
            <w:pPr>
              <w:pStyle w:val="Tabletextright"/>
              <w:rPr>
                <w:bCs/>
              </w:rPr>
            </w:pPr>
            <w:r>
              <w:rPr>
                <w:b/>
                <w:bCs/>
              </w:rPr>
              <w:t>–</w:t>
            </w:r>
          </w:p>
        </w:tc>
      </w:tr>
      <w:tr w:rsidR="00174AEA" w:rsidRPr="00687A1C" w:rsidTr="009E4088">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
            </w:pPr>
            <w:r w:rsidRPr="00687A1C">
              <w:t>Borrowings</w:t>
            </w:r>
          </w:p>
        </w:tc>
        <w:tc>
          <w:tcPr>
            <w:cnfStyle w:val="000010000000" w:firstRow="0" w:lastRow="0" w:firstColumn="0" w:lastColumn="0" w:oddVBand="1" w:evenVBand="0" w:oddHBand="0" w:evenHBand="0" w:firstRowFirstColumn="0" w:firstRowLastColumn="0" w:lastRowFirstColumn="0" w:lastRowLastColumn="0"/>
            <w:tcW w:w="400" w:type="pct"/>
            <w:shd w:val="clear" w:color="auto" w:fill="auto"/>
          </w:tcPr>
          <w:p w:rsidR="00174AEA" w:rsidRPr="00687A1C" w:rsidRDefault="00174AEA" w:rsidP="008A3976">
            <w:pPr>
              <w:pStyle w:val="Tabletext"/>
            </w:pPr>
          </w:p>
        </w:tc>
        <w:tc>
          <w:tcPr>
            <w:cnfStyle w:val="000001000000" w:firstRow="0" w:lastRow="0" w:firstColumn="0" w:lastColumn="0" w:oddVBand="0" w:evenVBand="1" w:oddHBand="0" w:evenHBand="0" w:firstRowFirstColumn="0" w:firstRowLastColumn="0" w:lastRowFirstColumn="0" w:lastRowLastColumn="0"/>
            <w:tcW w:w="1696" w:type="pct"/>
          </w:tcPr>
          <w:p w:rsidR="00174AEA" w:rsidRPr="00687A1C" w:rsidRDefault="00174AEA" w:rsidP="008A3976">
            <w:pPr>
              <w:pStyle w:val="Tabletext"/>
            </w:pPr>
            <w:r w:rsidRPr="00687A1C">
              <w:t>Financial liabilities at amortised cost</w:t>
            </w: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174AEA" w:rsidP="008A3976">
            <w:pPr>
              <w:pStyle w:val="Tabletextright"/>
              <w:rPr>
                <w:bCs/>
              </w:rPr>
            </w:pPr>
            <w:r w:rsidRPr="00687A1C">
              <w:rPr>
                <w:bCs/>
              </w:rPr>
              <w:t>(86)</w:t>
            </w:r>
          </w:p>
        </w:tc>
        <w:tc>
          <w:tcPr>
            <w:cnfStyle w:val="000001000000" w:firstRow="0" w:lastRow="0" w:firstColumn="0" w:lastColumn="0" w:oddVBand="0" w:evenVBand="1" w:oddHBand="0" w:evenHBand="0" w:firstRowFirstColumn="0" w:firstRowLastColumn="0" w:lastRowFirstColumn="0" w:lastRowLastColumn="0"/>
            <w:tcW w:w="598" w:type="pct"/>
            <w:vAlign w:val="bottom"/>
          </w:tcPr>
          <w:p w:rsidR="00174AEA" w:rsidRPr="00687A1C" w:rsidRDefault="00174AEA" w:rsidP="008A3976">
            <w:pPr>
              <w:pStyle w:val="Tabletextright"/>
              <w:rPr>
                <w:bCs/>
              </w:rPr>
            </w:pPr>
            <w:r w:rsidRPr="00687A1C">
              <w:rPr>
                <w:bCs/>
              </w:rPr>
              <w:t>(50)</w:t>
            </w:r>
          </w:p>
        </w:tc>
      </w:tr>
      <w:tr w:rsidR="00174AEA" w:rsidRPr="00687A1C" w:rsidTr="009E4088">
        <w:tc>
          <w:tcPr>
            <w:cnfStyle w:val="001000000000" w:firstRow="0" w:lastRow="0" w:firstColumn="1" w:lastColumn="0" w:oddVBand="0" w:evenVBand="0" w:oddHBand="0" w:evenHBand="0" w:firstRowFirstColumn="0" w:firstRowLastColumn="0" w:lastRowFirstColumn="0" w:lastRowLastColumn="0"/>
            <w:tcW w:w="1708" w:type="pct"/>
          </w:tcPr>
          <w:p w:rsidR="00174AEA" w:rsidRPr="00687A1C" w:rsidRDefault="00174AEA" w:rsidP="008A3976">
            <w:pPr>
              <w:pStyle w:val="Tabletextbold"/>
            </w:pPr>
            <w:r w:rsidRPr="00687A1C">
              <w:t>Total contractual financial liabilities</w:t>
            </w:r>
          </w:p>
        </w:tc>
        <w:tc>
          <w:tcPr>
            <w:cnfStyle w:val="000010000000" w:firstRow="0" w:lastRow="0" w:firstColumn="0" w:lastColumn="0" w:oddVBand="1" w:evenVBand="0" w:oddHBand="0" w:evenHBand="0" w:firstRowFirstColumn="0" w:firstRowLastColumn="0" w:lastRowFirstColumn="0" w:lastRowLastColumn="0"/>
            <w:tcW w:w="400" w:type="pct"/>
            <w:shd w:val="clear" w:color="auto" w:fill="auto"/>
          </w:tcPr>
          <w:p w:rsidR="00174AEA" w:rsidRPr="00687A1C" w:rsidRDefault="00174AEA" w:rsidP="008A3976">
            <w:pPr>
              <w:pStyle w:val="Tabletext"/>
            </w:pPr>
          </w:p>
        </w:tc>
        <w:tc>
          <w:tcPr>
            <w:cnfStyle w:val="000001000000" w:firstRow="0" w:lastRow="0" w:firstColumn="0" w:lastColumn="0" w:oddVBand="0" w:evenVBand="1" w:oddHBand="0" w:evenHBand="0" w:firstRowFirstColumn="0" w:firstRowLastColumn="0" w:lastRowFirstColumn="0" w:lastRowLastColumn="0"/>
            <w:tcW w:w="1696"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598" w:type="pct"/>
            <w:vAlign w:val="bottom"/>
          </w:tcPr>
          <w:p w:rsidR="00174AEA" w:rsidRPr="00687A1C" w:rsidRDefault="00174AEA" w:rsidP="008A3976">
            <w:pPr>
              <w:pStyle w:val="Tabletextright"/>
              <w:rPr>
                <w:b/>
                <w:bCs/>
              </w:rPr>
            </w:pPr>
            <w:r w:rsidRPr="00687A1C">
              <w:rPr>
                <w:b/>
                <w:bCs/>
              </w:rPr>
              <w:t>(86)</w:t>
            </w:r>
          </w:p>
        </w:tc>
        <w:tc>
          <w:tcPr>
            <w:cnfStyle w:val="000001000000" w:firstRow="0" w:lastRow="0" w:firstColumn="0" w:lastColumn="0" w:oddVBand="0" w:evenVBand="1" w:oddHBand="0" w:evenHBand="0" w:firstRowFirstColumn="0" w:firstRowLastColumn="0" w:lastRowFirstColumn="0" w:lastRowLastColumn="0"/>
            <w:tcW w:w="598" w:type="pct"/>
            <w:vAlign w:val="bottom"/>
          </w:tcPr>
          <w:p w:rsidR="00174AEA" w:rsidRPr="00687A1C" w:rsidRDefault="00174AEA" w:rsidP="008A3976">
            <w:pPr>
              <w:pStyle w:val="Tabletextright"/>
              <w:rPr>
                <w:bCs/>
              </w:rPr>
            </w:pPr>
            <w:r w:rsidRPr="00687A1C">
              <w:rPr>
                <w:b/>
                <w:bCs/>
              </w:rPr>
              <w:t>(50)</w:t>
            </w:r>
          </w:p>
        </w:tc>
      </w:tr>
    </w:tbl>
    <w:p w:rsidR="00174AEA" w:rsidRPr="00687A1C" w:rsidRDefault="00174AEA" w:rsidP="00174AEA">
      <w:pPr>
        <w:pStyle w:val="Notes"/>
      </w:pPr>
      <w:r w:rsidRPr="00687A1C">
        <w:t>Note:</w:t>
      </w:r>
    </w:p>
    <w:p w:rsidR="00174AEA" w:rsidRPr="00687A1C" w:rsidRDefault="00174AEA" w:rsidP="00174AEA">
      <w:pPr>
        <w:pStyle w:val="Notes"/>
      </w:pPr>
      <w:r w:rsidRPr="00687A1C">
        <w:t>(a) Receivables and payables disclosed here exclude statutory receivables (i.e. amounts owing from Victorian Government and GST recoverable) and statutory payables (i.e. amounts payable to other government agencies).</w:t>
      </w:r>
    </w:p>
    <w:p w:rsidR="00174AEA" w:rsidRPr="00687A1C" w:rsidRDefault="00174AEA" w:rsidP="00174AEA"/>
    <w:p w:rsidR="00174AEA" w:rsidRPr="00687A1C" w:rsidRDefault="00174AEA" w:rsidP="00174AEA">
      <w:pPr>
        <w:sectPr w:rsidR="00174AEA" w:rsidRPr="00687A1C" w:rsidSect="00D311EE">
          <w:headerReference w:type="default" r:id="rId96"/>
          <w:pgSz w:w="11909" w:h="16834" w:code="9"/>
          <w:pgMar w:top="1728" w:right="1152" w:bottom="1152" w:left="1152" w:header="720" w:footer="288" w:gutter="0"/>
          <w:cols w:space="720"/>
          <w:noEndnote/>
        </w:sectPr>
      </w:pPr>
    </w:p>
    <w:p w:rsidR="00174AEA" w:rsidRPr="00687A1C" w:rsidRDefault="00174AEA" w:rsidP="00174AEA">
      <w:r w:rsidRPr="00687A1C">
        <w:t>The net holding gains or losses disclosed above are determined as follows:</w:t>
      </w:r>
    </w:p>
    <w:p w:rsidR="00174AEA" w:rsidRPr="00687A1C" w:rsidRDefault="00174AEA" w:rsidP="00174AEA">
      <w:pPr>
        <w:pStyle w:val="Bullet"/>
      </w:pPr>
      <w:r w:rsidRPr="00687A1C">
        <w:t>for cash and cash equivalents</w:t>
      </w:r>
      <w:r w:rsidR="008F720B" w:rsidRPr="00687A1C">
        <w:t>,</w:t>
      </w:r>
      <w:r w:rsidRPr="00687A1C">
        <w:rPr>
          <w:rFonts w:ascii="VIC" w:hAnsi="VIC"/>
        </w:rPr>
        <w:t xml:space="preserve"> </w:t>
      </w:r>
      <w:r w:rsidRPr="00687A1C">
        <w:t>loans or receivables</w:t>
      </w:r>
      <w:r w:rsidR="008F720B" w:rsidRPr="00687A1C">
        <w:t>,</w:t>
      </w:r>
      <w:r w:rsidRPr="00687A1C">
        <w:t xml:space="preserve"> the net gain or loss is calculated by taking the interest income minus any impairment recognised in the net result; and</w:t>
      </w:r>
    </w:p>
    <w:p w:rsidR="00174AEA" w:rsidRPr="00687A1C" w:rsidRDefault="00174AEA" w:rsidP="00174AEA">
      <w:pPr>
        <w:pStyle w:val="Bullet"/>
      </w:pPr>
      <w:r w:rsidRPr="00687A1C">
        <w:t>for financial liabilities measured at amortised cost</w:t>
      </w:r>
      <w:r w:rsidR="008F720B" w:rsidRPr="00687A1C">
        <w:t>,</w:t>
      </w:r>
      <w:r w:rsidRPr="00687A1C">
        <w:rPr>
          <w:rFonts w:ascii="VIC" w:hAnsi="VIC"/>
        </w:rPr>
        <w:t xml:space="preserve"> </w:t>
      </w:r>
      <w:r w:rsidRPr="00687A1C">
        <w:t>the net gain or loss is the interest expense.</w:t>
      </w:r>
    </w:p>
    <w:p w:rsidR="00174AEA" w:rsidRPr="00687A1C" w:rsidRDefault="00174AEA" w:rsidP="00174AEA"/>
    <w:p w:rsidR="00174AEA" w:rsidRPr="00687A1C" w:rsidRDefault="001E1011" w:rsidP="001E1011">
      <w:pPr>
        <w:pStyle w:val="Heading3numbered"/>
      </w:pPr>
      <w:r w:rsidRPr="00687A1C">
        <w:t>Financial risk management objectives and policies</w:t>
      </w:r>
    </w:p>
    <w:p w:rsidR="00174AEA" w:rsidRPr="00687A1C" w:rsidRDefault="00174AEA" w:rsidP="00174AEA">
      <w:r w:rsidRPr="00687A1C">
        <w:t>The Department’s main financial risks include credit risk</w:t>
      </w:r>
      <w:r w:rsidR="008F720B" w:rsidRPr="00687A1C">
        <w:t>,</w:t>
      </w:r>
      <w:r w:rsidRPr="00687A1C">
        <w:t xml:space="preserve"> liquidity risk and interest rate risk. The Department manages these financial risks in accordance with its financial risk management policy. The Department uses different methods to measure and manage the different risks.</w:t>
      </w:r>
    </w:p>
    <w:p w:rsidR="00174AEA" w:rsidRPr="00687A1C" w:rsidRDefault="00174AEA" w:rsidP="00174AEA"/>
    <w:p w:rsidR="00174AEA" w:rsidRPr="00687A1C" w:rsidRDefault="00174AEA" w:rsidP="00174AEA">
      <w:pPr>
        <w:sectPr w:rsidR="00174AEA" w:rsidRPr="00687A1C" w:rsidSect="00D311EE">
          <w:type w:val="continuous"/>
          <w:pgSz w:w="11909" w:h="16834" w:code="9"/>
          <w:pgMar w:top="1728" w:right="1152" w:bottom="1152" w:left="1152" w:header="720" w:footer="288" w:gutter="0"/>
          <w:cols w:num="2" w:space="720"/>
          <w:noEndnote/>
        </w:sectPr>
      </w:pPr>
    </w:p>
    <w:p w:rsidR="00174AEA" w:rsidRPr="00687A1C" w:rsidRDefault="00174AEA" w:rsidP="00174AEA">
      <w:pPr>
        <w:spacing w:before="0" w:after="0"/>
        <w:rPr>
          <w:rFonts w:cs="Arial"/>
          <w:b/>
          <w:bCs/>
          <w:color w:val="4F4F4F"/>
          <w:szCs w:val="26"/>
        </w:rPr>
      </w:pPr>
      <w:r w:rsidRPr="00687A1C">
        <w:br w:type="page"/>
      </w:r>
    </w:p>
    <w:p w:rsidR="00174AEA" w:rsidRPr="00687A1C" w:rsidRDefault="00174AEA" w:rsidP="001E1011">
      <w:pPr>
        <w:pStyle w:val="Heading4"/>
      </w:pPr>
      <w:r w:rsidRPr="00687A1C">
        <w:lastRenderedPageBreak/>
        <w:t>Financial instruments: Credit risk</w:t>
      </w:r>
    </w:p>
    <w:p w:rsidR="00174AEA" w:rsidRPr="00687A1C" w:rsidRDefault="00174AEA" w:rsidP="00174AEA">
      <w:r w:rsidRPr="00687A1C">
        <w:t>Credit risk arises from the financial assets of the Department</w:t>
      </w:r>
      <w:r w:rsidR="007F419B" w:rsidRPr="00687A1C">
        <w:t>,</w:t>
      </w:r>
      <w:r w:rsidRPr="00687A1C">
        <w:t xml:space="preserve"> which comprise cash and cash equivalents</w:t>
      </w:r>
      <w:r w:rsidR="008F720B" w:rsidRPr="00687A1C">
        <w:t>,</w:t>
      </w:r>
      <w:r w:rsidRPr="00687A1C">
        <w:t xml:space="preserve"> and trade and other receivables. The Department’s exposure to credit risk arises from the potential default of counter parties on their contractual obligations</w:t>
      </w:r>
      <w:r w:rsidR="008F720B" w:rsidRPr="00687A1C">
        <w:t>,</w:t>
      </w:r>
      <w:r w:rsidRPr="00687A1C">
        <w:t xml:space="preserve"> resulting in financial loss to the Department. Credit risk is measured at fair value and is monitored on a regular basis.</w:t>
      </w:r>
    </w:p>
    <w:p w:rsidR="00174AEA" w:rsidRPr="00687A1C" w:rsidRDefault="00174AEA" w:rsidP="00174AEA">
      <w:r w:rsidRPr="00687A1C">
        <w:br w:type="column"/>
      </w:r>
      <w:r w:rsidRPr="00687A1C">
        <w:t xml:space="preserve">Credit risk associated with the Department’s contractual financial assets is minimal because the main debtor is the Victorian Government. </w:t>
      </w:r>
    </w:p>
    <w:p w:rsidR="00174AEA" w:rsidRPr="00687A1C" w:rsidRDefault="00174AEA" w:rsidP="00174AEA">
      <w:r w:rsidRPr="00687A1C">
        <w:t>Provision for impairment of contractual financial assets is calculated based on past experience and current and expected changes in client credit ratings. The carrying amount of contractual financial assets recorded in the financial statements</w:t>
      </w:r>
      <w:r w:rsidR="008F720B" w:rsidRPr="00687A1C">
        <w:t>,</w:t>
      </w:r>
      <w:r w:rsidRPr="00687A1C">
        <w:t xml:space="preserve"> net of any allowances for losses</w:t>
      </w:r>
      <w:r w:rsidR="008F720B" w:rsidRPr="00687A1C">
        <w:t>,</w:t>
      </w:r>
      <w:r w:rsidRPr="00687A1C">
        <w:t xml:space="preserve"> represents the Department’s maximum exposure to credit risk without taking account of the value of any collateral obtained.</w:t>
      </w:r>
    </w:p>
    <w:p w:rsidR="00174AEA" w:rsidRPr="00687A1C" w:rsidRDefault="00174AEA" w:rsidP="00174AEA">
      <w:r w:rsidRPr="00687A1C">
        <w:t>Credit quality of contractual financial assets that are neither past due nor impaired:</w:t>
      </w:r>
    </w:p>
    <w:p w:rsidR="00174AEA" w:rsidRPr="00687A1C" w:rsidRDefault="00174AEA" w:rsidP="00174AEA"/>
    <w:p w:rsidR="00677BF0" w:rsidRPr="00687A1C" w:rsidRDefault="00677BF0" w:rsidP="00174AEA">
      <w:pPr>
        <w:sectPr w:rsidR="00677BF0" w:rsidRPr="00687A1C" w:rsidSect="00DD0795">
          <w:type w:val="continuous"/>
          <w:pgSz w:w="11909" w:h="16834" w:code="9"/>
          <w:pgMar w:top="1728" w:right="1152" w:bottom="1152" w:left="1152" w:header="720" w:footer="288" w:gutter="0"/>
          <w:cols w:num="2" w:space="720"/>
          <w:noEndnote/>
        </w:sectPr>
      </w:pPr>
    </w:p>
    <w:tbl>
      <w:tblPr>
        <w:tblStyle w:val="AnnualReporttexttable"/>
        <w:tblW w:w="4133" w:type="pct"/>
        <w:tblLook w:val="00A0" w:firstRow="1" w:lastRow="0" w:firstColumn="1" w:lastColumn="0" w:noHBand="0" w:noVBand="0"/>
      </w:tblPr>
      <w:tblGrid>
        <w:gridCol w:w="2874"/>
        <w:gridCol w:w="1734"/>
        <w:gridCol w:w="1891"/>
        <w:gridCol w:w="1619"/>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pct"/>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68" w:type="pct"/>
            <w:shd w:val="clear" w:color="auto" w:fill="auto"/>
            <w:vAlign w:val="bottom"/>
          </w:tcPr>
          <w:p w:rsidR="00174AEA" w:rsidRPr="00687A1C" w:rsidRDefault="00174AEA" w:rsidP="008A3976">
            <w:pPr>
              <w:pStyle w:val="Tabletextheadingright"/>
              <w:rPr>
                <w:b/>
              </w:rPr>
            </w:pPr>
            <w:r w:rsidRPr="00687A1C">
              <w:rPr>
                <w:b/>
              </w:rPr>
              <w:t>Other institutions (non</w:t>
            </w:r>
            <w:r w:rsidRPr="00687A1C">
              <w:rPr>
                <w:b/>
              </w:rPr>
              <w:noBreakHyphen/>
              <w:t>rated)</w:t>
            </w:r>
          </w:p>
        </w:tc>
        <w:tc>
          <w:tcPr>
            <w:cnfStyle w:val="000001000000" w:firstRow="0" w:lastRow="0" w:firstColumn="0" w:lastColumn="0" w:oddVBand="0" w:evenVBand="1" w:oddHBand="0" w:evenHBand="0" w:firstRowFirstColumn="0" w:firstRowLastColumn="0" w:lastRowFirstColumn="0" w:lastRowLastColumn="0"/>
            <w:tcW w:w="1165" w:type="pct"/>
            <w:shd w:val="clear" w:color="auto" w:fill="auto"/>
            <w:vAlign w:val="bottom"/>
          </w:tcPr>
          <w:p w:rsidR="00174AEA" w:rsidRPr="00687A1C" w:rsidRDefault="00174AEA" w:rsidP="008A3976">
            <w:pPr>
              <w:pStyle w:val="Tabletextheadingright"/>
              <w:rPr>
                <w:b/>
                <w:iCs/>
              </w:rPr>
            </w:pPr>
            <w:r w:rsidRPr="00687A1C">
              <w:rPr>
                <w:b/>
                <w:iCs/>
              </w:rPr>
              <w:t>Government agencies (triple</w:t>
            </w:r>
            <w:r w:rsidRPr="00687A1C">
              <w:rPr>
                <w:b/>
                <w:iCs/>
              </w:rPr>
              <w:noBreakHyphen/>
              <w:t>A credit rating)</w:t>
            </w:r>
          </w:p>
        </w:tc>
        <w:tc>
          <w:tcPr>
            <w:cnfStyle w:val="000010000000" w:firstRow="0" w:lastRow="0" w:firstColumn="0" w:lastColumn="0" w:oddVBand="1" w:evenVBand="0" w:oddHBand="0" w:evenHBand="0" w:firstRowFirstColumn="0" w:firstRowLastColumn="0" w:lastRowFirstColumn="0" w:lastRowLastColumn="0"/>
            <w:tcW w:w="997" w:type="pct"/>
            <w:shd w:val="clear" w:color="auto" w:fill="auto"/>
            <w:vAlign w:val="bottom"/>
          </w:tcPr>
          <w:p w:rsidR="00174AEA" w:rsidRPr="00687A1C" w:rsidRDefault="00174AEA" w:rsidP="008A3976">
            <w:pPr>
              <w:pStyle w:val="Tabletextheadingright"/>
              <w:rPr>
                <w:b/>
                <w:iCs/>
              </w:rPr>
            </w:pPr>
            <w:r w:rsidRPr="00687A1C">
              <w:rPr>
                <w:b/>
                <w:iCs/>
              </w:rPr>
              <w:t>Total</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70" w:type="pct"/>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068" w:type="pct"/>
            <w:shd w:val="clear" w:color="auto" w:fill="auto"/>
            <w:vAlign w:val="bottom"/>
          </w:tcPr>
          <w:p w:rsidR="00174AEA" w:rsidRPr="00687A1C" w:rsidRDefault="00174AEA" w:rsidP="008A3976">
            <w:pPr>
              <w:pStyle w:val="Tabletextheadingright"/>
            </w:pPr>
            <w:r w:rsidRPr="00687A1C">
              <w:t>$’000</w:t>
            </w:r>
            <w:r w:rsidRPr="00687A1C">
              <w:rPr>
                <w:rFonts w:ascii="Calibri" w:hAnsi="Calibri" w:cs="Calibri"/>
              </w:rPr>
              <w:t> </w:t>
            </w:r>
          </w:p>
        </w:tc>
        <w:tc>
          <w:tcPr>
            <w:cnfStyle w:val="000001000000" w:firstRow="0" w:lastRow="0" w:firstColumn="0" w:lastColumn="0" w:oddVBand="0" w:evenVBand="1" w:oddHBand="0" w:evenHBand="0" w:firstRowFirstColumn="0" w:firstRowLastColumn="0" w:lastRowFirstColumn="0" w:lastRowLastColumn="0"/>
            <w:tcW w:w="1165" w:type="pct"/>
            <w:shd w:val="clear" w:color="auto" w:fill="auto"/>
            <w:vAlign w:val="bottom"/>
          </w:tcPr>
          <w:p w:rsidR="00174AEA" w:rsidRPr="00687A1C" w:rsidRDefault="00174AEA" w:rsidP="008A3976">
            <w:pPr>
              <w:pStyle w:val="Tabletextheadingright"/>
            </w:pPr>
            <w:r w:rsidRPr="00687A1C">
              <w:t>$’000</w:t>
            </w:r>
            <w:r w:rsidRPr="00687A1C">
              <w:rPr>
                <w:rFonts w:ascii="Calibri" w:hAnsi="Calibri" w:cs="Calibri"/>
              </w:rPr>
              <w:t> </w:t>
            </w:r>
          </w:p>
        </w:tc>
        <w:tc>
          <w:tcPr>
            <w:cnfStyle w:val="000010000000" w:firstRow="0" w:lastRow="0" w:firstColumn="0" w:lastColumn="0" w:oddVBand="1" w:evenVBand="0" w:oddHBand="0" w:evenHBand="0" w:firstRowFirstColumn="0" w:firstRowLastColumn="0" w:lastRowFirstColumn="0" w:lastRowLastColumn="0"/>
            <w:tcW w:w="997" w:type="pct"/>
            <w:shd w:val="clear" w:color="auto" w:fill="auto"/>
            <w:vAlign w:val="bottom"/>
          </w:tcPr>
          <w:p w:rsidR="00174AEA" w:rsidRPr="00687A1C" w:rsidRDefault="00174AEA" w:rsidP="008A3976">
            <w:pPr>
              <w:pStyle w:val="Tabletextheadingright"/>
            </w:pPr>
            <w:r w:rsidRPr="00687A1C">
              <w:t>$’000</w:t>
            </w:r>
            <w:r w:rsidRPr="00687A1C">
              <w:rPr>
                <w:rFonts w:ascii="Calibri" w:hAnsi="Calibri" w:cs="Calibri"/>
              </w:rPr>
              <w:t> </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70" w:type="pct"/>
            <w:vAlign w:val="bottom"/>
          </w:tcPr>
          <w:p w:rsidR="00174AEA" w:rsidRPr="00687A1C" w:rsidRDefault="00174AEA" w:rsidP="008A3976">
            <w:pPr>
              <w:pStyle w:val="Tabletext"/>
              <w:rPr>
                <w:b/>
              </w:rPr>
            </w:pPr>
            <w:r w:rsidRPr="00687A1C">
              <w:rPr>
                <w:b/>
              </w:rPr>
              <w:t>2018</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174AEA" w:rsidRPr="00687A1C" w:rsidRDefault="00174AEA"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174AEA" w:rsidRPr="00687A1C" w:rsidRDefault="00174AEA" w:rsidP="008A3976">
            <w:pPr>
              <w:pStyle w:val="Tabletextright"/>
              <w:rPr>
                <w:b/>
              </w:rPr>
            </w:pP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174AEA" w:rsidRPr="00687A1C" w:rsidRDefault="00174AEA" w:rsidP="008A3976">
            <w:pPr>
              <w:pStyle w:val="Tabletextright"/>
              <w:rPr>
                <w:b/>
              </w:rPr>
            </w:pP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1770" w:type="pct"/>
            <w:vAlign w:val="bottom"/>
          </w:tcPr>
          <w:p w:rsidR="00174AEA" w:rsidRPr="00687A1C" w:rsidRDefault="00174AEA" w:rsidP="008A3976">
            <w:pPr>
              <w:pStyle w:val="Tabletext"/>
            </w:pPr>
            <w:r w:rsidRPr="00687A1C">
              <w:t>Receivables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174AEA" w:rsidRPr="00687A1C" w:rsidRDefault="00174AEA" w:rsidP="008A3976">
            <w:pPr>
              <w:pStyle w:val="Tabletextright"/>
              <w:rPr>
                <w:b/>
                <w:bCs/>
              </w:rPr>
            </w:pP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174AEA" w:rsidRPr="00687A1C" w:rsidRDefault="00174AEA" w:rsidP="008A3976">
            <w:pPr>
              <w:pStyle w:val="Tabletextright"/>
              <w:rPr>
                <w:b/>
                <w:bCs/>
              </w:rPr>
            </w:pPr>
          </w:p>
        </w:tc>
      </w:tr>
      <w:tr w:rsidR="009E4088" w:rsidRPr="00687A1C" w:rsidTr="00DE0CB9">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pPr>
            <w:r w:rsidRPr="00687A1C">
              <w:t>Government departments/councils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9E4088" w:rsidRPr="00687A1C" w:rsidRDefault="009E4088" w:rsidP="008A3976">
            <w:pPr>
              <w:pStyle w:val="Tabletextright"/>
            </w:pPr>
            <w:r w:rsidRPr="00687A1C">
              <w:rPr>
                <w:bCs/>
              </w:rPr>
              <w:t>–</w:t>
            </w: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9E4088">
            <w:pPr>
              <w:pStyle w:val="Tabletextright"/>
            </w:pPr>
            <w:r w:rsidRPr="00687A1C">
              <w:t>12 006</w:t>
            </w: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9E4088">
            <w:pPr>
              <w:pStyle w:val="Tabletextright"/>
            </w:pPr>
            <w:r w:rsidRPr="00687A1C">
              <w:t>12 006</w:t>
            </w:r>
          </w:p>
        </w:tc>
      </w:tr>
      <w:tr w:rsidR="009E4088" w:rsidRPr="00687A1C" w:rsidTr="008A3976">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pPr>
            <w:r w:rsidRPr="00687A1C">
              <w:t>Other entities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9E4088" w:rsidRPr="00687A1C" w:rsidRDefault="009E4088" w:rsidP="008A3976">
            <w:pPr>
              <w:pStyle w:val="Tabletextright"/>
            </w:pPr>
            <w:r w:rsidRPr="00687A1C">
              <w:rPr>
                <w:bCs/>
              </w:rPr>
              <w:t>–</w:t>
            </w: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DE0CB9">
            <w:pPr>
              <w:pStyle w:val="Tabletextright"/>
              <w:rPr>
                <w:bCs/>
              </w:rPr>
            </w:pPr>
            <w:r w:rsidRPr="00687A1C">
              <w:t>–</w:t>
            </w: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
              <w:rPr>
                <w:bCs/>
              </w:rPr>
            </w:pPr>
            <w:r w:rsidRPr="00687A1C">
              <w:t>–</w:t>
            </w:r>
          </w:p>
        </w:tc>
      </w:tr>
      <w:tr w:rsidR="009E4088" w:rsidRPr="00687A1C" w:rsidTr="008A3976">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rPr>
                <w:b/>
              </w:rPr>
            </w:pPr>
            <w:r w:rsidRPr="00687A1C">
              <w:rPr>
                <w:b/>
              </w:rPr>
              <w:t>Total contractual financial assets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9E4088" w:rsidRPr="00687A1C" w:rsidRDefault="009E4088" w:rsidP="008A3976">
            <w:pPr>
              <w:pStyle w:val="Tabletextrightbold"/>
            </w:pPr>
            <w:r w:rsidRPr="00687A1C">
              <w:t>-</w:t>
            </w: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DE0CB9">
            <w:pPr>
              <w:pStyle w:val="Tabletextrightbold"/>
            </w:pPr>
            <w:r w:rsidRPr="00687A1C">
              <w:t>12 006</w:t>
            </w: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bold"/>
            </w:pPr>
            <w:r w:rsidRPr="00687A1C">
              <w:t>12 006</w:t>
            </w:r>
          </w:p>
        </w:tc>
      </w:tr>
      <w:tr w:rsidR="009E4088" w:rsidRPr="00687A1C" w:rsidTr="008A3976">
        <w:trPr>
          <w:trHeight w:hRule="exact" w:val="120"/>
        </w:trPr>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pPr>
          </w:p>
        </w:tc>
        <w:tc>
          <w:tcPr>
            <w:cnfStyle w:val="000010000000" w:firstRow="0" w:lastRow="0" w:firstColumn="0" w:lastColumn="0" w:oddVBand="1" w:evenVBand="0" w:oddHBand="0" w:evenHBand="0" w:firstRowFirstColumn="0" w:firstRowLastColumn="0" w:lastRowFirstColumn="0" w:lastRowLastColumn="0"/>
            <w:tcW w:w="1068" w:type="pct"/>
          </w:tcPr>
          <w:p w:rsidR="009E4088" w:rsidRPr="00687A1C" w:rsidRDefault="009E4088"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8A3976">
            <w:pPr>
              <w:pStyle w:val="Tabletextright"/>
              <w:rPr>
                <w:bCs/>
              </w:rPr>
            </w:pP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
              <w:rPr>
                <w:bCs/>
              </w:rPr>
            </w:pPr>
          </w:p>
        </w:tc>
      </w:tr>
      <w:tr w:rsidR="009E4088" w:rsidRPr="00687A1C" w:rsidTr="008A3976">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rPr>
                <w:b/>
              </w:rPr>
            </w:pPr>
            <w:r w:rsidRPr="00687A1C">
              <w:rPr>
                <w:b/>
              </w:rPr>
              <w:t>2017</w:t>
            </w:r>
          </w:p>
        </w:tc>
        <w:tc>
          <w:tcPr>
            <w:cnfStyle w:val="000010000000" w:firstRow="0" w:lastRow="0" w:firstColumn="0" w:lastColumn="0" w:oddVBand="1" w:evenVBand="0" w:oddHBand="0" w:evenHBand="0" w:firstRowFirstColumn="0" w:firstRowLastColumn="0" w:lastRowFirstColumn="0" w:lastRowLastColumn="0"/>
            <w:tcW w:w="1068" w:type="pct"/>
          </w:tcPr>
          <w:p w:rsidR="009E4088" w:rsidRPr="00687A1C" w:rsidRDefault="009E4088" w:rsidP="008A3976">
            <w:pPr>
              <w:pStyle w:val="Tabletextright"/>
              <w:rPr>
                <w:b/>
              </w:rPr>
            </w:pP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8A3976">
            <w:pPr>
              <w:pStyle w:val="Tabletextright"/>
            </w:pP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
            </w:pPr>
          </w:p>
        </w:tc>
      </w:tr>
      <w:tr w:rsidR="009E4088" w:rsidRPr="00687A1C" w:rsidTr="008A3976">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pPr>
            <w:r w:rsidRPr="00687A1C">
              <w:t>Receivables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9E4088" w:rsidRPr="00687A1C" w:rsidRDefault="009E4088"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8A3976">
            <w:pPr>
              <w:pStyle w:val="Tabletextright"/>
              <w:rPr>
                <w:bCs/>
              </w:rPr>
            </w:pP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
              <w:rPr>
                <w:bCs/>
              </w:rPr>
            </w:pPr>
          </w:p>
        </w:tc>
      </w:tr>
      <w:tr w:rsidR="009E4088" w:rsidRPr="00687A1C" w:rsidTr="00DE0CB9">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pPr>
            <w:r w:rsidRPr="00687A1C">
              <w:t>Government departments/councils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9E4088" w:rsidRPr="00687A1C" w:rsidRDefault="009E4088" w:rsidP="008A3976">
            <w:pPr>
              <w:pStyle w:val="Tabletextright"/>
            </w:pPr>
            <w:r w:rsidRPr="00687A1C">
              <w:rPr>
                <w:bCs/>
              </w:rPr>
              <w:t>–</w:t>
            </w: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DE0CB9">
            <w:pPr>
              <w:pStyle w:val="Tabletextright"/>
              <w:rPr>
                <w:bCs/>
              </w:rPr>
            </w:pPr>
            <w:r w:rsidRPr="00687A1C">
              <w:rPr>
                <w:bCs/>
              </w:rPr>
              <w:t>14 648</w:t>
            </w: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
              <w:rPr>
                <w:bCs/>
              </w:rPr>
            </w:pPr>
            <w:r w:rsidRPr="00687A1C">
              <w:rPr>
                <w:bCs/>
              </w:rPr>
              <w:t>14 648</w:t>
            </w:r>
          </w:p>
        </w:tc>
      </w:tr>
      <w:tr w:rsidR="009E4088" w:rsidRPr="00687A1C" w:rsidTr="00DE0CB9">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pPr>
            <w:r w:rsidRPr="00687A1C">
              <w:t>Other entities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9E4088" w:rsidRPr="00687A1C" w:rsidRDefault="009E4088" w:rsidP="008A3976">
            <w:pPr>
              <w:pStyle w:val="Tabletextright"/>
            </w:pPr>
            <w:r w:rsidRPr="00687A1C">
              <w:rPr>
                <w:bCs/>
              </w:rPr>
              <w:t>–</w:t>
            </w: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DE0CB9">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
            </w:pPr>
            <w:r w:rsidRPr="00687A1C">
              <w:t>–</w:t>
            </w:r>
          </w:p>
        </w:tc>
      </w:tr>
      <w:tr w:rsidR="009E4088" w:rsidRPr="00687A1C" w:rsidTr="00DE0CB9">
        <w:tc>
          <w:tcPr>
            <w:cnfStyle w:val="001000000000" w:firstRow="0" w:lastRow="0" w:firstColumn="1" w:lastColumn="0" w:oddVBand="0" w:evenVBand="0" w:oddHBand="0" w:evenHBand="0" w:firstRowFirstColumn="0" w:firstRowLastColumn="0" w:lastRowFirstColumn="0" w:lastRowLastColumn="0"/>
            <w:tcW w:w="1770" w:type="pct"/>
            <w:vAlign w:val="bottom"/>
          </w:tcPr>
          <w:p w:rsidR="009E4088" w:rsidRPr="00687A1C" w:rsidRDefault="009E4088" w:rsidP="008A3976">
            <w:pPr>
              <w:pStyle w:val="Tabletext"/>
              <w:rPr>
                <w:b/>
              </w:rPr>
            </w:pPr>
            <w:r w:rsidRPr="00687A1C">
              <w:rPr>
                <w:b/>
              </w:rPr>
              <w:t>Total contractual financial assets</w:t>
            </w:r>
          </w:p>
        </w:tc>
        <w:tc>
          <w:tcPr>
            <w:cnfStyle w:val="000010000000" w:firstRow="0" w:lastRow="0" w:firstColumn="0" w:lastColumn="0" w:oddVBand="1" w:evenVBand="0" w:oddHBand="0" w:evenHBand="0" w:firstRowFirstColumn="0" w:firstRowLastColumn="0" w:lastRowFirstColumn="0" w:lastRowLastColumn="0"/>
            <w:tcW w:w="1068" w:type="pct"/>
            <w:vAlign w:val="bottom"/>
          </w:tcPr>
          <w:p w:rsidR="009E4088" w:rsidRPr="00687A1C" w:rsidRDefault="009E4088" w:rsidP="008A3976">
            <w:pPr>
              <w:pStyle w:val="Tabletextrightbold"/>
            </w:pPr>
            <w:r w:rsidRPr="00687A1C">
              <w:t>-</w:t>
            </w:r>
          </w:p>
        </w:tc>
        <w:tc>
          <w:tcPr>
            <w:cnfStyle w:val="000001000000" w:firstRow="0" w:lastRow="0" w:firstColumn="0" w:lastColumn="0" w:oddVBand="0" w:evenVBand="1" w:oddHBand="0" w:evenHBand="0" w:firstRowFirstColumn="0" w:firstRowLastColumn="0" w:lastRowFirstColumn="0" w:lastRowLastColumn="0"/>
            <w:tcW w:w="1165" w:type="pct"/>
            <w:vAlign w:val="bottom"/>
          </w:tcPr>
          <w:p w:rsidR="009E4088" w:rsidRPr="00687A1C" w:rsidRDefault="009E4088" w:rsidP="00DE0CB9">
            <w:pPr>
              <w:pStyle w:val="Tabletextrightbold"/>
            </w:pPr>
            <w:r w:rsidRPr="00687A1C">
              <w:t>14 648</w:t>
            </w:r>
          </w:p>
        </w:tc>
        <w:tc>
          <w:tcPr>
            <w:cnfStyle w:val="000010000000" w:firstRow="0" w:lastRow="0" w:firstColumn="0" w:lastColumn="0" w:oddVBand="1" w:evenVBand="0" w:oddHBand="0" w:evenHBand="0" w:firstRowFirstColumn="0" w:firstRowLastColumn="0" w:lastRowFirstColumn="0" w:lastRowLastColumn="0"/>
            <w:tcW w:w="997" w:type="pct"/>
            <w:vAlign w:val="bottom"/>
          </w:tcPr>
          <w:p w:rsidR="009E4088" w:rsidRPr="00687A1C" w:rsidRDefault="009E4088" w:rsidP="00DE0CB9">
            <w:pPr>
              <w:pStyle w:val="Tabletextrightbold"/>
            </w:pPr>
            <w:r w:rsidRPr="00687A1C">
              <w:t>14 648</w:t>
            </w:r>
          </w:p>
        </w:tc>
      </w:tr>
    </w:tbl>
    <w:p w:rsidR="00174AEA" w:rsidRPr="00687A1C" w:rsidRDefault="00174AEA" w:rsidP="00174AEA"/>
    <w:p w:rsidR="00174AEA" w:rsidRPr="00687A1C" w:rsidRDefault="00174AEA" w:rsidP="00174AEA">
      <w:pPr>
        <w:sectPr w:rsidR="00174AEA" w:rsidRPr="00687A1C" w:rsidSect="00A830E2">
          <w:type w:val="continuous"/>
          <w:pgSz w:w="11909" w:h="16834" w:code="9"/>
          <w:pgMar w:top="1728" w:right="1152" w:bottom="1152" w:left="1152" w:header="720" w:footer="288" w:gutter="0"/>
          <w:cols w:space="720"/>
          <w:noEndnote/>
        </w:sectPr>
      </w:pPr>
    </w:p>
    <w:p w:rsidR="00174AEA" w:rsidRPr="00687A1C" w:rsidRDefault="00174AEA" w:rsidP="00174AEA">
      <w:pPr>
        <w:pStyle w:val="Heading4"/>
      </w:pPr>
      <w:r w:rsidRPr="00687A1C">
        <w:t>Financial instruments: Liquidity risk</w:t>
      </w:r>
    </w:p>
    <w:p w:rsidR="00174AEA" w:rsidRPr="00687A1C" w:rsidRDefault="00174AEA" w:rsidP="00174AEA">
      <w:r w:rsidRPr="00687A1C">
        <w:t>The Department’s exposure to liquidity risk is deemed insignificant based on prior periods’ data and current assessment of risk. Maximum exposure to liquidity risk is the carrying amounts of financial liabilities.</w:t>
      </w:r>
    </w:p>
    <w:p w:rsidR="00174AEA" w:rsidRPr="00687A1C" w:rsidRDefault="00174AEA" w:rsidP="00655C14">
      <w:pPr>
        <w:pStyle w:val="Heading4"/>
      </w:pPr>
      <w:r w:rsidRPr="00687A1C">
        <w:t>Financial instruments: Market risk</w:t>
      </w:r>
    </w:p>
    <w:p w:rsidR="00174AEA" w:rsidRPr="00687A1C" w:rsidRDefault="00174AEA" w:rsidP="00174AEA">
      <w:r w:rsidRPr="00687A1C">
        <w:t>The Department’s exposures to market risk are primarily through interest rate risk</w:t>
      </w:r>
      <w:r w:rsidR="007F419B" w:rsidRPr="00687A1C">
        <w:t>,</w:t>
      </w:r>
      <w:r w:rsidRPr="00687A1C">
        <w:t xml:space="preserve"> which it manages by matching borrowing and investment decisions to projected forecasts. The Department has no exposure to foreign currency or other price risks. </w:t>
      </w:r>
    </w:p>
    <w:p w:rsidR="00174AEA" w:rsidRPr="00687A1C" w:rsidRDefault="00174AEA" w:rsidP="00174AEA">
      <w:pPr>
        <w:pStyle w:val="Heading5"/>
      </w:pPr>
      <w:r w:rsidRPr="00687A1C">
        <w:t>Sensitivity disclosure analysis and assumptions</w:t>
      </w:r>
    </w:p>
    <w:p w:rsidR="00677BF0" w:rsidRPr="00687A1C" w:rsidRDefault="00174AEA" w:rsidP="00174AEA">
      <w:r w:rsidRPr="00687A1C">
        <w:t>The Department’s sensitivity to market risk is determined based on the observed range of actual histori</w:t>
      </w:r>
      <w:r w:rsidR="007F419B" w:rsidRPr="00687A1C">
        <w:t>cal data for the preceding five-</w:t>
      </w:r>
      <w:r w:rsidRPr="00687A1C">
        <w:t>year period</w:t>
      </w:r>
      <w:r w:rsidR="008F720B" w:rsidRPr="00687A1C">
        <w:t>,</w:t>
      </w:r>
      <w:r w:rsidRPr="00687A1C">
        <w:t xml:space="preserve"> with all variables other than the primary risk variable held constant. </w:t>
      </w:r>
    </w:p>
    <w:p w:rsidR="00174AEA" w:rsidRPr="00687A1C" w:rsidRDefault="00677BF0" w:rsidP="00174AEA">
      <w:r w:rsidRPr="00687A1C">
        <w:br w:type="column"/>
      </w:r>
      <w:r w:rsidR="00174AEA" w:rsidRPr="00687A1C">
        <w:t>The Department’s fund managers cannot be expected to predict movements in market rates and prices. Sensitivity analyses shown are for illustrative purposes only. The following movements in market interest rates are ‘reasonably possible’ over the next 12 months – a movement of 100 (2017 – 100) basis points up and down.</w:t>
      </w:r>
    </w:p>
    <w:p w:rsidR="00174AEA" w:rsidRPr="00687A1C" w:rsidRDefault="00174AEA" w:rsidP="00174AEA">
      <w:r w:rsidRPr="00687A1C">
        <w:t>The impact on net operating result and equity for each category of financial instruments held by the Department at year end</w:t>
      </w:r>
      <w:r w:rsidR="007F419B" w:rsidRPr="00687A1C">
        <w:t>,</w:t>
      </w:r>
      <w:r w:rsidRPr="00687A1C">
        <w:t xml:space="preserve"> if the above movements were to occur</w:t>
      </w:r>
      <w:r w:rsidR="007F419B" w:rsidRPr="00687A1C">
        <w:t>,</w:t>
      </w:r>
      <w:r w:rsidRPr="00687A1C">
        <w:t xml:space="preserve"> is immaterial for the 2018 and 2017 financial years.</w:t>
      </w:r>
    </w:p>
    <w:p w:rsidR="00174AEA" w:rsidRPr="00687A1C" w:rsidRDefault="00174AEA" w:rsidP="00655C14">
      <w:pPr>
        <w:pStyle w:val="Heading4"/>
      </w:pPr>
      <w:r w:rsidRPr="00687A1C">
        <w:t>Interest rate risk</w:t>
      </w:r>
    </w:p>
    <w:p w:rsidR="00174AEA" w:rsidRPr="00687A1C" w:rsidRDefault="00174AEA" w:rsidP="00174AEA">
      <w:r w:rsidRPr="00687A1C">
        <w:t xml:space="preserve">Exposure to interest rate risk is insignificant and may arise primarily through the Department’s finance lease liabilities. </w:t>
      </w:r>
    </w:p>
    <w:p w:rsidR="002A3FA5" w:rsidRPr="00687A1C" w:rsidRDefault="002A3FA5" w:rsidP="00174AEA">
      <w:pPr>
        <w:pStyle w:val="Heading2numbered"/>
        <w:sectPr w:rsidR="002A3FA5" w:rsidRPr="00687A1C" w:rsidSect="00BB311C">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126" w:name="_Toc525026212"/>
      <w:bookmarkStart w:id="127" w:name="_Toc525026246"/>
      <w:r w:rsidRPr="00687A1C">
        <w:lastRenderedPageBreak/>
        <w:t>Contingent assets and contingent liabilities</w:t>
      </w:r>
      <w:bookmarkEnd w:id="126"/>
      <w:bookmarkEnd w:id="127"/>
    </w:p>
    <w:p w:rsidR="002A3FA5" w:rsidRPr="00687A1C" w:rsidRDefault="002A3FA5" w:rsidP="00174AEA">
      <w:pPr>
        <w:sectPr w:rsidR="002A3FA5" w:rsidRPr="00687A1C" w:rsidSect="002A3FA5">
          <w:pgSz w:w="11909" w:h="16834" w:code="9"/>
          <w:pgMar w:top="1728" w:right="1152" w:bottom="1152" w:left="1152" w:header="720" w:footer="288" w:gutter="0"/>
          <w:cols w:space="720"/>
          <w:noEndnote/>
        </w:sectPr>
      </w:pPr>
    </w:p>
    <w:p w:rsidR="00174AEA" w:rsidRPr="00687A1C" w:rsidRDefault="002A3FA5" w:rsidP="00174AEA">
      <w:r w:rsidRPr="00687A1C">
        <w:t xml:space="preserve">Contingent assets and contingent liabilities (including those administered on behalf of the State, where applicable) are not recognised in the balance sheet and, if quantifiable, are measured at nominal value. Contingent assets and liabilities are presented inclusive </w:t>
      </w:r>
      <w:r w:rsidRPr="00687A1C">
        <w:t>of GST receivable or payable, respectively. At balance date, the Department had no contingent assets (2017 – $nil) and a quantifiable contingent liability in relation to land remediation costs amounting to $4 million (2017 – $8 million).</w:t>
      </w:r>
    </w:p>
    <w:p w:rsidR="00677BF0" w:rsidRPr="00687A1C" w:rsidRDefault="00677BF0" w:rsidP="00174AEA">
      <w:pPr>
        <w:sectPr w:rsidR="00677BF0" w:rsidRPr="00687A1C" w:rsidSect="00BB311C">
          <w:type w:val="continuous"/>
          <w:pgSz w:w="11909" w:h="16834" w:code="9"/>
          <w:pgMar w:top="1728" w:right="1152" w:bottom="1152" w:left="1152" w:header="720" w:footer="288" w:gutter="0"/>
          <w:cols w:num="2" w:space="720"/>
          <w:noEndnote/>
        </w:sectPr>
      </w:pPr>
    </w:p>
    <w:p w:rsidR="001E1011" w:rsidRPr="00687A1C" w:rsidRDefault="001E1011" w:rsidP="001E1011">
      <w:pPr>
        <w:pStyle w:val="Spacer"/>
      </w:pPr>
    </w:p>
    <w:p w:rsidR="00677BF0" w:rsidRPr="00687A1C" w:rsidRDefault="00677BF0" w:rsidP="00677BF0">
      <w:pPr>
        <w:pStyle w:val="Heading4"/>
      </w:pPr>
      <w:r w:rsidRPr="00687A1C">
        <w:t>Quantifiable contingent liabilities</w:t>
      </w:r>
      <w:r w:rsidR="002A3FA5" w:rsidRPr="00687A1C">
        <w:t xml:space="preserve"> – Administered</w:t>
      </w:r>
    </w:p>
    <w:tbl>
      <w:tblPr>
        <w:tblStyle w:val="AnnualReportfinancialtable"/>
        <w:tblW w:w="0" w:type="auto"/>
        <w:tblLook w:val="02A0" w:firstRow="1" w:lastRow="0" w:firstColumn="1" w:lastColumn="0" w:noHBand="1" w:noVBand="0"/>
      </w:tblPr>
      <w:tblGrid>
        <w:gridCol w:w="5215"/>
        <w:gridCol w:w="1008"/>
        <w:gridCol w:w="1008"/>
      </w:tblGrid>
      <w:tr w:rsidR="00677BF0" w:rsidRPr="00687A1C" w:rsidTr="00677BF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677BF0">
            <w:pPr>
              <w:pStyle w:val="Tabletextheadingleft"/>
            </w:pP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677BF0">
            <w:pPr>
              <w:pStyle w:val="Tabletextheadingright"/>
            </w:pPr>
            <w:r w:rsidRPr="00687A1C">
              <w:rPr>
                <w:b/>
              </w:rPr>
              <w:t>2018</w:t>
            </w:r>
            <w:r w:rsidRPr="00687A1C">
              <w:rPr>
                <w:b/>
              </w:rPr>
              <w:br/>
              <w:t>$m</w:t>
            </w: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677BF0">
            <w:pPr>
              <w:pStyle w:val="Tabletextheadingright"/>
            </w:pPr>
            <w:r w:rsidRPr="00687A1C">
              <w:rPr>
                <w:b/>
              </w:rPr>
              <w:t>2017</w:t>
            </w:r>
            <w:r w:rsidRPr="00687A1C">
              <w:rPr>
                <w:b/>
              </w:rPr>
              <w:br/>
              <w:t>$m</w:t>
            </w: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750E68">
            <w:pPr>
              <w:pStyle w:val="Tabletext"/>
            </w:pPr>
            <w:r w:rsidRPr="00687A1C">
              <w:t>The following table summarises quantifiable contingent liabilities administered on behalf of the State.</w:t>
            </w: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750E68">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750E68">
            <w:pPr>
              <w:pStyle w:val="Tabletextright"/>
            </w:pP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750E68">
            <w:pPr>
              <w:pStyle w:val="Tabletext"/>
              <w:rPr>
                <w:sz w:val="8"/>
              </w:rPr>
            </w:pP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750E68">
            <w:pPr>
              <w:pStyle w:val="Tabletextright"/>
              <w:rPr>
                <w:sz w:val="8"/>
              </w:rPr>
            </w:pP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750E68">
            <w:pPr>
              <w:pStyle w:val="Tabletextright"/>
              <w:rPr>
                <w:sz w:val="8"/>
              </w:rPr>
            </w:pP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750E68">
            <w:pPr>
              <w:pStyle w:val="Tabletext"/>
            </w:pPr>
            <w:r w:rsidRPr="00687A1C">
              <w:t>Specific guarantees and indemnities under statute</w:t>
            </w: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bCs/>
              </w:rPr>
              <w:t>178</w:t>
            </w: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bCs/>
              </w:rPr>
              <w:t>227</w:t>
            </w: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750E68">
            <w:pPr>
              <w:pStyle w:val="Tabletext"/>
            </w:pPr>
            <w:r w:rsidRPr="00687A1C">
              <w:t>Guarantees for loans to water industry entities</w:t>
            </w: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D8412D">
            <w:pPr>
              <w:pStyle w:val="Tabletextright"/>
            </w:pPr>
            <w:r w:rsidRPr="00687A1C">
              <w:rPr>
                <w:bCs/>
              </w:rPr>
              <w:t>11</w:t>
            </w:r>
            <w:r w:rsidR="00D8412D" w:rsidRPr="00687A1C">
              <w:rPr>
                <w:rFonts w:ascii="Calibri" w:hAnsi="Calibri" w:cs="Courier New"/>
              </w:rPr>
              <w:t xml:space="preserve"> </w:t>
            </w:r>
            <w:r w:rsidRPr="00687A1C">
              <w:rPr>
                <w:bCs/>
              </w:rPr>
              <w:t>262</w:t>
            </w: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D8412D">
            <w:pPr>
              <w:pStyle w:val="Tabletextright"/>
            </w:pPr>
            <w:r w:rsidRPr="00687A1C">
              <w:rPr>
                <w:bCs/>
              </w:rPr>
              <w:t>10</w:t>
            </w:r>
            <w:r w:rsidR="00D8412D" w:rsidRPr="00687A1C">
              <w:rPr>
                <w:rFonts w:ascii="Calibri" w:hAnsi="Calibri" w:cs="Courier New"/>
              </w:rPr>
              <w:t xml:space="preserve"> </w:t>
            </w:r>
            <w:r w:rsidRPr="00687A1C">
              <w:rPr>
                <w:bCs/>
              </w:rPr>
              <w:t>777</w:t>
            </w: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750E68">
            <w:pPr>
              <w:pStyle w:val="Tabletext"/>
            </w:pPr>
            <w:r w:rsidRPr="00687A1C">
              <w:t>Guarantees for loans to other entities</w:t>
            </w: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bCs/>
              </w:rPr>
              <w:t>812</w:t>
            </w: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bCs/>
              </w:rPr>
              <w:t>558</w:t>
            </w: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750E68">
            <w:pPr>
              <w:pStyle w:val="Tabletext"/>
            </w:pPr>
            <w:r w:rsidRPr="00687A1C">
              <w:t>Litigation against State Revenue Office</w:t>
            </w: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bCs/>
              </w:rPr>
              <w:t>24</w:t>
            </w: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bCs/>
              </w:rPr>
              <w:t>35</w:t>
            </w: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750E68">
            <w:pPr>
              <w:pStyle w:val="Tabletext"/>
            </w:pPr>
            <w:r w:rsidRPr="00687A1C">
              <w:rPr>
                <w:color w:val="000000"/>
              </w:rPr>
              <w:t xml:space="preserve">Other </w:t>
            </w: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color w:val="000000"/>
              </w:rPr>
              <w:t>25</w:t>
            </w: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750E68">
            <w:pPr>
              <w:pStyle w:val="Tabletextright"/>
              <w:rPr>
                <w:bCs/>
              </w:rPr>
            </w:pPr>
            <w:r w:rsidRPr="00687A1C">
              <w:rPr>
                <w:color w:val="000000"/>
              </w:rPr>
              <w:t xml:space="preserve">25 </w:t>
            </w:r>
          </w:p>
        </w:tc>
      </w:tr>
      <w:tr w:rsidR="00677BF0" w:rsidRPr="00687A1C" w:rsidTr="00677BF0">
        <w:trPr>
          <w:cantSplit/>
        </w:trPr>
        <w:tc>
          <w:tcPr>
            <w:cnfStyle w:val="001000000000" w:firstRow="0" w:lastRow="0" w:firstColumn="1" w:lastColumn="0" w:oddVBand="0" w:evenVBand="0" w:oddHBand="0" w:evenHBand="0" w:firstRowFirstColumn="0" w:firstRowLastColumn="0" w:lastRowFirstColumn="0" w:lastRowLastColumn="0"/>
            <w:tcW w:w="5215" w:type="dxa"/>
          </w:tcPr>
          <w:p w:rsidR="00677BF0" w:rsidRPr="00687A1C" w:rsidRDefault="00677BF0" w:rsidP="00677BF0">
            <w:pPr>
              <w:pStyle w:val="Tabletextbold"/>
            </w:pPr>
            <w:r w:rsidRPr="00687A1C">
              <w:t>Total</w:t>
            </w:r>
          </w:p>
        </w:tc>
        <w:tc>
          <w:tcPr>
            <w:cnfStyle w:val="000010000000" w:firstRow="0" w:lastRow="0" w:firstColumn="0" w:lastColumn="0" w:oddVBand="1" w:evenVBand="0" w:oddHBand="0" w:evenHBand="0" w:firstRowFirstColumn="0" w:firstRowLastColumn="0" w:lastRowFirstColumn="0" w:lastRowLastColumn="0"/>
            <w:tcW w:w="1008" w:type="dxa"/>
          </w:tcPr>
          <w:p w:rsidR="00677BF0" w:rsidRPr="00687A1C" w:rsidRDefault="00677BF0" w:rsidP="00D8412D">
            <w:pPr>
              <w:pStyle w:val="Tabletextrightbold"/>
            </w:pPr>
            <w:r w:rsidRPr="00687A1C">
              <w:t>12</w:t>
            </w:r>
            <w:r w:rsidR="00D8412D" w:rsidRPr="00687A1C">
              <w:rPr>
                <w:rFonts w:ascii="Calibri" w:hAnsi="Calibri" w:cs="Courier New"/>
              </w:rPr>
              <w:t xml:space="preserve"> </w:t>
            </w:r>
            <w:r w:rsidRPr="00687A1C">
              <w:t>301</w:t>
            </w:r>
          </w:p>
        </w:tc>
        <w:tc>
          <w:tcPr>
            <w:cnfStyle w:val="000001000000" w:firstRow="0" w:lastRow="0" w:firstColumn="0" w:lastColumn="0" w:oddVBand="0" w:evenVBand="1" w:oddHBand="0" w:evenHBand="0" w:firstRowFirstColumn="0" w:firstRowLastColumn="0" w:lastRowFirstColumn="0" w:lastRowLastColumn="0"/>
            <w:tcW w:w="1008" w:type="dxa"/>
          </w:tcPr>
          <w:p w:rsidR="00677BF0" w:rsidRPr="00687A1C" w:rsidRDefault="00677BF0" w:rsidP="00D8412D">
            <w:pPr>
              <w:pStyle w:val="Tabletextrightbold"/>
            </w:pPr>
            <w:r w:rsidRPr="00687A1C">
              <w:t>11</w:t>
            </w:r>
            <w:r w:rsidR="00D8412D" w:rsidRPr="00687A1C">
              <w:rPr>
                <w:rFonts w:ascii="Calibri" w:hAnsi="Calibri" w:cs="Courier New"/>
              </w:rPr>
              <w:t xml:space="preserve"> </w:t>
            </w:r>
            <w:r w:rsidRPr="00687A1C">
              <w:t>622</w:t>
            </w:r>
          </w:p>
        </w:tc>
      </w:tr>
    </w:tbl>
    <w:p w:rsidR="00677BF0" w:rsidRPr="00687A1C" w:rsidRDefault="00677BF0" w:rsidP="00131EC6">
      <w:pPr>
        <w:pStyle w:val="Spacer"/>
      </w:pPr>
    </w:p>
    <w:p w:rsidR="00677BF0" w:rsidRPr="00687A1C" w:rsidRDefault="00677BF0" w:rsidP="00174AEA">
      <w:pPr>
        <w:sectPr w:rsidR="00677BF0" w:rsidRPr="00687A1C" w:rsidSect="00677BF0">
          <w:type w:val="continuous"/>
          <w:pgSz w:w="11909" w:h="16834" w:code="9"/>
          <w:pgMar w:top="1728" w:right="1152" w:bottom="1152" w:left="1152" w:header="720" w:footer="288" w:gutter="0"/>
          <w:cols w:space="720"/>
          <w:noEndnote/>
        </w:sectPr>
      </w:pPr>
    </w:p>
    <w:p w:rsidR="00677BF0" w:rsidRPr="00687A1C" w:rsidRDefault="002A3FA5" w:rsidP="002A3FA5">
      <w:pPr>
        <w:pStyle w:val="Heading4"/>
      </w:pPr>
      <w:r w:rsidRPr="00687A1C">
        <w:t>Non</w:t>
      </w:r>
      <w:r w:rsidRPr="00687A1C">
        <w:noBreakHyphen/>
        <w:t>q</w:t>
      </w:r>
      <w:r w:rsidR="00677BF0" w:rsidRPr="00687A1C">
        <w:t>uantifiable contingent liabilities</w:t>
      </w:r>
      <w:r w:rsidRPr="00687A1C">
        <w:t xml:space="preserve"> – Administered</w:t>
      </w:r>
    </w:p>
    <w:p w:rsidR="00677BF0" w:rsidRPr="00687A1C" w:rsidRDefault="00742300" w:rsidP="00677BF0">
      <w:r w:rsidRPr="00687A1C">
        <w:t xml:space="preserve">The </w:t>
      </w:r>
      <w:r w:rsidR="00677BF0" w:rsidRPr="00687A1C">
        <w:t>Department has a number of non-quantifiable contingent liabilities administered on behalf of the State as follows.</w:t>
      </w:r>
    </w:p>
    <w:p w:rsidR="00677BF0" w:rsidRPr="00687A1C" w:rsidRDefault="00677BF0" w:rsidP="00677BF0">
      <w:pPr>
        <w:pStyle w:val="Heading5"/>
      </w:pPr>
      <w:r w:rsidRPr="00687A1C">
        <w:t>Land remediation – environmental concerns</w:t>
      </w:r>
    </w:p>
    <w:p w:rsidR="00677BF0" w:rsidRPr="00687A1C" w:rsidRDefault="00677BF0" w:rsidP="00677BF0">
      <w:r w:rsidRPr="00687A1C">
        <w:t xml:space="preserve">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a contamination risk has been identified. </w:t>
      </w:r>
    </w:p>
    <w:p w:rsidR="00677BF0" w:rsidRPr="00687A1C" w:rsidRDefault="00677BF0" w:rsidP="00677BF0">
      <w:pPr>
        <w:pStyle w:val="Heading5"/>
      </w:pPr>
      <w:r w:rsidRPr="00687A1C">
        <w:t>Victorian Managed Insurance Authority (VMIA) – insurance cover</w:t>
      </w:r>
    </w:p>
    <w:p w:rsidR="00677BF0" w:rsidRPr="00687A1C" w:rsidRDefault="00677BF0" w:rsidP="00677BF0">
      <w:r w:rsidRPr="00687A1C">
        <w:t xml:space="preserve">The VMIA was established in 1996 as an insurer for state government departments, participating bodies and other entities as defined under the Victorian Managed Insurance Authority Act 1996. The VMIA provides its clients with a range of insurance covers, including for property, public and products liability, professional indemnity, contract works and domestic building insurance for Victorian residential builders. </w:t>
      </w:r>
    </w:p>
    <w:p w:rsidR="00677BF0" w:rsidRPr="00687A1C" w:rsidRDefault="00677BF0" w:rsidP="00677BF0">
      <w:r w:rsidRPr="00687A1C">
        <w:t xml:space="preserve">The VMIA reinsures in the private market for losses above $50 million arising out of any one occurrence, up to a limit of $1 billion for public and products liability, and for losses above $50 million arising out of any one event, up to a limit of $3.625 billion for property. Further, VMIA reinsured in the private market for losses above $10 million arising out of any one event, up to a limit of $1.5 billion for terrorism. The risk of losses above these reinsured levels is borne by the State. </w:t>
      </w:r>
    </w:p>
    <w:p w:rsidR="00677BF0" w:rsidRPr="00687A1C" w:rsidRDefault="00E327A5" w:rsidP="00E327A5">
      <w:pPr>
        <w:spacing w:before="0" w:after="0" w:line="240" w:lineRule="auto"/>
      </w:pPr>
      <w:r>
        <w:br w:type="column"/>
      </w:r>
      <w:r w:rsidR="00677BF0" w:rsidRPr="00687A1C">
        <w:t>The VMIA also insures the Department of Health and Human Services for all public sector medical indemnity claims incurred in each policy year from 1 July 2003, regardless of when claims are finally settled. Under the indemnity deed to provide stop loss protection for the VMIA, the Department of Treasury and Finance has agreed to reimburse the VMIA if the ultimate claims payouts in any policy year from 1 July 2003 exceed by more than 20 per cent of the initial estimate on which the risk premium was based.</w:t>
      </w:r>
    </w:p>
    <w:p w:rsidR="00677BF0" w:rsidRPr="00687A1C" w:rsidRDefault="00677BF0" w:rsidP="00677BF0">
      <w:pPr>
        <w:pStyle w:val="Heading4"/>
      </w:pPr>
      <w:r w:rsidRPr="00687A1C">
        <w:t>Other contingent liabilities not quantified</w:t>
      </w:r>
      <w:r w:rsidR="002A3FA5" w:rsidRPr="00687A1C">
        <w:t xml:space="preserve"> – Administered</w:t>
      </w:r>
    </w:p>
    <w:p w:rsidR="00677BF0" w:rsidRPr="00687A1C" w:rsidRDefault="00677BF0" w:rsidP="00677BF0">
      <w:r w:rsidRPr="00687A1C">
        <w:t>There are other commitments, made by Government, which are not quantifiable at this time, arising from:</w:t>
      </w:r>
    </w:p>
    <w:p w:rsidR="00677BF0" w:rsidRPr="00687A1C" w:rsidRDefault="00677BF0" w:rsidP="00677BF0">
      <w:pPr>
        <w:pStyle w:val="Bullet"/>
      </w:pPr>
      <w:r w:rsidRPr="00687A1C">
        <w:t>indemnities provided in relation to transactions, including financial arrangements and consultancy services, as well as for directors and administrators;</w:t>
      </w:r>
    </w:p>
    <w:p w:rsidR="00677BF0" w:rsidRPr="00687A1C" w:rsidRDefault="00677BF0" w:rsidP="00677BF0">
      <w:pPr>
        <w:pStyle w:val="Bullet"/>
      </w:pPr>
      <w:r w:rsidRPr="00687A1C">
        <w:t>performance guarantees, warranties, letters of comfort;</w:t>
      </w:r>
    </w:p>
    <w:p w:rsidR="00677BF0" w:rsidRPr="00687A1C" w:rsidRDefault="00677BF0" w:rsidP="00677BF0">
      <w:pPr>
        <w:pStyle w:val="Bullet"/>
      </w:pPr>
      <w:r w:rsidRPr="00687A1C">
        <w:t>deeds in respect of certain obligations; and</w:t>
      </w:r>
    </w:p>
    <w:p w:rsidR="00677BF0" w:rsidRPr="00687A1C" w:rsidRDefault="00677BF0" w:rsidP="00677BF0">
      <w:pPr>
        <w:pStyle w:val="Bullet"/>
      </w:pPr>
      <w:r w:rsidRPr="00687A1C">
        <w:t>unclaimed monies, which may be subject to future claims by the general public against the State.</w:t>
      </w:r>
    </w:p>
    <w:p w:rsidR="00174AEA" w:rsidRPr="00687A1C" w:rsidRDefault="004D0B09" w:rsidP="00174AEA">
      <w:pPr>
        <w:pStyle w:val="Heading2numbered"/>
      </w:pPr>
      <w:bookmarkStart w:id="128" w:name="_Toc525026213"/>
      <w:bookmarkStart w:id="129" w:name="_Toc525026247"/>
      <w:r>
        <w:br w:type="column"/>
      </w:r>
      <w:r w:rsidR="00174AEA" w:rsidRPr="00687A1C">
        <w:lastRenderedPageBreak/>
        <w:t>Fair value determination</w:t>
      </w:r>
      <w:bookmarkEnd w:id="128"/>
      <w:bookmarkEnd w:id="129"/>
    </w:p>
    <w:p w:rsidR="004D0B09" w:rsidRDefault="004D0B09" w:rsidP="00174AEA">
      <w:pPr>
        <w:sectPr w:rsidR="004D0B09" w:rsidSect="00BB311C">
          <w:type w:val="continuous"/>
          <w:pgSz w:w="11909" w:h="16834" w:code="9"/>
          <w:pgMar w:top="1728" w:right="1152" w:bottom="1152" w:left="1152" w:header="720" w:footer="288" w:gutter="0"/>
          <w:cols w:num="2" w:space="720"/>
          <w:noEndnote/>
        </w:sectPr>
      </w:pPr>
    </w:p>
    <w:p w:rsidR="00174AEA" w:rsidRPr="00687A1C" w:rsidRDefault="00174AEA" w:rsidP="00174AEA">
      <w:r w:rsidRPr="00687A1C">
        <w:t xml:space="preserve">Consistent with AASB 13 </w:t>
      </w:r>
      <w:r w:rsidRPr="00687A1C">
        <w:rPr>
          <w:i/>
        </w:rPr>
        <w:t>Fair Value Measurement</w:t>
      </w:r>
      <w:r w:rsidR="007F419B" w:rsidRPr="00687A1C">
        <w:t>,</w:t>
      </w:r>
      <w:r w:rsidRPr="00687A1C">
        <w:t xml:space="preserve"> the Department determines the policies and procedures for both recurring fair value measurements</w:t>
      </w:r>
      <w:r w:rsidR="007F419B" w:rsidRPr="00687A1C">
        <w:t>,</w:t>
      </w:r>
      <w:r w:rsidRPr="00687A1C">
        <w:t xml:space="preserve"> such as property</w:t>
      </w:r>
      <w:r w:rsidR="008F720B" w:rsidRPr="00687A1C">
        <w:t>,</w:t>
      </w:r>
      <w:r w:rsidRPr="00687A1C">
        <w:t xml:space="preserve"> plant and equipment and financial instruments</w:t>
      </w:r>
      <w:r w:rsidR="007F419B" w:rsidRPr="00687A1C">
        <w:t>,</w:t>
      </w:r>
      <w:r w:rsidRPr="00687A1C">
        <w:t xml:space="preserve"> and for non-recurring fair value measurements</w:t>
      </w:r>
      <w:r w:rsidR="00453538" w:rsidRPr="00687A1C">
        <w:t>,</w:t>
      </w:r>
      <w:r w:rsidRPr="00687A1C">
        <w:t xml:space="preserve"> such as non-financial physical assets held for sale</w:t>
      </w:r>
      <w:r w:rsidR="008F720B" w:rsidRPr="00687A1C">
        <w:t>,</w:t>
      </w:r>
      <w:r w:rsidRPr="00687A1C">
        <w:t xml:space="preserve"> in accordance with the requirements of AASB 13 and the relevant Financial Reporting Directions.</w:t>
      </w:r>
    </w:p>
    <w:p w:rsidR="00174AEA" w:rsidRPr="00687A1C" w:rsidRDefault="00174AEA" w:rsidP="00174AEA">
      <w:r w:rsidRPr="00687A1C">
        <w:t>All assets and liabilities for which fair value is measured or disclosed in the financial statements are categorised within the fair value hierarchy</w:t>
      </w:r>
      <w:r w:rsidR="008F720B" w:rsidRPr="00687A1C">
        <w:t>,</w:t>
      </w:r>
      <w:r w:rsidRPr="00687A1C">
        <w:t xml:space="preserve"> described as follows</w:t>
      </w:r>
      <w:r w:rsidR="008F720B" w:rsidRPr="00687A1C">
        <w:t>,</w:t>
      </w:r>
      <w:r w:rsidRPr="00687A1C">
        <w:t xml:space="preserve"> based on the lowest level input that is significant to the fair value measurement as a whole: </w:t>
      </w:r>
    </w:p>
    <w:p w:rsidR="00174AEA" w:rsidRPr="00687A1C" w:rsidRDefault="00174AEA" w:rsidP="00174AEA">
      <w:pPr>
        <w:pStyle w:val="Bullet"/>
      </w:pPr>
      <w:r w:rsidRPr="00687A1C">
        <w:t xml:space="preserve">Level 1 – Quoted (unadjusted) market prices in active markets for identical assets or liabilities; </w:t>
      </w:r>
    </w:p>
    <w:p w:rsidR="00174AEA" w:rsidRPr="00687A1C" w:rsidRDefault="00174AEA" w:rsidP="00174AEA">
      <w:pPr>
        <w:pStyle w:val="Bullet"/>
      </w:pPr>
      <w:r w:rsidRPr="00687A1C">
        <w:t>Level 2 – Valuation techniques for which the lowest level input that is significant to the fair value measurement is directly or indirectly observable; and</w:t>
      </w:r>
    </w:p>
    <w:p w:rsidR="00174AEA" w:rsidRPr="00687A1C" w:rsidRDefault="00174AEA" w:rsidP="00174AEA">
      <w:pPr>
        <w:pStyle w:val="Bullet"/>
      </w:pPr>
      <w:r w:rsidRPr="00687A1C">
        <w:t>Level 3 – Valuation techniques for which the lowest level input that is significant to the fair value measurement is unobservable.</w:t>
      </w:r>
    </w:p>
    <w:p w:rsidR="00174AEA" w:rsidRPr="00687A1C" w:rsidRDefault="00174AEA" w:rsidP="00174AEA">
      <w:r w:rsidRPr="00687A1C">
        <w:t>For the purpose of fair value disclosures</w:t>
      </w:r>
      <w:r w:rsidR="007F419B" w:rsidRPr="00687A1C">
        <w:t>,</w:t>
      </w:r>
      <w:r w:rsidRPr="00687A1C">
        <w:t xml:space="preserve"> the Department has determined classes of assets and liabilities on the basis of the nature</w:t>
      </w:r>
      <w:r w:rsidR="008F720B" w:rsidRPr="00687A1C">
        <w:t>,</w:t>
      </w:r>
      <w:r w:rsidRPr="00687A1C">
        <w:t xml:space="preserve"> characteristics and risks of the asset or liability and the level of the fair value hierarchy as explained above.</w:t>
      </w:r>
    </w:p>
    <w:p w:rsidR="00174AEA" w:rsidRPr="00687A1C" w:rsidRDefault="00174AEA" w:rsidP="00174AEA">
      <w:r w:rsidRPr="00687A1C">
        <w:t>In addition</w:t>
      </w:r>
      <w:r w:rsidR="007F419B" w:rsidRPr="00687A1C">
        <w:t>,</w:t>
      </w:r>
      <w:r w:rsidRPr="00687A1C">
        <w:t xml:space="preserve"> the Department determines whether transfers have occurred between levels in the hierarchy by </w:t>
      </w:r>
      <w:r w:rsidR="007F419B" w:rsidRPr="00687A1C">
        <w:t>re</w:t>
      </w:r>
      <w:r w:rsidRPr="00687A1C">
        <w:t>assessing categorisation (based on the lowest level input that is significant to the fair value measurement as a whole) at the end of each reporting period.</w:t>
      </w:r>
    </w:p>
    <w:p w:rsidR="00174AEA" w:rsidRPr="00687A1C" w:rsidRDefault="00174AEA" w:rsidP="00174AEA">
      <w:r w:rsidRPr="00687A1C">
        <w:t>The Valuer-General Victoria (VGV) is the Department’s independent valuation agency. The Department</w:t>
      </w:r>
      <w:r w:rsidR="007F419B" w:rsidRPr="00687A1C">
        <w:t>,</w:t>
      </w:r>
      <w:r w:rsidRPr="00687A1C">
        <w:t xml:space="preserve"> in conjunction with the VGV</w:t>
      </w:r>
      <w:r w:rsidR="007F419B" w:rsidRPr="00687A1C">
        <w:t>,</w:t>
      </w:r>
      <w:r w:rsidRPr="00687A1C">
        <w:t xml:space="preserve"> monitors changes in the fair value of its assets through relevant data sources to determine whether revaluation is required.</w:t>
      </w:r>
    </w:p>
    <w:p w:rsidR="00174AEA" w:rsidRPr="00687A1C" w:rsidRDefault="00174AEA" w:rsidP="00174AEA">
      <w:pPr>
        <w:sectPr w:rsidR="00174AEA" w:rsidRPr="00687A1C" w:rsidSect="00BB311C">
          <w:type w:val="continuous"/>
          <w:pgSz w:w="11909" w:h="16834" w:code="9"/>
          <w:pgMar w:top="1728" w:right="1152" w:bottom="1152" w:left="1152" w:header="720" w:footer="288" w:gutter="0"/>
          <w:cols w:num="2" w:space="720"/>
          <w:noEndnote/>
        </w:sectPr>
      </w:pPr>
    </w:p>
    <w:p w:rsidR="00174AEA" w:rsidRPr="00687A1C" w:rsidRDefault="00174AEA" w:rsidP="00174AEA"/>
    <w:p w:rsidR="00174AEA" w:rsidRPr="00687A1C" w:rsidRDefault="00174AEA" w:rsidP="00174AEA">
      <w:pPr>
        <w:pStyle w:val="Tabletextheadingright"/>
        <w:sectPr w:rsidR="00174AEA" w:rsidRPr="00687A1C" w:rsidSect="00BB311C">
          <w:type w:val="continuous"/>
          <w:pgSz w:w="11909" w:h="16834" w:code="9"/>
          <w:pgMar w:top="1728" w:right="1152" w:bottom="1152" w:left="1152" w:header="720" w:footer="288" w:gutter="0"/>
          <w:cols w:num="2" w:space="720"/>
          <w:noEndnote/>
        </w:sectPr>
      </w:pPr>
    </w:p>
    <w:p w:rsidR="00174AEA" w:rsidRPr="00687A1C" w:rsidRDefault="00174AEA" w:rsidP="00174AEA">
      <w:pPr>
        <w:pStyle w:val="Heading4"/>
      </w:pPr>
      <w:r w:rsidRPr="00687A1C">
        <w:t>Description of significant unobservable inputs to Level 3 valuations</w:t>
      </w:r>
    </w:p>
    <w:tbl>
      <w:tblPr>
        <w:tblW w:w="4011" w:type="pct"/>
        <w:tblLayout w:type="fixed"/>
        <w:tblCellMar>
          <w:left w:w="57" w:type="dxa"/>
          <w:right w:w="57" w:type="dxa"/>
        </w:tblCellMar>
        <w:tblLook w:val="0620" w:firstRow="1" w:lastRow="0" w:firstColumn="0" w:lastColumn="0" w:noHBand="1" w:noVBand="1"/>
      </w:tblPr>
      <w:tblGrid>
        <w:gridCol w:w="1680"/>
        <w:gridCol w:w="2141"/>
        <w:gridCol w:w="3976"/>
      </w:tblGrid>
      <w:tr w:rsidR="00174AEA" w:rsidRPr="00687A1C" w:rsidTr="008A3976">
        <w:trPr>
          <w:cantSplit/>
        </w:trPr>
        <w:tc>
          <w:tcPr>
            <w:tcW w:w="1077" w:type="pct"/>
            <w:tcBorders>
              <w:top w:val="nil"/>
              <w:left w:val="nil"/>
              <w:bottom w:val="nil"/>
              <w:right w:val="nil"/>
            </w:tcBorders>
            <w:shd w:val="clear" w:color="auto" w:fill="auto"/>
            <w:hideMark/>
          </w:tcPr>
          <w:p w:rsidR="00174AEA" w:rsidRPr="00687A1C" w:rsidRDefault="00174AEA" w:rsidP="008A3976">
            <w:pPr>
              <w:pStyle w:val="Tabletextheadingright"/>
            </w:pPr>
          </w:p>
        </w:tc>
        <w:tc>
          <w:tcPr>
            <w:tcW w:w="1373" w:type="pct"/>
            <w:tcBorders>
              <w:top w:val="nil"/>
              <w:left w:val="nil"/>
              <w:bottom w:val="nil"/>
              <w:right w:val="nil"/>
            </w:tcBorders>
            <w:shd w:val="clear" w:color="auto" w:fill="auto"/>
            <w:hideMark/>
          </w:tcPr>
          <w:p w:rsidR="00174AEA" w:rsidRPr="00687A1C" w:rsidRDefault="00174AEA" w:rsidP="008A3976">
            <w:pPr>
              <w:pStyle w:val="Tabletextheadingleft"/>
            </w:pPr>
            <w:r w:rsidRPr="00687A1C">
              <w:t>Valuation technique</w:t>
            </w:r>
          </w:p>
        </w:tc>
        <w:tc>
          <w:tcPr>
            <w:tcW w:w="2550" w:type="pct"/>
            <w:tcBorders>
              <w:top w:val="nil"/>
              <w:left w:val="nil"/>
              <w:bottom w:val="nil"/>
              <w:right w:val="nil"/>
            </w:tcBorders>
            <w:shd w:val="clear" w:color="auto" w:fill="auto"/>
            <w:hideMark/>
          </w:tcPr>
          <w:p w:rsidR="00174AEA" w:rsidRPr="00687A1C" w:rsidRDefault="00174AEA" w:rsidP="008A3976">
            <w:pPr>
              <w:pStyle w:val="Tabletextheadingleft"/>
            </w:pPr>
            <w:r w:rsidRPr="00687A1C">
              <w:t>Significant unobservable inputs</w:t>
            </w:r>
          </w:p>
        </w:tc>
      </w:tr>
      <w:tr w:rsidR="00174AEA" w:rsidRPr="00687A1C" w:rsidTr="008A3976">
        <w:trPr>
          <w:cantSplit/>
        </w:trPr>
        <w:tc>
          <w:tcPr>
            <w:tcW w:w="1077" w:type="pct"/>
            <w:tcBorders>
              <w:top w:val="nil"/>
              <w:left w:val="nil"/>
              <w:bottom w:val="nil"/>
              <w:right w:val="nil"/>
            </w:tcBorders>
            <w:shd w:val="clear" w:color="auto" w:fill="auto"/>
            <w:hideMark/>
          </w:tcPr>
          <w:p w:rsidR="00174AEA" w:rsidRPr="00687A1C" w:rsidRDefault="00174AEA" w:rsidP="008A3976">
            <w:pPr>
              <w:pStyle w:val="Tabletext"/>
            </w:pPr>
            <w:r w:rsidRPr="00687A1C">
              <w:t>Specialised land</w:t>
            </w:r>
          </w:p>
        </w:tc>
        <w:tc>
          <w:tcPr>
            <w:tcW w:w="1373" w:type="pct"/>
            <w:tcBorders>
              <w:top w:val="nil"/>
              <w:left w:val="nil"/>
              <w:bottom w:val="nil"/>
              <w:right w:val="nil"/>
            </w:tcBorders>
            <w:shd w:val="clear" w:color="auto" w:fill="auto"/>
          </w:tcPr>
          <w:p w:rsidR="00174AEA" w:rsidRPr="00687A1C" w:rsidRDefault="00174AEA" w:rsidP="008A3976">
            <w:pPr>
              <w:pStyle w:val="Tabletext"/>
            </w:pPr>
            <w:r w:rsidRPr="00687A1C">
              <w:t>Market approach</w:t>
            </w:r>
          </w:p>
        </w:tc>
        <w:tc>
          <w:tcPr>
            <w:tcW w:w="2550" w:type="pct"/>
            <w:tcBorders>
              <w:top w:val="nil"/>
              <w:left w:val="nil"/>
              <w:bottom w:val="nil"/>
              <w:right w:val="nil"/>
            </w:tcBorders>
            <w:shd w:val="clear" w:color="auto" w:fill="auto"/>
          </w:tcPr>
          <w:p w:rsidR="00174AEA" w:rsidRPr="00687A1C" w:rsidRDefault="00174AEA" w:rsidP="008A3976">
            <w:pPr>
              <w:pStyle w:val="Tabletext"/>
            </w:pPr>
            <w:r w:rsidRPr="00687A1C">
              <w:t xml:space="preserve">Community service obligations (CSO) adjustment </w:t>
            </w:r>
          </w:p>
          <w:p w:rsidR="00174AEA" w:rsidRPr="00687A1C" w:rsidRDefault="00174AEA" w:rsidP="008A3976">
            <w:pPr>
              <w:pStyle w:val="Tabletext"/>
            </w:pPr>
            <w:r w:rsidRPr="00687A1C">
              <w:t>Heritage adjustment</w:t>
            </w:r>
          </w:p>
        </w:tc>
      </w:tr>
      <w:tr w:rsidR="00174AEA" w:rsidRPr="00687A1C" w:rsidTr="008A3976">
        <w:trPr>
          <w:cantSplit/>
        </w:trPr>
        <w:tc>
          <w:tcPr>
            <w:tcW w:w="1077" w:type="pct"/>
            <w:tcBorders>
              <w:top w:val="nil"/>
              <w:left w:val="nil"/>
              <w:right w:val="nil"/>
            </w:tcBorders>
            <w:shd w:val="clear" w:color="auto" w:fill="E0E0E0"/>
          </w:tcPr>
          <w:p w:rsidR="00174AEA" w:rsidRPr="00687A1C" w:rsidRDefault="00174AEA" w:rsidP="008A3976">
            <w:pPr>
              <w:pStyle w:val="Tabletext"/>
            </w:pPr>
            <w:r w:rsidRPr="00687A1C">
              <w:t>Non</w:t>
            </w:r>
            <w:r w:rsidRPr="00687A1C">
              <w:noBreakHyphen/>
              <w:t>specialised land</w:t>
            </w:r>
          </w:p>
        </w:tc>
        <w:tc>
          <w:tcPr>
            <w:tcW w:w="1373" w:type="pct"/>
            <w:tcBorders>
              <w:top w:val="nil"/>
              <w:left w:val="nil"/>
              <w:right w:val="nil"/>
            </w:tcBorders>
            <w:shd w:val="clear" w:color="auto" w:fill="E0E0E0"/>
          </w:tcPr>
          <w:p w:rsidR="00174AEA" w:rsidRPr="00687A1C" w:rsidRDefault="00174AEA" w:rsidP="008A3976">
            <w:pPr>
              <w:pStyle w:val="Tabletext"/>
            </w:pPr>
            <w:r w:rsidRPr="00687A1C">
              <w:t>Market approach</w:t>
            </w:r>
          </w:p>
        </w:tc>
        <w:tc>
          <w:tcPr>
            <w:tcW w:w="2550" w:type="pct"/>
            <w:tcBorders>
              <w:top w:val="nil"/>
              <w:left w:val="nil"/>
              <w:right w:val="nil"/>
            </w:tcBorders>
            <w:shd w:val="clear" w:color="auto" w:fill="E0E0E0"/>
          </w:tcPr>
          <w:p w:rsidR="00174AEA" w:rsidRPr="00687A1C" w:rsidRDefault="00174AEA" w:rsidP="008A3976">
            <w:pPr>
              <w:pStyle w:val="Tabletext"/>
            </w:pPr>
            <w:r w:rsidRPr="00687A1C">
              <w:t>Direct cost per square metre</w:t>
            </w:r>
            <w:r w:rsidRPr="00687A1C">
              <w:rPr>
                <w:vertAlign w:val="superscript"/>
              </w:rPr>
              <w:t>(a)</w:t>
            </w:r>
            <w:r w:rsidRPr="00687A1C">
              <w:t>/direct cost per parcel</w:t>
            </w:r>
          </w:p>
        </w:tc>
      </w:tr>
      <w:tr w:rsidR="00174AEA" w:rsidRPr="00687A1C" w:rsidTr="008A3976">
        <w:trPr>
          <w:cantSplit/>
        </w:trPr>
        <w:tc>
          <w:tcPr>
            <w:tcW w:w="1077" w:type="pct"/>
            <w:tcBorders>
              <w:top w:val="nil"/>
              <w:left w:val="nil"/>
              <w:bottom w:val="nil"/>
              <w:right w:val="nil"/>
            </w:tcBorders>
            <w:shd w:val="clear" w:color="auto" w:fill="auto"/>
          </w:tcPr>
          <w:p w:rsidR="00174AEA" w:rsidRPr="00687A1C" w:rsidRDefault="00174AEA" w:rsidP="008A3976">
            <w:pPr>
              <w:pStyle w:val="Tabletext"/>
            </w:pPr>
            <w:r w:rsidRPr="00687A1C">
              <w:t>Buildings (including heritage buildings)</w:t>
            </w:r>
          </w:p>
        </w:tc>
        <w:tc>
          <w:tcPr>
            <w:tcW w:w="1373" w:type="pct"/>
            <w:tcBorders>
              <w:top w:val="nil"/>
              <w:left w:val="nil"/>
              <w:bottom w:val="nil"/>
              <w:right w:val="nil"/>
            </w:tcBorders>
            <w:shd w:val="clear" w:color="auto" w:fill="auto"/>
          </w:tcPr>
          <w:p w:rsidR="00174AEA" w:rsidRPr="00687A1C" w:rsidRDefault="00174AEA" w:rsidP="008A3976">
            <w:pPr>
              <w:pStyle w:val="Tabletext"/>
            </w:pPr>
            <w:r w:rsidRPr="00687A1C">
              <w:t>Market approach (Net market rentals )</w:t>
            </w:r>
          </w:p>
        </w:tc>
        <w:tc>
          <w:tcPr>
            <w:tcW w:w="2550" w:type="pct"/>
            <w:tcBorders>
              <w:top w:val="nil"/>
              <w:left w:val="nil"/>
              <w:bottom w:val="nil"/>
              <w:right w:val="nil"/>
            </w:tcBorders>
            <w:shd w:val="clear" w:color="auto" w:fill="auto"/>
          </w:tcPr>
          <w:p w:rsidR="00174AEA" w:rsidRPr="00687A1C" w:rsidRDefault="00174AEA" w:rsidP="008A3976">
            <w:pPr>
              <w:pStyle w:val="Tabletext"/>
            </w:pPr>
            <w:r w:rsidRPr="00687A1C">
              <w:t>Rental income per square metre</w:t>
            </w:r>
          </w:p>
          <w:p w:rsidR="00174AEA" w:rsidRPr="00687A1C" w:rsidRDefault="00174AEA" w:rsidP="008A3976">
            <w:pPr>
              <w:pStyle w:val="Tabletext"/>
            </w:pPr>
            <w:r w:rsidRPr="00687A1C">
              <w:t>Capitalisation rate</w:t>
            </w:r>
          </w:p>
          <w:p w:rsidR="00174AEA" w:rsidRPr="00687A1C" w:rsidRDefault="00174AEA" w:rsidP="008A3976">
            <w:pPr>
              <w:pStyle w:val="Tabletext"/>
              <w:rPr>
                <w:vertAlign w:val="superscript"/>
              </w:rPr>
            </w:pPr>
            <w:r w:rsidRPr="00687A1C">
              <w:t>Useful life</w:t>
            </w:r>
          </w:p>
        </w:tc>
      </w:tr>
      <w:tr w:rsidR="00174AEA" w:rsidRPr="00687A1C" w:rsidTr="008A3976">
        <w:trPr>
          <w:cantSplit/>
        </w:trPr>
        <w:tc>
          <w:tcPr>
            <w:tcW w:w="1077" w:type="pct"/>
            <w:tcBorders>
              <w:top w:val="nil"/>
              <w:left w:val="nil"/>
              <w:bottom w:val="nil"/>
              <w:right w:val="nil"/>
            </w:tcBorders>
            <w:shd w:val="clear" w:color="auto" w:fill="E0E0E0"/>
          </w:tcPr>
          <w:p w:rsidR="00174AEA" w:rsidRPr="00687A1C" w:rsidRDefault="00174AEA" w:rsidP="008A3976">
            <w:pPr>
              <w:pStyle w:val="Tabletext"/>
            </w:pPr>
            <w:r w:rsidRPr="00687A1C">
              <w:t>Cultural assets</w:t>
            </w:r>
          </w:p>
        </w:tc>
        <w:tc>
          <w:tcPr>
            <w:tcW w:w="1373" w:type="pct"/>
            <w:tcBorders>
              <w:top w:val="nil"/>
              <w:left w:val="nil"/>
              <w:bottom w:val="nil"/>
              <w:right w:val="nil"/>
            </w:tcBorders>
            <w:shd w:val="clear" w:color="auto" w:fill="E0E0E0"/>
          </w:tcPr>
          <w:p w:rsidR="00174AEA" w:rsidRPr="00687A1C" w:rsidRDefault="00174AEA" w:rsidP="008A3976">
            <w:pPr>
              <w:pStyle w:val="Tabletext"/>
            </w:pPr>
            <w:r w:rsidRPr="00687A1C">
              <w:t>Market approach</w:t>
            </w:r>
          </w:p>
        </w:tc>
        <w:tc>
          <w:tcPr>
            <w:tcW w:w="2550" w:type="pct"/>
            <w:tcBorders>
              <w:top w:val="nil"/>
              <w:left w:val="nil"/>
              <w:bottom w:val="nil"/>
              <w:right w:val="nil"/>
            </w:tcBorders>
            <w:shd w:val="clear" w:color="auto" w:fill="E0E0E0"/>
          </w:tcPr>
          <w:p w:rsidR="00174AEA" w:rsidRPr="00687A1C" w:rsidRDefault="00174AEA" w:rsidP="008A3976">
            <w:pPr>
              <w:pStyle w:val="Tabletext"/>
            </w:pPr>
            <w:r w:rsidRPr="00687A1C">
              <w:t>CSO adjustment</w:t>
            </w:r>
          </w:p>
        </w:tc>
      </w:tr>
      <w:tr w:rsidR="00174AEA" w:rsidRPr="00687A1C" w:rsidTr="008A3976">
        <w:trPr>
          <w:cantSplit/>
        </w:trPr>
        <w:tc>
          <w:tcPr>
            <w:tcW w:w="1077" w:type="pct"/>
            <w:tcBorders>
              <w:top w:val="nil"/>
              <w:left w:val="nil"/>
              <w:bottom w:val="nil"/>
              <w:right w:val="nil"/>
            </w:tcBorders>
            <w:shd w:val="clear" w:color="auto" w:fill="auto"/>
            <w:hideMark/>
          </w:tcPr>
          <w:p w:rsidR="00174AEA" w:rsidRPr="00687A1C" w:rsidRDefault="00174AEA" w:rsidP="008A3976">
            <w:pPr>
              <w:pStyle w:val="Tabletext"/>
            </w:pPr>
            <w:r w:rsidRPr="00687A1C">
              <w:t>Office and computer equipment</w:t>
            </w:r>
          </w:p>
        </w:tc>
        <w:tc>
          <w:tcPr>
            <w:tcW w:w="1373" w:type="pct"/>
            <w:tcBorders>
              <w:top w:val="nil"/>
              <w:left w:val="nil"/>
              <w:bottom w:val="nil"/>
              <w:right w:val="nil"/>
            </w:tcBorders>
            <w:shd w:val="clear" w:color="auto" w:fill="auto"/>
          </w:tcPr>
          <w:p w:rsidR="00174AEA" w:rsidRPr="00687A1C" w:rsidRDefault="00174AEA" w:rsidP="008A3976">
            <w:pPr>
              <w:pStyle w:val="Tabletext"/>
            </w:pPr>
            <w:r w:rsidRPr="00687A1C">
              <w:t xml:space="preserve">Current replacement cost </w:t>
            </w:r>
          </w:p>
        </w:tc>
        <w:tc>
          <w:tcPr>
            <w:tcW w:w="2550" w:type="pct"/>
            <w:tcBorders>
              <w:top w:val="nil"/>
              <w:left w:val="nil"/>
              <w:bottom w:val="nil"/>
              <w:right w:val="nil"/>
            </w:tcBorders>
            <w:shd w:val="clear" w:color="auto" w:fill="auto"/>
          </w:tcPr>
          <w:p w:rsidR="00174AEA" w:rsidRPr="00687A1C" w:rsidRDefault="00174AEA" w:rsidP="008A3976">
            <w:pPr>
              <w:pStyle w:val="Tabletext"/>
            </w:pPr>
            <w:r w:rsidRPr="00687A1C">
              <w:t>Cost per unit</w:t>
            </w:r>
          </w:p>
          <w:p w:rsidR="00174AEA" w:rsidRPr="00687A1C" w:rsidRDefault="00174AEA" w:rsidP="008A3976">
            <w:pPr>
              <w:pStyle w:val="Tabletext"/>
            </w:pPr>
            <w:r w:rsidRPr="00687A1C">
              <w:t>Useful life</w:t>
            </w:r>
          </w:p>
        </w:tc>
      </w:tr>
    </w:tbl>
    <w:p w:rsidR="00174AEA" w:rsidRPr="00687A1C" w:rsidRDefault="00174AEA" w:rsidP="00174AEA">
      <w:pPr>
        <w:pStyle w:val="Notes"/>
      </w:pPr>
      <w:r w:rsidRPr="00687A1C">
        <w:t>Note:</w:t>
      </w:r>
    </w:p>
    <w:p w:rsidR="00174AEA" w:rsidRPr="00687A1C" w:rsidRDefault="00174AEA" w:rsidP="00174AEA">
      <w:pPr>
        <w:pStyle w:val="Notes"/>
      </w:pPr>
      <w:r w:rsidRPr="00687A1C">
        <w:t>(a) Direct cost per square metre is a close approximation of the market cost per square metre.</w:t>
      </w:r>
    </w:p>
    <w:p w:rsidR="00174AEA" w:rsidRPr="00687A1C" w:rsidRDefault="00174AEA" w:rsidP="00174AEA">
      <w:r w:rsidRPr="00687A1C">
        <w:t>The significant unobservable inputs remain unchanged from 2017.</w:t>
      </w:r>
    </w:p>
    <w:p w:rsidR="00AD5C00" w:rsidRPr="00687A1C" w:rsidRDefault="00AD5C00" w:rsidP="00174AEA"/>
    <w:p w:rsidR="00174AEA" w:rsidRPr="00687A1C" w:rsidRDefault="00174AEA" w:rsidP="00174AEA">
      <w:pPr>
        <w:sectPr w:rsidR="00174AEA" w:rsidRPr="00687A1C" w:rsidSect="008A3976">
          <w:type w:val="continuous"/>
          <w:pgSz w:w="11909" w:h="16834" w:code="9"/>
          <w:pgMar w:top="1728" w:right="1152" w:bottom="1152" w:left="1152" w:header="720" w:footer="288" w:gutter="0"/>
          <w:cols w:space="720"/>
          <w:noEndnote/>
        </w:sectPr>
      </w:pPr>
    </w:p>
    <w:p w:rsidR="00174AEA" w:rsidRPr="00687A1C" w:rsidRDefault="00174AEA" w:rsidP="00174AEA">
      <w:pPr>
        <w:pStyle w:val="Heading4"/>
      </w:pPr>
      <w:r w:rsidRPr="00687A1C">
        <w:t>Land and buildings (including heritage buildings)</w:t>
      </w:r>
    </w:p>
    <w:p w:rsidR="00174AEA" w:rsidRPr="00687A1C" w:rsidRDefault="00174AEA" w:rsidP="00174AEA">
      <w:r w:rsidRPr="00687A1C">
        <w:t>Specialised and non-specialised land and buildings are valued based on the market approach.</w:t>
      </w:r>
    </w:p>
    <w:p w:rsidR="00174AEA" w:rsidRPr="00687A1C" w:rsidRDefault="00174AEA" w:rsidP="00174AEA">
      <w:r w:rsidRPr="00687A1C">
        <w:t>Specialised land is adjusted for heritage and CSO to reflect the specialised nature of the land being valued.</w:t>
      </w:r>
    </w:p>
    <w:p w:rsidR="00174AEA" w:rsidRPr="00687A1C" w:rsidRDefault="00174AEA" w:rsidP="00174AEA">
      <w:r w:rsidRPr="00687A1C">
        <w:br w:type="column"/>
      </w:r>
      <w:r w:rsidRPr="00687A1C">
        <w:t>The heritage and CSO adjustments are a reflection of the valuer’s assessment of the impact of restrictions associated with an asset to the extent that they are equally applicable to market participants. This approach is in light of the highest and best use consideration required for fair value measurement</w:t>
      </w:r>
      <w:r w:rsidR="008F720B" w:rsidRPr="00687A1C">
        <w:t>,</w:t>
      </w:r>
      <w:r w:rsidRPr="00687A1C">
        <w:t xml:space="preserve"> and takes into account the use of the asset that is physically possible</w:t>
      </w:r>
      <w:r w:rsidR="007F419B" w:rsidRPr="00687A1C">
        <w:t>,</w:t>
      </w:r>
      <w:r w:rsidRPr="00687A1C">
        <w:t xml:space="preserve"> legally permissible</w:t>
      </w:r>
      <w:r w:rsidR="008F720B" w:rsidRPr="00687A1C">
        <w:t>,</w:t>
      </w:r>
      <w:r w:rsidRPr="00687A1C">
        <w:t xml:space="preserve"> and financially feasible. </w:t>
      </w:r>
    </w:p>
    <w:p w:rsidR="00174AEA" w:rsidRPr="00687A1C" w:rsidRDefault="00174AEA" w:rsidP="00174AEA">
      <w:pPr>
        <w:spacing w:before="0" w:after="0"/>
      </w:pPr>
      <w:r w:rsidRPr="00687A1C">
        <w:br w:type="page"/>
      </w:r>
    </w:p>
    <w:p w:rsidR="00174AEA" w:rsidRPr="00687A1C" w:rsidRDefault="00174AEA" w:rsidP="00174AEA">
      <w:r w:rsidRPr="00687A1C">
        <w:lastRenderedPageBreak/>
        <w:t>For non-specialised land</w:t>
      </w:r>
      <w:r w:rsidR="008F720B" w:rsidRPr="00687A1C">
        <w:t>,</w:t>
      </w:r>
      <w:r w:rsidRPr="00687A1C">
        <w:t xml:space="preserve"> the assets are compared to sales of comparable assets</w:t>
      </w:r>
      <w:r w:rsidR="00260EDE" w:rsidRPr="00687A1C">
        <w:t>,</w:t>
      </w:r>
      <w:r w:rsidRPr="00687A1C">
        <w:t xml:space="preserve"> which are considered to have nominal or no added improvement value. </w:t>
      </w:r>
    </w:p>
    <w:p w:rsidR="00174AEA" w:rsidRPr="00687A1C" w:rsidRDefault="00174AEA" w:rsidP="00174AEA">
      <w:r w:rsidRPr="00687A1C">
        <w:t>For buildings (including heritage buildings) fair value is determined by applying an appropriate capitalisation rate based on factors</w:t>
      </w:r>
      <w:r w:rsidR="00260EDE" w:rsidRPr="00687A1C">
        <w:t>,</w:t>
      </w:r>
      <w:r w:rsidRPr="00687A1C">
        <w:t xml:space="preserve"> such as building design</w:t>
      </w:r>
      <w:r w:rsidR="00260EDE" w:rsidRPr="00687A1C">
        <w:t>,</w:t>
      </w:r>
      <w:r w:rsidRPr="00687A1C">
        <w:t xml:space="preserve"> location</w:t>
      </w:r>
      <w:r w:rsidR="00260EDE" w:rsidRPr="00687A1C">
        <w:t>,</w:t>
      </w:r>
      <w:r w:rsidRPr="00687A1C">
        <w:t xml:space="preserve"> tenancy size on the average rental income of the building area.</w:t>
      </w:r>
    </w:p>
    <w:p w:rsidR="00174AEA" w:rsidRPr="00687A1C" w:rsidRDefault="00174AEA" w:rsidP="00174AEA">
      <w:pPr>
        <w:pStyle w:val="Heading4"/>
      </w:pPr>
      <w:r w:rsidRPr="00687A1C">
        <w:t>Office and computer equipment</w:t>
      </w:r>
    </w:p>
    <w:p w:rsidR="00174AEA" w:rsidRPr="00687A1C" w:rsidRDefault="00174AEA" w:rsidP="00174AEA">
      <w:r w:rsidRPr="00687A1C">
        <w:t xml:space="preserve">The fair value of office and computer equipment is normally determined by reference to the asset’s current replacement cost. For </w:t>
      </w:r>
      <w:r w:rsidR="00260EDE" w:rsidRPr="00687A1C">
        <w:t xml:space="preserve">the </w:t>
      </w:r>
      <w:r w:rsidRPr="00687A1C">
        <w:t>Department’s office and computer equipment</w:t>
      </w:r>
      <w:r w:rsidR="00260EDE" w:rsidRPr="00687A1C">
        <w:t>,</w:t>
      </w:r>
      <w:r w:rsidRPr="00687A1C">
        <w:t xml:space="preserve"> existing depreciated historical cost is generally a reasonable proxy for current replacement cost because of the short lives of the assets concerned.</w:t>
      </w:r>
    </w:p>
    <w:p w:rsidR="00174AEA" w:rsidRPr="00687A1C" w:rsidRDefault="00174AEA" w:rsidP="00174AEA">
      <w:r w:rsidRPr="00687A1C">
        <w:t>None of the classes of financial assets and liabilities are readily traded on organised markets in standardised form.</w:t>
      </w:r>
    </w:p>
    <w:p w:rsidR="00174AEA" w:rsidRPr="00687A1C" w:rsidRDefault="00174AEA" w:rsidP="00174AEA">
      <w:pPr>
        <w:pStyle w:val="Heading4"/>
      </w:pPr>
      <w:r w:rsidRPr="00687A1C">
        <w:br w:type="column"/>
      </w:r>
      <w:r w:rsidRPr="00687A1C">
        <w:t>Vehicles</w:t>
      </w:r>
    </w:p>
    <w:p w:rsidR="00174AEA" w:rsidRPr="00687A1C" w:rsidRDefault="00174AEA" w:rsidP="00174AEA">
      <w:r w:rsidRPr="00687A1C">
        <w:t>Vehicles are valued using the current replacement cost method. The Department acquires new vehicles and at times disposes of them before the end of their economic life. The process of acquisition</w:t>
      </w:r>
      <w:r w:rsidR="008F720B" w:rsidRPr="00687A1C">
        <w:t>,</w:t>
      </w:r>
      <w:r w:rsidRPr="00687A1C">
        <w:t xml:space="preserve"> use and disposal in the market is managed by experienced fleet managers in the Department who set relevant depreciation rates during use to reflect the utilisation of the vehicles.</w:t>
      </w:r>
    </w:p>
    <w:p w:rsidR="00174AEA" w:rsidRPr="00687A1C" w:rsidRDefault="00174AEA" w:rsidP="00174AEA">
      <w:pPr>
        <w:pStyle w:val="Heading4"/>
      </w:pPr>
      <w:r w:rsidRPr="00687A1C">
        <w:t>Plant and equipment</w:t>
      </w:r>
    </w:p>
    <w:p w:rsidR="00174AEA" w:rsidRPr="00687A1C" w:rsidRDefault="00174AEA" w:rsidP="00174AEA">
      <w:r w:rsidRPr="00687A1C">
        <w:t>Plant and equipment is held at fair value. When plant and equipment is specialised in use</w:t>
      </w:r>
      <w:r w:rsidR="00260EDE" w:rsidRPr="00687A1C">
        <w:t>,</w:t>
      </w:r>
      <w:r w:rsidRPr="00687A1C">
        <w:t xml:space="preserve"> such that it is rarely sold other than as part of a going concern</w:t>
      </w:r>
      <w:r w:rsidR="00260EDE" w:rsidRPr="00687A1C">
        <w:t>,</w:t>
      </w:r>
      <w:r w:rsidRPr="00687A1C">
        <w:t xml:space="preserve"> fair value is determined using the current replacement cost method.</w:t>
      </w:r>
    </w:p>
    <w:p w:rsidR="00174AEA" w:rsidRPr="00687A1C" w:rsidRDefault="00174AEA" w:rsidP="00174AEA">
      <w:r w:rsidRPr="00687A1C">
        <w:t>There were no changes in valuation techniques throughout the period to 30 June 2018. For all assets measured at fair value</w:t>
      </w:r>
      <w:r w:rsidR="008F720B" w:rsidRPr="00687A1C">
        <w:t>,</w:t>
      </w:r>
      <w:r w:rsidRPr="00687A1C">
        <w:t xml:space="preserve"> the current use is considered the highest and best use. </w:t>
      </w:r>
    </w:p>
    <w:p w:rsidR="008F720B" w:rsidRPr="00687A1C" w:rsidRDefault="008F720B" w:rsidP="00174AEA">
      <w:pPr>
        <w:sectPr w:rsidR="008F720B" w:rsidRPr="00687A1C" w:rsidSect="008A3976">
          <w:type w:val="continuous"/>
          <w:pgSz w:w="11909" w:h="16834" w:code="9"/>
          <w:pgMar w:top="1728" w:right="1152" w:bottom="1152" w:left="1152" w:header="720" w:footer="288" w:gutter="0"/>
          <w:cols w:num="2" w:space="720"/>
          <w:noEndnote/>
        </w:sectPr>
      </w:pPr>
    </w:p>
    <w:p w:rsidR="00174AEA" w:rsidRPr="00687A1C" w:rsidRDefault="00174AEA" w:rsidP="00174AEA"/>
    <w:tbl>
      <w:tblPr>
        <w:tblStyle w:val="AnnualReporttexttable"/>
        <w:tblW w:w="4151" w:type="pct"/>
        <w:tblLayout w:type="fixed"/>
        <w:tblLook w:val="04A0" w:firstRow="1" w:lastRow="0" w:firstColumn="1" w:lastColumn="0" w:noHBand="0" w:noVBand="1"/>
      </w:tblPr>
      <w:tblGrid>
        <w:gridCol w:w="4429"/>
        <w:gridCol w:w="931"/>
        <w:gridCol w:w="931"/>
        <w:gridCol w:w="931"/>
        <w:gridCol w:w="931"/>
      </w:tblGrid>
      <w:tr w:rsidR="00174AEA" w:rsidRPr="00687A1C" w:rsidTr="0045353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centred"/>
            </w:pPr>
          </w:p>
        </w:tc>
        <w:tc>
          <w:tcPr>
            <w:tcW w:w="571" w:type="pct"/>
            <w:noWrap/>
            <w:vAlign w:val="bottom"/>
            <w:hideMark/>
          </w:tcPr>
          <w:p w:rsidR="00174AEA" w:rsidRPr="00687A1C" w:rsidRDefault="00174AEA" w:rsidP="00453538">
            <w:pPr>
              <w:pStyle w:val="Tabletextrightbold"/>
              <w:cnfStyle w:val="100000000000" w:firstRow="1" w:lastRow="0" w:firstColumn="0" w:lastColumn="0" w:oddVBand="0" w:evenVBand="0" w:oddHBand="0" w:evenHBand="0" w:firstRowFirstColumn="0" w:firstRowLastColumn="0" w:lastRowFirstColumn="0" w:lastRowLastColumn="0"/>
              <w:rPr>
                <w:b/>
              </w:rPr>
            </w:pPr>
            <w:r w:rsidRPr="00687A1C">
              <w:rPr>
                <w:b/>
              </w:rPr>
              <w:t>Carrying</w:t>
            </w:r>
            <w:r w:rsidRPr="00687A1C">
              <w:rPr>
                <w:b/>
              </w:rPr>
              <w:br/>
              <w:t>amount</w:t>
            </w:r>
          </w:p>
        </w:tc>
        <w:tc>
          <w:tcPr>
            <w:tcW w:w="1713" w:type="pct"/>
            <w:gridSpan w:val="3"/>
            <w:shd w:val="clear" w:color="auto" w:fill="D9D9D9" w:themeFill="background1" w:themeFillShade="D9"/>
            <w:noWrap/>
          </w:tcPr>
          <w:p w:rsidR="00174AEA" w:rsidRPr="00687A1C" w:rsidRDefault="00174AEA" w:rsidP="008A3976">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 xml:space="preserve">Fair value </w:t>
            </w:r>
            <w:r w:rsidRPr="00687A1C">
              <w:rPr>
                <w:b/>
              </w:rPr>
              <w:br/>
              <w:t>measurement using:</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p>
        </w:tc>
        <w:tc>
          <w:tcPr>
            <w:tcW w:w="571" w:type="pct"/>
            <w:noWrap/>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p>
        </w:tc>
        <w:tc>
          <w:tcPr>
            <w:tcW w:w="571" w:type="pct"/>
            <w:noWrap/>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Level 1</w:t>
            </w:r>
          </w:p>
        </w:tc>
        <w:tc>
          <w:tcPr>
            <w:tcW w:w="571" w:type="pct"/>
            <w:noWrap/>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Level 2</w:t>
            </w:r>
          </w:p>
        </w:tc>
        <w:tc>
          <w:tcPr>
            <w:tcW w:w="571" w:type="pct"/>
            <w:noWrap/>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Level 3</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hideMark/>
          </w:tcPr>
          <w:p w:rsidR="00174AEA" w:rsidRPr="00687A1C" w:rsidRDefault="00174AEA" w:rsidP="008A3976">
            <w:pPr>
              <w:pStyle w:val="Tabletextbold"/>
            </w:pPr>
            <w:r w:rsidRPr="00687A1C">
              <w:t>Fair value measu</w:t>
            </w:r>
            <w:r w:rsidR="00453538" w:rsidRPr="00687A1C">
              <w:t>rement hierarchy at 30 June 2018</w:t>
            </w:r>
          </w:p>
        </w:tc>
        <w:tc>
          <w:tcPr>
            <w:tcW w:w="571" w:type="pct"/>
            <w:noWrap/>
            <w:hideMark/>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$’000</w:t>
            </w:r>
          </w:p>
        </w:tc>
        <w:tc>
          <w:tcPr>
            <w:tcW w:w="571" w:type="pct"/>
            <w:noWrap/>
            <w:hideMark/>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$’000</w:t>
            </w:r>
          </w:p>
        </w:tc>
        <w:tc>
          <w:tcPr>
            <w:tcW w:w="571" w:type="pct"/>
            <w:noWrap/>
            <w:hideMark/>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$’000</w:t>
            </w:r>
          </w:p>
        </w:tc>
        <w:tc>
          <w:tcPr>
            <w:tcW w:w="571" w:type="pct"/>
            <w:noWrap/>
            <w:hideMark/>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$’000</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hideMark/>
          </w:tcPr>
          <w:p w:rsidR="00174AEA" w:rsidRPr="00687A1C" w:rsidRDefault="00174AEA" w:rsidP="008A3976">
            <w:pPr>
              <w:pStyle w:val="Tabletextbold"/>
            </w:pPr>
            <w:r w:rsidRPr="00687A1C">
              <w:t>Land at fair value</w:t>
            </w:r>
          </w:p>
        </w:tc>
        <w:tc>
          <w:tcPr>
            <w:tcW w:w="571" w:type="pct"/>
            <w:noWrap/>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hideMark/>
          </w:tcPr>
          <w:p w:rsidR="00174AEA" w:rsidRPr="00687A1C" w:rsidRDefault="00174AEA" w:rsidP="008A3976">
            <w:pPr>
              <w:pStyle w:val="Tabletext"/>
            </w:pPr>
            <w:r w:rsidRPr="00687A1C">
              <w:t>Specialised land</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533</w:t>
            </w:r>
            <w:r w:rsidR="00D8412D" w:rsidRPr="00687A1C">
              <w:rPr>
                <w:rFonts w:ascii="Calibri" w:hAnsi="Calibri" w:cs="Calibri"/>
              </w:rPr>
              <w:t xml:space="preserve"> </w:t>
            </w:r>
            <w:r w:rsidRPr="00687A1C">
              <w:t>644</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533</w:t>
            </w:r>
            <w:r w:rsidR="00D8412D" w:rsidRPr="00687A1C">
              <w:rPr>
                <w:rFonts w:ascii="Calibri" w:hAnsi="Calibri" w:cs="Calibri"/>
              </w:rPr>
              <w:t xml:space="preserve"> </w:t>
            </w:r>
            <w:r w:rsidRPr="00687A1C">
              <w:t>644</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r w:rsidRPr="00687A1C">
              <w:t>Non</w:t>
            </w:r>
            <w:r w:rsidRPr="00687A1C">
              <w:noBreakHyphen/>
              <w:t>specialised land</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68</w:t>
            </w:r>
            <w:r w:rsidR="00D8412D" w:rsidRPr="00687A1C">
              <w:rPr>
                <w:rFonts w:ascii="Calibri" w:hAnsi="Calibri" w:cs="Calibri"/>
              </w:rPr>
              <w:t xml:space="preserve"> </w:t>
            </w:r>
            <w:r w:rsidRPr="00687A1C">
              <w:t>907</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68</w:t>
            </w:r>
            <w:r w:rsidR="00D8412D" w:rsidRPr="00687A1C">
              <w:rPr>
                <w:rFonts w:ascii="Calibri" w:hAnsi="Calibri" w:cs="Calibri"/>
              </w:rPr>
              <w:t xml:space="preserve"> </w:t>
            </w:r>
            <w:r w:rsidRPr="00687A1C">
              <w:t>907</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hideMark/>
          </w:tcPr>
          <w:p w:rsidR="00174AEA" w:rsidRPr="00687A1C" w:rsidRDefault="00174AEA" w:rsidP="008A3976">
            <w:pPr>
              <w:pStyle w:val="Tabletextbold"/>
            </w:pPr>
            <w:r w:rsidRPr="00687A1C">
              <w:t>Total land at fair value</w:t>
            </w:r>
          </w:p>
        </w:tc>
        <w:tc>
          <w:tcPr>
            <w:tcW w:w="571" w:type="pct"/>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602</w:t>
            </w:r>
            <w:r w:rsidR="00D8412D" w:rsidRPr="00687A1C">
              <w:rPr>
                <w:rFonts w:ascii="Calibri" w:hAnsi="Calibri" w:cs="Calibri"/>
              </w:rPr>
              <w:t xml:space="preserve"> </w:t>
            </w:r>
            <w:r w:rsidRPr="00687A1C">
              <w:t>551</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68</w:t>
            </w:r>
            <w:r w:rsidR="00D8412D" w:rsidRPr="00687A1C">
              <w:rPr>
                <w:rFonts w:ascii="Calibri" w:hAnsi="Calibri" w:cs="Calibri"/>
              </w:rPr>
              <w:t xml:space="preserve"> </w:t>
            </w:r>
            <w:r w:rsidRPr="00687A1C">
              <w:t>907</w:t>
            </w:r>
          </w:p>
        </w:tc>
        <w:tc>
          <w:tcPr>
            <w:tcW w:w="571" w:type="pct"/>
            <w:shd w:val="clear" w:color="auto" w:fill="D9D9D9" w:themeFill="background1" w:themeFillShade="D9"/>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533</w:t>
            </w:r>
            <w:r w:rsidR="00D8412D" w:rsidRPr="00687A1C">
              <w:rPr>
                <w:rFonts w:ascii="Calibri" w:hAnsi="Calibri" w:cs="Calibri"/>
              </w:rPr>
              <w:t xml:space="preserve"> </w:t>
            </w:r>
            <w:r w:rsidRPr="00687A1C">
              <w:t>644</w:t>
            </w:r>
          </w:p>
        </w:tc>
      </w:tr>
      <w:tr w:rsidR="00174AEA" w:rsidRPr="00687A1C" w:rsidTr="008A3976">
        <w:trPr>
          <w:trHeight w:hRule="exact" w:val="120"/>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Buildings at fair value</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r w:rsidRPr="00687A1C">
              <w:t>Buildings (including heritage buildings)</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169</w:t>
            </w:r>
            <w:r w:rsidR="00D8412D" w:rsidRPr="00687A1C">
              <w:t xml:space="preserve"> </w:t>
            </w:r>
            <w:r w:rsidRPr="00687A1C">
              <w:t>568</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r w:rsidRPr="00687A1C">
              <w: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r w:rsidRPr="00687A1C">
              <w:t>–</w:t>
            </w:r>
          </w:p>
        </w:tc>
        <w:tc>
          <w:tcPr>
            <w:tcW w:w="571" w:type="pct"/>
            <w:shd w:val="clear" w:color="auto" w:fill="D9D9D9" w:themeFill="background1" w:themeFillShade="D9"/>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169</w:t>
            </w:r>
            <w:r w:rsidR="00D8412D" w:rsidRPr="00687A1C">
              <w:t xml:space="preserve"> </w:t>
            </w:r>
            <w:r w:rsidRPr="00687A1C">
              <w:t>568</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Total buildings at fair value</w:t>
            </w:r>
          </w:p>
        </w:tc>
        <w:tc>
          <w:tcPr>
            <w:tcW w:w="571" w:type="pct"/>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169</w:t>
            </w:r>
            <w:r w:rsidR="00D8412D" w:rsidRPr="00687A1C">
              <w:rPr>
                <w:rFonts w:ascii="Calibri" w:hAnsi="Calibri" w:cs="Calibri"/>
              </w:rPr>
              <w:t xml:space="preserve"> </w:t>
            </w:r>
            <w:r w:rsidRPr="00687A1C">
              <w:t>568</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169</w:t>
            </w:r>
            <w:r w:rsidR="00D8412D" w:rsidRPr="00687A1C">
              <w:rPr>
                <w:rFonts w:ascii="Calibri" w:hAnsi="Calibri" w:cs="Calibri"/>
              </w:rPr>
              <w:t xml:space="preserve"> </w:t>
            </w:r>
            <w:r w:rsidRPr="00687A1C">
              <w:t>568</w:t>
            </w:r>
          </w:p>
        </w:tc>
      </w:tr>
      <w:tr w:rsidR="00174AEA" w:rsidRPr="00687A1C" w:rsidTr="008A3976">
        <w:trPr>
          <w:trHeight w:hRule="exact" w:val="120"/>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Plant and equipment at fair value</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r w:rsidRPr="00687A1C">
              <w:t>Office and computer equipment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693</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r w:rsidRPr="00687A1C">
              <w: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rPr>
                <w:b/>
              </w:rPr>
            </w:pPr>
            <w:r w:rsidRPr="00687A1C">
              <w:t>–</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693</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Total plant and equipment at fair value</w:t>
            </w:r>
          </w:p>
        </w:tc>
        <w:tc>
          <w:tcPr>
            <w:tcW w:w="571" w:type="pct"/>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693</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693</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Fair value measurement hierarchy</w:t>
            </w:r>
            <w:r w:rsidRPr="00687A1C">
              <w:rPr>
                <w:vertAlign w:val="superscript"/>
              </w:rPr>
              <w:t xml:space="preserve"> </w:t>
            </w:r>
            <w:r w:rsidR="00453538" w:rsidRPr="00687A1C">
              <w:t>at 30 June 2017</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hideMark/>
          </w:tcPr>
          <w:p w:rsidR="00174AEA" w:rsidRPr="00687A1C" w:rsidRDefault="00174AEA" w:rsidP="008A3976">
            <w:pPr>
              <w:pStyle w:val="Tabletextbold"/>
            </w:pPr>
            <w:r w:rsidRPr="00687A1C">
              <w:t>Land at fair value</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hideMark/>
          </w:tcPr>
          <w:p w:rsidR="00174AEA" w:rsidRPr="00687A1C" w:rsidRDefault="00174AEA" w:rsidP="008A3976">
            <w:pPr>
              <w:pStyle w:val="Tabletext"/>
            </w:pPr>
            <w:r w:rsidRPr="00687A1C">
              <w:t>Specialised land</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534</w:t>
            </w:r>
            <w:r w:rsidR="00D8412D" w:rsidRPr="00687A1C">
              <w:rPr>
                <w:rFonts w:ascii="Calibri" w:hAnsi="Calibri" w:cs="Calibri"/>
              </w:rPr>
              <w:t xml:space="preserve"> </w:t>
            </w:r>
            <w:r w:rsidRPr="00687A1C">
              <w:t>605</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534</w:t>
            </w:r>
            <w:r w:rsidR="00D8412D" w:rsidRPr="00687A1C">
              <w:rPr>
                <w:rFonts w:ascii="Calibri" w:hAnsi="Calibri" w:cs="Calibri"/>
              </w:rPr>
              <w:t xml:space="preserve"> </w:t>
            </w:r>
            <w:r w:rsidRPr="00687A1C">
              <w:t>605</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r w:rsidRPr="00687A1C">
              <w:t>Non</w:t>
            </w:r>
            <w:r w:rsidRPr="00687A1C">
              <w:noBreakHyphen/>
              <w:t>specialised land</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68</w:t>
            </w:r>
            <w:r w:rsidR="00D8412D" w:rsidRPr="00687A1C">
              <w:rPr>
                <w:rFonts w:ascii="Calibri" w:hAnsi="Calibri" w:cs="Calibri"/>
              </w:rPr>
              <w:t xml:space="preserve"> </w:t>
            </w:r>
            <w:r w:rsidRPr="00687A1C">
              <w:t>907</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68</w:t>
            </w:r>
            <w:r w:rsidR="00D8412D" w:rsidRPr="00687A1C">
              <w:rPr>
                <w:rFonts w:ascii="Calibri" w:hAnsi="Calibri" w:cs="Calibri"/>
              </w:rPr>
              <w:t xml:space="preserve"> </w:t>
            </w:r>
            <w:r w:rsidRPr="00687A1C">
              <w:t>907</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hideMark/>
          </w:tcPr>
          <w:p w:rsidR="00174AEA" w:rsidRPr="00687A1C" w:rsidRDefault="00174AEA" w:rsidP="008A3976">
            <w:pPr>
              <w:pStyle w:val="Tabletextbold"/>
            </w:pPr>
            <w:r w:rsidRPr="00687A1C">
              <w:t>Total land at fair value</w:t>
            </w:r>
          </w:p>
        </w:tc>
        <w:tc>
          <w:tcPr>
            <w:tcW w:w="571" w:type="pct"/>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603</w:t>
            </w:r>
            <w:r w:rsidR="00D8412D" w:rsidRPr="00687A1C">
              <w:rPr>
                <w:rFonts w:ascii="Calibri" w:hAnsi="Calibri" w:cs="Calibri"/>
              </w:rPr>
              <w:t xml:space="preserve"> </w:t>
            </w:r>
            <w:r w:rsidRPr="00687A1C">
              <w:t>512</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68</w:t>
            </w:r>
            <w:r w:rsidR="00D8412D" w:rsidRPr="00687A1C">
              <w:rPr>
                <w:rFonts w:ascii="Calibri" w:hAnsi="Calibri" w:cs="Calibri"/>
              </w:rPr>
              <w:t xml:space="preserve"> </w:t>
            </w:r>
            <w:r w:rsidRPr="00687A1C">
              <w:t>907</w:t>
            </w:r>
          </w:p>
        </w:tc>
        <w:tc>
          <w:tcPr>
            <w:tcW w:w="571" w:type="pct"/>
            <w:shd w:val="clear" w:color="auto" w:fill="D9D9D9" w:themeFill="background1" w:themeFillShade="D9"/>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534</w:t>
            </w:r>
            <w:r w:rsidR="00D8412D" w:rsidRPr="00687A1C">
              <w:rPr>
                <w:rFonts w:ascii="Calibri" w:hAnsi="Calibri" w:cs="Calibri"/>
              </w:rPr>
              <w:t xml:space="preserve"> </w:t>
            </w:r>
            <w:r w:rsidRPr="00687A1C">
              <w:t>605</w:t>
            </w:r>
          </w:p>
        </w:tc>
      </w:tr>
      <w:tr w:rsidR="00174AEA" w:rsidRPr="00687A1C" w:rsidTr="008A3976">
        <w:trPr>
          <w:trHeight w:hRule="exact" w:val="120"/>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Buildings at fair value</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r w:rsidRPr="00687A1C">
              <w:t>Buildings (including heritage buildings)</w:t>
            </w:r>
          </w:p>
        </w:tc>
        <w:tc>
          <w:tcPr>
            <w:tcW w:w="571" w:type="pct"/>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183</w:t>
            </w:r>
            <w:r w:rsidR="00D8412D" w:rsidRPr="00687A1C">
              <w:t xml:space="preserve"> </w:t>
            </w:r>
            <w:r w:rsidRPr="00687A1C">
              <w:t>165</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D8412D">
            <w:pPr>
              <w:pStyle w:val="Tabletextright"/>
              <w:cnfStyle w:val="000000000000" w:firstRow="0" w:lastRow="0" w:firstColumn="0" w:lastColumn="0" w:oddVBand="0" w:evenVBand="0" w:oddHBand="0" w:evenHBand="0" w:firstRowFirstColumn="0" w:firstRowLastColumn="0" w:lastRowFirstColumn="0" w:lastRowLastColumn="0"/>
            </w:pPr>
            <w:r w:rsidRPr="00687A1C">
              <w:t>183</w:t>
            </w:r>
            <w:r w:rsidR="00D8412D" w:rsidRPr="00687A1C">
              <w:t xml:space="preserve"> </w:t>
            </w:r>
            <w:r w:rsidRPr="00687A1C">
              <w:t>165</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Total buildings at fair value</w:t>
            </w:r>
          </w:p>
        </w:tc>
        <w:tc>
          <w:tcPr>
            <w:tcW w:w="571" w:type="pct"/>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183</w:t>
            </w:r>
            <w:r w:rsidR="00D8412D" w:rsidRPr="00687A1C">
              <w:rPr>
                <w:rFonts w:ascii="Calibri" w:hAnsi="Calibri" w:cs="Calibri"/>
              </w:rPr>
              <w:t xml:space="preserve"> </w:t>
            </w:r>
            <w:r w:rsidRPr="00687A1C">
              <w:t>165</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D8412D">
            <w:pPr>
              <w:pStyle w:val="Tabletextrightbold"/>
              <w:cnfStyle w:val="000000000000" w:firstRow="0" w:lastRow="0" w:firstColumn="0" w:lastColumn="0" w:oddVBand="0" w:evenVBand="0" w:oddHBand="0" w:evenHBand="0" w:firstRowFirstColumn="0" w:firstRowLastColumn="0" w:lastRowFirstColumn="0" w:lastRowLastColumn="0"/>
            </w:pPr>
            <w:r w:rsidRPr="00687A1C">
              <w:t>183</w:t>
            </w:r>
            <w:r w:rsidR="00D8412D" w:rsidRPr="00687A1C">
              <w:rPr>
                <w:rFonts w:ascii="Calibri" w:hAnsi="Calibri" w:cs="Calibri"/>
              </w:rPr>
              <w:t xml:space="preserve"> </w:t>
            </w:r>
            <w:r w:rsidRPr="00687A1C">
              <w:t>165</w:t>
            </w:r>
          </w:p>
        </w:tc>
      </w:tr>
      <w:tr w:rsidR="00174AEA" w:rsidRPr="00687A1C" w:rsidTr="008A3976">
        <w:trPr>
          <w:trHeight w:hRule="exact" w:val="120"/>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Plant and equipment at fair value</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
            </w:pPr>
            <w:r w:rsidRPr="00687A1C">
              <w:t>Office and computer equipment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122</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8A3976">
            <w:pPr>
              <w:pStyle w:val="Tabletextright"/>
              <w:cnfStyle w:val="000000000000" w:firstRow="0" w:lastRow="0" w:firstColumn="0" w:lastColumn="0" w:oddVBand="0" w:evenVBand="0" w:oddHBand="0" w:evenHBand="0" w:firstRowFirstColumn="0" w:firstRowLastColumn="0" w:lastRowFirstColumn="0" w:lastRowLastColumn="0"/>
            </w:pPr>
            <w:r w:rsidRPr="00687A1C">
              <w:t>122</w:t>
            </w:r>
          </w:p>
        </w:tc>
      </w:tr>
      <w:tr w:rsidR="00174AEA" w:rsidRPr="00687A1C" w:rsidTr="008A3976">
        <w:trPr>
          <w:trHeight w:val="255"/>
        </w:trPr>
        <w:tc>
          <w:tcPr>
            <w:cnfStyle w:val="001000000000" w:firstRow="0" w:lastRow="0" w:firstColumn="1" w:lastColumn="0" w:oddVBand="0" w:evenVBand="0" w:oddHBand="0" w:evenHBand="0" w:firstRowFirstColumn="0" w:firstRowLastColumn="0" w:lastRowFirstColumn="0" w:lastRowLastColumn="0"/>
            <w:tcW w:w="2716" w:type="pct"/>
            <w:noWrap/>
          </w:tcPr>
          <w:p w:rsidR="00174AEA" w:rsidRPr="00687A1C" w:rsidRDefault="00174AEA" w:rsidP="008A3976">
            <w:pPr>
              <w:pStyle w:val="Tabletextbold"/>
            </w:pPr>
            <w:r w:rsidRPr="00687A1C">
              <w:t>Total plant and equipment at fair value</w:t>
            </w:r>
          </w:p>
        </w:tc>
        <w:tc>
          <w:tcPr>
            <w:tcW w:w="571" w:type="pct"/>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122</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571" w:type="pct"/>
            <w:shd w:val="clear" w:color="auto" w:fill="D9D9D9" w:themeFill="background1" w:themeFillShade="D9"/>
            <w:noWrap/>
            <w:vAlign w:val="bottom"/>
          </w:tcPr>
          <w:p w:rsidR="00174AEA" w:rsidRPr="00687A1C" w:rsidRDefault="00174AEA" w:rsidP="008A3976">
            <w:pPr>
              <w:pStyle w:val="Tabletextrightbold"/>
              <w:cnfStyle w:val="000000000000" w:firstRow="0" w:lastRow="0" w:firstColumn="0" w:lastColumn="0" w:oddVBand="0" w:evenVBand="0" w:oddHBand="0" w:evenHBand="0" w:firstRowFirstColumn="0" w:firstRowLastColumn="0" w:lastRowFirstColumn="0" w:lastRowLastColumn="0"/>
            </w:pPr>
            <w:r w:rsidRPr="00687A1C">
              <w:t>122</w:t>
            </w:r>
          </w:p>
        </w:tc>
      </w:tr>
    </w:tbl>
    <w:p w:rsidR="00174AEA" w:rsidRPr="00687A1C" w:rsidRDefault="00174AEA" w:rsidP="00174AEA"/>
    <w:p w:rsidR="00174AEA" w:rsidRPr="00687A1C" w:rsidRDefault="00174AEA" w:rsidP="00174AEA"/>
    <w:p w:rsidR="00174AEA" w:rsidRPr="00687A1C" w:rsidRDefault="00174AEA" w:rsidP="00174AEA">
      <w:pPr>
        <w:spacing w:before="0" w:after="0"/>
        <w:rPr>
          <w:b/>
          <w:color w:val="4D4D4D"/>
        </w:rPr>
      </w:pPr>
      <w:r w:rsidRPr="00687A1C">
        <w:br w:type="page"/>
      </w:r>
    </w:p>
    <w:p w:rsidR="00174AEA" w:rsidRPr="00687A1C" w:rsidRDefault="00174AEA" w:rsidP="00174AEA">
      <w:pPr>
        <w:pStyle w:val="Tableheading"/>
        <w:rPr>
          <w:color w:val="000000"/>
        </w:rPr>
      </w:pPr>
      <w:r w:rsidRPr="00687A1C">
        <w:lastRenderedPageBreak/>
        <w:t>Reconciliation of Level 3 fair value</w:t>
      </w:r>
    </w:p>
    <w:tbl>
      <w:tblPr>
        <w:tblW w:w="4311" w:type="pct"/>
        <w:tblLayout w:type="fixed"/>
        <w:tblCellMar>
          <w:left w:w="115" w:type="dxa"/>
          <w:right w:w="115" w:type="dxa"/>
        </w:tblCellMar>
        <w:tblLook w:val="04A0" w:firstRow="1" w:lastRow="0" w:firstColumn="1" w:lastColumn="0" w:noHBand="0" w:noVBand="1"/>
      </w:tblPr>
      <w:tblGrid>
        <w:gridCol w:w="3808"/>
        <w:gridCol w:w="1169"/>
        <w:gridCol w:w="1124"/>
        <w:gridCol w:w="1280"/>
        <w:gridCol w:w="1099"/>
      </w:tblGrid>
      <w:tr w:rsidR="00174AEA" w:rsidRPr="00687A1C" w:rsidTr="008A3976">
        <w:trPr>
          <w:trHeight w:val="1020"/>
        </w:trPr>
        <w:tc>
          <w:tcPr>
            <w:tcW w:w="2245" w:type="pct"/>
            <w:tcBorders>
              <w:top w:val="nil"/>
              <w:left w:val="nil"/>
              <w:bottom w:val="nil"/>
              <w:right w:val="nil"/>
            </w:tcBorders>
            <w:shd w:val="clear" w:color="auto" w:fill="auto"/>
            <w:noWrap/>
          </w:tcPr>
          <w:p w:rsidR="00174AEA" w:rsidRPr="00687A1C" w:rsidRDefault="00174AEA" w:rsidP="008A3976"/>
        </w:tc>
        <w:tc>
          <w:tcPr>
            <w:tcW w:w="689" w:type="pct"/>
            <w:tcBorders>
              <w:top w:val="nil"/>
              <w:left w:val="nil"/>
              <w:bottom w:val="nil"/>
              <w:right w:val="nil"/>
            </w:tcBorders>
            <w:shd w:val="clear" w:color="auto" w:fill="auto"/>
            <w:vAlign w:val="bottom"/>
          </w:tcPr>
          <w:p w:rsidR="00174AEA" w:rsidRPr="00687A1C" w:rsidRDefault="00174AEA" w:rsidP="008A3976">
            <w:pPr>
              <w:pStyle w:val="Tabletextheadingright"/>
            </w:pPr>
            <w:r w:rsidRPr="00687A1C">
              <w:t>Specialised land</w:t>
            </w:r>
          </w:p>
        </w:tc>
        <w:tc>
          <w:tcPr>
            <w:tcW w:w="663" w:type="pct"/>
            <w:tcBorders>
              <w:top w:val="nil"/>
              <w:left w:val="nil"/>
              <w:bottom w:val="nil"/>
              <w:right w:val="nil"/>
            </w:tcBorders>
            <w:shd w:val="clear" w:color="auto" w:fill="auto"/>
            <w:vAlign w:val="bottom"/>
          </w:tcPr>
          <w:p w:rsidR="00174AEA" w:rsidRPr="00687A1C" w:rsidRDefault="00174AEA" w:rsidP="008A3976">
            <w:pPr>
              <w:pStyle w:val="Tabletextheadingright"/>
            </w:pPr>
            <w:r w:rsidRPr="00687A1C">
              <w:t>Non</w:t>
            </w:r>
            <w:r w:rsidRPr="00687A1C">
              <w:noBreakHyphen/>
            </w:r>
            <w:r w:rsidRPr="00687A1C">
              <w:br/>
              <w:t>specialised land</w:t>
            </w:r>
          </w:p>
        </w:tc>
        <w:tc>
          <w:tcPr>
            <w:tcW w:w="755" w:type="pct"/>
            <w:tcBorders>
              <w:top w:val="nil"/>
              <w:left w:val="nil"/>
              <w:bottom w:val="nil"/>
              <w:right w:val="nil"/>
            </w:tcBorders>
            <w:shd w:val="clear" w:color="auto" w:fill="auto"/>
            <w:vAlign w:val="bottom"/>
          </w:tcPr>
          <w:p w:rsidR="00174AEA" w:rsidRPr="00687A1C" w:rsidRDefault="00174AEA" w:rsidP="008A3976">
            <w:pPr>
              <w:pStyle w:val="Tabletextheadingright"/>
            </w:pPr>
            <w:r w:rsidRPr="00687A1C">
              <w:t>Buildings (including heritage buildings)</w:t>
            </w:r>
          </w:p>
        </w:tc>
        <w:tc>
          <w:tcPr>
            <w:tcW w:w="648" w:type="pct"/>
            <w:tcBorders>
              <w:top w:val="nil"/>
              <w:left w:val="nil"/>
              <w:bottom w:val="nil"/>
              <w:right w:val="nil"/>
            </w:tcBorders>
            <w:shd w:val="clear" w:color="auto" w:fill="auto"/>
            <w:vAlign w:val="bottom"/>
          </w:tcPr>
          <w:p w:rsidR="00174AEA" w:rsidRPr="00687A1C" w:rsidRDefault="00174AEA" w:rsidP="008A3976">
            <w:pPr>
              <w:pStyle w:val="Tabletextheadingright"/>
            </w:pPr>
            <w:r w:rsidRPr="00687A1C">
              <w:t>Office and computer equipment</w:t>
            </w:r>
          </w:p>
        </w:tc>
      </w:tr>
      <w:tr w:rsidR="00174AEA" w:rsidRPr="00687A1C" w:rsidTr="008A3976">
        <w:trPr>
          <w:trHeight w:val="255"/>
        </w:trPr>
        <w:tc>
          <w:tcPr>
            <w:tcW w:w="2245" w:type="pct"/>
            <w:tcBorders>
              <w:top w:val="nil"/>
              <w:left w:val="nil"/>
              <w:bottom w:val="nil"/>
              <w:right w:val="nil"/>
            </w:tcBorders>
            <w:shd w:val="clear" w:color="auto" w:fill="auto"/>
            <w:hideMark/>
          </w:tcPr>
          <w:p w:rsidR="00174AEA" w:rsidRPr="00687A1C" w:rsidRDefault="00174AEA" w:rsidP="008A3976">
            <w:pPr>
              <w:pStyle w:val="Tabletextbold"/>
            </w:pPr>
            <w:r w:rsidRPr="00687A1C">
              <w:t>2018</w:t>
            </w:r>
          </w:p>
        </w:tc>
        <w:tc>
          <w:tcPr>
            <w:tcW w:w="689" w:type="pct"/>
            <w:tcBorders>
              <w:top w:val="nil"/>
              <w:left w:val="nil"/>
              <w:bottom w:val="nil"/>
              <w:right w:val="nil"/>
            </w:tcBorders>
            <w:shd w:val="clear" w:color="auto" w:fill="auto"/>
            <w:hideMark/>
          </w:tcPr>
          <w:p w:rsidR="00174AEA" w:rsidRPr="00687A1C" w:rsidRDefault="00174AEA" w:rsidP="008A3976">
            <w:pPr>
              <w:pStyle w:val="Tabletextheadingright"/>
              <w:rPr>
                <w:bCs/>
              </w:rPr>
            </w:pPr>
            <w:r w:rsidRPr="00687A1C">
              <w:rPr>
                <w:bCs/>
              </w:rPr>
              <w:t>$’000</w:t>
            </w:r>
          </w:p>
        </w:tc>
        <w:tc>
          <w:tcPr>
            <w:tcW w:w="663" w:type="pct"/>
            <w:tcBorders>
              <w:top w:val="nil"/>
              <w:left w:val="nil"/>
              <w:bottom w:val="nil"/>
              <w:right w:val="nil"/>
            </w:tcBorders>
            <w:shd w:val="clear" w:color="auto" w:fill="auto"/>
            <w:hideMark/>
          </w:tcPr>
          <w:p w:rsidR="00174AEA" w:rsidRPr="00687A1C" w:rsidRDefault="00174AEA" w:rsidP="008A3976">
            <w:pPr>
              <w:pStyle w:val="Tabletextheadingright"/>
              <w:rPr>
                <w:bCs/>
              </w:rPr>
            </w:pPr>
            <w:r w:rsidRPr="00687A1C">
              <w:rPr>
                <w:bCs/>
              </w:rPr>
              <w:t>$’000</w:t>
            </w:r>
          </w:p>
        </w:tc>
        <w:tc>
          <w:tcPr>
            <w:tcW w:w="755" w:type="pct"/>
            <w:tcBorders>
              <w:top w:val="nil"/>
              <w:left w:val="nil"/>
              <w:bottom w:val="nil"/>
              <w:right w:val="nil"/>
            </w:tcBorders>
            <w:shd w:val="clear" w:color="auto" w:fill="auto"/>
            <w:hideMark/>
          </w:tcPr>
          <w:p w:rsidR="00174AEA" w:rsidRPr="00687A1C" w:rsidRDefault="00174AEA" w:rsidP="008A3976">
            <w:pPr>
              <w:pStyle w:val="Tabletextheadingright"/>
              <w:rPr>
                <w:bCs/>
              </w:rPr>
            </w:pPr>
            <w:r w:rsidRPr="00687A1C">
              <w:rPr>
                <w:bCs/>
              </w:rPr>
              <w:t>$’000</w:t>
            </w:r>
          </w:p>
        </w:tc>
        <w:tc>
          <w:tcPr>
            <w:tcW w:w="648" w:type="pct"/>
            <w:tcBorders>
              <w:top w:val="nil"/>
              <w:left w:val="nil"/>
              <w:bottom w:val="nil"/>
              <w:right w:val="nil"/>
            </w:tcBorders>
            <w:shd w:val="clear" w:color="auto" w:fill="auto"/>
            <w:hideMark/>
          </w:tcPr>
          <w:p w:rsidR="00174AEA" w:rsidRPr="00687A1C" w:rsidRDefault="00174AEA" w:rsidP="008A3976">
            <w:pPr>
              <w:pStyle w:val="Tabletextheadingright"/>
              <w:rPr>
                <w:bCs/>
              </w:rPr>
            </w:pPr>
            <w:r w:rsidRPr="00687A1C">
              <w:rPr>
                <w:bCs/>
              </w:rPr>
              <w:t>$’000</w:t>
            </w:r>
          </w:p>
        </w:tc>
      </w:tr>
      <w:tr w:rsidR="00174AEA" w:rsidRPr="00687A1C" w:rsidTr="008A3976">
        <w:trPr>
          <w:trHeight w:val="270"/>
        </w:trPr>
        <w:tc>
          <w:tcPr>
            <w:tcW w:w="2245" w:type="pct"/>
            <w:tcBorders>
              <w:top w:val="nil"/>
              <w:left w:val="nil"/>
              <w:bottom w:val="nil"/>
              <w:right w:val="nil"/>
            </w:tcBorders>
            <w:shd w:val="clear" w:color="auto" w:fill="auto"/>
            <w:vAlign w:val="bottom"/>
          </w:tcPr>
          <w:p w:rsidR="00174AEA" w:rsidRPr="00687A1C" w:rsidRDefault="00174AEA" w:rsidP="008A3976">
            <w:pPr>
              <w:pStyle w:val="Tabletext"/>
              <w:rPr>
                <w:b/>
              </w:rPr>
            </w:pPr>
            <w:r w:rsidRPr="00687A1C">
              <w:rPr>
                <w:b/>
              </w:rPr>
              <w:t>Opening balance</w:t>
            </w:r>
          </w:p>
        </w:tc>
        <w:tc>
          <w:tcPr>
            <w:tcW w:w="689"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534</w:t>
            </w:r>
            <w:r w:rsidR="00D8412D" w:rsidRPr="00687A1C">
              <w:rPr>
                <w:rFonts w:ascii="Calibri" w:hAnsi="Calibri" w:cs="Courier New"/>
              </w:rPr>
              <w:t xml:space="preserve"> </w:t>
            </w:r>
            <w:r w:rsidRPr="00687A1C">
              <w:t>605</w:t>
            </w:r>
          </w:p>
        </w:tc>
        <w:tc>
          <w:tcPr>
            <w:tcW w:w="663"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183</w:t>
            </w:r>
            <w:r w:rsidR="00D8412D" w:rsidRPr="00687A1C">
              <w:rPr>
                <w:rFonts w:ascii="Calibri" w:hAnsi="Calibri" w:cs="Courier New"/>
              </w:rPr>
              <w:t xml:space="preserve"> </w:t>
            </w:r>
            <w:r w:rsidRPr="00687A1C">
              <w:t>165</w:t>
            </w:r>
          </w:p>
        </w:tc>
        <w:tc>
          <w:tcPr>
            <w:tcW w:w="648"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122</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Net purchases/(sales)</w:t>
            </w:r>
          </w:p>
        </w:tc>
        <w:tc>
          <w:tcPr>
            <w:tcW w:w="689" w:type="pct"/>
            <w:tcBorders>
              <w:top w:val="nil"/>
              <w:left w:val="nil"/>
              <w:bottom w:val="nil"/>
              <w:right w:val="nil"/>
            </w:tcBorders>
            <w:shd w:val="clear" w:color="auto" w:fill="D9D9D9"/>
            <w:vAlign w:val="bottom"/>
          </w:tcPr>
          <w:p w:rsidR="00174AEA" w:rsidRPr="00687A1C" w:rsidRDefault="00174AEA" w:rsidP="00677BF0">
            <w:pPr>
              <w:pStyle w:val="Tabletextright"/>
            </w:pPr>
            <w:r w:rsidRPr="00687A1C">
              <w:t>(18)</w:t>
            </w:r>
          </w:p>
        </w:tc>
        <w:tc>
          <w:tcPr>
            <w:tcW w:w="663"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w:t>
            </w:r>
          </w:p>
        </w:tc>
        <w:tc>
          <w:tcPr>
            <w:tcW w:w="755" w:type="pct"/>
            <w:tcBorders>
              <w:top w:val="nil"/>
              <w:left w:val="nil"/>
              <w:bottom w:val="nil"/>
              <w:right w:val="nil"/>
            </w:tcBorders>
            <w:shd w:val="clear" w:color="auto" w:fill="D9D9D9"/>
          </w:tcPr>
          <w:p w:rsidR="00174AEA" w:rsidRPr="00687A1C" w:rsidRDefault="00174AEA" w:rsidP="00677BF0">
            <w:pPr>
              <w:pStyle w:val="Tabletextright"/>
            </w:pPr>
            <w:r w:rsidRPr="00687A1C">
              <w:t>–</w:t>
            </w:r>
          </w:p>
        </w:tc>
        <w:tc>
          <w:tcPr>
            <w:tcW w:w="648" w:type="pct"/>
            <w:tcBorders>
              <w:top w:val="nil"/>
              <w:left w:val="nil"/>
              <w:bottom w:val="nil"/>
              <w:right w:val="nil"/>
            </w:tcBorders>
            <w:shd w:val="clear" w:color="auto" w:fill="auto"/>
            <w:vAlign w:val="bottom"/>
          </w:tcPr>
          <w:p w:rsidR="00174AEA" w:rsidRPr="00687A1C" w:rsidRDefault="00677BF0" w:rsidP="00677BF0">
            <w:pPr>
              <w:pStyle w:val="Tabletextright"/>
            </w:pPr>
            <w:r w:rsidRPr="00687A1C">
              <w:t>562</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Transfers through contributed capital</w:t>
            </w:r>
          </w:p>
        </w:tc>
        <w:tc>
          <w:tcPr>
            <w:tcW w:w="689" w:type="pct"/>
            <w:tcBorders>
              <w:top w:val="nil"/>
              <w:left w:val="nil"/>
              <w:bottom w:val="nil"/>
              <w:right w:val="nil"/>
            </w:tcBorders>
            <w:shd w:val="clear" w:color="auto" w:fill="D9D9D9"/>
            <w:vAlign w:val="bottom"/>
          </w:tcPr>
          <w:p w:rsidR="00174AEA" w:rsidRPr="00687A1C" w:rsidRDefault="00174AEA" w:rsidP="00677BF0">
            <w:pPr>
              <w:pStyle w:val="Tabletextright"/>
            </w:pPr>
            <w:r w:rsidRPr="00687A1C">
              <w:t>(612)</w:t>
            </w:r>
          </w:p>
        </w:tc>
        <w:tc>
          <w:tcPr>
            <w:tcW w:w="663"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w:t>
            </w:r>
          </w:p>
        </w:tc>
        <w:tc>
          <w:tcPr>
            <w:tcW w:w="755" w:type="pct"/>
            <w:tcBorders>
              <w:top w:val="nil"/>
              <w:left w:val="nil"/>
              <w:bottom w:val="nil"/>
              <w:right w:val="nil"/>
            </w:tcBorders>
            <w:shd w:val="clear" w:color="auto" w:fill="D9D9D9"/>
          </w:tcPr>
          <w:p w:rsidR="00174AEA" w:rsidRPr="00687A1C" w:rsidRDefault="00174AEA" w:rsidP="00677BF0">
            <w:pPr>
              <w:pStyle w:val="Tabletextright"/>
            </w:pPr>
            <w:r w:rsidRPr="00687A1C">
              <w:t>–</w:t>
            </w:r>
          </w:p>
        </w:tc>
        <w:tc>
          <w:tcPr>
            <w:tcW w:w="648" w:type="pct"/>
            <w:tcBorders>
              <w:top w:val="nil"/>
              <w:left w:val="nil"/>
              <w:bottom w:val="nil"/>
              <w:right w:val="nil"/>
            </w:tcBorders>
            <w:shd w:val="clear" w:color="auto" w:fill="auto"/>
          </w:tcPr>
          <w:p w:rsidR="00174AEA" w:rsidRPr="00687A1C" w:rsidRDefault="00174AEA" w:rsidP="00677BF0">
            <w:pPr>
              <w:pStyle w:val="Tabletextright"/>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Transfers between classes</w:t>
            </w:r>
          </w:p>
        </w:tc>
        <w:tc>
          <w:tcPr>
            <w:tcW w:w="689"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6</w:t>
            </w:r>
            <w:r w:rsidR="00D8412D" w:rsidRPr="00687A1C">
              <w:rPr>
                <w:rFonts w:ascii="Calibri" w:hAnsi="Calibri" w:cs="Courier New"/>
              </w:rPr>
              <w:t xml:space="preserve"> </w:t>
            </w:r>
            <w:r w:rsidRPr="00687A1C">
              <w:t>669</w:t>
            </w:r>
          </w:p>
        </w:tc>
        <w:tc>
          <w:tcPr>
            <w:tcW w:w="663"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(1</w:t>
            </w:r>
            <w:r w:rsidR="00D8412D" w:rsidRPr="00687A1C">
              <w:rPr>
                <w:rFonts w:ascii="Calibri" w:hAnsi="Calibri" w:cs="Courier New"/>
              </w:rPr>
              <w:t xml:space="preserve"> </w:t>
            </w:r>
            <w:r w:rsidRPr="00687A1C">
              <w:t>615)</w:t>
            </w:r>
          </w:p>
        </w:tc>
        <w:tc>
          <w:tcPr>
            <w:tcW w:w="648" w:type="pct"/>
            <w:tcBorders>
              <w:top w:val="nil"/>
              <w:left w:val="nil"/>
              <w:bottom w:val="nil"/>
              <w:right w:val="nil"/>
            </w:tcBorders>
            <w:shd w:val="clear" w:color="auto" w:fill="auto"/>
          </w:tcPr>
          <w:p w:rsidR="00174AEA" w:rsidRPr="00687A1C" w:rsidRDefault="00873A92" w:rsidP="00677BF0">
            <w:pPr>
              <w:pStyle w:val="Tabletextright"/>
            </w:pPr>
            <w:r w:rsidRPr="00687A1C">
              <w:t>80</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Transfers from/(to) held for sale</w:t>
            </w:r>
          </w:p>
        </w:tc>
        <w:tc>
          <w:tcPr>
            <w:tcW w:w="689" w:type="pct"/>
            <w:tcBorders>
              <w:top w:val="nil"/>
              <w:left w:val="nil"/>
              <w:bottom w:val="nil"/>
              <w:right w:val="nil"/>
            </w:tcBorders>
            <w:shd w:val="clear" w:color="auto" w:fill="D9D9D9"/>
            <w:vAlign w:val="bottom"/>
          </w:tcPr>
          <w:p w:rsidR="00174AEA" w:rsidRPr="00687A1C" w:rsidRDefault="00174AEA" w:rsidP="00677BF0">
            <w:pPr>
              <w:pStyle w:val="Tabletextright"/>
            </w:pPr>
            <w:r w:rsidRPr="00687A1C">
              <w:t>(7</w:t>
            </w:r>
            <w:r w:rsidR="00C627AE" w:rsidRPr="00687A1C">
              <w:t xml:space="preserve"> </w:t>
            </w:r>
            <w:r w:rsidRPr="00687A1C">
              <w:t>000)</w:t>
            </w:r>
          </w:p>
        </w:tc>
        <w:tc>
          <w:tcPr>
            <w:tcW w:w="663"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w:t>
            </w:r>
          </w:p>
        </w:tc>
        <w:tc>
          <w:tcPr>
            <w:tcW w:w="755" w:type="pct"/>
            <w:tcBorders>
              <w:top w:val="nil"/>
              <w:left w:val="nil"/>
              <w:bottom w:val="nil"/>
              <w:right w:val="nil"/>
            </w:tcBorders>
            <w:shd w:val="clear" w:color="auto" w:fill="D9D9D9"/>
          </w:tcPr>
          <w:p w:rsidR="00174AEA" w:rsidRPr="00687A1C" w:rsidRDefault="00174AEA" w:rsidP="00677BF0">
            <w:pPr>
              <w:pStyle w:val="Tabletextright"/>
            </w:pPr>
            <w:r w:rsidRPr="00687A1C">
              <w:t>–</w:t>
            </w:r>
          </w:p>
        </w:tc>
        <w:tc>
          <w:tcPr>
            <w:tcW w:w="648" w:type="pct"/>
            <w:tcBorders>
              <w:top w:val="nil"/>
              <w:left w:val="nil"/>
              <w:bottom w:val="nil"/>
              <w:right w:val="nil"/>
            </w:tcBorders>
            <w:shd w:val="clear" w:color="auto" w:fill="auto"/>
          </w:tcPr>
          <w:p w:rsidR="00174AEA" w:rsidRPr="00687A1C" w:rsidRDefault="00174AEA" w:rsidP="00677BF0">
            <w:pPr>
              <w:pStyle w:val="Tabletextright"/>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Depreciation</w:t>
            </w:r>
          </w:p>
        </w:tc>
        <w:tc>
          <w:tcPr>
            <w:tcW w:w="689" w:type="pct"/>
            <w:tcBorders>
              <w:top w:val="nil"/>
              <w:left w:val="nil"/>
              <w:bottom w:val="nil"/>
              <w:right w:val="nil"/>
            </w:tcBorders>
            <w:shd w:val="clear" w:color="auto" w:fill="D9D9D9"/>
            <w:vAlign w:val="bottom"/>
          </w:tcPr>
          <w:p w:rsidR="00174AEA" w:rsidRPr="00687A1C" w:rsidRDefault="00174AEA" w:rsidP="00677BF0">
            <w:pPr>
              <w:pStyle w:val="Tabletextright"/>
            </w:pPr>
            <w:r w:rsidRPr="00687A1C">
              <w:t>–</w:t>
            </w:r>
          </w:p>
        </w:tc>
        <w:tc>
          <w:tcPr>
            <w:tcW w:w="663"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(11</w:t>
            </w:r>
            <w:r w:rsidR="00D8412D" w:rsidRPr="00687A1C">
              <w:rPr>
                <w:rFonts w:ascii="Calibri" w:hAnsi="Calibri" w:cs="Courier New"/>
              </w:rPr>
              <w:t xml:space="preserve"> </w:t>
            </w:r>
            <w:r w:rsidRPr="00687A1C">
              <w:t>982)</w:t>
            </w:r>
          </w:p>
        </w:tc>
        <w:tc>
          <w:tcPr>
            <w:tcW w:w="648" w:type="pct"/>
            <w:tcBorders>
              <w:top w:val="nil"/>
              <w:left w:val="nil"/>
              <w:bottom w:val="nil"/>
              <w:right w:val="nil"/>
            </w:tcBorders>
            <w:shd w:val="clear" w:color="auto" w:fill="auto"/>
            <w:vAlign w:val="bottom"/>
          </w:tcPr>
          <w:p w:rsidR="00174AEA" w:rsidRPr="00687A1C" w:rsidRDefault="00174AEA" w:rsidP="00677BF0">
            <w:pPr>
              <w:pStyle w:val="Tabletextright"/>
            </w:pPr>
            <w:r w:rsidRPr="00687A1C">
              <w:t>(7</w:t>
            </w:r>
            <w:r w:rsidR="00677BF0" w:rsidRPr="00687A1C">
              <w:t>1</w:t>
            </w: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hideMark/>
          </w:tcPr>
          <w:p w:rsidR="00174AEA" w:rsidRPr="00687A1C" w:rsidRDefault="00174AEA" w:rsidP="008A3976">
            <w:pPr>
              <w:pStyle w:val="Tabletext"/>
              <w:rPr>
                <w:b/>
              </w:rPr>
            </w:pPr>
            <w:r w:rsidRPr="00687A1C">
              <w:rPr>
                <w:b/>
              </w:rPr>
              <w:t>Closing balance</w:t>
            </w:r>
          </w:p>
        </w:tc>
        <w:tc>
          <w:tcPr>
            <w:tcW w:w="689" w:type="pct"/>
            <w:tcBorders>
              <w:top w:val="nil"/>
              <w:left w:val="nil"/>
              <w:bottom w:val="nil"/>
              <w:right w:val="nil"/>
            </w:tcBorders>
            <w:shd w:val="clear" w:color="auto" w:fill="D9D9D9" w:themeFill="background1" w:themeFillShade="D9"/>
            <w:vAlign w:val="bottom"/>
          </w:tcPr>
          <w:p w:rsidR="00174AEA" w:rsidRPr="00687A1C" w:rsidRDefault="00174AEA" w:rsidP="00D8412D">
            <w:pPr>
              <w:pStyle w:val="Tabletextright"/>
            </w:pPr>
            <w:r w:rsidRPr="00687A1C">
              <w:rPr>
                <w:b/>
              </w:rPr>
              <w:t>533</w:t>
            </w:r>
            <w:r w:rsidR="00D8412D" w:rsidRPr="00687A1C">
              <w:rPr>
                <w:b/>
              </w:rPr>
              <w:t xml:space="preserve"> </w:t>
            </w:r>
            <w:r w:rsidRPr="00687A1C">
              <w:rPr>
                <w:b/>
              </w:rPr>
              <w:t>644</w:t>
            </w:r>
          </w:p>
        </w:tc>
        <w:tc>
          <w:tcPr>
            <w:tcW w:w="663" w:type="pct"/>
            <w:tcBorders>
              <w:top w:val="nil"/>
              <w:left w:val="nil"/>
              <w:bottom w:val="nil"/>
              <w:right w:val="nil"/>
            </w:tcBorders>
            <w:shd w:val="clear" w:color="auto" w:fill="auto"/>
            <w:vAlign w:val="bottom"/>
          </w:tcPr>
          <w:p w:rsidR="00174AEA" w:rsidRPr="00687A1C" w:rsidRDefault="00174AEA" w:rsidP="008A3976">
            <w:pPr>
              <w:pStyle w:val="Tabletextright"/>
              <w:rPr>
                <w:b/>
              </w:rPr>
            </w:pPr>
            <w:r w:rsidRPr="00687A1C">
              <w:rPr>
                <w:b/>
              </w:rPr>
              <w:t>–</w:t>
            </w:r>
          </w:p>
        </w:tc>
        <w:tc>
          <w:tcPr>
            <w:tcW w:w="755" w:type="pct"/>
            <w:tcBorders>
              <w:top w:val="nil"/>
              <w:left w:val="nil"/>
              <w:bottom w:val="nil"/>
              <w:right w:val="nil"/>
            </w:tcBorders>
            <w:shd w:val="clear" w:color="auto" w:fill="D9D9D9" w:themeFill="background1" w:themeFillShade="D9"/>
            <w:vAlign w:val="bottom"/>
          </w:tcPr>
          <w:p w:rsidR="00174AEA" w:rsidRPr="00687A1C" w:rsidRDefault="00174AEA" w:rsidP="00D8412D">
            <w:pPr>
              <w:pStyle w:val="Tabletextright"/>
            </w:pPr>
            <w:r w:rsidRPr="00687A1C">
              <w:rPr>
                <w:b/>
              </w:rPr>
              <w:t>169</w:t>
            </w:r>
            <w:r w:rsidR="00D8412D" w:rsidRPr="00687A1C">
              <w:rPr>
                <w:b/>
              </w:rPr>
              <w:t xml:space="preserve"> </w:t>
            </w:r>
            <w:r w:rsidRPr="00687A1C">
              <w:rPr>
                <w:b/>
              </w:rPr>
              <w:t>568</w:t>
            </w:r>
          </w:p>
        </w:tc>
        <w:tc>
          <w:tcPr>
            <w:tcW w:w="648" w:type="pct"/>
            <w:tcBorders>
              <w:top w:val="nil"/>
              <w:left w:val="nil"/>
              <w:bottom w:val="nil"/>
              <w:right w:val="nil"/>
            </w:tcBorders>
            <w:shd w:val="clear" w:color="auto" w:fill="auto"/>
            <w:vAlign w:val="bottom"/>
          </w:tcPr>
          <w:p w:rsidR="00174AEA" w:rsidRPr="00687A1C" w:rsidRDefault="00174AEA" w:rsidP="008A3976">
            <w:pPr>
              <w:pStyle w:val="Tabletextright"/>
              <w:rPr>
                <w:b/>
              </w:rPr>
            </w:pPr>
            <w:r w:rsidRPr="00687A1C">
              <w:rPr>
                <w:b/>
              </w:rPr>
              <w:t>693</w:t>
            </w:r>
          </w:p>
        </w:tc>
      </w:tr>
      <w:tr w:rsidR="00174AEA" w:rsidRPr="00687A1C" w:rsidTr="008A3976">
        <w:trPr>
          <w:trHeight w:val="270"/>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p>
        </w:tc>
        <w:tc>
          <w:tcPr>
            <w:tcW w:w="689" w:type="pct"/>
            <w:tcBorders>
              <w:top w:val="nil"/>
              <w:left w:val="nil"/>
              <w:bottom w:val="nil"/>
              <w:right w:val="nil"/>
            </w:tcBorders>
            <w:shd w:val="clear" w:color="auto" w:fill="FFFFFF" w:themeFill="background1"/>
            <w:vAlign w:val="bottom"/>
          </w:tcPr>
          <w:p w:rsidR="00174AEA" w:rsidRPr="00687A1C" w:rsidRDefault="00174AEA" w:rsidP="008A3976">
            <w:pPr>
              <w:pStyle w:val="Tabletextright"/>
            </w:pPr>
          </w:p>
        </w:tc>
        <w:tc>
          <w:tcPr>
            <w:tcW w:w="663" w:type="pct"/>
            <w:tcBorders>
              <w:top w:val="nil"/>
              <w:left w:val="nil"/>
              <w:bottom w:val="nil"/>
              <w:right w:val="nil"/>
            </w:tcBorders>
            <w:shd w:val="clear" w:color="auto" w:fill="FFFFFF" w:themeFill="background1"/>
            <w:vAlign w:val="bottom"/>
          </w:tcPr>
          <w:p w:rsidR="00174AEA" w:rsidRPr="00687A1C" w:rsidRDefault="00174AEA" w:rsidP="008A3976">
            <w:pPr>
              <w:pStyle w:val="Tabletextright"/>
            </w:pPr>
          </w:p>
        </w:tc>
        <w:tc>
          <w:tcPr>
            <w:tcW w:w="755" w:type="pct"/>
            <w:tcBorders>
              <w:top w:val="nil"/>
              <w:left w:val="nil"/>
              <w:bottom w:val="nil"/>
              <w:right w:val="nil"/>
            </w:tcBorders>
            <w:shd w:val="clear" w:color="auto" w:fill="FFFFFF" w:themeFill="background1"/>
            <w:vAlign w:val="bottom"/>
          </w:tcPr>
          <w:p w:rsidR="00174AEA" w:rsidRPr="00687A1C" w:rsidRDefault="00174AEA" w:rsidP="008A3976">
            <w:pPr>
              <w:pStyle w:val="Tabletextright"/>
            </w:pPr>
          </w:p>
        </w:tc>
        <w:tc>
          <w:tcPr>
            <w:tcW w:w="648" w:type="pct"/>
            <w:tcBorders>
              <w:top w:val="nil"/>
              <w:left w:val="nil"/>
              <w:bottom w:val="nil"/>
              <w:right w:val="nil"/>
            </w:tcBorders>
            <w:shd w:val="clear" w:color="auto" w:fill="auto"/>
            <w:vAlign w:val="bottom"/>
          </w:tcPr>
          <w:p w:rsidR="00174AEA" w:rsidRPr="00687A1C" w:rsidRDefault="00174AEA" w:rsidP="008A3976">
            <w:pPr>
              <w:pStyle w:val="Tabletextright"/>
            </w:pP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rPr>
                <w:b/>
              </w:rPr>
            </w:pPr>
            <w:r w:rsidRPr="00687A1C">
              <w:rPr>
                <w:b/>
              </w:rPr>
              <w:t>2017</w:t>
            </w:r>
          </w:p>
        </w:tc>
        <w:tc>
          <w:tcPr>
            <w:tcW w:w="689" w:type="pct"/>
            <w:tcBorders>
              <w:top w:val="nil"/>
              <w:left w:val="nil"/>
              <w:bottom w:val="nil"/>
              <w:right w:val="nil"/>
            </w:tcBorders>
            <w:shd w:val="clear" w:color="auto" w:fill="FFFFFF" w:themeFill="background1"/>
            <w:vAlign w:val="bottom"/>
          </w:tcPr>
          <w:p w:rsidR="00174AEA" w:rsidRPr="00687A1C" w:rsidRDefault="00174AEA" w:rsidP="008A3976">
            <w:pPr>
              <w:pStyle w:val="Tabletextright"/>
            </w:pPr>
          </w:p>
        </w:tc>
        <w:tc>
          <w:tcPr>
            <w:tcW w:w="663" w:type="pct"/>
            <w:tcBorders>
              <w:top w:val="nil"/>
              <w:left w:val="nil"/>
              <w:bottom w:val="nil"/>
              <w:right w:val="nil"/>
            </w:tcBorders>
            <w:shd w:val="clear" w:color="auto" w:fill="FFFFFF" w:themeFill="background1"/>
            <w:vAlign w:val="bottom"/>
          </w:tcPr>
          <w:p w:rsidR="00174AEA" w:rsidRPr="00687A1C" w:rsidRDefault="00174AEA" w:rsidP="008A3976">
            <w:pPr>
              <w:pStyle w:val="Tabletextright"/>
            </w:pPr>
          </w:p>
        </w:tc>
        <w:tc>
          <w:tcPr>
            <w:tcW w:w="755" w:type="pct"/>
            <w:tcBorders>
              <w:top w:val="nil"/>
              <w:left w:val="nil"/>
              <w:bottom w:val="nil"/>
              <w:right w:val="nil"/>
            </w:tcBorders>
            <w:shd w:val="clear" w:color="auto" w:fill="FFFFFF" w:themeFill="background1"/>
            <w:vAlign w:val="bottom"/>
          </w:tcPr>
          <w:p w:rsidR="00174AEA" w:rsidRPr="00687A1C" w:rsidRDefault="00174AEA" w:rsidP="008A3976">
            <w:pPr>
              <w:pStyle w:val="Tabletextright"/>
            </w:pPr>
          </w:p>
        </w:tc>
        <w:tc>
          <w:tcPr>
            <w:tcW w:w="648" w:type="pct"/>
            <w:tcBorders>
              <w:top w:val="nil"/>
              <w:left w:val="nil"/>
              <w:bottom w:val="nil"/>
              <w:right w:val="nil"/>
            </w:tcBorders>
            <w:shd w:val="clear" w:color="auto" w:fill="auto"/>
            <w:vAlign w:val="bottom"/>
          </w:tcPr>
          <w:p w:rsidR="00174AEA" w:rsidRPr="00687A1C" w:rsidRDefault="00174AEA" w:rsidP="008A3976">
            <w:pPr>
              <w:pStyle w:val="Tabletextright"/>
            </w:pP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bold"/>
            </w:pPr>
            <w:r w:rsidRPr="00687A1C">
              <w:t>Opening balance</w:t>
            </w:r>
          </w:p>
        </w:tc>
        <w:tc>
          <w:tcPr>
            <w:tcW w:w="689" w:type="pct"/>
            <w:tcBorders>
              <w:top w:val="nil"/>
              <w:left w:val="nil"/>
              <w:bottom w:val="nil"/>
              <w:right w:val="nil"/>
            </w:tcBorders>
            <w:shd w:val="clear" w:color="auto" w:fill="D9D9D9" w:themeFill="background1" w:themeFillShade="D9"/>
            <w:vAlign w:val="bottom"/>
          </w:tcPr>
          <w:p w:rsidR="00174AEA" w:rsidRPr="00687A1C" w:rsidRDefault="00174AEA" w:rsidP="00D8412D">
            <w:pPr>
              <w:pStyle w:val="Tabletextright"/>
            </w:pPr>
            <w:r w:rsidRPr="00687A1C">
              <w:rPr>
                <w:b/>
              </w:rPr>
              <w:t>404</w:t>
            </w:r>
            <w:r w:rsidR="00D8412D" w:rsidRPr="00687A1C">
              <w:rPr>
                <w:b/>
              </w:rPr>
              <w:t xml:space="preserve"> </w:t>
            </w:r>
            <w:r w:rsidRPr="00687A1C">
              <w:rPr>
                <w:b/>
              </w:rPr>
              <w:t>558</w:t>
            </w:r>
          </w:p>
        </w:tc>
        <w:tc>
          <w:tcPr>
            <w:tcW w:w="663" w:type="pct"/>
            <w:tcBorders>
              <w:top w:val="nil"/>
              <w:left w:val="nil"/>
              <w:bottom w:val="nil"/>
              <w:right w:val="nil"/>
            </w:tcBorders>
            <w:shd w:val="clear" w:color="auto" w:fill="auto"/>
            <w:vAlign w:val="bottom"/>
          </w:tcPr>
          <w:p w:rsidR="00174AEA" w:rsidRPr="00687A1C" w:rsidRDefault="00174AEA" w:rsidP="00D8412D">
            <w:pPr>
              <w:pStyle w:val="Tabletextright"/>
            </w:pPr>
            <w:r w:rsidRPr="00687A1C">
              <w:rPr>
                <w:b/>
              </w:rPr>
              <w:t>17</w:t>
            </w:r>
            <w:r w:rsidR="00D8412D" w:rsidRPr="00687A1C">
              <w:rPr>
                <w:b/>
              </w:rPr>
              <w:t xml:space="preserve"> </w:t>
            </w:r>
            <w:r w:rsidRPr="00687A1C">
              <w:rPr>
                <w:b/>
              </w:rPr>
              <w:t>302</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rPr>
                <w:b/>
              </w:rPr>
              <w:t>120</w:t>
            </w:r>
            <w:r w:rsidR="00D8412D" w:rsidRPr="00687A1C">
              <w:rPr>
                <w:b/>
              </w:rPr>
              <w:t xml:space="preserve"> </w:t>
            </w:r>
            <w:r w:rsidRPr="00687A1C">
              <w:rPr>
                <w:b/>
              </w:rPr>
              <w:t>582</w:t>
            </w:r>
          </w:p>
        </w:tc>
        <w:tc>
          <w:tcPr>
            <w:tcW w:w="648" w:type="pct"/>
            <w:tcBorders>
              <w:top w:val="nil"/>
              <w:left w:val="nil"/>
              <w:bottom w:val="nil"/>
              <w:right w:val="nil"/>
            </w:tcBorders>
            <w:shd w:val="clear" w:color="auto" w:fill="auto"/>
            <w:vAlign w:val="bottom"/>
          </w:tcPr>
          <w:p w:rsidR="00174AEA" w:rsidRPr="00687A1C" w:rsidRDefault="00174AEA" w:rsidP="008A3976">
            <w:pPr>
              <w:pStyle w:val="Tabletextright"/>
            </w:pPr>
            <w:r w:rsidRPr="00687A1C">
              <w:rPr>
                <w:b/>
              </w:rPr>
              <w:t>764</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Net purchases/(sales)</w:t>
            </w:r>
          </w:p>
        </w:tc>
        <w:tc>
          <w:tcPr>
            <w:tcW w:w="689" w:type="pct"/>
            <w:tcBorders>
              <w:top w:val="nil"/>
              <w:left w:val="nil"/>
              <w:bottom w:val="nil"/>
              <w:right w:val="nil"/>
            </w:tcBorders>
            <w:shd w:val="clear" w:color="auto" w:fill="D9D9D9"/>
            <w:vAlign w:val="bottom"/>
          </w:tcPr>
          <w:p w:rsidR="00174AEA" w:rsidRPr="00687A1C" w:rsidRDefault="00174AEA" w:rsidP="008A3976">
            <w:pPr>
              <w:pStyle w:val="Tabletextright"/>
            </w:pPr>
            <w:r w:rsidRPr="00687A1C">
              <w:t>–</w:t>
            </w:r>
          </w:p>
        </w:tc>
        <w:tc>
          <w:tcPr>
            <w:tcW w:w="663" w:type="pct"/>
            <w:tcBorders>
              <w:top w:val="nil"/>
              <w:left w:val="nil"/>
              <w:bottom w:val="nil"/>
              <w:right w:val="nil"/>
            </w:tcBorders>
            <w:shd w:val="clear" w:color="auto" w:fill="auto"/>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1</w:t>
            </w:r>
            <w:r w:rsidR="00D8412D" w:rsidRPr="00687A1C">
              <w:t xml:space="preserve"> </w:t>
            </w:r>
            <w:r w:rsidRPr="00687A1C">
              <w:t>958</w:t>
            </w:r>
          </w:p>
        </w:tc>
        <w:tc>
          <w:tcPr>
            <w:tcW w:w="648" w:type="pct"/>
            <w:tcBorders>
              <w:top w:val="nil"/>
              <w:left w:val="nil"/>
              <w:bottom w:val="nil"/>
              <w:right w:val="nil"/>
            </w:tcBorders>
            <w:shd w:val="clear" w:color="auto" w:fill="auto"/>
            <w:vAlign w:val="bottom"/>
          </w:tcPr>
          <w:p w:rsidR="00174AEA" w:rsidRPr="00687A1C" w:rsidRDefault="00174AEA" w:rsidP="008A3976">
            <w:pPr>
              <w:pStyle w:val="Tabletextright"/>
            </w:pPr>
            <w:r w:rsidRPr="00687A1C">
              <w:t>19</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Transfers through contributed capital</w:t>
            </w:r>
          </w:p>
        </w:tc>
        <w:tc>
          <w:tcPr>
            <w:tcW w:w="689" w:type="pct"/>
            <w:tcBorders>
              <w:top w:val="nil"/>
              <w:left w:val="nil"/>
              <w:bottom w:val="nil"/>
              <w:right w:val="nil"/>
            </w:tcBorders>
            <w:shd w:val="clear" w:color="auto" w:fill="D9D9D9"/>
            <w:vAlign w:val="bottom"/>
          </w:tcPr>
          <w:p w:rsidR="00174AEA" w:rsidRPr="00687A1C" w:rsidRDefault="00174AEA" w:rsidP="008A3976">
            <w:pPr>
              <w:pStyle w:val="Tabletextright"/>
            </w:pPr>
            <w:r w:rsidRPr="00687A1C">
              <w:t>(51)</w:t>
            </w:r>
          </w:p>
        </w:tc>
        <w:tc>
          <w:tcPr>
            <w:tcW w:w="663" w:type="pct"/>
            <w:tcBorders>
              <w:top w:val="nil"/>
              <w:left w:val="nil"/>
              <w:bottom w:val="nil"/>
              <w:right w:val="nil"/>
            </w:tcBorders>
            <w:shd w:val="clear" w:color="auto" w:fill="auto"/>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tcPr>
          <w:p w:rsidR="00174AEA" w:rsidRPr="00687A1C" w:rsidRDefault="00174AEA" w:rsidP="008A3976">
            <w:pPr>
              <w:pStyle w:val="Tabletextright"/>
            </w:pPr>
            <w:r w:rsidRPr="00687A1C">
              <w:t>–</w:t>
            </w:r>
          </w:p>
        </w:tc>
        <w:tc>
          <w:tcPr>
            <w:tcW w:w="648" w:type="pct"/>
            <w:tcBorders>
              <w:top w:val="nil"/>
              <w:left w:val="nil"/>
              <w:bottom w:val="nil"/>
              <w:right w:val="nil"/>
            </w:tcBorders>
            <w:shd w:val="clear" w:color="auto" w:fill="auto"/>
          </w:tcPr>
          <w:p w:rsidR="00174AEA" w:rsidRPr="00687A1C" w:rsidRDefault="00174AEA" w:rsidP="008A3976">
            <w:pPr>
              <w:pStyle w:val="Tabletextright"/>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Transfers out of level 3</w:t>
            </w:r>
          </w:p>
        </w:tc>
        <w:tc>
          <w:tcPr>
            <w:tcW w:w="689" w:type="pct"/>
            <w:tcBorders>
              <w:top w:val="nil"/>
              <w:left w:val="nil"/>
              <w:bottom w:val="nil"/>
              <w:right w:val="nil"/>
            </w:tcBorders>
            <w:shd w:val="clear" w:color="auto" w:fill="D9D9D9"/>
            <w:vAlign w:val="bottom"/>
          </w:tcPr>
          <w:p w:rsidR="00174AEA" w:rsidRPr="00687A1C" w:rsidRDefault="00174AEA" w:rsidP="008A3976">
            <w:pPr>
              <w:pStyle w:val="Tabletextright"/>
              <w:rPr>
                <w:b/>
              </w:rPr>
            </w:pPr>
            <w:r w:rsidRPr="00687A1C">
              <w:t>–</w:t>
            </w:r>
          </w:p>
        </w:tc>
        <w:tc>
          <w:tcPr>
            <w:tcW w:w="663" w:type="pct"/>
            <w:tcBorders>
              <w:top w:val="nil"/>
              <w:left w:val="nil"/>
              <w:bottom w:val="nil"/>
              <w:right w:val="nil"/>
            </w:tcBorders>
            <w:shd w:val="clear" w:color="auto" w:fill="auto"/>
            <w:vAlign w:val="bottom"/>
          </w:tcPr>
          <w:p w:rsidR="00174AEA" w:rsidRPr="00687A1C" w:rsidRDefault="00174AEA" w:rsidP="00D8412D">
            <w:pPr>
              <w:pStyle w:val="Tabletextright"/>
            </w:pPr>
            <w:r w:rsidRPr="00687A1C">
              <w:t>(17</w:t>
            </w:r>
            <w:r w:rsidR="00D8412D" w:rsidRPr="00687A1C">
              <w:t xml:space="preserve"> </w:t>
            </w:r>
            <w:r w:rsidRPr="00687A1C">
              <w:t>302)</w:t>
            </w:r>
          </w:p>
        </w:tc>
        <w:tc>
          <w:tcPr>
            <w:tcW w:w="755" w:type="pct"/>
            <w:tcBorders>
              <w:top w:val="nil"/>
              <w:left w:val="nil"/>
              <w:bottom w:val="nil"/>
              <w:right w:val="nil"/>
            </w:tcBorders>
            <w:shd w:val="clear" w:color="auto" w:fill="D9D9D9"/>
          </w:tcPr>
          <w:p w:rsidR="00174AEA" w:rsidRPr="00687A1C" w:rsidRDefault="00174AEA" w:rsidP="008A3976">
            <w:pPr>
              <w:pStyle w:val="Tabletextright"/>
              <w:rPr>
                <w:b/>
              </w:rPr>
            </w:pPr>
            <w:r w:rsidRPr="00687A1C">
              <w:t>–</w:t>
            </w:r>
          </w:p>
        </w:tc>
        <w:tc>
          <w:tcPr>
            <w:tcW w:w="648" w:type="pct"/>
            <w:tcBorders>
              <w:top w:val="nil"/>
              <w:left w:val="nil"/>
              <w:bottom w:val="nil"/>
              <w:right w:val="nil"/>
            </w:tcBorders>
            <w:shd w:val="clear" w:color="auto" w:fill="auto"/>
          </w:tcPr>
          <w:p w:rsidR="00174AEA" w:rsidRPr="00687A1C" w:rsidRDefault="00174AEA" w:rsidP="008A3976">
            <w:pPr>
              <w:pStyle w:val="Tabletextright"/>
              <w:rPr>
                <w:b/>
              </w:rPr>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Transfer between classes</w:t>
            </w:r>
          </w:p>
        </w:tc>
        <w:tc>
          <w:tcPr>
            <w:tcW w:w="689" w:type="pct"/>
            <w:tcBorders>
              <w:top w:val="nil"/>
              <w:left w:val="nil"/>
              <w:bottom w:val="nil"/>
              <w:right w:val="nil"/>
            </w:tcBorders>
            <w:shd w:val="clear" w:color="auto" w:fill="D9D9D9"/>
          </w:tcPr>
          <w:p w:rsidR="00174AEA" w:rsidRPr="00687A1C" w:rsidRDefault="00174AEA" w:rsidP="008A3976">
            <w:pPr>
              <w:pStyle w:val="Tabletextright"/>
            </w:pPr>
            <w:r w:rsidRPr="00687A1C">
              <w:t>–</w:t>
            </w:r>
          </w:p>
        </w:tc>
        <w:tc>
          <w:tcPr>
            <w:tcW w:w="663" w:type="pct"/>
            <w:tcBorders>
              <w:top w:val="nil"/>
              <w:left w:val="nil"/>
              <w:bottom w:val="nil"/>
              <w:right w:val="nil"/>
            </w:tcBorders>
            <w:shd w:val="clear" w:color="auto" w:fill="auto"/>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8A3976">
            <w:pPr>
              <w:pStyle w:val="Tabletextright"/>
            </w:pPr>
            <w:r w:rsidRPr="00687A1C">
              <w:t>247</w:t>
            </w:r>
          </w:p>
        </w:tc>
        <w:tc>
          <w:tcPr>
            <w:tcW w:w="648" w:type="pct"/>
            <w:tcBorders>
              <w:top w:val="nil"/>
              <w:left w:val="nil"/>
              <w:bottom w:val="nil"/>
              <w:right w:val="nil"/>
            </w:tcBorders>
            <w:shd w:val="clear" w:color="auto" w:fill="auto"/>
          </w:tcPr>
          <w:p w:rsidR="00174AEA" w:rsidRPr="00687A1C" w:rsidRDefault="00174AEA" w:rsidP="008A3976">
            <w:pPr>
              <w:pStyle w:val="Tabletextright"/>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Transfer from/(to) held for sale</w:t>
            </w:r>
          </w:p>
        </w:tc>
        <w:tc>
          <w:tcPr>
            <w:tcW w:w="689" w:type="pct"/>
            <w:tcBorders>
              <w:top w:val="nil"/>
              <w:left w:val="nil"/>
              <w:bottom w:val="nil"/>
              <w:right w:val="nil"/>
            </w:tcBorders>
            <w:shd w:val="clear" w:color="auto" w:fill="D9D9D9"/>
          </w:tcPr>
          <w:p w:rsidR="00174AEA" w:rsidRPr="00687A1C" w:rsidRDefault="00174AEA" w:rsidP="00D8412D">
            <w:pPr>
              <w:pStyle w:val="Tabletextright"/>
            </w:pPr>
            <w:r w:rsidRPr="00687A1C">
              <w:t>4</w:t>
            </w:r>
            <w:r w:rsidR="00D8412D" w:rsidRPr="00687A1C">
              <w:t xml:space="preserve"> </w:t>
            </w:r>
            <w:r w:rsidRPr="00687A1C">
              <w:t>338</w:t>
            </w:r>
            <w:r w:rsidRPr="00687A1C" w:rsidDel="00442AB4">
              <w:t xml:space="preserve"> </w:t>
            </w:r>
          </w:p>
        </w:tc>
        <w:tc>
          <w:tcPr>
            <w:tcW w:w="663" w:type="pct"/>
            <w:tcBorders>
              <w:top w:val="nil"/>
              <w:left w:val="nil"/>
              <w:bottom w:val="nil"/>
              <w:right w:val="nil"/>
            </w:tcBorders>
            <w:shd w:val="clear" w:color="auto" w:fill="auto"/>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tcPr>
          <w:p w:rsidR="00174AEA" w:rsidRPr="00687A1C" w:rsidRDefault="00174AEA" w:rsidP="008A3976">
            <w:pPr>
              <w:pStyle w:val="Tabletextright"/>
            </w:pPr>
            <w:r w:rsidRPr="00687A1C">
              <w:t>–</w:t>
            </w:r>
          </w:p>
        </w:tc>
        <w:tc>
          <w:tcPr>
            <w:tcW w:w="648" w:type="pct"/>
            <w:tcBorders>
              <w:top w:val="nil"/>
              <w:left w:val="nil"/>
              <w:bottom w:val="nil"/>
              <w:right w:val="nil"/>
            </w:tcBorders>
            <w:shd w:val="clear" w:color="auto" w:fill="auto"/>
          </w:tcPr>
          <w:p w:rsidR="00174AEA" w:rsidRPr="00687A1C" w:rsidRDefault="00174AEA" w:rsidP="008A3976">
            <w:pPr>
              <w:pStyle w:val="Tabletextright"/>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Revaluation increment (net)</w:t>
            </w:r>
          </w:p>
        </w:tc>
        <w:tc>
          <w:tcPr>
            <w:tcW w:w="689"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125</w:t>
            </w:r>
            <w:r w:rsidR="00D8412D" w:rsidRPr="00687A1C">
              <w:t xml:space="preserve"> </w:t>
            </w:r>
            <w:r w:rsidRPr="00687A1C">
              <w:t>760</w:t>
            </w:r>
          </w:p>
        </w:tc>
        <w:tc>
          <w:tcPr>
            <w:tcW w:w="663" w:type="pct"/>
            <w:tcBorders>
              <w:top w:val="nil"/>
              <w:left w:val="nil"/>
              <w:bottom w:val="nil"/>
              <w:right w:val="nil"/>
            </w:tcBorders>
            <w:shd w:val="clear" w:color="auto" w:fill="auto"/>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72</w:t>
            </w:r>
            <w:r w:rsidR="00D8412D" w:rsidRPr="00687A1C">
              <w:t xml:space="preserve"> </w:t>
            </w:r>
            <w:r w:rsidRPr="00687A1C">
              <w:t>927</w:t>
            </w:r>
          </w:p>
        </w:tc>
        <w:tc>
          <w:tcPr>
            <w:tcW w:w="648" w:type="pct"/>
            <w:tcBorders>
              <w:top w:val="nil"/>
              <w:left w:val="nil"/>
              <w:bottom w:val="nil"/>
              <w:right w:val="nil"/>
            </w:tcBorders>
            <w:shd w:val="clear" w:color="auto" w:fill="auto"/>
          </w:tcPr>
          <w:p w:rsidR="00174AEA" w:rsidRPr="00687A1C" w:rsidRDefault="00174AEA" w:rsidP="008A3976">
            <w:pPr>
              <w:pStyle w:val="Tabletextright"/>
              <w:rPr>
                <w:bCs/>
              </w:rPr>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Net transfers free of charge</w:t>
            </w:r>
            <w:r w:rsidRPr="00687A1C" w:rsidDel="00ED008F">
              <w:t xml:space="preserve"> </w:t>
            </w:r>
          </w:p>
        </w:tc>
        <w:tc>
          <w:tcPr>
            <w:tcW w:w="689" w:type="pct"/>
            <w:tcBorders>
              <w:top w:val="nil"/>
              <w:left w:val="nil"/>
              <w:bottom w:val="nil"/>
              <w:right w:val="nil"/>
            </w:tcBorders>
            <w:shd w:val="clear" w:color="auto" w:fill="D9D9D9"/>
          </w:tcPr>
          <w:p w:rsidR="00174AEA" w:rsidRPr="00687A1C" w:rsidRDefault="00174AEA" w:rsidP="008A3976">
            <w:pPr>
              <w:pStyle w:val="Tabletextright"/>
            </w:pPr>
            <w:r w:rsidRPr="00687A1C">
              <w:t>–</w:t>
            </w:r>
          </w:p>
        </w:tc>
        <w:tc>
          <w:tcPr>
            <w:tcW w:w="663" w:type="pct"/>
            <w:tcBorders>
              <w:top w:val="nil"/>
              <w:left w:val="nil"/>
              <w:bottom w:val="nil"/>
              <w:right w:val="nil"/>
            </w:tcBorders>
            <w:shd w:val="clear" w:color="auto" w:fill="auto"/>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8A3976">
            <w:pPr>
              <w:pStyle w:val="Tabletextright"/>
            </w:pPr>
            <w:r w:rsidRPr="00687A1C">
              <w:t>(4)</w:t>
            </w:r>
          </w:p>
        </w:tc>
        <w:tc>
          <w:tcPr>
            <w:tcW w:w="648" w:type="pct"/>
            <w:tcBorders>
              <w:top w:val="nil"/>
              <w:left w:val="nil"/>
              <w:bottom w:val="nil"/>
              <w:right w:val="nil"/>
            </w:tcBorders>
            <w:shd w:val="clear" w:color="auto" w:fill="auto"/>
          </w:tcPr>
          <w:p w:rsidR="00174AEA" w:rsidRPr="00687A1C" w:rsidRDefault="00174AEA" w:rsidP="008A3976">
            <w:pPr>
              <w:pStyle w:val="Tabletextright"/>
              <w:rPr>
                <w:bCs/>
              </w:rPr>
            </w:pPr>
            <w:r w:rsidRPr="00687A1C">
              <w:t>–</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pPr>
            <w:r w:rsidRPr="00687A1C">
              <w:t>Depreciation</w:t>
            </w:r>
          </w:p>
        </w:tc>
        <w:tc>
          <w:tcPr>
            <w:tcW w:w="689" w:type="pct"/>
            <w:tcBorders>
              <w:top w:val="nil"/>
              <w:left w:val="nil"/>
              <w:bottom w:val="nil"/>
              <w:right w:val="nil"/>
            </w:tcBorders>
            <w:shd w:val="clear" w:color="auto" w:fill="D9D9D9"/>
          </w:tcPr>
          <w:p w:rsidR="00174AEA" w:rsidRPr="00687A1C" w:rsidRDefault="00174AEA" w:rsidP="008A3976">
            <w:pPr>
              <w:pStyle w:val="Tabletextright"/>
            </w:pPr>
            <w:r w:rsidRPr="00687A1C">
              <w:t>–</w:t>
            </w:r>
          </w:p>
        </w:tc>
        <w:tc>
          <w:tcPr>
            <w:tcW w:w="663" w:type="pct"/>
            <w:tcBorders>
              <w:top w:val="nil"/>
              <w:left w:val="nil"/>
              <w:bottom w:val="nil"/>
              <w:right w:val="nil"/>
            </w:tcBorders>
            <w:shd w:val="clear" w:color="auto" w:fill="auto"/>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t>(12</w:t>
            </w:r>
            <w:r w:rsidR="00D8412D" w:rsidRPr="00687A1C">
              <w:t xml:space="preserve"> </w:t>
            </w:r>
            <w:r w:rsidRPr="00687A1C">
              <w:t>545)</w:t>
            </w:r>
          </w:p>
        </w:tc>
        <w:tc>
          <w:tcPr>
            <w:tcW w:w="648" w:type="pct"/>
            <w:tcBorders>
              <w:top w:val="nil"/>
              <w:left w:val="nil"/>
              <w:bottom w:val="nil"/>
              <w:right w:val="nil"/>
            </w:tcBorders>
            <w:shd w:val="clear" w:color="auto" w:fill="auto"/>
            <w:vAlign w:val="bottom"/>
          </w:tcPr>
          <w:p w:rsidR="00174AEA" w:rsidRPr="00687A1C" w:rsidRDefault="00174AEA" w:rsidP="008A3976">
            <w:pPr>
              <w:pStyle w:val="Tabletextright"/>
            </w:pPr>
            <w:r w:rsidRPr="00687A1C">
              <w:t>(661)</w:t>
            </w:r>
          </w:p>
        </w:tc>
      </w:tr>
      <w:tr w:rsidR="00174AEA" w:rsidRPr="00687A1C" w:rsidTr="008A3976">
        <w:trPr>
          <w:trHeight w:val="255"/>
        </w:trPr>
        <w:tc>
          <w:tcPr>
            <w:tcW w:w="2245" w:type="pct"/>
            <w:tcBorders>
              <w:top w:val="nil"/>
              <w:left w:val="nil"/>
              <w:bottom w:val="nil"/>
              <w:right w:val="nil"/>
            </w:tcBorders>
            <w:shd w:val="clear" w:color="auto" w:fill="auto"/>
            <w:vAlign w:val="bottom"/>
          </w:tcPr>
          <w:p w:rsidR="00174AEA" w:rsidRPr="00687A1C" w:rsidRDefault="00174AEA" w:rsidP="008A3976">
            <w:pPr>
              <w:pStyle w:val="Tabletext"/>
              <w:rPr>
                <w:b/>
              </w:rPr>
            </w:pPr>
            <w:r w:rsidRPr="00687A1C">
              <w:rPr>
                <w:b/>
              </w:rPr>
              <w:t>Closing balance</w:t>
            </w:r>
          </w:p>
        </w:tc>
        <w:tc>
          <w:tcPr>
            <w:tcW w:w="689"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rPr>
                <w:b/>
              </w:rPr>
              <w:t>534</w:t>
            </w:r>
            <w:r w:rsidR="00D8412D" w:rsidRPr="00687A1C">
              <w:rPr>
                <w:b/>
              </w:rPr>
              <w:t xml:space="preserve"> </w:t>
            </w:r>
            <w:r w:rsidRPr="00687A1C">
              <w:rPr>
                <w:b/>
              </w:rPr>
              <w:t>605</w:t>
            </w:r>
          </w:p>
        </w:tc>
        <w:tc>
          <w:tcPr>
            <w:tcW w:w="663" w:type="pct"/>
            <w:tcBorders>
              <w:top w:val="nil"/>
              <w:left w:val="nil"/>
              <w:bottom w:val="nil"/>
              <w:right w:val="nil"/>
            </w:tcBorders>
            <w:shd w:val="clear" w:color="auto" w:fill="auto"/>
            <w:vAlign w:val="bottom"/>
          </w:tcPr>
          <w:p w:rsidR="00174AEA" w:rsidRPr="00687A1C" w:rsidRDefault="00174AEA" w:rsidP="008A3976">
            <w:pPr>
              <w:pStyle w:val="Tabletextright"/>
            </w:pPr>
            <w:r w:rsidRPr="00687A1C">
              <w:t>–</w:t>
            </w:r>
          </w:p>
        </w:tc>
        <w:tc>
          <w:tcPr>
            <w:tcW w:w="755" w:type="pct"/>
            <w:tcBorders>
              <w:top w:val="nil"/>
              <w:left w:val="nil"/>
              <w:bottom w:val="nil"/>
              <w:right w:val="nil"/>
            </w:tcBorders>
            <w:shd w:val="clear" w:color="auto" w:fill="D9D9D9"/>
            <w:vAlign w:val="bottom"/>
          </w:tcPr>
          <w:p w:rsidR="00174AEA" w:rsidRPr="00687A1C" w:rsidRDefault="00174AEA" w:rsidP="00D8412D">
            <w:pPr>
              <w:pStyle w:val="Tabletextright"/>
            </w:pPr>
            <w:r w:rsidRPr="00687A1C">
              <w:rPr>
                <w:b/>
              </w:rPr>
              <w:t>183</w:t>
            </w:r>
            <w:r w:rsidR="00D8412D" w:rsidRPr="00687A1C">
              <w:rPr>
                <w:b/>
              </w:rPr>
              <w:t xml:space="preserve"> </w:t>
            </w:r>
            <w:r w:rsidRPr="00687A1C">
              <w:rPr>
                <w:b/>
              </w:rPr>
              <w:t>165</w:t>
            </w:r>
          </w:p>
        </w:tc>
        <w:tc>
          <w:tcPr>
            <w:tcW w:w="648" w:type="pct"/>
            <w:tcBorders>
              <w:top w:val="nil"/>
              <w:left w:val="nil"/>
              <w:bottom w:val="nil"/>
              <w:right w:val="nil"/>
            </w:tcBorders>
            <w:shd w:val="clear" w:color="auto" w:fill="auto"/>
            <w:vAlign w:val="bottom"/>
          </w:tcPr>
          <w:p w:rsidR="00174AEA" w:rsidRPr="00687A1C" w:rsidRDefault="00174AEA" w:rsidP="008A3976">
            <w:pPr>
              <w:pStyle w:val="Tabletextright"/>
            </w:pPr>
            <w:r w:rsidRPr="00687A1C">
              <w:rPr>
                <w:b/>
              </w:rPr>
              <w:t>122</w:t>
            </w:r>
          </w:p>
        </w:tc>
      </w:tr>
    </w:tbl>
    <w:p w:rsidR="00174AEA" w:rsidRPr="00687A1C" w:rsidRDefault="00174AEA" w:rsidP="00174AEA"/>
    <w:p w:rsidR="00174AEA" w:rsidRPr="00687A1C" w:rsidRDefault="00174AEA" w:rsidP="00174AEA">
      <w:r w:rsidRPr="00687A1C">
        <w:t>The following table provides the fair value measurement hierarchy of the Department’s non</w:t>
      </w:r>
      <w:r w:rsidRPr="00687A1C">
        <w:noBreakHyphen/>
        <w:t>financial physical assets held for sale.</w:t>
      </w:r>
    </w:p>
    <w:tbl>
      <w:tblPr>
        <w:tblW w:w="4087" w:type="pct"/>
        <w:tblLook w:val="04A0" w:firstRow="1" w:lastRow="0" w:firstColumn="1" w:lastColumn="0" w:noHBand="0" w:noVBand="1"/>
      </w:tblPr>
      <w:tblGrid>
        <w:gridCol w:w="4236"/>
        <w:gridCol w:w="922"/>
        <w:gridCol w:w="955"/>
        <w:gridCol w:w="955"/>
        <w:gridCol w:w="960"/>
      </w:tblGrid>
      <w:tr w:rsidR="00174AEA" w:rsidRPr="00687A1C" w:rsidTr="008A3976">
        <w:tc>
          <w:tcPr>
            <w:tcW w:w="2638" w:type="pct"/>
            <w:noWrap/>
            <w:hideMark/>
          </w:tcPr>
          <w:p w:rsidR="00174AEA" w:rsidRPr="00687A1C" w:rsidRDefault="00174AEA" w:rsidP="008A3976">
            <w:pPr>
              <w:pStyle w:val="Tabletext"/>
            </w:pPr>
          </w:p>
        </w:tc>
        <w:tc>
          <w:tcPr>
            <w:tcW w:w="574" w:type="pct"/>
            <w:vAlign w:val="bottom"/>
            <w:hideMark/>
          </w:tcPr>
          <w:p w:rsidR="00174AEA" w:rsidRPr="00687A1C" w:rsidRDefault="00174AEA" w:rsidP="008A3976">
            <w:pPr>
              <w:pStyle w:val="Tabletextheadingright"/>
            </w:pPr>
            <w:r w:rsidRPr="00687A1C">
              <w:t>Carrying</w:t>
            </w:r>
            <w:r w:rsidRPr="00687A1C">
              <w:br/>
              <w:t>amount</w:t>
            </w:r>
          </w:p>
        </w:tc>
        <w:tc>
          <w:tcPr>
            <w:tcW w:w="1787" w:type="pct"/>
            <w:gridSpan w:val="3"/>
            <w:shd w:val="clear" w:color="auto" w:fill="D9D9D9" w:themeFill="background1" w:themeFillShade="D9"/>
            <w:noWrap/>
            <w:vAlign w:val="bottom"/>
            <w:hideMark/>
          </w:tcPr>
          <w:p w:rsidR="00174AEA" w:rsidRPr="00687A1C" w:rsidRDefault="00174AEA" w:rsidP="008A3976">
            <w:pPr>
              <w:pStyle w:val="Tabletextheadingcentred"/>
            </w:pPr>
            <w:r w:rsidRPr="00687A1C">
              <w:t xml:space="preserve">Fair value </w:t>
            </w:r>
            <w:r w:rsidRPr="00687A1C">
              <w:br/>
              <w:t>measurement using:</w:t>
            </w:r>
          </w:p>
        </w:tc>
      </w:tr>
      <w:tr w:rsidR="00174AEA" w:rsidRPr="00687A1C" w:rsidTr="008A3976">
        <w:trPr>
          <w:trHeight w:val="255"/>
        </w:trPr>
        <w:tc>
          <w:tcPr>
            <w:tcW w:w="2638" w:type="pct"/>
            <w:noWrap/>
            <w:hideMark/>
          </w:tcPr>
          <w:p w:rsidR="00174AEA" w:rsidRPr="00687A1C" w:rsidRDefault="00174AEA" w:rsidP="008A3976">
            <w:pPr>
              <w:pStyle w:val="Tabletext"/>
            </w:pPr>
          </w:p>
        </w:tc>
        <w:tc>
          <w:tcPr>
            <w:tcW w:w="574" w:type="pct"/>
            <w:noWrap/>
            <w:hideMark/>
          </w:tcPr>
          <w:p w:rsidR="00174AEA" w:rsidRPr="00687A1C" w:rsidRDefault="00174AEA" w:rsidP="008A3976">
            <w:pPr>
              <w:pStyle w:val="Tabletextheadingcentred"/>
            </w:pPr>
          </w:p>
        </w:tc>
        <w:tc>
          <w:tcPr>
            <w:tcW w:w="595" w:type="pct"/>
            <w:noWrap/>
            <w:hideMark/>
          </w:tcPr>
          <w:p w:rsidR="00174AEA" w:rsidRPr="00687A1C" w:rsidRDefault="00174AEA" w:rsidP="008A3976">
            <w:pPr>
              <w:pStyle w:val="Tabletextheadingcentred"/>
            </w:pPr>
            <w:r w:rsidRPr="00687A1C">
              <w:t>Level 1</w:t>
            </w:r>
          </w:p>
        </w:tc>
        <w:tc>
          <w:tcPr>
            <w:tcW w:w="595" w:type="pct"/>
            <w:noWrap/>
            <w:hideMark/>
          </w:tcPr>
          <w:p w:rsidR="00174AEA" w:rsidRPr="00687A1C" w:rsidRDefault="00174AEA" w:rsidP="008A3976">
            <w:pPr>
              <w:pStyle w:val="Tabletextheadingcentred"/>
            </w:pPr>
            <w:r w:rsidRPr="00687A1C">
              <w:t>Level 2</w:t>
            </w:r>
          </w:p>
        </w:tc>
        <w:tc>
          <w:tcPr>
            <w:tcW w:w="598" w:type="pct"/>
            <w:noWrap/>
            <w:hideMark/>
          </w:tcPr>
          <w:p w:rsidR="00174AEA" w:rsidRPr="00687A1C" w:rsidRDefault="00174AEA" w:rsidP="008A3976">
            <w:pPr>
              <w:pStyle w:val="Tabletextheadingcentred"/>
            </w:pPr>
            <w:r w:rsidRPr="00687A1C">
              <w:t>Level 3</w:t>
            </w:r>
          </w:p>
        </w:tc>
      </w:tr>
      <w:tr w:rsidR="00174AEA" w:rsidRPr="00687A1C" w:rsidTr="008A3976">
        <w:trPr>
          <w:trHeight w:val="255"/>
        </w:trPr>
        <w:tc>
          <w:tcPr>
            <w:tcW w:w="2638" w:type="pct"/>
            <w:noWrap/>
            <w:hideMark/>
          </w:tcPr>
          <w:p w:rsidR="00174AEA" w:rsidRPr="00687A1C" w:rsidRDefault="00174AEA" w:rsidP="008A3976">
            <w:pPr>
              <w:pStyle w:val="Tabletextbold"/>
            </w:pPr>
            <w:r w:rsidRPr="00687A1C">
              <w:t>Fair value measurement hierarchy at 30 June 2018</w:t>
            </w:r>
          </w:p>
        </w:tc>
        <w:tc>
          <w:tcPr>
            <w:tcW w:w="574" w:type="pct"/>
            <w:noWrap/>
            <w:hideMark/>
          </w:tcPr>
          <w:p w:rsidR="00174AEA" w:rsidRPr="00687A1C" w:rsidRDefault="00174AEA" w:rsidP="008A3976">
            <w:pPr>
              <w:pStyle w:val="Tabletextheadingcentred"/>
            </w:pPr>
            <w:r w:rsidRPr="00687A1C">
              <w:t>$’000</w:t>
            </w:r>
          </w:p>
        </w:tc>
        <w:tc>
          <w:tcPr>
            <w:tcW w:w="595" w:type="pct"/>
            <w:noWrap/>
            <w:hideMark/>
          </w:tcPr>
          <w:p w:rsidR="00174AEA" w:rsidRPr="00687A1C" w:rsidRDefault="00174AEA" w:rsidP="008A3976">
            <w:pPr>
              <w:pStyle w:val="Tabletextheadingcentred"/>
            </w:pPr>
            <w:r w:rsidRPr="00687A1C">
              <w:t>$’000</w:t>
            </w:r>
          </w:p>
        </w:tc>
        <w:tc>
          <w:tcPr>
            <w:tcW w:w="595" w:type="pct"/>
            <w:noWrap/>
            <w:hideMark/>
          </w:tcPr>
          <w:p w:rsidR="00174AEA" w:rsidRPr="00687A1C" w:rsidRDefault="00174AEA" w:rsidP="008A3976">
            <w:pPr>
              <w:pStyle w:val="Tabletextheadingcentred"/>
            </w:pPr>
            <w:r w:rsidRPr="00687A1C">
              <w:t>$’000</w:t>
            </w:r>
          </w:p>
        </w:tc>
        <w:tc>
          <w:tcPr>
            <w:tcW w:w="598" w:type="pct"/>
            <w:noWrap/>
            <w:hideMark/>
          </w:tcPr>
          <w:p w:rsidR="00174AEA" w:rsidRPr="00687A1C" w:rsidRDefault="00174AEA" w:rsidP="008A3976">
            <w:pPr>
              <w:pStyle w:val="Tabletextheadingcentred"/>
            </w:pPr>
            <w:r w:rsidRPr="00687A1C">
              <w:t>$’000</w:t>
            </w:r>
          </w:p>
        </w:tc>
      </w:tr>
      <w:tr w:rsidR="00174AEA" w:rsidRPr="00687A1C" w:rsidTr="008A3976">
        <w:trPr>
          <w:trHeight w:val="255"/>
        </w:trPr>
        <w:tc>
          <w:tcPr>
            <w:tcW w:w="2638" w:type="pct"/>
            <w:noWrap/>
            <w:hideMark/>
          </w:tcPr>
          <w:p w:rsidR="00174AEA" w:rsidRPr="00687A1C" w:rsidRDefault="00174AEA" w:rsidP="008A3976">
            <w:pPr>
              <w:pStyle w:val="Tabletextbold"/>
            </w:pPr>
            <w:r w:rsidRPr="00687A1C">
              <w:t>Land at fair value</w:t>
            </w:r>
          </w:p>
        </w:tc>
        <w:tc>
          <w:tcPr>
            <w:tcW w:w="574" w:type="pct"/>
            <w:noWrap/>
            <w:vAlign w:val="bottom"/>
          </w:tcPr>
          <w:p w:rsidR="00174AEA" w:rsidRPr="00687A1C" w:rsidRDefault="00174AEA" w:rsidP="008A3976">
            <w:pPr>
              <w:pStyle w:val="Tabletextright"/>
            </w:pPr>
          </w:p>
        </w:tc>
        <w:tc>
          <w:tcPr>
            <w:tcW w:w="595" w:type="pct"/>
            <w:shd w:val="clear" w:color="auto" w:fill="DDDDDD"/>
            <w:noWrap/>
          </w:tcPr>
          <w:p w:rsidR="00174AEA" w:rsidRPr="00687A1C" w:rsidRDefault="00174AEA" w:rsidP="008A3976">
            <w:pPr>
              <w:pStyle w:val="Tabletextright"/>
            </w:pPr>
          </w:p>
        </w:tc>
        <w:tc>
          <w:tcPr>
            <w:tcW w:w="595" w:type="pct"/>
            <w:noWrap/>
          </w:tcPr>
          <w:p w:rsidR="00174AEA" w:rsidRPr="00687A1C" w:rsidRDefault="00174AEA" w:rsidP="008A3976">
            <w:pPr>
              <w:pStyle w:val="Tabletextright"/>
            </w:pPr>
          </w:p>
        </w:tc>
        <w:tc>
          <w:tcPr>
            <w:tcW w:w="598" w:type="pct"/>
            <w:shd w:val="clear" w:color="auto" w:fill="DDDDDD"/>
            <w:noWrap/>
            <w:vAlign w:val="bottom"/>
          </w:tcPr>
          <w:p w:rsidR="00174AEA" w:rsidRPr="00687A1C" w:rsidRDefault="00174AEA" w:rsidP="008A3976">
            <w:pPr>
              <w:pStyle w:val="Tabletextright"/>
            </w:pPr>
          </w:p>
        </w:tc>
      </w:tr>
      <w:tr w:rsidR="00174AEA" w:rsidRPr="00687A1C" w:rsidTr="008A3976">
        <w:trPr>
          <w:trHeight w:val="255"/>
        </w:trPr>
        <w:tc>
          <w:tcPr>
            <w:tcW w:w="2638" w:type="pct"/>
            <w:noWrap/>
            <w:hideMark/>
          </w:tcPr>
          <w:p w:rsidR="00174AEA" w:rsidRPr="00687A1C" w:rsidRDefault="00174AEA" w:rsidP="008A3976">
            <w:pPr>
              <w:pStyle w:val="Tabletext"/>
            </w:pPr>
            <w:r w:rsidRPr="00687A1C">
              <w:t>Specialised land</w:t>
            </w:r>
          </w:p>
        </w:tc>
        <w:tc>
          <w:tcPr>
            <w:tcW w:w="574" w:type="pct"/>
            <w:noWrap/>
            <w:vAlign w:val="bottom"/>
          </w:tcPr>
          <w:p w:rsidR="00174AEA" w:rsidRPr="00687A1C" w:rsidRDefault="00174AEA" w:rsidP="00D8412D">
            <w:pPr>
              <w:pStyle w:val="Tabletextright"/>
            </w:pPr>
            <w:r w:rsidRPr="00687A1C">
              <w:t>11</w:t>
            </w:r>
            <w:r w:rsidR="00D8412D" w:rsidRPr="00687A1C">
              <w:t xml:space="preserve"> </w:t>
            </w:r>
            <w:r w:rsidRPr="00687A1C">
              <w:t>556</w:t>
            </w:r>
          </w:p>
        </w:tc>
        <w:tc>
          <w:tcPr>
            <w:tcW w:w="595" w:type="pct"/>
            <w:shd w:val="clear" w:color="auto" w:fill="DDDDDD"/>
            <w:noWrap/>
            <w:vAlign w:val="bottom"/>
          </w:tcPr>
          <w:p w:rsidR="00174AEA" w:rsidRPr="00687A1C" w:rsidRDefault="00174AEA" w:rsidP="008A3976">
            <w:pPr>
              <w:pStyle w:val="Tabletextright"/>
            </w:pPr>
          </w:p>
        </w:tc>
        <w:tc>
          <w:tcPr>
            <w:tcW w:w="595" w:type="pct"/>
            <w:noWrap/>
            <w:vAlign w:val="bottom"/>
          </w:tcPr>
          <w:p w:rsidR="00174AEA" w:rsidRPr="00687A1C" w:rsidRDefault="00174AEA" w:rsidP="008A3976">
            <w:pPr>
              <w:pStyle w:val="Tabletextright"/>
            </w:pPr>
          </w:p>
        </w:tc>
        <w:tc>
          <w:tcPr>
            <w:tcW w:w="598" w:type="pct"/>
            <w:shd w:val="clear" w:color="auto" w:fill="DDDDDD"/>
            <w:noWrap/>
            <w:vAlign w:val="bottom"/>
          </w:tcPr>
          <w:p w:rsidR="00174AEA" w:rsidRPr="00687A1C" w:rsidRDefault="00174AEA" w:rsidP="00D8412D">
            <w:pPr>
              <w:pStyle w:val="Tabletextright"/>
            </w:pPr>
            <w:r w:rsidRPr="00687A1C">
              <w:t>11</w:t>
            </w:r>
            <w:r w:rsidR="00D8412D" w:rsidRPr="00687A1C">
              <w:t xml:space="preserve"> </w:t>
            </w:r>
            <w:r w:rsidRPr="00687A1C">
              <w:t>556</w:t>
            </w:r>
          </w:p>
        </w:tc>
      </w:tr>
      <w:tr w:rsidR="00174AEA" w:rsidRPr="00687A1C" w:rsidTr="008A3976">
        <w:trPr>
          <w:trHeight w:val="255"/>
        </w:trPr>
        <w:tc>
          <w:tcPr>
            <w:tcW w:w="2638" w:type="pct"/>
            <w:noWrap/>
            <w:hideMark/>
          </w:tcPr>
          <w:p w:rsidR="00174AEA" w:rsidRPr="00687A1C" w:rsidRDefault="00174AEA" w:rsidP="008A3976">
            <w:pPr>
              <w:pStyle w:val="Tabletextbold"/>
            </w:pPr>
            <w:r w:rsidRPr="00687A1C">
              <w:t>Total land at fair value</w:t>
            </w:r>
          </w:p>
        </w:tc>
        <w:tc>
          <w:tcPr>
            <w:tcW w:w="574" w:type="pct"/>
            <w:noWrap/>
            <w:vAlign w:val="bottom"/>
          </w:tcPr>
          <w:p w:rsidR="00174AEA" w:rsidRPr="00687A1C" w:rsidRDefault="00174AEA" w:rsidP="00D8412D">
            <w:pPr>
              <w:pStyle w:val="Tabletextright"/>
            </w:pPr>
            <w:r w:rsidRPr="00687A1C">
              <w:rPr>
                <w:b/>
              </w:rPr>
              <w:t>11</w:t>
            </w:r>
            <w:r w:rsidR="00D8412D" w:rsidRPr="00687A1C">
              <w:rPr>
                <w:b/>
              </w:rPr>
              <w:t xml:space="preserve"> </w:t>
            </w:r>
            <w:r w:rsidRPr="00687A1C">
              <w:rPr>
                <w:b/>
              </w:rPr>
              <w:t>556</w:t>
            </w:r>
          </w:p>
        </w:tc>
        <w:tc>
          <w:tcPr>
            <w:tcW w:w="595" w:type="pct"/>
            <w:shd w:val="clear" w:color="auto" w:fill="DDDDDD"/>
            <w:noWrap/>
            <w:vAlign w:val="bottom"/>
          </w:tcPr>
          <w:p w:rsidR="00174AEA" w:rsidRPr="00687A1C" w:rsidRDefault="00174AEA" w:rsidP="008A3976">
            <w:pPr>
              <w:pStyle w:val="Tabletextrightbold"/>
            </w:pPr>
          </w:p>
        </w:tc>
        <w:tc>
          <w:tcPr>
            <w:tcW w:w="595" w:type="pct"/>
            <w:noWrap/>
            <w:vAlign w:val="bottom"/>
          </w:tcPr>
          <w:p w:rsidR="00174AEA" w:rsidRPr="00687A1C" w:rsidRDefault="00174AEA" w:rsidP="008A3976">
            <w:pPr>
              <w:pStyle w:val="Tabletextrightbold"/>
            </w:pPr>
          </w:p>
        </w:tc>
        <w:tc>
          <w:tcPr>
            <w:tcW w:w="598" w:type="pct"/>
            <w:shd w:val="clear" w:color="auto" w:fill="DDDDDD"/>
            <w:noWrap/>
            <w:vAlign w:val="bottom"/>
          </w:tcPr>
          <w:p w:rsidR="00174AEA" w:rsidRPr="00687A1C" w:rsidRDefault="00174AEA" w:rsidP="00D8412D">
            <w:pPr>
              <w:pStyle w:val="Tabletextright"/>
            </w:pPr>
            <w:r w:rsidRPr="00687A1C">
              <w:rPr>
                <w:b/>
              </w:rPr>
              <w:t>11</w:t>
            </w:r>
            <w:r w:rsidR="00D8412D" w:rsidRPr="00687A1C">
              <w:rPr>
                <w:b/>
              </w:rPr>
              <w:t xml:space="preserve"> </w:t>
            </w:r>
            <w:r w:rsidRPr="00687A1C">
              <w:rPr>
                <w:b/>
              </w:rPr>
              <w:t>556</w:t>
            </w:r>
          </w:p>
        </w:tc>
      </w:tr>
      <w:tr w:rsidR="00174AEA" w:rsidRPr="00687A1C" w:rsidTr="008A3976">
        <w:tc>
          <w:tcPr>
            <w:tcW w:w="2638" w:type="pct"/>
            <w:noWrap/>
          </w:tcPr>
          <w:p w:rsidR="00174AEA" w:rsidRPr="00687A1C" w:rsidRDefault="00174AEA" w:rsidP="008A3976">
            <w:pPr>
              <w:pStyle w:val="Tabletext"/>
            </w:pPr>
          </w:p>
        </w:tc>
        <w:tc>
          <w:tcPr>
            <w:tcW w:w="574" w:type="pct"/>
            <w:vAlign w:val="bottom"/>
          </w:tcPr>
          <w:p w:rsidR="00174AEA" w:rsidRPr="00687A1C" w:rsidRDefault="00174AEA" w:rsidP="008A3976">
            <w:pPr>
              <w:pStyle w:val="Tabletextright"/>
            </w:pPr>
          </w:p>
        </w:tc>
        <w:tc>
          <w:tcPr>
            <w:tcW w:w="1787" w:type="pct"/>
            <w:gridSpan w:val="3"/>
            <w:noWrap/>
          </w:tcPr>
          <w:p w:rsidR="00174AEA" w:rsidRPr="00687A1C" w:rsidRDefault="00174AEA" w:rsidP="008A3976">
            <w:pPr>
              <w:pStyle w:val="Tabletextright"/>
            </w:pPr>
          </w:p>
        </w:tc>
      </w:tr>
      <w:tr w:rsidR="00174AEA" w:rsidRPr="00687A1C" w:rsidTr="008A3976">
        <w:trPr>
          <w:trHeight w:val="255"/>
        </w:trPr>
        <w:tc>
          <w:tcPr>
            <w:tcW w:w="2638" w:type="pct"/>
            <w:noWrap/>
            <w:hideMark/>
          </w:tcPr>
          <w:p w:rsidR="00174AEA" w:rsidRPr="00687A1C" w:rsidRDefault="00174AEA" w:rsidP="008A3976">
            <w:pPr>
              <w:pStyle w:val="Tabletextbold"/>
            </w:pPr>
            <w:r w:rsidRPr="00687A1C">
              <w:t>Fair value measurement hierarchy at 30 June 2017</w:t>
            </w:r>
          </w:p>
        </w:tc>
        <w:tc>
          <w:tcPr>
            <w:tcW w:w="574" w:type="pct"/>
            <w:noWrap/>
            <w:vAlign w:val="bottom"/>
          </w:tcPr>
          <w:p w:rsidR="00174AEA" w:rsidRPr="00687A1C" w:rsidRDefault="00174AEA" w:rsidP="008A3976">
            <w:pPr>
              <w:pStyle w:val="Tabletextright"/>
            </w:pPr>
          </w:p>
        </w:tc>
        <w:tc>
          <w:tcPr>
            <w:tcW w:w="595" w:type="pct"/>
            <w:noWrap/>
          </w:tcPr>
          <w:p w:rsidR="00174AEA" w:rsidRPr="00687A1C" w:rsidRDefault="00174AEA" w:rsidP="008A3976">
            <w:pPr>
              <w:pStyle w:val="Tabletextright"/>
            </w:pPr>
          </w:p>
        </w:tc>
        <w:tc>
          <w:tcPr>
            <w:tcW w:w="595" w:type="pct"/>
            <w:noWrap/>
          </w:tcPr>
          <w:p w:rsidR="00174AEA" w:rsidRPr="00687A1C" w:rsidRDefault="00174AEA" w:rsidP="008A3976">
            <w:pPr>
              <w:pStyle w:val="Tabletextright"/>
            </w:pPr>
          </w:p>
        </w:tc>
        <w:tc>
          <w:tcPr>
            <w:tcW w:w="598" w:type="pct"/>
            <w:noWrap/>
          </w:tcPr>
          <w:p w:rsidR="00174AEA" w:rsidRPr="00687A1C" w:rsidRDefault="00174AEA" w:rsidP="008A3976">
            <w:pPr>
              <w:pStyle w:val="Tabletextright"/>
            </w:pPr>
          </w:p>
        </w:tc>
      </w:tr>
      <w:tr w:rsidR="00174AEA" w:rsidRPr="00687A1C" w:rsidTr="008A3976">
        <w:trPr>
          <w:trHeight w:val="255"/>
        </w:trPr>
        <w:tc>
          <w:tcPr>
            <w:tcW w:w="2638" w:type="pct"/>
            <w:noWrap/>
            <w:hideMark/>
          </w:tcPr>
          <w:p w:rsidR="00174AEA" w:rsidRPr="00687A1C" w:rsidRDefault="00174AEA" w:rsidP="008A3976">
            <w:pPr>
              <w:pStyle w:val="Tabletextbold"/>
            </w:pPr>
            <w:r w:rsidRPr="00687A1C">
              <w:t>Land at fair value</w:t>
            </w:r>
          </w:p>
        </w:tc>
        <w:tc>
          <w:tcPr>
            <w:tcW w:w="574" w:type="pct"/>
            <w:noWrap/>
            <w:vAlign w:val="bottom"/>
          </w:tcPr>
          <w:p w:rsidR="00174AEA" w:rsidRPr="00687A1C" w:rsidRDefault="00174AEA" w:rsidP="008A3976">
            <w:pPr>
              <w:pStyle w:val="Tabletextright"/>
            </w:pPr>
          </w:p>
        </w:tc>
        <w:tc>
          <w:tcPr>
            <w:tcW w:w="595" w:type="pct"/>
            <w:shd w:val="clear" w:color="auto" w:fill="DDDDDD"/>
            <w:noWrap/>
          </w:tcPr>
          <w:p w:rsidR="00174AEA" w:rsidRPr="00687A1C" w:rsidRDefault="00174AEA" w:rsidP="008A3976">
            <w:pPr>
              <w:pStyle w:val="Tabletextright"/>
            </w:pPr>
          </w:p>
        </w:tc>
        <w:tc>
          <w:tcPr>
            <w:tcW w:w="595" w:type="pct"/>
            <w:noWrap/>
          </w:tcPr>
          <w:p w:rsidR="00174AEA" w:rsidRPr="00687A1C" w:rsidRDefault="00174AEA" w:rsidP="008A3976">
            <w:pPr>
              <w:pStyle w:val="Tabletextright"/>
            </w:pPr>
          </w:p>
        </w:tc>
        <w:tc>
          <w:tcPr>
            <w:tcW w:w="598" w:type="pct"/>
            <w:shd w:val="clear" w:color="auto" w:fill="DDDDDD"/>
            <w:noWrap/>
            <w:vAlign w:val="bottom"/>
          </w:tcPr>
          <w:p w:rsidR="00174AEA" w:rsidRPr="00687A1C" w:rsidRDefault="00174AEA" w:rsidP="008A3976">
            <w:pPr>
              <w:pStyle w:val="Tabletextright"/>
            </w:pPr>
          </w:p>
        </w:tc>
      </w:tr>
      <w:tr w:rsidR="00174AEA" w:rsidRPr="00687A1C" w:rsidTr="008A3976">
        <w:trPr>
          <w:trHeight w:val="255"/>
        </w:trPr>
        <w:tc>
          <w:tcPr>
            <w:tcW w:w="2638" w:type="pct"/>
            <w:noWrap/>
            <w:hideMark/>
          </w:tcPr>
          <w:p w:rsidR="00174AEA" w:rsidRPr="00687A1C" w:rsidRDefault="00174AEA" w:rsidP="008A3976">
            <w:pPr>
              <w:pStyle w:val="Tabletext"/>
            </w:pPr>
            <w:r w:rsidRPr="00687A1C">
              <w:t>Specialised land</w:t>
            </w:r>
          </w:p>
        </w:tc>
        <w:tc>
          <w:tcPr>
            <w:tcW w:w="574" w:type="pct"/>
            <w:noWrap/>
            <w:vAlign w:val="bottom"/>
          </w:tcPr>
          <w:p w:rsidR="00174AEA" w:rsidRPr="00687A1C" w:rsidRDefault="00174AEA" w:rsidP="00D8412D">
            <w:pPr>
              <w:pStyle w:val="Tabletextright"/>
            </w:pPr>
            <w:r w:rsidRPr="00687A1C">
              <w:t>4</w:t>
            </w:r>
            <w:r w:rsidR="00D8412D" w:rsidRPr="00687A1C">
              <w:t xml:space="preserve"> </w:t>
            </w:r>
            <w:r w:rsidRPr="00687A1C">
              <w:t>555</w:t>
            </w:r>
          </w:p>
        </w:tc>
        <w:tc>
          <w:tcPr>
            <w:tcW w:w="595" w:type="pct"/>
            <w:shd w:val="clear" w:color="auto" w:fill="DDDDDD"/>
            <w:noWrap/>
            <w:vAlign w:val="bottom"/>
          </w:tcPr>
          <w:p w:rsidR="00174AEA" w:rsidRPr="00687A1C" w:rsidRDefault="00174AEA" w:rsidP="008A3976">
            <w:pPr>
              <w:pStyle w:val="Tabletextright"/>
            </w:pPr>
          </w:p>
        </w:tc>
        <w:tc>
          <w:tcPr>
            <w:tcW w:w="595" w:type="pct"/>
            <w:noWrap/>
            <w:vAlign w:val="bottom"/>
          </w:tcPr>
          <w:p w:rsidR="00174AEA" w:rsidRPr="00687A1C" w:rsidRDefault="00174AEA" w:rsidP="008A3976">
            <w:pPr>
              <w:pStyle w:val="Tabletextright"/>
            </w:pPr>
          </w:p>
        </w:tc>
        <w:tc>
          <w:tcPr>
            <w:tcW w:w="598" w:type="pct"/>
            <w:shd w:val="clear" w:color="auto" w:fill="DDDDDD"/>
            <w:noWrap/>
            <w:vAlign w:val="bottom"/>
          </w:tcPr>
          <w:p w:rsidR="00174AEA" w:rsidRPr="00687A1C" w:rsidRDefault="00174AEA" w:rsidP="00D8412D">
            <w:pPr>
              <w:pStyle w:val="Tabletextright"/>
            </w:pPr>
            <w:r w:rsidRPr="00687A1C">
              <w:t>4</w:t>
            </w:r>
            <w:r w:rsidR="00D8412D" w:rsidRPr="00687A1C">
              <w:t xml:space="preserve"> </w:t>
            </w:r>
            <w:r w:rsidRPr="00687A1C">
              <w:t>555</w:t>
            </w:r>
          </w:p>
        </w:tc>
      </w:tr>
      <w:tr w:rsidR="00174AEA" w:rsidRPr="00687A1C" w:rsidTr="008A3976">
        <w:trPr>
          <w:trHeight w:val="255"/>
        </w:trPr>
        <w:tc>
          <w:tcPr>
            <w:tcW w:w="2638" w:type="pct"/>
            <w:noWrap/>
            <w:hideMark/>
          </w:tcPr>
          <w:p w:rsidR="00174AEA" w:rsidRPr="00687A1C" w:rsidRDefault="00174AEA" w:rsidP="008A3976">
            <w:pPr>
              <w:pStyle w:val="Tabletextbold"/>
            </w:pPr>
            <w:r w:rsidRPr="00687A1C">
              <w:t>Total land at fair value</w:t>
            </w:r>
          </w:p>
        </w:tc>
        <w:tc>
          <w:tcPr>
            <w:tcW w:w="574" w:type="pct"/>
            <w:noWrap/>
            <w:vAlign w:val="bottom"/>
          </w:tcPr>
          <w:p w:rsidR="00174AEA" w:rsidRPr="00687A1C" w:rsidRDefault="00174AEA" w:rsidP="00D8412D">
            <w:pPr>
              <w:pStyle w:val="Tabletextright"/>
            </w:pPr>
            <w:r w:rsidRPr="00687A1C">
              <w:rPr>
                <w:b/>
              </w:rPr>
              <w:t>4</w:t>
            </w:r>
            <w:r w:rsidR="00D8412D" w:rsidRPr="00687A1C">
              <w:rPr>
                <w:b/>
              </w:rPr>
              <w:t xml:space="preserve"> </w:t>
            </w:r>
            <w:r w:rsidRPr="00687A1C">
              <w:rPr>
                <w:b/>
              </w:rPr>
              <w:t>555</w:t>
            </w:r>
          </w:p>
        </w:tc>
        <w:tc>
          <w:tcPr>
            <w:tcW w:w="595" w:type="pct"/>
            <w:shd w:val="clear" w:color="auto" w:fill="DDDDDD"/>
            <w:noWrap/>
            <w:vAlign w:val="bottom"/>
          </w:tcPr>
          <w:p w:rsidR="00174AEA" w:rsidRPr="00687A1C" w:rsidRDefault="00174AEA" w:rsidP="008A3976">
            <w:pPr>
              <w:pStyle w:val="Tabletextrightbold"/>
            </w:pPr>
          </w:p>
        </w:tc>
        <w:tc>
          <w:tcPr>
            <w:tcW w:w="595" w:type="pct"/>
            <w:noWrap/>
            <w:vAlign w:val="bottom"/>
          </w:tcPr>
          <w:p w:rsidR="00174AEA" w:rsidRPr="00687A1C" w:rsidRDefault="00174AEA" w:rsidP="008A3976">
            <w:pPr>
              <w:pStyle w:val="Tabletextrightbold"/>
            </w:pPr>
          </w:p>
        </w:tc>
        <w:tc>
          <w:tcPr>
            <w:tcW w:w="598" w:type="pct"/>
            <w:shd w:val="clear" w:color="auto" w:fill="DDDDDD"/>
            <w:noWrap/>
            <w:vAlign w:val="bottom"/>
          </w:tcPr>
          <w:p w:rsidR="00174AEA" w:rsidRPr="00687A1C" w:rsidRDefault="00174AEA" w:rsidP="00D8412D">
            <w:pPr>
              <w:pStyle w:val="Tabletextright"/>
            </w:pPr>
            <w:r w:rsidRPr="00687A1C">
              <w:rPr>
                <w:b/>
              </w:rPr>
              <w:t>4</w:t>
            </w:r>
            <w:r w:rsidR="00D8412D" w:rsidRPr="00687A1C">
              <w:rPr>
                <w:b/>
              </w:rPr>
              <w:t xml:space="preserve"> </w:t>
            </w:r>
            <w:r w:rsidRPr="00687A1C">
              <w:rPr>
                <w:b/>
              </w:rPr>
              <w:t>555</w:t>
            </w:r>
          </w:p>
        </w:tc>
      </w:tr>
    </w:tbl>
    <w:p w:rsidR="00174AEA" w:rsidRPr="00687A1C" w:rsidRDefault="00174AEA" w:rsidP="00174AEA">
      <w:pPr>
        <w:sectPr w:rsidR="00174AEA" w:rsidRPr="00687A1C" w:rsidSect="008A3976">
          <w:type w:val="continuous"/>
          <w:pgSz w:w="11909" w:h="16834" w:code="9"/>
          <w:pgMar w:top="1728" w:right="1152" w:bottom="1152" w:left="1152" w:header="720" w:footer="288" w:gutter="0"/>
          <w:cols w:space="720"/>
          <w:noEndnote/>
        </w:sectPr>
      </w:pPr>
    </w:p>
    <w:bookmarkEnd w:id="122"/>
    <w:p w:rsidR="00174AEA" w:rsidRPr="00687A1C" w:rsidRDefault="00174AEA" w:rsidP="00174AEA">
      <w:pPr>
        <w:pStyle w:val="Notes"/>
      </w:pPr>
    </w:p>
    <w:p w:rsidR="00174AEA" w:rsidRPr="00687A1C" w:rsidRDefault="00174AEA" w:rsidP="00174AEA"/>
    <w:p w:rsidR="00174AEA" w:rsidRPr="00687A1C" w:rsidRDefault="00174AEA" w:rsidP="00174AEA">
      <w:pPr>
        <w:sectPr w:rsidR="00174AEA" w:rsidRPr="00687A1C" w:rsidSect="008A3976">
          <w:type w:val="continuous"/>
          <w:pgSz w:w="11909" w:h="16834" w:code="9"/>
          <w:pgMar w:top="1728" w:right="1152" w:bottom="1152" w:left="1152" w:header="720" w:footer="288" w:gutter="0"/>
          <w:cols w:space="720"/>
          <w:noEndnote/>
        </w:sectPr>
      </w:pPr>
    </w:p>
    <w:p w:rsidR="00174AEA" w:rsidRPr="00687A1C" w:rsidRDefault="00174AEA" w:rsidP="00174AEA">
      <w:pPr>
        <w:pStyle w:val="Heading1numbered"/>
      </w:pPr>
      <w:bookmarkStart w:id="130" w:name="_Toc495304305"/>
      <w:bookmarkStart w:id="131" w:name="_Toc525026214"/>
      <w:r w:rsidRPr="00687A1C">
        <w:lastRenderedPageBreak/>
        <w:t>Other disclosures</w:t>
      </w:r>
      <w:bookmarkEnd w:id="130"/>
      <w:bookmarkEnd w:id="131"/>
    </w:p>
    <w:p w:rsidR="00174AEA" w:rsidRPr="00687A1C" w:rsidRDefault="00174AEA" w:rsidP="00174AEA">
      <w:pPr>
        <w:sectPr w:rsidR="00174AEA" w:rsidRPr="00687A1C" w:rsidSect="008A3976">
          <w:headerReference w:type="even" r:id="rId97"/>
          <w:pgSz w:w="11909" w:h="16834" w:code="9"/>
          <w:pgMar w:top="1728" w:right="1152" w:bottom="1152" w:left="1152" w:header="720" w:footer="288" w:gutter="0"/>
          <w:cols w:space="720"/>
          <w:noEndnote/>
        </w:sectPr>
      </w:pPr>
    </w:p>
    <w:p w:rsidR="00174AEA" w:rsidRPr="00687A1C" w:rsidRDefault="00174AEA" w:rsidP="00174AEA">
      <w:pPr>
        <w:pStyle w:val="Heading4"/>
      </w:pPr>
      <w:bookmarkStart w:id="132" w:name="Section_09"/>
      <w:r w:rsidRPr="00687A1C">
        <w:t>Introduction</w:t>
      </w:r>
    </w:p>
    <w:p w:rsidR="00174AEA" w:rsidRPr="00687A1C" w:rsidRDefault="00174AEA" w:rsidP="00174AEA">
      <w:r w:rsidRPr="00687A1C">
        <w:t>This section includes additional material disclosures required by accounting standards or otherwise</w:t>
      </w:r>
      <w:r w:rsidR="008F720B" w:rsidRPr="00687A1C">
        <w:t>,</w:t>
      </w:r>
      <w:r w:rsidRPr="00687A1C">
        <w:rPr>
          <w:rFonts w:ascii="Calibri" w:hAnsi="Calibri" w:cs="Calibri"/>
        </w:rPr>
        <w:t xml:space="preserve"> </w:t>
      </w:r>
      <w:r w:rsidRPr="00687A1C">
        <w:t>for the understanding of this financial report.</w:t>
      </w:r>
    </w:p>
    <w:p w:rsidR="00174AEA" w:rsidRPr="00687A1C" w:rsidRDefault="00174AEA" w:rsidP="00174AEA">
      <w:pPr>
        <w:pStyle w:val="Heading4"/>
      </w:pPr>
      <w:r w:rsidRPr="00687A1C">
        <w:br w:type="column"/>
      </w:r>
      <w:r w:rsidRPr="00687A1C">
        <w:t>Structure</w:t>
      </w:r>
    </w:p>
    <w:p w:rsidR="00F97BB9" w:rsidRDefault="00174AEA">
      <w:pPr>
        <w:pStyle w:val="TOC5"/>
        <w:rPr>
          <w:noProof/>
          <w:color w:val="auto"/>
          <w:sz w:val="22"/>
        </w:rPr>
      </w:pPr>
      <w:r w:rsidRPr="00687A1C">
        <w:rPr>
          <w:b/>
        </w:rPr>
        <w:fldChar w:fldCharType="begin"/>
      </w:r>
      <w:r w:rsidRPr="00687A1C">
        <w:rPr>
          <w:b/>
        </w:rPr>
        <w:instrText xml:space="preserve"> TOC \h \z \t "Heading 2 numbered,5" \b Section_09 </w:instrText>
      </w:r>
      <w:r w:rsidRPr="00687A1C">
        <w:rPr>
          <w:b/>
        </w:rPr>
        <w:fldChar w:fldCharType="separate"/>
      </w:r>
      <w:hyperlink w:anchor="_Toc525026248" w:history="1">
        <w:r w:rsidR="00F97BB9" w:rsidRPr="0072712A">
          <w:rPr>
            <w:rStyle w:val="Hyperlink"/>
            <w:noProof/>
          </w:rPr>
          <w:t>9.1</w:t>
        </w:r>
        <w:r w:rsidR="00F97BB9">
          <w:rPr>
            <w:noProof/>
            <w:color w:val="auto"/>
            <w:sz w:val="22"/>
          </w:rPr>
          <w:tab/>
        </w:r>
        <w:r w:rsidR="00F97BB9" w:rsidRPr="0072712A">
          <w:rPr>
            <w:rStyle w:val="Hyperlink"/>
            <w:noProof/>
          </w:rPr>
          <w:t>Other economic flows included in net result</w:t>
        </w:r>
        <w:r w:rsidR="00F97BB9">
          <w:rPr>
            <w:noProof/>
            <w:webHidden/>
          </w:rPr>
          <w:tab/>
        </w:r>
        <w:r w:rsidR="00F97BB9">
          <w:rPr>
            <w:noProof/>
            <w:webHidden/>
          </w:rPr>
          <w:fldChar w:fldCharType="begin"/>
        </w:r>
        <w:r w:rsidR="00F97BB9">
          <w:rPr>
            <w:noProof/>
            <w:webHidden/>
          </w:rPr>
          <w:instrText xml:space="preserve"> PAGEREF _Toc525026248 \h </w:instrText>
        </w:r>
        <w:r w:rsidR="00F97BB9">
          <w:rPr>
            <w:noProof/>
            <w:webHidden/>
          </w:rPr>
        </w:r>
        <w:r w:rsidR="00F97BB9">
          <w:rPr>
            <w:noProof/>
            <w:webHidden/>
          </w:rPr>
          <w:fldChar w:fldCharType="separate"/>
        </w:r>
        <w:r w:rsidR="00BE5F15">
          <w:rPr>
            <w:noProof/>
            <w:webHidden/>
          </w:rPr>
          <w:t>92</w:t>
        </w:r>
        <w:r w:rsidR="00F97BB9">
          <w:rPr>
            <w:noProof/>
            <w:webHidden/>
          </w:rPr>
          <w:fldChar w:fldCharType="end"/>
        </w:r>
      </w:hyperlink>
    </w:p>
    <w:p w:rsidR="00F97BB9" w:rsidRDefault="00EC4CFD">
      <w:pPr>
        <w:pStyle w:val="TOC5"/>
        <w:rPr>
          <w:noProof/>
          <w:color w:val="auto"/>
          <w:sz w:val="22"/>
        </w:rPr>
      </w:pPr>
      <w:hyperlink w:anchor="_Toc525026249" w:history="1">
        <w:r w:rsidR="00F97BB9" w:rsidRPr="0072712A">
          <w:rPr>
            <w:rStyle w:val="Hyperlink"/>
            <w:noProof/>
          </w:rPr>
          <w:t>9.2</w:t>
        </w:r>
        <w:r w:rsidR="00F97BB9">
          <w:rPr>
            <w:noProof/>
            <w:color w:val="auto"/>
            <w:sz w:val="22"/>
          </w:rPr>
          <w:tab/>
        </w:r>
        <w:r w:rsidR="00F97BB9" w:rsidRPr="0072712A">
          <w:rPr>
            <w:rStyle w:val="Hyperlink"/>
            <w:noProof/>
          </w:rPr>
          <w:t>Responsible persons</w:t>
        </w:r>
        <w:r w:rsidR="00F97BB9">
          <w:rPr>
            <w:noProof/>
            <w:webHidden/>
          </w:rPr>
          <w:tab/>
        </w:r>
        <w:r w:rsidR="00F97BB9">
          <w:rPr>
            <w:noProof/>
            <w:webHidden/>
          </w:rPr>
          <w:fldChar w:fldCharType="begin"/>
        </w:r>
        <w:r w:rsidR="00F97BB9">
          <w:rPr>
            <w:noProof/>
            <w:webHidden/>
          </w:rPr>
          <w:instrText xml:space="preserve"> PAGEREF _Toc525026249 \h </w:instrText>
        </w:r>
        <w:r w:rsidR="00F97BB9">
          <w:rPr>
            <w:noProof/>
            <w:webHidden/>
          </w:rPr>
        </w:r>
        <w:r w:rsidR="00F97BB9">
          <w:rPr>
            <w:noProof/>
            <w:webHidden/>
          </w:rPr>
          <w:fldChar w:fldCharType="separate"/>
        </w:r>
        <w:r w:rsidR="00BE5F15">
          <w:rPr>
            <w:noProof/>
            <w:webHidden/>
          </w:rPr>
          <w:t>93</w:t>
        </w:r>
        <w:r w:rsidR="00F97BB9">
          <w:rPr>
            <w:noProof/>
            <w:webHidden/>
          </w:rPr>
          <w:fldChar w:fldCharType="end"/>
        </w:r>
      </w:hyperlink>
    </w:p>
    <w:p w:rsidR="00F97BB9" w:rsidRDefault="00EC4CFD">
      <w:pPr>
        <w:pStyle w:val="TOC5"/>
        <w:rPr>
          <w:noProof/>
          <w:color w:val="auto"/>
          <w:sz w:val="22"/>
        </w:rPr>
      </w:pPr>
      <w:hyperlink w:anchor="_Toc525026250" w:history="1">
        <w:r w:rsidR="00F97BB9" w:rsidRPr="0072712A">
          <w:rPr>
            <w:rStyle w:val="Hyperlink"/>
            <w:noProof/>
          </w:rPr>
          <w:t>9.3</w:t>
        </w:r>
        <w:r w:rsidR="00F97BB9">
          <w:rPr>
            <w:noProof/>
            <w:color w:val="auto"/>
            <w:sz w:val="22"/>
          </w:rPr>
          <w:tab/>
        </w:r>
        <w:r w:rsidR="00F97BB9" w:rsidRPr="0072712A">
          <w:rPr>
            <w:rStyle w:val="Hyperlink"/>
            <w:noProof/>
          </w:rPr>
          <w:t>Remuneration of executives</w:t>
        </w:r>
        <w:r w:rsidR="00F97BB9">
          <w:rPr>
            <w:noProof/>
            <w:webHidden/>
          </w:rPr>
          <w:tab/>
        </w:r>
        <w:r w:rsidR="00F97BB9">
          <w:rPr>
            <w:noProof/>
            <w:webHidden/>
          </w:rPr>
          <w:fldChar w:fldCharType="begin"/>
        </w:r>
        <w:r w:rsidR="00F97BB9">
          <w:rPr>
            <w:noProof/>
            <w:webHidden/>
          </w:rPr>
          <w:instrText xml:space="preserve"> PAGEREF _Toc525026250 \h </w:instrText>
        </w:r>
        <w:r w:rsidR="00F97BB9">
          <w:rPr>
            <w:noProof/>
            <w:webHidden/>
          </w:rPr>
        </w:r>
        <w:r w:rsidR="00F97BB9">
          <w:rPr>
            <w:noProof/>
            <w:webHidden/>
          </w:rPr>
          <w:fldChar w:fldCharType="separate"/>
        </w:r>
        <w:r w:rsidR="00BE5F15">
          <w:rPr>
            <w:noProof/>
            <w:webHidden/>
          </w:rPr>
          <w:t>93</w:t>
        </w:r>
        <w:r w:rsidR="00F97BB9">
          <w:rPr>
            <w:noProof/>
            <w:webHidden/>
          </w:rPr>
          <w:fldChar w:fldCharType="end"/>
        </w:r>
      </w:hyperlink>
    </w:p>
    <w:p w:rsidR="00F97BB9" w:rsidRDefault="00EC4CFD">
      <w:pPr>
        <w:pStyle w:val="TOC5"/>
        <w:rPr>
          <w:noProof/>
          <w:color w:val="auto"/>
          <w:sz w:val="22"/>
        </w:rPr>
      </w:pPr>
      <w:hyperlink w:anchor="_Toc525026251" w:history="1">
        <w:r w:rsidR="00F97BB9" w:rsidRPr="0072712A">
          <w:rPr>
            <w:rStyle w:val="Hyperlink"/>
            <w:noProof/>
          </w:rPr>
          <w:t>9.4</w:t>
        </w:r>
        <w:r w:rsidR="00F97BB9">
          <w:rPr>
            <w:noProof/>
            <w:color w:val="auto"/>
            <w:sz w:val="22"/>
          </w:rPr>
          <w:tab/>
        </w:r>
        <w:r w:rsidR="00F97BB9" w:rsidRPr="0072712A">
          <w:rPr>
            <w:rStyle w:val="Hyperlink"/>
            <w:noProof/>
          </w:rPr>
          <w:t>Related parties</w:t>
        </w:r>
        <w:r w:rsidR="00F97BB9">
          <w:rPr>
            <w:noProof/>
            <w:webHidden/>
          </w:rPr>
          <w:tab/>
        </w:r>
        <w:r w:rsidR="00F97BB9">
          <w:rPr>
            <w:noProof/>
            <w:webHidden/>
          </w:rPr>
          <w:fldChar w:fldCharType="begin"/>
        </w:r>
        <w:r w:rsidR="00F97BB9">
          <w:rPr>
            <w:noProof/>
            <w:webHidden/>
          </w:rPr>
          <w:instrText xml:space="preserve"> PAGEREF _Toc525026251 \h </w:instrText>
        </w:r>
        <w:r w:rsidR="00F97BB9">
          <w:rPr>
            <w:noProof/>
            <w:webHidden/>
          </w:rPr>
        </w:r>
        <w:r w:rsidR="00F97BB9">
          <w:rPr>
            <w:noProof/>
            <w:webHidden/>
          </w:rPr>
          <w:fldChar w:fldCharType="separate"/>
        </w:r>
        <w:r w:rsidR="00BE5F15">
          <w:rPr>
            <w:noProof/>
            <w:webHidden/>
          </w:rPr>
          <w:t>94</w:t>
        </w:r>
        <w:r w:rsidR="00F97BB9">
          <w:rPr>
            <w:noProof/>
            <w:webHidden/>
          </w:rPr>
          <w:fldChar w:fldCharType="end"/>
        </w:r>
      </w:hyperlink>
    </w:p>
    <w:p w:rsidR="00F97BB9" w:rsidRDefault="00EC4CFD">
      <w:pPr>
        <w:pStyle w:val="TOC5"/>
        <w:rPr>
          <w:noProof/>
          <w:color w:val="auto"/>
          <w:sz w:val="22"/>
        </w:rPr>
      </w:pPr>
      <w:hyperlink w:anchor="_Toc525026252" w:history="1">
        <w:r w:rsidR="00F97BB9" w:rsidRPr="0072712A">
          <w:rPr>
            <w:rStyle w:val="Hyperlink"/>
            <w:noProof/>
          </w:rPr>
          <w:t>9.5</w:t>
        </w:r>
        <w:r w:rsidR="00F97BB9">
          <w:rPr>
            <w:noProof/>
            <w:color w:val="auto"/>
            <w:sz w:val="22"/>
          </w:rPr>
          <w:tab/>
        </w:r>
        <w:r w:rsidR="00F97BB9" w:rsidRPr="0072712A">
          <w:rPr>
            <w:rStyle w:val="Hyperlink"/>
            <w:noProof/>
          </w:rPr>
          <w:t>Remuneration of auditors</w:t>
        </w:r>
        <w:r w:rsidR="00F97BB9">
          <w:rPr>
            <w:noProof/>
            <w:webHidden/>
          </w:rPr>
          <w:tab/>
        </w:r>
        <w:r w:rsidR="00F97BB9">
          <w:rPr>
            <w:noProof/>
            <w:webHidden/>
          </w:rPr>
          <w:fldChar w:fldCharType="begin"/>
        </w:r>
        <w:r w:rsidR="00F97BB9">
          <w:rPr>
            <w:noProof/>
            <w:webHidden/>
          </w:rPr>
          <w:instrText xml:space="preserve"> PAGEREF _Toc525026252 \h </w:instrText>
        </w:r>
        <w:r w:rsidR="00F97BB9">
          <w:rPr>
            <w:noProof/>
            <w:webHidden/>
          </w:rPr>
        </w:r>
        <w:r w:rsidR="00F97BB9">
          <w:rPr>
            <w:noProof/>
            <w:webHidden/>
          </w:rPr>
          <w:fldChar w:fldCharType="separate"/>
        </w:r>
        <w:r w:rsidR="00BE5F15">
          <w:rPr>
            <w:noProof/>
            <w:webHidden/>
          </w:rPr>
          <w:t>95</w:t>
        </w:r>
        <w:r w:rsidR="00F97BB9">
          <w:rPr>
            <w:noProof/>
            <w:webHidden/>
          </w:rPr>
          <w:fldChar w:fldCharType="end"/>
        </w:r>
      </w:hyperlink>
    </w:p>
    <w:p w:rsidR="00F97BB9" w:rsidRDefault="00EC4CFD">
      <w:pPr>
        <w:pStyle w:val="TOC5"/>
        <w:rPr>
          <w:noProof/>
          <w:color w:val="auto"/>
          <w:sz w:val="22"/>
        </w:rPr>
      </w:pPr>
      <w:hyperlink w:anchor="_Toc525026253" w:history="1">
        <w:r w:rsidR="00F97BB9" w:rsidRPr="0072712A">
          <w:rPr>
            <w:rStyle w:val="Hyperlink"/>
            <w:noProof/>
          </w:rPr>
          <w:t>9.6</w:t>
        </w:r>
        <w:r w:rsidR="00F97BB9">
          <w:rPr>
            <w:noProof/>
            <w:color w:val="auto"/>
            <w:sz w:val="22"/>
          </w:rPr>
          <w:tab/>
        </w:r>
        <w:r w:rsidR="00F97BB9" w:rsidRPr="0072712A">
          <w:rPr>
            <w:rStyle w:val="Hyperlink"/>
            <w:noProof/>
          </w:rPr>
          <w:t>Other accounting matters</w:t>
        </w:r>
        <w:r w:rsidR="00F97BB9">
          <w:rPr>
            <w:noProof/>
            <w:webHidden/>
          </w:rPr>
          <w:tab/>
        </w:r>
        <w:r w:rsidR="00F97BB9">
          <w:rPr>
            <w:noProof/>
            <w:webHidden/>
          </w:rPr>
          <w:fldChar w:fldCharType="begin"/>
        </w:r>
        <w:r w:rsidR="00F97BB9">
          <w:rPr>
            <w:noProof/>
            <w:webHidden/>
          </w:rPr>
          <w:instrText xml:space="preserve"> PAGEREF _Toc525026253 \h </w:instrText>
        </w:r>
        <w:r w:rsidR="00F97BB9">
          <w:rPr>
            <w:noProof/>
            <w:webHidden/>
          </w:rPr>
        </w:r>
        <w:r w:rsidR="00F97BB9">
          <w:rPr>
            <w:noProof/>
            <w:webHidden/>
          </w:rPr>
          <w:fldChar w:fldCharType="separate"/>
        </w:r>
        <w:r w:rsidR="00BE5F15">
          <w:rPr>
            <w:noProof/>
            <w:webHidden/>
          </w:rPr>
          <w:t>95</w:t>
        </w:r>
        <w:r w:rsidR="00F97BB9">
          <w:rPr>
            <w:noProof/>
            <w:webHidden/>
          </w:rPr>
          <w:fldChar w:fldCharType="end"/>
        </w:r>
      </w:hyperlink>
    </w:p>
    <w:p w:rsidR="00F97BB9" w:rsidRDefault="00EC4CFD">
      <w:pPr>
        <w:pStyle w:val="TOC5"/>
        <w:rPr>
          <w:noProof/>
          <w:color w:val="auto"/>
          <w:sz w:val="22"/>
        </w:rPr>
      </w:pPr>
      <w:hyperlink w:anchor="_Toc525026254" w:history="1">
        <w:r w:rsidR="00F97BB9" w:rsidRPr="0072712A">
          <w:rPr>
            <w:rStyle w:val="Hyperlink"/>
            <w:noProof/>
          </w:rPr>
          <w:t>9.7</w:t>
        </w:r>
        <w:r w:rsidR="00F97BB9">
          <w:rPr>
            <w:noProof/>
            <w:color w:val="auto"/>
            <w:sz w:val="22"/>
          </w:rPr>
          <w:tab/>
        </w:r>
        <w:r w:rsidR="00F97BB9" w:rsidRPr="0072712A">
          <w:rPr>
            <w:rStyle w:val="Hyperlink"/>
            <w:noProof/>
          </w:rPr>
          <w:t>Australian Accounting Standards issued that are not yet effective</w:t>
        </w:r>
        <w:r w:rsidR="00F97BB9">
          <w:rPr>
            <w:noProof/>
            <w:webHidden/>
          </w:rPr>
          <w:tab/>
        </w:r>
        <w:r w:rsidR="00F97BB9">
          <w:rPr>
            <w:noProof/>
            <w:webHidden/>
          </w:rPr>
          <w:fldChar w:fldCharType="begin"/>
        </w:r>
        <w:r w:rsidR="00F97BB9">
          <w:rPr>
            <w:noProof/>
            <w:webHidden/>
          </w:rPr>
          <w:instrText xml:space="preserve"> PAGEREF _Toc525026254 \h </w:instrText>
        </w:r>
        <w:r w:rsidR="00F97BB9">
          <w:rPr>
            <w:noProof/>
            <w:webHidden/>
          </w:rPr>
        </w:r>
        <w:r w:rsidR="00F97BB9">
          <w:rPr>
            <w:noProof/>
            <w:webHidden/>
          </w:rPr>
          <w:fldChar w:fldCharType="separate"/>
        </w:r>
        <w:r w:rsidR="00BE5F15">
          <w:rPr>
            <w:noProof/>
            <w:webHidden/>
          </w:rPr>
          <w:t>95</w:t>
        </w:r>
        <w:r w:rsidR="00F97BB9">
          <w:rPr>
            <w:noProof/>
            <w:webHidden/>
          </w:rPr>
          <w:fldChar w:fldCharType="end"/>
        </w:r>
      </w:hyperlink>
    </w:p>
    <w:p w:rsidR="00F97BB9" w:rsidRDefault="00EC4CFD">
      <w:pPr>
        <w:pStyle w:val="TOC5"/>
        <w:rPr>
          <w:noProof/>
          <w:color w:val="auto"/>
          <w:sz w:val="22"/>
        </w:rPr>
      </w:pPr>
      <w:hyperlink w:anchor="_Toc525026255" w:history="1">
        <w:r w:rsidR="00F97BB9" w:rsidRPr="0072712A">
          <w:rPr>
            <w:rStyle w:val="Hyperlink"/>
            <w:noProof/>
          </w:rPr>
          <w:t>9.8</w:t>
        </w:r>
        <w:r w:rsidR="00F97BB9">
          <w:rPr>
            <w:noProof/>
            <w:color w:val="auto"/>
            <w:sz w:val="22"/>
          </w:rPr>
          <w:tab/>
        </w:r>
        <w:r w:rsidR="00F97BB9" w:rsidRPr="0072712A">
          <w:rPr>
            <w:rStyle w:val="Hyperlink"/>
            <w:noProof/>
          </w:rPr>
          <w:t>Glossary of technical terms</w:t>
        </w:r>
        <w:r w:rsidR="00F97BB9">
          <w:rPr>
            <w:noProof/>
            <w:webHidden/>
          </w:rPr>
          <w:tab/>
        </w:r>
        <w:r w:rsidR="00F97BB9">
          <w:rPr>
            <w:noProof/>
            <w:webHidden/>
          </w:rPr>
          <w:fldChar w:fldCharType="begin"/>
        </w:r>
        <w:r w:rsidR="00F97BB9">
          <w:rPr>
            <w:noProof/>
            <w:webHidden/>
          </w:rPr>
          <w:instrText xml:space="preserve"> PAGEREF _Toc525026255 \h </w:instrText>
        </w:r>
        <w:r w:rsidR="00F97BB9">
          <w:rPr>
            <w:noProof/>
            <w:webHidden/>
          </w:rPr>
        </w:r>
        <w:r w:rsidR="00F97BB9">
          <w:rPr>
            <w:noProof/>
            <w:webHidden/>
          </w:rPr>
          <w:fldChar w:fldCharType="separate"/>
        </w:r>
        <w:r w:rsidR="00BE5F15">
          <w:rPr>
            <w:noProof/>
            <w:webHidden/>
          </w:rPr>
          <w:t>96</w:t>
        </w:r>
        <w:r w:rsidR="00F97BB9">
          <w:rPr>
            <w:noProof/>
            <w:webHidden/>
          </w:rPr>
          <w:fldChar w:fldCharType="end"/>
        </w:r>
      </w:hyperlink>
    </w:p>
    <w:p w:rsidR="00174AEA" w:rsidRPr="00687A1C" w:rsidRDefault="00174AEA" w:rsidP="00174AEA">
      <w:r w:rsidRPr="00687A1C">
        <w:rPr>
          <w:b/>
          <w:spacing w:val="-2"/>
          <w:szCs w:val="19"/>
        </w:rPr>
        <w:fldChar w:fldCharType="end"/>
      </w:r>
    </w:p>
    <w:p w:rsidR="00174AEA" w:rsidRPr="00687A1C" w:rsidRDefault="00174AEA" w:rsidP="00174AEA">
      <w:pPr>
        <w:sectPr w:rsidR="00174AEA" w:rsidRPr="00687A1C" w:rsidSect="008A3976">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133" w:name="_Toc495304306"/>
      <w:bookmarkStart w:id="134" w:name="_Toc525026215"/>
      <w:bookmarkStart w:id="135" w:name="_Toc525026248"/>
      <w:r w:rsidRPr="00687A1C">
        <w:t>Other economic flows included in net result</w:t>
      </w:r>
      <w:bookmarkEnd w:id="133"/>
      <w:bookmarkEnd w:id="134"/>
      <w:bookmarkEnd w:id="135"/>
    </w:p>
    <w:p w:rsidR="00174AEA" w:rsidRPr="00687A1C" w:rsidRDefault="00174AEA" w:rsidP="00174AEA">
      <w:r w:rsidRPr="00687A1C">
        <w:t>Other economic flows are changes in the volume or value of an asset or liability that do not result from transactions. Other gains/(losses) from other economic flows include the gains or losses from:</w:t>
      </w:r>
    </w:p>
    <w:p w:rsidR="00174AEA" w:rsidRPr="00687A1C" w:rsidRDefault="00174AEA" w:rsidP="00174AEA">
      <w:pPr>
        <w:pStyle w:val="Heading4"/>
      </w:pPr>
      <w:r w:rsidRPr="00687A1C">
        <w:t>Net gain/(loss) on non-financial assets</w:t>
      </w:r>
    </w:p>
    <w:p w:rsidR="00174AEA" w:rsidRPr="00687A1C" w:rsidRDefault="00174AEA" w:rsidP="00174AEA">
      <w:r w:rsidRPr="00687A1C">
        <w:t>Net gain/(loss) on non-financial assets includes realised and unrealised gains and losses from impairments</w:t>
      </w:r>
      <w:r w:rsidRPr="00687A1C">
        <w:rPr>
          <w:rFonts w:ascii="Calibri" w:hAnsi="Calibri" w:cs="Calibri"/>
        </w:rPr>
        <w:t xml:space="preserve"> </w:t>
      </w:r>
      <w:r w:rsidRPr="00687A1C">
        <w:t>and disposals of all physical and intangible assets.</w:t>
      </w:r>
    </w:p>
    <w:p w:rsidR="00174AEA" w:rsidRPr="00687A1C" w:rsidRDefault="00174AEA" w:rsidP="00174AEA">
      <w:pPr>
        <w:pStyle w:val="Heading5"/>
      </w:pPr>
      <w:r w:rsidRPr="00687A1C">
        <w:t>Disposal of non-financial assets</w:t>
      </w:r>
    </w:p>
    <w:p w:rsidR="00174AEA" w:rsidRPr="00687A1C" w:rsidRDefault="00174AEA" w:rsidP="00174AEA">
      <w:r w:rsidRPr="00687A1C">
        <w:t>Any gain or loss on the disposal of non-financial assets is recognised at the date of disposal and is determined after deducting from the proceeds the carrying value of the asset at that time.</w:t>
      </w:r>
    </w:p>
    <w:p w:rsidR="00174AEA" w:rsidRPr="00687A1C" w:rsidRDefault="00174AEA" w:rsidP="00174AEA">
      <w:pPr>
        <w:jc w:val="both"/>
        <w:rPr>
          <w:b/>
          <w:sz w:val="20"/>
        </w:rPr>
      </w:pPr>
      <w:r w:rsidRPr="00687A1C">
        <w:rPr>
          <w:b/>
          <w:sz w:val="20"/>
        </w:rPr>
        <w:br w:type="column"/>
      </w:r>
      <w:r w:rsidRPr="00687A1C">
        <w:rPr>
          <w:b/>
          <w:sz w:val="20"/>
        </w:rPr>
        <w:t>Net gain/(loss) on financial instruments</w:t>
      </w:r>
    </w:p>
    <w:p w:rsidR="00174AEA" w:rsidRPr="00687A1C" w:rsidRDefault="00174AEA" w:rsidP="00174AEA">
      <w:r w:rsidRPr="00687A1C">
        <w:t>Net gain/(loss) on financial instruments includes realised and unrealised gains and losses from revaluations of financial instruments that are designated at fair value through profit or loss or held for trading</w:t>
      </w:r>
      <w:r w:rsidR="00260EDE" w:rsidRPr="00687A1C">
        <w:t>,</w:t>
      </w:r>
      <w:r w:rsidRPr="00687A1C">
        <w:rPr>
          <w:rFonts w:ascii="Calibri" w:hAnsi="Calibri" w:cs="Calibri"/>
        </w:rPr>
        <w:t xml:space="preserve"> </w:t>
      </w:r>
      <w:r w:rsidRPr="00687A1C">
        <w:t>impairment and reversal of impairment for financial instruments at amortised cost</w:t>
      </w:r>
      <w:r w:rsidR="00260EDE" w:rsidRPr="00687A1C">
        <w:t>,</w:t>
      </w:r>
      <w:r w:rsidRPr="00687A1C">
        <w:rPr>
          <w:rFonts w:ascii="Calibri" w:hAnsi="Calibri" w:cs="Calibri"/>
        </w:rPr>
        <w:t xml:space="preserve"> </w:t>
      </w:r>
      <w:r w:rsidRPr="00687A1C">
        <w:t>and disposals of financial assets.</w:t>
      </w:r>
    </w:p>
    <w:p w:rsidR="00174AEA" w:rsidRPr="00687A1C" w:rsidRDefault="00174AEA" w:rsidP="00174AEA">
      <w:pPr>
        <w:pStyle w:val="Heading5"/>
      </w:pPr>
      <w:r w:rsidRPr="00687A1C">
        <w:t>Revaluations of financial instruments at fair value</w:t>
      </w:r>
    </w:p>
    <w:p w:rsidR="00174AEA" w:rsidRPr="00687A1C" w:rsidRDefault="00174AEA" w:rsidP="00174AEA">
      <w:r w:rsidRPr="00687A1C">
        <w:t>The revaluation gain/(loss) on financial instruments at fair value excludes dividends or interest earned on financial assets</w:t>
      </w:r>
      <w:r w:rsidR="00260EDE" w:rsidRPr="00687A1C">
        <w:t>,</w:t>
      </w:r>
      <w:r w:rsidRPr="00687A1C">
        <w:rPr>
          <w:rFonts w:ascii="Calibri" w:hAnsi="Calibri" w:cs="Calibri"/>
        </w:rPr>
        <w:t xml:space="preserve"> </w:t>
      </w:r>
      <w:r w:rsidRPr="00687A1C">
        <w:t>which is reported as part of income from transactions.</w:t>
      </w:r>
    </w:p>
    <w:p w:rsidR="00174AEA" w:rsidRPr="00687A1C" w:rsidRDefault="00174AEA" w:rsidP="00174AEA">
      <w:pPr>
        <w:pStyle w:val="Heading4"/>
      </w:pPr>
      <w:r w:rsidRPr="00687A1C">
        <w:t>Other gains/(losses) from other economic flows</w:t>
      </w:r>
    </w:p>
    <w:p w:rsidR="00174AEA" w:rsidRPr="00687A1C" w:rsidRDefault="00174AEA" w:rsidP="00174AEA">
      <w:r w:rsidRPr="00687A1C">
        <w:t>Other gains/(losses) from other economic flows include the transfer of amounts from reserves and/or accumulated surplus to net result due to disposal or derecognition or reclassification</w:t>
      </w:r>
      <w:r w:rsidR="00260EDE" w:rsidRPr="00687A1C">
        <w:t>,</w:t>
      </w:r>
      <w:r w:rsidRPr="00687A1C">
        <w:rPr>
          <w:rFonts w:ascii="Calibri" w:hAnsi="Calibri" w:cs="Calibri"/>
        </w:rPr>
        <w:t xml:space="preserve"> </w:t>
      </w:r>
      <w:r w:rsidRPr="00687A1C">
        <w:t>the revaluation of the present value of leave liabilities due to changes in bond interest rates</w:t>
      </w:r>
      <w:r w:rsidR="00260EDE" w:rsidRPr="00687A1C">
        <w:t>,</w:t>
      </w:r>
      <w:r w:rsidRPr="00687A1C">
        <w:t xml:space="preserve"> and the revaluation of restoration costs provision.</w:t>
      </w:r>
    </w:p>
    <w:p w:rsidR="00174AEA" w:rsidRPr="00687A1C" w:rsidRDefault="00174AEA" w:rsidP="00174AEA">
      <w:pPr>
        <w:pStyle w:val="Heading2numbered"/>
      </w:pPr>
      <w:r w:rsidRPr="00687A1C">
        <w:br w:type="column"/>
      </w:r>
      <w:bookmarkStart w:id="136" w:name="_Ref492632364"/>
      <w:bookmarkStart w:id="137" w:name="Responsible_start"/>
      <w:bookmarkStart w:id="138" w:name="_Toc495304308"/>
      <w:bookmarkStart w:id="139" w:name="_Toc525026216"/>
      <w:bookmarkStart w:id="140" w:name="_Toc525026249"/>
      <w:r w:rsidRPr="00687A1C">
        <w:lastRenderedPageBreak/>
        <w:t>Responsible persons</w:t>
      </w:r>
      <w:bookmarkEnd w:id="136"/>
      <w:bookmarkEnd w:id="137"/>
      <w:bookmarkEnd w:id="138"/>
      <w:bookmarkEnd w:id="139"/>
      <w:bookmarkEnd w:id="140"/>
    </w:p>
    <w:p w:rsidR="00174AEA" w:rsidRPr="00687A1C" w:rsidRDefault="00174AEA" w:rsidP="00174AEA">
      <w:r w:rsidRPr="00687A1C">
        <w:t xml:space="preserve">In accordance with the Ministerial Directions issued by the Minister for Finance under the </w:t>
      </w:r>
      <w:r w:rsidRPr="00687A1C">
        <w:rPr>
          <w:i/>
        </w:rPr>
        <w:t>Financial Management Act 1994</w:t>
      </w:r>
      <w:r w:rsidRPr="00687A1C">
        <w:t xml:space="preserve"> (FMA)</w:t>
      </w:r>
      <w:r w:rsidR="008F720B" w:rsidRPr="00687A1C">
        <w:t>,</w:t>
      </w:r>
      <w:r w:rsidRPr="00687A1C">
        <w:rPr>
          <w:rFonts w:ascii="Calibri" w:hAnsi="Calibri" w:cs="Calibri"/>
        </w:rPr>
        <w:t xml:space="preserve"> </w:t>
      </w:r>
      <w:r w:rsidRPr="00687A1C">
        <w:t>the following disclosures are made regarding responsible persons for the reporting period.</w:t>
      </w:r>
    </w:p>
    <w:p w:rsidR="00174AEA" w:rsidRPr="00687A1C" w:rsidRDefault="00174AEA" w:rsidP="00174AEA">
      <w:r w:rsidRPr="00687A1C">
        <w:t>The persons who held the positions of Ministers and Accountable Officer in the Department (from 1 July 2017 to 30 June 2018 unless otherwise stated) were as follows:</w:t>
      </w:r>
    </w:p>
    <w:p w:rsidR="00174AEA" w:rsidRPr="00687A1C" w:rsidRDefault="00174AEA" w:rsidP="00174AEA">
      <w:pPr>
        <w:pStyle w:val="Bullet"/>
      </w:pPr>
      <w:r w:rsidRPr="00687A1C">
        <w:t>Tim Pallas MP, Treasurer of Victoria</w:t>
      </w:r>
    </w:p>
    <w:p w:rsidR="00174AEA" w:rsidRPr="00687A1C" w:rsidRDefault="00174AEA" w:rsidP="00174AEA">
      <w:pPr>
        <w:pStyle w:val="Bullet"/>
      </w:pPr>
      <w:r w:rsidRPr="00687A1C">
        <w:t>Robin Scott MP, Minister for Finance</w:t>
      </w:r>
    </w:p>
    <w:p w:rsidR="00174AEA" w:rsidRPr="00687A1C" w:rsidRDefault="00174AEA" w:rsidP="00174AEA">
      <w:pPr>
        <w:pStyle w:val="Bullet"/>
      </w:pPr>
      <w:r w:rsidRPr="00687A1C">
        <w:t>Mr David Martine, Secretary</w:t>
      </w:r>
    </w:p>
    <w:p w:rsidR="00677BF0" w:rsidRPr="00687A1C" w:rsidRDefault="00677BF0" w:rsidP="00677BF0">
      <w:r w:rsidRPr="00687A1C">
        <w:t xml:space="preserve">Robin Scott MP and Gavin Jennings MLC acted for the Treasurer during the absences of Tim Pallas MP. </w:t>
      </w:r>
    </w:p>
    <w:p w:rsidR="00677BF0" w:rsidRPr="00687A1C" w:rsidRDefault="00677BF0" w:rsidP="00677BF0">
      <w:r w:rsidRPr="00687A1C">
        <w:t xml:space="preserve">Tim Pallas MP acted for the Minister for Finance during the absences of Robin Scott MP. </w:t>
      </w:r>
    </w:p>
    <w:p w:rsidR="00677BF0" w:rsidRPr="00687A1C" w:rsidRDefault="00677BF0" w:rsidP="00677BF0">
      <w:r w:rsidRPr="00687A1C">
        <w:t>Gayle Porthouse, Simon Hollingsworth and Amy Auster acted in the office of the Secretary during the absences of David Martine.</w:t>
      </w:r>
    </w:p>
    <w:p w:rsidR="00174AEA" w:rsidRPr="00687A1C" w:rsidRDefault="00174AEA" w:rsidP="00174AEA">
      <w:r w:rsidRPr="00687A1C">
        <w:t>Total remuneration received or receivable by the Accountable Officer</w:t>
      </w:r>
      <w:r w:rsidR="008F720B" w:rsidRPr="00687A1C">
        <w:t>,</w:t>
      </w:r>
      <w:r w:rsidRPr="00687A1C">
        <w:rPr>
          <w:rFonts w:ascii="Calibri" w:hAnsi="Calibri" w:cs="Calibri"/>
        </w:rPr>
        <w:t xml:space="preserve"> </w:t>
      </w:r>
      <w:r w:rsidRPr="00687A1C">
        <w:t>in connection with the management of the Department during the reporting period</w:t>
      </w:r>
      <w:r w:rsidR="008F720B" w:rsidRPr="00687A1C">
        <w:t>,</w:t>
      </w:r>
      <w:r w:rsidRPr="00687A1C">
        <w:rPr>
          <w:rFonts w:ascii="Calibri" w:hAnsi="Calibri" w:cs="Calibri"/>
        </w:rPr>
        <w:t xml:space="preserve"> </w:t>
      </w:r>
      <w:r w:rsidRPr="00687A1C">
        <w:t>was in the range: $6</w:t>
      </w:r>
      <w:r w:rsidR="00677BF0" w:rsidRPr="00687A1C">
        <w:t>2</w:t>
      </w:r>
      <w:r w:rsidRPr="00687A1C">
        <w:t>0</w:t>
      </w:r>
      <w:r w:rsidRPr="00687A1C">
        <w:rPr>
          <w:rFonts w:ascii="Calibri" w:hAnsi="Calibri" w:cs="Calibri"/>
        </w:rPr>
        <w:t> </w:t>
      </w:r>
      <w:r w:rsidRPr="00687A1C">
        <w:t>000–$6</w:t>
      </w:r>
      <w:r w:rsidR="00677BF0" w:rsidRPr="00687A1C">
        <w:t>3</w:t>
      </w:r>
      <w:r w:rsidRPr="00687A1C">
        <w:t>0</w:t>
      </w:r>
      <w:r w:rsidRPr="00687A1C">
        <w:rPr>
          <w:rFonts w:ascii="Calibri" w:hAnsi="Calibri" w:cs="Calibri"/>
        </w:rPr>
        <w:t> </w:t>
      </w:r>
      <w:r w:rsidRPr="00687A1C">
        <w:t>000 ($600</w:t>
      </w:r>
      <w:r w:rsidRPr="00687A1C">
        <w:rPr>
          <w:rFonts w:ascii="Calibri" w:hAnsi="Calibri" w:cs="Calibri"/>
        </w:rPr>
        <w:t> </w:t>
      </w:r>
      <w:r w:rsidRPr="00687A1C">
        <w:t>000–$610</w:t>
      </w:r>
      <w:r w:rsidRPr="00687A1C">
        <w:rPr>
          <w:rFonts w:ascii="Calibri" w:hAnsi="Calibri" w:cs="Calibri"/>
        </w:rPr>
        <w:t> </w:t>
      </w:r>
      <w:r w:rsidRPr="00687A1C">
        <w:t>000 in 2016-17).</w:t>
      </w:r>
      <w:r w:rsidRPr="00687A1C" w:rsidDel="00492297">
        <w:t xml:space="preserve"> </w:t>
      </w:r>
    </w:p>
    <w:p w:rsidR="00174AEA" w:rsidRPr="00687A1C" w:rsidRDefault="00174AEA" w:rsidP="00174AEA">
      <w:pPr>
        <w:pStyle w:val="Heading2numbered"/>
      </w:pPr>
      <w:bookmarkStart w:id="141" w:name="_Ref492626383"/>
      <w:bookmarkStart w:id="142" w:name="_Toc495304309"/>
      <w:r w:rsidRPr="00687A1C">
        <w:br w:type="column"/>
      </w:r>
      <w:bookmarkStart w:id="143" w:name="_Toc525026217"/>
      <w:bookmarkStart w:id="144" w:name="_Toc525026250"/>
      <w:r w:rsidRPr="00687A1C">
        <w:t>Remuneration of executives</w:t>
      </w:r>
      <w:bookmarkEnd w:id="141"/>
      <w:bookmarkEnd w:id="142"/>
      <w:bookmarkEnd w:id="143"/>
      <w:bookmarkEnd w:id="144"/>
    </w:p>
    <w:p w:rsidR="00174AEA" w:rsidRPr="00687A1C" w:rsidRDefault="00174AEA" w:rsidP="00174AEA">
      <w:r w:rsidRPr="00687A1C">
        <w:t>The number of executive officers</w:t>
      </w:r>
      <w:r w:rsidR="008F720B" w:rsidRPr="00687A1C">
        <w:t>,</w:t>
      </w:r>
      <w:r w:rsidRPr="00687A1C">
        <w:rPr>
          <w:rFonts w:ascii="Calibri" w:hAnsi="Calibri" w:cs="Calibri"/>
        </w:rPr>
        <w:t xml:space="preserve"> </w:t>
      </w:r>
      <w:r w:rsidRPr="00687A1C">
        <w:t xml:space="preserve">other than Ministers and </w:t>
      </w:r>
      <w:r w:rsidR="00F96B2B" w:rsidRPr="00687A1C">
        <w:t xml:space="preserve">the </w:t>
      </w:r>
      <w:r w:rsidRPr="00687A1C">
        <w:t>Accountable Officer</w:t>
      </w:r>
      <w:r w:rsidR="008F720B" w:rsidRPr="00687A1C">
        <w:t>,</w:t>
      </w:r>
      <w:r w:rsidRPr="00687A1C">
        <w:rPr>
          <w:rFonts w:ascii="Calibri" w:hAnsi="Calibri" w:cs="Calibri"/>
        </w:rPr>
        <w:t xml:space="preserve"> </w:t>
      </w:r>
      <w:r w:rsidRPr="00687A1C">
        <w:t>and their total remuneration during the reporting period are shown in the table below. Total annualised employee equiva</w:t>
      </w:r>
      <w:r w:rsidR="0088796C" w:rsidRPr="00687A1C">
        <w:t>lents provide a measure of full-</w:t>
      </w:r>
      <w:r w:rsidRPr="00687A1C">
        <w:t>time equivalent executive officers over the reporting period. Remuneration comprises employee benefits in all forms of consideration paid</w:t>
      </w:r>
      <w:r w:rsidR="00771851" w:rsidRPr="00687A1C">
        <w:t>,</w:t>
      </w:r>
      <w:r w:rsidRPr="00687A1C">
        <w:rPr>
          <w:rFonts w:ascii="Calibri" w:hAnsi="Calibri" w:cs="Calibri"/>
        </w:rPr>
        <w:t xml:space="preserve"> </w:t>
      </w:r>
      <w:r w:rsidRPr="00687A1C">
        <w:t>payable or provided by the entity</w:t>
      </w:r>
      <w:r w:rsidR="008F720B" w:rsidRPr="00687A1C">
        <w:t>,</w:t>
      </w:r>
      <w:r w:rsidRPr="00687A1C">
        <w:rPr>
          <w:rFonts w:ascii="Calibri" w:hAnsi="Calibri" w:cs="Calibri"/>
        </w:rPr>
        <w:t xml:space="preserve"> </w:t>
      </w:r>
      <w:r w:rsidRPr="00687A1C">
        <w:t>or on behalf of the entity</w:t>
      </w:r>
      <w:r w:rsidR="008F720B" w:rsidRPr="00687A1C">
        <w:t>,</w:t>
      </w:r>
      <w:r w:rsidRPr="00687A1C">
        <w:rPr>
          <w:rFonts w:ascii="Calibri" w:hAnsi="Calibri" w:cs="Calibri"/>
        </w:rPr>
        <w:t xml:space="preserve"> </w:t>
      </w:r>
      <w:r w:rsidRPr="00687A1C">
        <w:t>in exchange for services rendered</w:t>
      </w:r>
      <w:r w:rsidR="008F720B" w:rsidRPr="00687A1C">
        <w:t>,</w:t>
      </w:r>
      <w:r w:rsidRPr="00687A1C">
        <w:rPr>
          <w:rFonts w:ascii="Calibri" w:hAnsi="Calibri" w:cs="Calibri"/>
        </w:rPr>
        <w:t xml:space="preserve"> </w:t>
      </w:r>
      <w:r w:rsidRPr="00687A1C">
        <w:t xml:space="preserve">and is disclosed in the following categories: </w:t>
      </w:r>
    </w:p>
    <w:p w:rsidR="00174AEA" w:rsidRPr="00687A1C" w:rsidRDefault="00174AEA" w:rsidP="00174AEA">
      <w:r w:rsidRPr="00687A1C">
        <w:rPr>
          <w:b/>
        </w:rPr>
        <w:t>Short-term employee benefits</w:t>
      </w:r>
      <w:r w:rsidRPr="00687A1C">
        <w:t xml:space="preserve"> include amounts such as wages</w:t>
      </w:r>
      <w:r w:rsidR="002767F2" w:rsidRPr="00687A1C">
        <w:t>,</w:t>
      </w:r>
      <w:r w:rsidRPr="00687A1C">
        <w:rPr>
          <w:rFonts w:ascii="Calibri" w:hAnsi="Calibri" w:cs="Calibri"/>
        </w:rPr>
        <w:t xml:space="preserve"> </w:t>
      </w:r>
      <w:r w:rsidRPr="00687A1C">
        <w:t>salaries</w:t>
      </w:r>
      <w:r w:rsidR="002767F2" w:rsidRPr="00687A1C">
        <w:t>,</w:t>
      </w:r>
      <w:r w:rsidRPr="00687A1C">
        <w:rPr>
          <w:rFonts w:ascii="Calibri" w:hAnsi="Calibri" w:cs="Calibri"/>
        </w:rPr>
        <w:t xml:space="preserve"> </w:t>
      </w:r>
      <w:r w:rsidRPr="00687A1C">
        <w:t>annual leave or sick leave that are usually paid or payable on a regular basis</w:t>
      </w:r>
      <w:r w:rsidR="008F720B" w:rsidRPr="00687A1C">
        <w:t>,</w:t>
      </w:r>
      <w:r w:rsidRPr="00687A1C">
        <w:rPr>
          <w:rFonts w:ascii="Calibri" w:hAnsi="Calibri" w:cs="Calibri"/>
        </w:rPr>
        <w:t xml:space="preserve"> </w:t>
      </w:r>
      <w:r w:rsidRPr="00687A1C">
        <w:t>as well as non-monetary benefits</w:t>
      </w:r>
      <w:r w:rsidR="0088796C" w:rsidRPr="00687A1C">
        <w:t>,</w:t>
      </w:r>
      <w:r w:rsidRPr="00687A1C">
        <w:t xml:space="preserve"> such as allowances and free or subsidised goods or services.</w:t>
      </w:r>
    </w:p>
    <w:p w:rsidR="00174AEA" w:rsidRPr="00687A1C" w:rsidRDefault="00174AEA" w:rsidP="00174AEA">
      <w:r w:rsidRPr="00687A1C">
        <w:rPr>
          <w:b/>
        </w:rPr>
        <w:t>Post-employment benefits</w:t>
      </w:r>
      <w:r w:rsidRPr="00687A1C">
        <w:t xml:space="preserve"> are employer contributions for members of both defined benefit and defined contribution superannuation plans.</w:t>
      </w:r>
    </w:p>
    <w:p w:rsidR="00174AEA" w:rsidRPr="00687A1C" w:rsidRDefault="00174AEA" w:rsidP="00174AEA">
      <w:r w:rsidRPr="00687A1C">
        <w:rPr>
          <w:b/>
        </w:rPr>
        <w:t>Other long-term benefits</w:t>
      </w:r>
      <w:r w:rsidRPr="00687A1C">
        <w:t xml:space="preserve"> include long service leave</w:t>
      </w:r>
      <w:r w:rsidR="0088796C" w:rsidRPr="00687A1C">
        <w:t>,</w:t>
      </w:r>
      <w:r w:rsidRPr="00687A1C">
        <w:rPr>
          <w:rFonts w:ascii="Calibri" w:hAnsi="Calibri" w:cs="Calibri"/>
        </w:rPr>
        <w:t xml:space="preserve"> </w:t>
      </w:r>
      <w:r w:rsidRPr="00687A1C">
        <w:t xml:space="preserve">other long service benefits or deferred compensation. </w:t>
      </w:r>
    </w:p>
    <w:p w:rsidR="00174AEA" w:rsidRPr="00687A1C" w:rsidRDefault="00174AEA" w:rsidP="00174AEA">
      <w:r w:rsidRPr="00687A1C">
        <w:rPr>
          <w:b/>
        </w:rPr>
        <w:t>Termination benefits</w:t>
      </w:r>
      <w:r w:rsidRPr="00687A1C">
        <w:t xml:space="preserve"> include termination of employment payments</w:t>
      </w:r>
      <w:r w:rsidR="008F720B" w:rsidRPr="00687A1C">
        <w:t>,</w:t>
      </w:r>
      <w:r w:rsidRPr="00687A1C">
        <w:t xml:space="preserve"> such as severance packages. </w:t>
      </w:r>
    </w:p>
    <w:p w:rsidR="00174AEA" w:rsidRPr="00687A1C" w:rsidRDefault="00174AEA" w:rsidP="00174AEA">
      <w:r w:rsidRPr="00687A1C">
        <w:t>Several factors affected total remuneration payable to executives over the year. A number of employment contracts were completed and renegotiated</w:t>
      </w:r>
      <w:r w:rsidR="0088796C" w:rsidRPr="00687A1C">
        <w:t>,</w:t>
      </w:r>
      <w:r w:rsidRPr="00687A1C">
        <w:t xml:space="preserve"> and a number of executive officers retired</w:t>
      </w:r>
      <w:r w:rsidR="0088796C" w:rsidRPr="00687A1C">
        <w:t>,</w:t>
      </w:r>
      <w:r w:rsidRPr="00687A1C">
        <w:rPr>
          <w:rFonts w:ascii="Calibri" w:hAnsi="Calibri" w:cs="Calibri"/>
        </w:rPr>
        <w:t xml:space="preserve"> </w:t>
      </w:r>
      <w:r w:rsidRPr="00687A1C">
        <w:t xml:space="preserve">resigned or were retrenched in the past year. This has had a significant impact on remuneration figures for the termination benefits category. </w:t>
      </w:r>
    </w:p>
    <w:p w:rsidR="00174AEA" w:rsidRPr="00687A1C" w:rsidRDefault="00174AEA" w:rsidP="00174AEA">
      <w:pPr>
        <w:sectPr w:rsidR="00174AEA" w:rsidRPr="00687A1C" w:rsidSect="00677BF0">
          <w:type w:val="continuous"/>
          <w:pgSz w:w="11909" w:h="16834" w:code="9"/>
          <w:pgMar w:top="1728" w:right="1152" w:bottom="1152" w:left="1152" w:header="720" w:footer="288" w:gutter="0"/>
          <w:cols w:num="2" w:space="720"/>
          <w:noEndnote/>
        </w:sectPr>
      </w:pPr>
    </w:p>
    <w:p w:rsidR="00174AEA" w:rsidRPr="00687A1C" w:rsidRDefault="00174AEA" w:rsidP="00174AEA">
      <w:pPr>
        <w:pStyle w:val="Tableheading"/>
      </w:pPr>
      <w:bookmarkStart w:id="145" w:name="Responsible_end"/>
      <w:bookmarkStart w:id="146" w:name="ExecOfficerRemuneration"/>
      <w:r w:rsidRPr="00687A1C">
        <w:t>Remuneration of executive officers</w:t>
      </w:r>
      <w:bookmarkEnd w:id="145"/>
      <w:r w:rsidRPr="00687A1C">
        <w:t xml:space="preserve"> (including key management personnel </w:t>
      </w:r>
      <w:r w:rsidRPr="00687A1C">
        <w:br/>
        <w:t xml:space="preserve">other than Ministers disclosed in </w:t>
      </w:r>
      <w:r w:rsidR="00BC6C33" w:rsidRPr="00687A1C">
        <w:t xml:space="preserve">note </w:t>
      </w:r>
      <w:r w:rsidRPr="00687A1C">
        <w:t>9.</w:t>
      </w:r>
      <w:r w:rsidR="00750E68" w:rsidRPr="00687A1C">
        <w:t>4</w:t>
      </w:r>
      <w:r w:rsidRPr="00687A1C">
        <w:t>)</w:t>
      </w:r>
    </w:p>
    <w:tbl>
      <w:tblPr>
        <w:tblStyle w:val="AnnualReporttexttable"/>
        <w:tblW w:w="3721" w:type="pct"/>
        <w:tblLook w:val="02A0" w:firstRow="1" w:lastRow="0" w:firstColumn="1" w:lastColumn="0" w:noHBand="1" w:noVBand="0"/>
      </w:tblPr>
      <w:tblGrid>
        <w:gridCol w:w="5151"/>
        <w:gridCol w:w="1079"/>
        <w:gridCol w:w="1079"/>
      </w:tblGrid>
      <w:tr w:rsidR="00174AEA" w:rsidRPr="00687A1C" w:rsidTr="008A3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476" w:type="pct"/>
            <w:gridSpan w:val="2"/>
          </w:tcPr>
          <w:p w:rsidR="00174AEA" w:rsidRPr="00687A1C" w:rsidRDefault="00C627AE" w:rsidP="00C627AE">
            <w:pPr>
              <w:pStyle w:val="Tabletextheadingcentred"/>
              <w:rPr>
                <w:b/>
              </w:rPr>
            </w:pPr>
            <w:r w:rsidRPr="00687A1C">
              <w:rPr>
                <w:b/>
              </w:rPr>
              <w:t>Total remuneration</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738" w:type="pct"/>
            <w:shd w:val="clear" w:color="auto" w:fill="FFFFFF" w:themeFill="background1"/>
          </w:tcPr>
          <w:p w:rsidR="00174AEA" w:rsidRPr="00687A1C" w:rsidRDefault="00453538" w:rsidP="00C627AE">
            <w:pPr>
              <w:pStyle w:val="Tabletextheadingrightbold"/>
            </w:pPr>
            <w:r w:rsidRPr="00687A1C">
              <w:t>2018</w:t>
            </w:r>
            <w:r w:rsidR="00C627AE" w:rsidRPr="00687A1C">
              <w:br/>
              <w:t>$’000</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C627AE">
            <w:pPr>
              <w:pStyle w:val="Tabletextheadingrightbold"/>
            </w:pPr>
            <w:r w:rsidRPr="00687A1C">
              <w:t>2017</w:t>
            </w:r>
            <w:r w:rsidR="00C627AE" w:rsidRPr="00687A1C">
              <w:br/>
              <w:t>$’000</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vAlign w:val="bottom"/>
          </w:tcPr>
          <w:p w:rsidR="00174AEA" w:rsidRPr="00687A1C" w:rsidRDefault="00174AEA" w:rsidP="008A3976">
            <w:pPr>
              <w:pStyle w:val="Tabletext"/>
            </w:pPr>
            <w:r w:rsidRPr="00687A1C">
              <w:t>Short</w:t>
            </w:r>
            <w:r w:rsidRPr="00687A1C">
              <w:noBreakHyphen/>
              <w:t>term employee benefits</w:t>
            </w:r>
          </w:p>
        </w:tc>
        <w:tc>
          <w:tcPr>
            <w:cnfStyle w:val="000010000000" w:firstRow="0" w:lastRow="0" w:firstColumn="0" w:lastColumn="0" w:oddVBand="1" w:evenVBand="0" w:oddHBand="0" w:evenHBand="0" w:firstRowFirstColumn="0" w:firstRowLastColumn="0" w:lastRowFirstColumn="0" w:lastRowLastColumn="0"/>
            <w:tcW w:w="738" w:type="pct"/>
            <w:vAlign w:val="bottom"/>
          </w:tcPr>
          <w:p w:rsidR="00174AEA" w:rsidRPr="00687A1C" w:rsidRDefault="00174AEA" w:rsidP="00D8412D">
            <w:pPr>
              <w:pStyle w:val="Tabletextright"/>
            </w:pPr>
            <w:r w:rsidRPr="00687A1C">
              <w:t>16</w:t>
            </w:r>
            <w:r w:rsidR="00D8412D" w:rsidRPr="00687A1C">
              <w:rPr>
                <w:rFonts w:ascii="Calibri" w:hAnsi="Calibri" w:cs="Courier New"/>
              </w:rPr>
              <w:t xml:space="preserve"> </w:t>
            </w:r>
            <w:r w:rsidR="00750E68" w:rsidRPr="00687A1C">
              <w:t>662</w:t>
            </w:r>
            <w:r w:rsidRPr="00687A1C">
              <w:t xml:space="preserve"> </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D8412D">
            <w:pPr>
              <w:pStyle w:val="Tabletextright"/>
            </w:pPr>
            <w:r w:rsidRPr="00687A1C">
              <w:rPr>
                <w:bCs/>
              </w:rPr>
              <w:t>14</w:t>
            </w:r>
            <w:r w:rsidR="00D8412D" w:rsidRPr="00687A1C">
              <w:rPr>
                <w:rFonts w:ascii="Calibri" w:hAnsi="Calibri" w:cs="Calibri"/>
                <w:bCs/>
              </w:rPr>
              <w:t xml:space="preserve"> </w:t>
            </w:r>
            <w:r w:rsidRPr="00687A1C">
              <w:rPr>
                <w:bCs/>
              </w:rPr>
              <w:t>269</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vAlign w:val="bottom"/>
          </w:tcPr>
          <w:p w:rsidR="00174AEA" w:rsidRPr="00687A1C" w:rsidRDefault="00174AEA" w:rsidP="008A3976">
            <w:pPr>
              <w:pStyle w:val="Tabletext"/>
            </w:pPr>
            <w:r w:rsidRPr="00687A1C">
              <w:t>Post</w:t>
            </w:r>
            <w:r w:rsidRPr="00687A1C">
              <w:noBreakHyphen/>
              <w:t xml:space="preserve">employment benefits </w:t>
            </w:r>
          </w:p>
        </w:tc>
        <w:tc>
          <w:tcPr>
            <w:cnfStyle w:val="000010000000" w:firstRow="0" w:lastRow="0" w:firstColumn="0" w:lastColumn="0" w:oddVBand="1" w:evenVBand="0" w:oddHBand="0" w:evenHBand="0" w:firstRowFirstColumn="0" w:firstRowLastColumn="0" w:lastRowFirstColumn="0" w:lastRowLastColumn="0"/>
            <w:tcW w:w="738" w:type="pct"/>
            <w:vAlign w:val="bottom"/>
          </w:tcPr>
          <w:p w:rsidR="00174AEA" w:rsidRPr="00687A1C" w:rsidRDefault="00174AEA" w:rsidP="00D8412D">
            <w:pPr>
              <w:pStyle w:val="Tabletextright"/>
            </w:pPr>
            <w:r w:rsidRPr="00687A1C">
              <w:t>1</w:t>
            </w:r>
            <w:r w:rsidR="00D8412D" w:rsidRPr="00687A1C">
              <w:t xml:space="preserve"> </w:t>
            </w:r>
            <w:r w:rsidRPr="00687A1C">
              <w:t xml:space="preserve">717 </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D8412D">
            <w:pPr>
              <w:pStyle w:val="Tabletextright"/>
            </w:pPr>
            <w:r w:rsidRPr="00687A1C">
              <w:rPr>
                <w:bCs/>
              </w:rPr>
              <w:t>1</w:t>
            </w:r>
            <w:r w:rsidR="00D8412D" w:rsidRPr="00687A1C">
              <w:rPr>
                <w:rFonts w:ascii="Calibri" w:hAnsi="Calibri" w:cs="Calibri"/>
                <w:bCs/>
              </w:rPr>
              <w:t xml:space="preserve"> </w:t>
            </w:r>
            <w:r w:rsidRPr="00687A1C">
              <w:rPr>
                <w:bCs/>
              </w:rPr>
              <w:t>667</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vAlign w:val="bottom"/>
          </w:tcPr>
          <w:p w:rsidR="00174AEA" w:rsidRPr="00687A1C" w:rsidRDefault="00174AEA" w:rsidP="008A3976">
            <w:pPr>
              <w:pStyle w:val="Tabletext"/>
            </w:pPr>
            <w:r w:rsidRPr="00687A1C">
              <w:t>Other long</w:t>
            </w:r>
            <w:r w:rsidRPr="00687A1C">
              <w:noBreakHyphen/>
              <w:t xml:space="preserve">term benefits </w:t>
            </w:r>
          </w:p>
        </w:tc>
        <w:tc>
          <w:tcPr>
            <w:cnfStyle w:val="000010000000" w:firstRow="0" w:lastRow="0" w:firstColumn="0" w:lastColumn="0" w:oddVBand="1" w:evenVBand="0" w:oddHBand="0" w:evenHBand="0" w:firstRowFirstColumn="0" w:firstRowLastColumn="0" w:lastRowFirstColumn="0" w:lastRowLastColumn="0"/>
            <w:tcW w:w="738" w:type="pct"/>
            <w:vAlign w:val="bottom"/>
          </w:tcPr>
          <w:p w:rsidR="00174AEA" w:rsidRPr="00687A1C" w:rsidRDefault="00750E68" w:rsidP="008A3976">
            <w:pPr>
              <w:pStyle w:val="Tabletextright"/>
              <w:rPr>
                <w:b/>
              </w:rPr>
            </w:pPr>
            <w:r w:rsidRPr="00687A1C">
              <w:t>692</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8A3976">
            <w:pPr>
              <w:pStyle w:val="Tabletextright"/>
              <w:rPr>
                <w:bCs/>
              </w:rPr>
            </w:pPr>
            <w:r w:rsidRPr="00687A1C">
              <w:rPr>
                <w:bCs/>
              </w:rPr>
              <w:t>663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vAlign w:val="bottom"/>
          </w:tcPr>
          <w:p w:rsidR="00174AEA" w:rsidRPr="00687A1C" w:rsidRDefault="00174AEA" w:rsidP="008A3976">
            <w:pPr>
              <w:pStyle w:val="Tabletext"/>
            </w:pPr>
            <w:r w:rsidRPr="00687A1C">
              <w:t xml:space="preserve">Termination benefits </w:t>
            </w:r>
          </w:p>
        </w:tc>
        <w:tc>
          <w:tcPr>
            <w:cnfStyle w:val="000010000000" w:firstRow="0" w:lastRow="0" w:firstColumn="0" w:lastColumn="0" w:oddVBand="1" w:evenVBand="0" w:oddHBand="0" w:evenHBand="0" w:firstRowFirstColumn="0" w:firstRowLastColumn="0" w:lastRowFirstColumn="0" w:lastRowLastColumn="0"/>
            <w:tcW w:w="738" w:type="pct"/>
            <w:vAlign w:val="bottom"/>
          </w:tcPr>
          <w:p w:rsidR="00174AEA" w:rsidRPr="00687A1C" w:rsidRDefault="00174AEA" w:rsidP="008A3976">
            <w:pPr>
              <w:pStyle w:val="Tabletextright"/>
              <w:rPr>
                <w:b/>
              </w:rPr>
            </w:pPr>
            <w:r w:rsidRPr="00687A1C">
              <w:t xml:space="preserve">287 </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8A3976">
            <w:pPr>
              <w:pStyle w:val="Tabletextright"/>
              <w:rPr>
                <w:bCs/>
              </w:rPr>
            </w:pPr>
            <w:r w:rsidRPr="00687A1C">
              <w:rPr>
                <w:bCs/>
              </w:rPr>
              <w:t>93</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vAlign w:val="bottom"/>
          </w:tcPr>
          <w:p w:rsidR="00174AEA" w:rsidRPr="00687A1C" w:rsidRDefault="00174AEA" w:rsidP="008A3976">
            <w:pPr>
              <w:pStyle w:val="Tabletextbold"/>
              <w:rPr>
                <w:vertAlign w:val="superscript"/>
              </w:rPr>
            </w:pPr>
            <w:r w:rsidRPr="00687A1C">
              <w:t>Total remuneration</w:t>
            </w:r>
          </w:p>
        </w:tc>
        <w:tc>
          <w:tcPr>
            <w:cnfStyle w:val="000010000000" w:firstRow="0" w:lastRow="0" w:firstColumn="0" w:lastColumn="0" w:oddVBand="1" w:evenVBand="0" w:oddHBand="0" w:evenHBand="0" w:firstRowFirstColumn="0" w:firstRowLastColumn="0" w:lastRowFirstColumn="0" w:lastRowLastColumn="0"/>
            <w:tcW w:w="738" w:type="pct"/>
          </w:tcPr>
          <w:p w:rsidR="00174AEA" w:rsidRPr="00687A1C" w:rsidRDefault="00174AEA" w:rsidP="00D8412D">
            <w:pPr>
              <w:pStyle w:val="Tabletextright"/>
            </w:pPr>
            <w:r w:rsidRPr="00687A1C">
              <w:rPr>
                <w:b/>
              </w:rPr>
              <w:t>19</w:t>
            </w:r>
            <w:r w:rsidR="00D8412D" w:rsidRPr="00687A1C">
              <w:rPr>
                <w:rFonts w:ascii="Calibri" w:hAnsi="Calibri" w:cs="Courier New"/>
              </w:rPr>
              <w:t xml:space="preserve"> </w:t>
            </w:r>
            <w:r w:rsidR="00750E68" w:rsidRPr="00687A1C">
              <w:rPr>
                <w:b/>
              </w:rPr>
              <w:t>358</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D8412D">
            <w:pPr>
              <w:pStyle w:val="Tabletextrightbold"/>
            </w:pPr>
            <w:r w:rsidRPr="00687A1C">
              <w:t>16</w:t>
            </w:r>
            <w:r w:rsidR="00D8412D" w:rsidRPr="00687A1C">
              <w:rPr>
                <w:rFonts w:ascii="Calibri" w:hAnsi="Calibri" w:cs="Calibri"/>
              </w:rPr>
              <w:t xml:space="preserve"> </w:t>
            </w:r>
            <w:r w:rsidRPr="00687A1C">
              <w:t>692</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vAlign w:val="bottom"/>
          </w:tcPr>
          <w:p w:rsidR="00174AEA" w:rsidRPr="00687A1C" w:rsidRDefault="00174AEA" w:rsidP="008A3976">
            <w:pPr>
              <w:pStyle w:val="Tabletextbold"/>
              <w:rPr>
                <w:vertAlign w:val="superscript"/>
              </w:rPr>
            </w:pPr>
            <w:r w:rsidRPr="00687A1C">
              <w:t>Total number of executives</w:t>
            </w:r>
            <w:r w:rsidRPr="00687A1C">
              <w:rPr>
                <w:vertAlign w:val="superscript"/>
              </w:rPr>
              <w:t>(a)</w:t>
            </w:r>
          </w:p>
        </w:tc>
        <w:tc>
          <w:tcPr>
            <w:cnfStyle w:val="000010000000" w:firstRow="0" w:lastRow="0" w:firstColumn="0" w:lastColumn="0" w:oddVBand="1" w:evenVBand="0" w:oddHBand="0" w:evenHBand="0" w:firstRowFirstColumn="0" w:firstRowLastColumn="0" w:lastRowFirstColumn="0" w:lastRowLastColumn="0"/>
            <w:tcW w:w="738" w:type="pct"/>
          </w:tcPr>
          <w:p w:rsidR="00174AEA" w:rsidRPr="00687A1C" w:rsidRDefault="00174AEA" w:rsidP="008A3976">
            <w:pPr>
              <w:pStyle w:val="Tabletextright"/>
              <w:rPr>
                <w:b/>
              </w:rPr>
            </w:pPr>
            <w:r w:rsidRPr="00687A1C">
              <w:rPr>
                <w:b/>
              </w:rPr>
              <w:t>95</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8A3976">
            <w:pPr>
              <w:pStyle w:val="Tabletextrightbold"/>
            </w:pPr>
            <w:r w:rsidRPr="00687A1C">
              <w:t>88</w:t>
            </w:r>
          </w:p>
        </w:tc>
      </w:tr>
      <w:tr w:rsidR="00174AEA" w:rsidRPr="00687A1C" w:rsidTr="008A3976">
        <w:tc>
          <w:tcPr>
            <w:cnfStyle w:val="001000000000" w:firstRow="0" w:lastRow="0" w:firstColumn="1" w:lastColumn="0" w:oddVBand="0" w:evenVBand="0" w:oddHBand="0" w:evenHBand="0" w:firstRowFirstColumn="0" w:firstRowLastColumn="0" w:lastRowFirstColumn="0" w:lastRowLastColumn="0"/>
            <w:tcW w:w="3524" w:type="pct"/>
            <w:vAlign w:val="bottom"/>
          </w:tcPr>
          <w:p w:rsidR="00174AEA" w:rsidRPr="00687A1C" w:rsidRDefault="00174AEA" w:rsidP="008A3976">
            <w:pPr>
              <w:pStyle w:val="Tabletextbold"/>
              <w:rPr>
                <w:vertAlign w:val="superscript"/>
              </w:rPr>
            </w:pPr>
            <w:r w:rsidRPr="00687A1C">
              <w:t>Total annualised employee equivalents</w:t>
            </w:r>
            <w:r w:rsidRPr="00687A1C">
              <w:rPr>
                <w:vertAlign w:val="superscript"/>
              </w:rPr>
              <w:t>(b)</w:t>
            </w:r>
          </w:p>
        </w:tc>
        <w:tc>
          <w:tcPr>
            <w:cnfStyle w:val="000010000000" w:firstRow="0" w:lastRow="0" w:firstColumn="0" w:lastColumn="0" w:oddVBand="1" w:evenVBand="0" w:oddHBand="0" w:evenHBand="0" w:firstRowFirstColumn="0" w:firstRowLastColumn="0" w:lastRowFirstColumn="0" w:lastRowLastColumn="0"/>
            <w:tcW w:w="738" w:type="pct"/>
          </w:tcPr>
          <w:p w:rsidR="00174AEA" w:rsidRPr="00687A1C" w:rsidRDefault="00174AEA" w:rsidP="008A3976">
            <w:pPr>
              <w:pStyle w:val="Tabletextright"/>
              <w:rPr>
                <w:b/>
              </w:rPr>
            </w:pPr>
            <w:r w:rsidRPr="00687A1C">
              <w:rPr>
                <w:b/>
              </w:rPr>
              <w:t>83</w:t>
            </w:r>
          </w:p>
        </w:tc>
        <w:tc>
          <w:tcPr>
            <w:cnfStyle w:val="000001000000" w:firstRow="0" w:lastRow="0" w:firstColumn="0" w:lastColumn="0" w:oddVBand="0" w:evenVBand="1" w:oddHBand="0" w:evenHBand="0" w:firstRowFirstColumn="0" w:firstRowLastColumn="0" w:lastRowFirstColumn="0" w:lastRowLastColumn="0"/>
            <w:tcW w:w="738" w:type="pct"/>
          </w:tcPr>
          <w:p w:rsidR="00174AEA" w:rsidRPr="00687A1C" w:rsidRDefault="00174AEA" w:rsidP="008A3976">
            <w:pPr>
              <w:pStyle w:val="Tabletextrightbold"/>
            </w:pPr>
            <w:r w:rsidRPr="00687A1C">
              <w:t>71</w:t>
            </w:r>
          </w:p>
        </w:tc>
      </w:tr>
    </w:tbl>
    <w:p w:rsidR="00174AEA" w:rsidRPr="00687A1C" w:rsidRDefault="00174AEA" w:rsidP="00174AEA">
      <w:pPr>
        <w:pStyle w:val="Notes"/>
      </w:pPr>
      <w:r w:rsidRPr="00687A1C">
        <w:t>Notes:</w:t>
      </w:r>
    </w:p>
    <w:p w:rsidR="00174AEA" w:rsidRPr="00687A1C" w:rsidRDefault="00174AEA" w:rsidP="00174AEA">
      <w:pPr>
        <w:pStyle w:val="Notes"/>
      </w:pPr>
      <w:r w:rsidRPr="00687A1C">
        <w:t xml:space="preserve">(a) The total number of executive officers includes persons who meet the definition of key management personnel of the Department under AASB 124 </w:t>
      </w:r>
      <w:r w:rsidRPr="00687A1C">
        <w:rPr>
          <w:i/>
        </w:rPr>
        <w:t>Related Party Disclosures</w:t>
      </w:r>
      <w:r w:rsidRPr="00687A1C">
        <w:t xml:space="preserve"> (other than Ministers) and are also reported within the related parties note disclosure (</w:t>
      </w:r>
      <w:r w:rsidR="00453538" w:rsidRPr="00687A1C">
        <w:t xml:space="preserve">note </w:t>
      </w:r>
      <w:r w:rsidRPr="00687A1C">
        <w:t>9.</w:t>
      </w:r>
      <w:r w:rsidR="00750E68" w:rsidRPr="00687A1C">
        <w:t>4</w:t>
      </w:r>
      <w:r w:rsidRPr="00687A1C">
        <w:t xml:space="preserve">). </w:t>
      </w:r>
    </w:p>
    <w:p w:rsidR="00174AEA" w:rsidRPr="00687A1C" w:rsidRDefault="00174AEA" w:rsidP="00174AEA">
      <w:pPr>
        <w:pStyle w:val="Notes"/>
      </w:pPr>
      <w:r w:rsidRPr="00687A1C">
        <w:t>(b) Annualised employee equivalent is based on the time fraction worked over the reporting period.</w:t>
      </w:r>
    </w:p>
    <w:bookmarkEnd w:id="146"/>
    <w:p w:rsidR="00174AEA" w:rsidRPr="00687A1C" w:rsidRDefault="00174AEA" w:rsidP="00174AEA">
      <w:pPr>
        <w:pStyle w:val="Spacer"/>
      </w:pPr>
    </w:p>
    <w:p w:rsidR="00174AEA" w:rsidRPr="00687A1C" w:rsidRDefault="00174AEA" w:rsidP="00174AEA">
      <w:pPr>
        <w:sectPr w:rsidR="00174AEA" w:rsidRPr="00687A1C" w:rsidSect="008A3976">
          <w:type w:val="continuous"/>
          <w:pgSz w:w="11909" w:h="16834" w:code="9"/>
          <w:pgMar w:top="1728" w:right="1152" w:bottom="1152" w:left="1152" w:header="720" w:footer="288" w:gutter="0"/>
          <w:cols w:space="720"/>
          <w:noEndnote/>
        </w:sectPr>
      </w:pPr>
    </w:p>
    <w:p w:rsidR="00174AEA" w:rsidRPr="00687A1C" w:rsidRDefault="00174AEA" w:rsidP="00174AEA">
      <w:pPr>
        <w:pStyle w:val="Heading2numbered"/>
      </w:pPr>
      <w:bookmarkStart w:id="147" w:name="_Toc495304310"/>
      <w:bookmarkStart w:id="148" w:name="_Toc525026218"/>
      <w:bookmarkStart w:id="149" w:name="_Toc525026251"/>
      <w:r w:rsidRPr="00687A1C">
        <w:lastRenderedPageBreak/>
        <w:t>Related parties</w:t>
      </w:r>
      <w:bookmarkEnd w:id="147"/>
      <w:bookmarkEnd w:id="148"/>
      <w:bookmarkEnd w:id="149"/>
    </w:p>
    <w:p w:rsidR="00174AEA" w:rsidRPr="00687A1C" w:rsidRDefault="00AD2989" w:rsidP="00174AEA">
      <w:pPr>
        <w:rPr>
          <w:rFonts w:eastAsia="Arial"/>
        </w:rPr>
      </w:pPr>
      <w:r w:rsidRPr="00687A1C">
        <w:rPr>
          <w:rFonts w:eastAsia="Arial"/>
        </w:rPr>
        <w:t>The D</w:t>
      </w:r>
      <w:r w:rsidR="00174AEA" w:rsidRPr="00687A1C">
        <w:rPr>
          <w:rFonts w:eastAsia="Arial"/>
        </w:rPr>
        <w:t xml:space="preserve">epartment is a wholly owned and controlled entity of the State of Victoria. </w:t>
      </w:r>
    </w:p>
    <w:p w:rsidR="00174AEA" w:rsidRPr="00687A1C" w:rsidRDefault="00AD2989" w:rsidP="00174AEA">
      <w:r w:rsidRPr="00687A1C">
        <w:t>Related parties of the D</w:t>
      </w:r>
      <w:r w:rsidR="00174AEA" w:rsidRPr="00687A1C">
        <w:t>epartment include:</w:t>
      </w:r>
    </w:p>
    <w:p w:rsidR="00174AEA" w:rsidRPr="00687A1C" w:rsidRDefault="00174AEA" w:rsidP="00174AEA">
      <w:pPr>
        <w:pStyle w:val="Bullet"/>
      </w:pPr>
      <w:r w:rsidRPr="00687A1C">
        <w:t>all key management personnel and their close family members and personal business interests (controlled entities</w:t>
      </w:r>
      <w:r w:rsidR="00E30871" w:rsidRPr="00687A1C">
        <w:t>,</w:t>
      </w:r>
      <w:r w:rsidRPr="00687A1C">
        <w:t xml:space="preserve"> joint ventures and entities they have significant influence over);</w:t>
      </w:r>
    </w:p>
    <w:p w:rsidR="00174AEA" w:rsidRPr="00687A1C" w:rsidRDefault="00174AEA" w:rsidP="00174AEA">
      <w:pPr>
        <w:pStyle w:val="Bullet"/>
      </w:pPr>
      <w:r w:rsidRPr="00687A1C">
        <w:t>all cabinet ministers and their close family members; and</w:t>
      </w:r>
    </w:p>
    <w:p w:rsidR="00174AEA" w:rsidRPr="00687A1C" w:rsidRDefault="00174AEA" w:rsidP="00174AEA">
      <w:pPr>
        <w:pStyle w:val="Bullet"/>
      </w:pPr>
      <w:r w:rsidRPr="00687A1C">
        <w:t>all departments and public sector entities that are controlled and consolidated into the whole of state consolidated financial statements.</w:t>
      </w:r>
    </w:p>
    <w:p w:rsidR="00174AEA" w:rsidRPr="00687A1C" w:rsidRDefault="00174AEA" w:rsidP="00174AEA">
      <w:r w:rsidRPr="00687A1C">
        <w:t>All related party transactions have been entered into on an arm’s length basis.</w:t>
      </w:r>
    </w:p>
    <w:p w:rsidR="00750E68" w:rsidRPr="00687A1C" w:rsidRDefault="00750E68" w:rsidP="00174AEA">
      <w:r w:rsidRPr="00687A1C">
        <w:t>During the year there were no material related party transactions.</w:t>
      </w:r>
    </w:p>
    <w:p w:rsidR="00174AEA" w:rsidRPr="00687A1C" w:rsidRDefault="00174AEA" w:rsidP="00174AEA">
      <w:pPr>
        <w:rPr>
          <w:rFonts w:eastAsia="Arial"/>
        </w:rPr>
      </w:pPr>
      <w:r w:rsidRPr="00687A1C">
        <w:rPr>
          <w:rFonts w:eastAsia="Arial"/>
          <w:b/>
        </w:rPr>
        <w:br w:type="column"/>
      </w:r>
      <w:r w:rsidRPr="00687A1C">
        <w:rPr>
          <w:rFonts w:eastAsia="Arial"/>
          <w:b/>
        </w:rPr>
        <w:t>Key management personnel</w:t>
      </w:r>
      <w:r w:rsidR="00AD2989" w:rsidRPr="00687A1C">
        <w:rPr>
          <w:rFonts w:eastAsia="Arial"/>
        </w:rPr>
        <w:t xml:space="preserve"> of the D</w:t>
      </w:r>
      <w:r w:rsidRPr="00687A1C">
        <w:rPr>
          <w:rFonts w:eastAsia="Arial"/>
        </w:rPr>
        <w:t>epartment includes the Portfolio Ministers</w:t>
      </w:r>
      <w:r w:rsidR="00F96B2B" w:rsidRPr="00687A1C">
        <w:rPr>
          <w:rFonts w:eastAsia="Arial"/>
        </w:rPr>
        <w:t>,</w:t>
      </w:r>
      <w:r w:rsidRPr="00687A1C">
        <w:rPr>
          <w:rFonts w:eastAsia="Arial"/>
        </w:rPr>
        <w:t xml:space="preserve"> </w:t>
      </w:r>
      <w:r w:rsidRPr="00687A1C">
        <w:t>Tim Pallas MP and</w:t>
      </w:r>
      <w:r w:rsidRPr="00687A1C">
        <w:rPr>
          <w:rFonts w:eastAsia="Arial"/>
        </w:rPr>
        <w:t xml:space="preserve"> </w:t>
      </w:r>
      <w:r w:rsidRPr="00687A1C">
        <w:t>Robin Scott MP</w:t>
      </w:r>
      <w:r w:rsidR="00AD2989" w:rsidRPr="00687A1C">
        <w:t>,</w:t>
      </w:r>
      <w:r w:rsidRPr="00687A1C">
        <w:t xml:space="preserve"> </w:t>
      </w:r>
      <w:r w:rsidRPr="00687A1C">
        <w:rPr>
          <w:rFonts w:eastAsia="Arial"/>
        </w:rPr>
        <w:t>the Secretary</w:t>
      </w:r>
      <w:r w:rsidR="00AD2989" w:rsidRPr="00687A1C">
        <w:rPr>
          <w:rFonts w:eastAsia="Arial"/>
        </w:rPr>
        <w:t>,</w:t>
      </w:r>
      <w:r w:rsidRPr="00687A1C">
        <w:rPr>
          <w:rFonts w:eastAsia="Arial"/>
        </w:rPr>
        <w:t xml:space="preserve"> David Martine</w:t>
      </w:r>
      <w:r w:rsidR="00F96B2B" w:rsidRPr="00687A1C">
        <w:rPr>
          <w:rFonts w:eastAsia="Arial"/>
        </w:rPr>
        <w:t>,</w:t>
      </w:r>
      <w:r w:rsidRPr="00687A1C">
        <w:rPr>
          <w:rFonts w:eastAsia="Arial"/>
        </w:rPr>
        <w:t xml:space="preserve"> the Commissioner for the State Revenue Office</w:t>
      </w:r>
      <w:r w:rsidR="00AD2989" w:rsidRPr="00687A1C">
        <w:rPr>
          <w:rFonts w:eastAsia="Arial"/>
        </w:rPr>
        <w:t>,</w:t>
      </w:r>
      <w:r w:rsidRPr="00687A1C">
        <w:rPr>
          <w:rFonts w:eastAsia="Arial"/>
        </w:rPr>
        <w:t xml:space="preserve"> Paul Broderick</w:t>
      </w:r>
      <w:r w:rsidR="00AD2989" w:rsidRPr="00687A1C">
        <w:rPr>
          <w:rFonts w:eastAsia="Arial"/>
        </w:rPr>
        <w:t>,</w:t>
      </w:r>
      <w:r w:rsidRPr="00687A1C">
        <w:rPr>
          <w:rFonts w:eastAsia="Arial"/>
        </w:rPr>
        <w:t xml:space="preserve"> and members of the Senior Executive Team which includes: </w:t>
      </w:r>
    </w:p>
    <w:p w:rsidR="00174AEA" w:rsidRPr="00687A1C" w:rsidRDefault="00174AEA" w:rsidP="00174AEA">
      <w:pPr>
        <w:pStyle w:val="Bullet"/>
      </w:pPr>
      <w:r w:rsidRPr="00687A1C">
        <w:t>Deputy Secretary</w:t>
      </w:r>
      <w:r w:rsidR="00AD2989" w:rsidRPr="00687A1C">
        <w:t>,</w:t>
      </w:r>
      <w:r w:rsidRPr="00687A1C">
        <w:t xml:space="preserve"> Commercial Division</w:t>
      </w:r>
      <w:r w:rsidR="00AD2989" w:rsidRPr="00687A1C">
        <w:t>,</w:t>
      </w:r>
      <w:r w:rsidRPr="00687A1C">
        <w:t xml:space="preserve"> David Webster</w:t>
      </w:r>
    </w:p>
    <w:p w:rsidR="00174AEA" w:rsidRPr="00687A1C" w:rsidRDefault="00174AEA" w:rsidP="00174AEA">
      <w:pPr>
        <w:pStyle w:val="Bullet"/>
      </w:pPr>
      <w:r w:rsidRPr="00687A1C">
        <w:t>Deputy Secretary</w:t>
      </w:r>
      <w:r w:rsidR="00AD2989" w:rsidRPr="00687A1C">
        <w:t>,</w:t>
      </w:r>
      <w:r w:rsidRPr="00687A1C">
        <w:t xml:space="preserve"> Budget and Finance Division</w:t>
      </w:r>
      <w:r w:rsidR="00AD2989" w:rsidRPr="00687A1C">
        <w:t>,</w:t>
      </w:r>
      <w:r w:rsidRPr="00687A1C">
        <w:t xml:space="preserve"> Simon Hollingsworth </w:t>
      </w:r>
    </w:p>
    <w:p w:rsidR="00174AEA" w:rsidRPr="00687A1C" w:rsidRDefault="00174AEA" w:rsidP="00174AEA">
      <w:pPr>
        <w:pStyle w:val="Bullet"/>
      </w:pPr>
      <w:r w:rsidRPr="00687A1C">
        <w:t>Deputy Secretary</w:t>
      </w:r>
      <w:r w:rsidR="00AD2989" w:rsidRPr="00687A1C">
        <w:t>,</w:t>
      </w:r>
      <w:r w:rsidRPr="00687A1C">
        <w:t xml:space="preserve"> Corporate and Government Services Division</w:t>
      </w:r>
      <w:r w:rsidR="00AD2989" w:rsidRPr="00687A1C">
        <w:t>,</w:t>
      </w:r>
      <w:r w:rsidRPr="00687A1C">
        <w:t xml:space="preserve"> Gayle Porthouse</w:t>
      </w:r>
    </w:p>
    <w:p w:rsidR="00174AEA" w:rsidRPr="00687A1C" w:rsidRDefault="00174AEA" w:rsidP="00174AEA">
      <w:pPr>
        <w:pStyle w:val="Bullet"/>
      </w:pPr>
      <w:r w:rsidRPr="00687A1C">
        <w:t>Deputy Secretary</w:t>
      </w:r>
      <w:r w:rsidR="00AD2989" w:rsidRPr="00687A1C">
        <w:t>,</w:t>
      </w:r>
      <w:r w:rsidRPr="00687A1C">
        <w:t xml:space="preserve"> Economic Division</w:t>
      </w:r>
      <w:r w:rsidR="00AD2989" w:rsidRPr="00687A1C">
        <w:t>,</w:t>
      </w:r>
      <w:r w:rsidRPr="00687A1C">
        <w:t xml:space="preserve"> Amy Auster </w:t>
      </w:r>
    </w:p>
    <w:p w:rsidR="00174AEA" w:rsidRPr="00687A1C" w:rsidRDefault="00174AEA" w:rsidP="00174AEA">
      <w:pPr>
        <w:rPr>
          <w:rFonts w:eastAsia="Arial"/>
        </w:rPr>
      </w:pPr>
      <w:r w:rsidRPr="00687A1C">
        <w:rPr>
          <w:rFonts w:eastAsia="Arial"/>
        </w:rPr>
        <w:t xml:space="preserve">The compensation detailed below excludes the salaries and benefits of the Portfolio Ministers. The Ministers’ remuneration and allowances are set by the </w:t>
      </w:r>
      <w:r w:rsidRPr="00687A1C">
        <w:rPr>
          <w:rFonts w:eastAsia="Arial"/>
          <w:i/>
        </w:rPr>
        <w:t xml:space="preserve">Parliamentary </w:t>
      </w:r>
      <w:r w:rsidR="00AD2989" w:rsidRPr="00687A1C">
        <w:rPr>
          <w:rFonts w:eastAsia="Arial"/>
          <w:i/>
        </w:rPr>
        <w:t>Salaries and Superannuation Act</w:t>
      </w:r>
      <w:r w:rsidR="00AD2989" w:rsidRPr="00687A1C">
        <w:rPr>
          <w:rFonts w:ascii="Calibri" w:eastAsia="Arial" w:hAnsi="Calibri" w:cs="Calibri"/>
          <w:i/>
        </w:rPr>
        <w:t> </w:t>
      </w:r>
      <w:r w:rsidRPr="00687A1C">
        <w:rPr>
          <w:rFonts w:eastAsia="Arial"/>
          <w:i/>
        </w:rPr>
        <w:t>1968</w:t>
      </w:r>
      <w:r w:rsidRPr="00687A1C">
        <w:rPr>
          <w:rFonts w:eastAsia="Arial"/>
        </w:rPr>
        <w:t xml:space="preserve"> and are reported within the Financial Report of the Department of Parliamentary Services.</w:t>
      </w:r>
    </w:p>
    <w:p w:rsidR="00174AEA" w:rsidRPr="00687A1C" w:rsidRDefault="00174AEA" w:rsidP="00174AEA"/>
    <w:p w:rsidR="00174AEA" w:rsidRPr="00687A1C" w:rsidRDefault="00174AEA" w:rsidP="00174AEA">
      <w:pPr>
        <w:sectPr w:rsidR="00174AEA" w:rsidRPr="00687A1C" w:rsidSect="008A3976">
          <w:pgSz w:w="11909" w:h="16834" w:code="9"/>
          <w:pgMar w:top="1728" w:right="1152" w:bottom="1152" w:left="1152" w:header="720" w:footer="288" w:gutter="0"/>
          <w:cols w:num="2" w:space="720"/>
          <w:noEndnote/>
        </w:sectPr>
      </w:pPr>
    </w:p>
    <w:p w:rsidR="00174AEA" w:rsidRPr="00687A1C" w:rsidRDefault="00FB1B91" w:rsidP="00174AEA">
      <w:pPr>
        <w:pStyle w:val="Tableheading"/>
      </w:pPr>
      <w:r w:rsidRPr="00687A1C">
        <w:t>Remuneration</w:t>
      </w:r>
      <w:r w:rsidR="00174AEA" w:rsidRPr="00687A1C">
        <w:t xml:space="preserve"> of key management personnel</w:t>
      </w:r>
    </w:p>
    <w:tbl>
      <w:tblPr>
        <w:tblStyle w:val="AnnualReportfinancialtable"/>
        <w:tblW w:w="0" w:type="auto"/>
        <w:tblLayout w:type="fixed"/>
        <w:tblLook w:val="02A0" w:firstRow="1" w:lastRow="0" w:firstColumn="1" w:lastColumn="0" w:noHBand="1" w:noVBand="0"/>
      </w:tblPr>
      <w:tblGrid>
        <w:gridCol w:w="5216"/>
        <w:gridCol w:w="1170"/>
        <w:gridCol w:w="1170"/>
      </w:tblGrid>
      <w:tr w:rsidR="00174AEA" w:rsidRPr="00687A1C" w:rsidTr="008A3976">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216" w:type="dxa"/>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70" w:type="dxa"/>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170" w:type="dxa"/>
          </w:tcPr>
          <w:p w:rsidR="00174AEA" w:rsidRPr="00687A1C" w:rsidRDefault="00174AEA" w:rsidP="008A3976">
            <w:pPr>
              <w:pStyle w:val="Tabletextheadingright"/>
              <w:rPr>
                <w:b/>
              </w:rPr>
            </w:pPr>
            <w:r w:rsidRPr="00687A1C">
              <w:rPr>
                <w:b/>
              </w:rPr>
              <w:t>2017</w:t>
            </w:r>
            <w:r w:rsidRPr="00687A1C">
              <w:rPr>
                <w:b/>
              </w:rPr>
              <w:br/>
              <w:t>$’000</w:t>
            </w:r>
          </w:p>
        </w:tc>
      </w:tr>
      <w:tr w:rsidR="00174AEA" w:rsidRPr="00687A1C" w:rsidTr="008A3976">
        <w:trPr>
          <w:trHeight w:val="253"/>
        </w:trPr>
        <w:tc>
          <w:tcPr>
            <w:cnfStyle w:val="001000000000" w:firstRow="0" w:lastRow="0" w:firstColumn="1" w:lastColumn="0" w:oddVBand="0" w:evenVBand="0" w:oddHBand="0" w:evenHBand="0" w:firstRowFirstColumn="0" w:firstRowLastColumn="0" w:lastRowFirstColumn="0" w:lastRowLastColumn="0"/>
            <w:tcW w:w="5216" w:type="dxa"/>
          </w:tcPr>
          <w:p w:rsidR="00174AEA" w:rsidRPr="00687A1C" w:rsidRDefault="00174AEA" w:rsidP="008A3976">
            <w:pPr>
              <w:pStyle w:val="Tabletext"/>
              <w:rPr>
                <w:color w:val="auto"/>
              </w:rPr>
            </w:pPr>
            <w:r w:rsidRPr="00687A1C">
              <w:rPr>
                <w:color w:val="auto"/>
              </w:rPr>
              <w:t>Short</w:t>
            </w:r>
            <w:r w:rsidRPr="00687A1C">
              <w:rPr>
                <w:color w:val="auto"/>
              </w:rPr>
              <w:noBreakHyphen/>
              <w:t>term employee benefits</w:t>
            </w:r>
          </w:p>
        </w:tc>
        <w:tc>
          <w:tcPr>
            <w:cnfStyle w:val="000010000000" w:firstRow="0" w:lastRow="0" w:firstColumn="0" w:lastColumn="0" w:oddVBand="1" w:evenVBand="0" w:oddHBand="0" w:evenHBand="0" w:firstRowFirstColumn="0" w:firstRowLastColumn="0" w:lastRowFirstColumn="0" w:lastRowLastColumn="0"/>
            <w:tcW w:w="1170" w:type="dxa"/>
            <w:vAlign w:val="bottom"/>
          </w:tcPr>
          <w:p w:rsidR="00174AEA" w:rsidRPr="00687A1C" w:rsidRDefault="00174AEA" w:rsidP="00D8412D">
            <w:pPr>
              <w:pStyle w:val="Tabletextright"/>
            </w:pPr>
            <w:r w:rsidRPr="00687A1C">
              <w:t>2</w:t>
            </w:r>
            <w:r w:rsidR="00D8412D" w:rsidRPr="00687A1C">
              <w:rPr>
                <w:rFonts w:ascii="Calibri" w:hAnsi="Calibri" w:cs="Courier New"/>
              </w:rPr>
              <w:t xml:space="preserve"> </w:t>
            </w:r>
            <w:r w:rsidR="00BF6B83" w:rsidRPr="00687A1C">
              <w:t>325</w:t>
            </w:r>
            <w:r w:rsidRPr="00687A1C">
              <w:t xml:space="preserve"> </w:t>
            </w:r>
          </w:p>
        </w:tc>
        <w:tc>
          <w:tcPr>
            <w:cnfStyle w:val="000001000000" w:firstRow="0" w:lastRow="0" w:firstColumn="0" w:lastColumn="0" w:oddVBand="0" w:evenVBand="1" w:oddHBand="0" w:evenHBand="0" w:firstRowFirstColumn="0" w:firstRowLastColumn="0" w:lastRowFirstColumn="0" w:lastRowLastColumn="0"/>
            <w:tcW w:w="1170" w:type="dxa"/>
          </w:tcPr>
          <w:p w:rsidR="00174AEA" w:rsidRPr="00687A1C" w:rsidRDefault="00174AEA" w:rsidP="00D8412D">
            <w:pPr>
              <w:pStyle w:val="Tabletextright"/>
            </w:pPr>
            <w:r w:rsidRPr="00687A1C">
              <w:t>2</w:t>
            </w:r>
            <w:r w:rsidR="00D8412D" w:rsidRPr="00687A1C">
              <w:rPr>
                <w:rFonts w:ascii="Calibri" w:hAnsi="Calibri" w:cs="Calibri"/>
              </w:rPr>
              <w:t xml:space="preserve"> </w:t>
            </w:r>
            <w:r w:rsidRPr="00687A1C">
              <w:t>081</w:t>
            </w:r>
          </w:p>
        </w:tc>
      </w:tr>
      <w:tr w:rsidR="00174AEA" w:rsidRPr="00687A1C" w:rsidTr="008A3976">
        <w:trPr>
          <w:trHeight w:val="266"/>
        </w:trPr>
        <w:tc>
          <w:tcPr>
            <w:cnfStyle w:val="001000000000" w:firstRow="0" w:lastRow="0" w:firstColumn="1" w:lastColumn="0" w:oddVBand="0" w:evenVBand="0" w:oddHBand="0" w:evenHBand="0" w:firstRowFirstColumn="0" w:firstRowLastColumn="0" w:lastRowFirstColumn="0" w:lastRowLastColumn="0"/>
            <w:tcW w:w="5216" w:type="dxa"/>
          </w:tcPr>
          <w:p w:rsidR="00174AEA" w:rsidRPr="00687A1C" w:rsidRDefault="00174AEA" w:rsidP="008A3976">
            <w:pPr>
              <w:pStyle w:val="Tabletext"/>
              <w:rPr>
                <w:color w:val="auto"/>
              </w:rPr>
            </w:pPr>
            <w:r w:rsidRPr="00687A1C">
              <w:rPr>
                <w:color w:val="auto"/>
              </w:rPr>
              <w:t>Post</w:t>
            </w:r>
            <w:r w:rsidRPr="00687A1C">
              <w:rPr>
                <w:color w:val="auto"/>
              </w:rPr>
              <w:noBreakHyphen/>
              <w:t xml:space="preserve">employment benefits </w:t>
            </w:r>
          </w:p>
        </w:tc>
        <w:tc>
          <w:tcPr>
            <w:cnfStyle w:val="000010000000" w:firstRow="0" w:lastRow="0" w:firstColumn="0" w:lastColumn="0" w:oddVBand="1" w:evenVBand="0" w:oddHBand="0" w:evenHBand="0" w:firstRowFirstColumn="0" w:firstRowLastColumn="0" w:lastRowFirstColumn="0" w:lastRowLastColumn="0"/>
            <w:tcW w:w="1170" w:type="dxa"/>
            <w:vAlign w:val="bottom"/>
          </w:tcPr>
          <w:p w:rsidR="00174AEA" w:rsidRPr="00687A1C" w:rsidRDefault="00174AEA" w:rsidP="008A3976">
            <w:pPr>
              <w:pStyle w:val="Tabletextright"/>
            </w:pPr>
            <w:r w:rsidRPr="00687A1C">
              <w:t xml:space="preserve">143 </w:t>
            </w:r>
          </w:p>
        </w:tc>
        <w:tc>
          <w:tcPr>
            <w:cnfStyle w:val="000001000000" w:firstRow="0" w:lastRow="0" w:firstColumn="0" w:lastColumn="0" w:oddVBand="0" w:evenVBand="1" w:oddHBand="0" w:evenHBand="0" w:firstRowFirstColumn="0" w:firstRowLastColumn="0" w:lastRowFirstColumn="0" w:lastRowLastColumn="0"/>
            <w:tcW w:w="1170" w:type="dxa"/>
          </w:tcPr>
          <w:p w:rsidR="00174AEA" w:rsidRPr="00687A1C" w:rsidRDefault="00174AEA" w:rsidP="008A3976">
            <w:pPr>
              <w:pStyle w:val="Tabletextright"/>
            </w:pPr>
            <w:r w:rsidRPr="00687A1C">
              <w:t>152</w:t>
            </w:r>
          </w:p>
        </w:tc>
      </w:tr>
      <w:tr w:rsidR="00174AEA" w:rsidRPr="00687A1C" w:rsidTr="008A3976">
        <w:trPr>
          <w:trHeight w:val="253"/>
        </w:trPr>
        <w:tc>
          <w:tcPr>
            <w:cnfStyle w:val="001000000000" w:firstRow="0" w:lastRow="0" w:firstColumn="1" w:lastColumn="0" w:oddVBand="0" w:evenVBand="0" w:oddHBand="0" w:evenHBand="0" w:firstRowFirstColumn="0" w:firstRowLastColumn="0" w:lastRowFirstColumn="0" w:lastRowLastColumn="0"/>
            <w:tcW w:w="5216" w:type="dxa"/>
          </w:tcPr>
          <w:p w:rsidR="00174AEA" w:rsidRPr="00687A1C" w:rsidRDefault="00174AEA" w:rsidP="008A3976">
            <w:pPr>
              <w:pStyle w:val="Tabletext"/>
              <w:rPr>
                <w:color w:val="auto"/>
              </w:rPr>
            </w:pPr>
            <w:r w:rsidRPr="00687A1C">
              <w:rPr>
                <w:color w:val="auto"/>
              </w:rPr>
              <w:t>Other long</w:t>
            </w:r>
            <w:r w:rsidRPr="00687A1C">
              <w:rPr>
                <w:color w:val="auto"/>
              </w:rPr>
              <w:noBreakHyphen/>
              <w:t xml:space="preserve">term benefits </w:t>
            </w:r>
          </w:p>
        </w:tc>
        <w:tc>
          <w:tcPr>
            <w:cnfStyle w:val="000010000000" w:firstRow="0" w:lastRow="0" w:firstColumn="0" w:lastColumn="0" w:oddVBand="1" w:evenVBand="0" w:oddHBand="0" w:evenHBand="0" w:firstRowFirstColumn="0" w:firstRowLastColumn="0" w:lastRowFirstColumn="0" w:lastRowLastColumn="0"/>
            <w:tcW w:w="1170" w:type="dxa"/>
            <w:vAlign w:val="bottom"/>
          </w:tcPr>
          <w:p w:rsidR="00174AEA" w:rsidRPr="00687A1C" w:rsidRDefault="00BF6B83" w:rsidP="008A3976">
            <w:pPr>
              <w:pStyle w:val="Tabletextright"/>
            </w:pPr>
            <w:r w:rsidRPr="00687A1C">
              <w:t>79</w:t>
            </w:r>
          </w:p>
        </w:tc>
        <w:tc>
          <w:tcPr>
            <w:cnfStyle w:val="000001000000" w:firstRow="0" w:lastRow="0" w:firstColumn="0" w:lastColumn="0" w:oddVBand="0" w:evenVBand="1" w:oddHBand="0" w:evenHBand="0" w:firstRowFirstColumn="0" w:firstRowLastColumn="0" w:lastRowFirstColumn="0" w:lastRowLastColumn="0"/>
            <w:tcW w:w="1170" w:type="dxa"/>
          </w:tcPr>
          <w:p w:rsidR="00174AEA" w:rsidRPr="00687A1C" w:rsidRDefault="00174AEA" w:rsidP="008A3976">
            <w:pPr>
              <w:pStyle w:val="Tabletextright"/>
            </w:pPr>
            <w:r w:rsidRPr="00687A1C">
              <w:t>65</w:t>
            </w:r>
          </w:p>
        </w:tc>
      </w:tr>
      <w:tr w:rsidR="00174AEA" w:rsidRPr="00687A1C" w:rsidTr="008A3976">
        <w:trPr>
          <w:trHeight w:val="253"/>
        </w:trPr>
        <w:tc>
          <w:tcPr>
            <w:cnfStyle w:val="001000000000" w:firstRow="0" w:lastRow="0" w:firstColumn="1" w:lastColumn="0" w:oddVBand="0" w:evenVBand="0" w:oddHBand="0" w:evenHBand="0" w:firstRowFirstColumn="0" w:firstRowLastColumn="0" w:lastRowFirstColumn="0" w:lastRowLastColumn="0"/>
            <w:tcW w:w="5216" w:type="dxa"/>
          </w:tcPr>
          <w:p w:rsidR="00174AEA" w:rsidRPr="00687A1C" w:rsidRDefault="00174AEA" w:rsidP="008A3976">
            <w:pPr>
              <w:pStyle w:val="Tabletext"/>
              <w:rPr>
                <w:b/>
                <w:color w:val="auto"/>
              </w:rPr>
            </w:pPr>
            <w:r w:rsidRPr="00687A1C">
              <w:rPr>
                <w:b/>
                <w:color w:val="auto"/>
              </w:rPr>
              <w:t xml:space="preserve">Total remuneration </w:t>
            </w:r>
          </w:p>
        </w:tc>
        <w:tc>
          <w:tcPr>
            <w:cnfStyle w:val="000010000000" w:firstRow="0" w:lastRow="0" w:firstColumn="0" w:lastColumn="0" w:oddVBand="1" w:evenVBand="0" w:oddHBand="0" w:evenHBand="0" w:firstRowFirstColumn="0" w:firstRowLastColumn="0" w:lastRowFirstColumn="0" w:lastRowLastColumn="0"/>
            <w:tcW w:w="1170" w:type="dxa"/>
          </w:tcPr>
          <w:p w:rsidR="00174AEA" w:rsidRPr="00687A1C" w:rsidRDefault="00174AEA" w:rsidP="00D8412D">
            <w:pPr>
              <w:pStyle w:val="Tabletextrightbold"/>
            </w:pPr>
            <w:r w:rsidRPr="00687A1C">
              <w:t>2</w:t>
            </w:r>
            <w:r w:rsidR="00D8412D" w:rsidRPr="00687A1C">
              <w:rPr>
                <w:rFonts w:ascii="Calibri" w:hAnsi="Calibri" w:cs="Calibri"/>
              </w:rPr>
              <w:t xml:space="preserve"> </w:t>
            </w:r>
            <w:r w:rsidR="00BF6B83" w:rsidRPr="00687A1C">
              <w:t>547</w:t>
            </w:r>
          </w:p>
        </w:tc>
        <w:tc>
          <w:tcPr>
            <w:cnfStyle w:val="000001000000" w:firstRow="0" w:lastRow="0" w:firstColumn="0" w:lastColumn="0" w:oddVBand="0" w:evenVBand="1" w:oddHBand="0" w:evenHBand="0" w:firstRowFirstColumn="0" w:firstRowLastColumn="0" w:lastRowFirstColumn="0" w:lastRowLastColumn="0"/>
            <w:tcW w:w="1170" w:type="dxa"/>
          </w:tcPr>
          <w:p w:rsidR="00174AEA" w:rsidRPr="00687A1C" w:rsidRDefault="00174AEA" w:rsidP="00D8412D">
            <w:pPr>
              <w:pStyle w:val="Tabletextright"/>
            </w:pPr>
            <w:r w:rsidRPr="00687A1C">
              <w:rPr>
                <w:b/>
              </w:rPr>
              <w:t>2</w:t>
            </w:r>
            <w:r w:rsidR="00D8412D" w:rsidRPr="00687A1C">
              <w:rPr>
                <w:rFonts w:ascii="Calibri" w:hAnsi="Calibri" w:cs="Calibri"/>
                <w:b/>
              </w:rPr>
              <w:t xml:space="preserve"> </w:t>
            </w:r>
            <w:r w:rsidRPr="00687A1C">
              <w:rPr>
                <w:b/>
              </w:rPr>
              <w:t>298</w:t>
            </w:r>
          </w:p>
        </w:tc>
      </w:tr>
    </w:tbl>
    <w:p w:rsidR="00174AEA" w:rsidRPr="00687A1C" w:rsidRDefault="00174AEA" w:rsidP="00BF6B83"/>
    <w:p w:rsidR="00174AEA" w:rsidRPr="00687A1C" w:rsidRDefault="00174AEA" w:rsidP="00BF6B83"/>
    <w:p w:rsidR="00174AEA" w:rsidRPr="00687A1C" w:rsidRDefault="00174AEA" w:rsidP="00BF6B83">
      <w:pPr>
        <w:sectPr w:rsidR="00174AEA" w:rsidRPr="00687A1C" w:rsidSect="008A3976">
          <w:headerReference w:type="even" r:id="rId98"/>
          <w:type w:val="continuous"/>
          <w:pgSz w:w="11909" w:h="16834" w:code="9"/>
          <w:pgMar w:top="1728" w:right="1152" w:bottom="1152" w:left="1152" w:header="720" w:footer="288" w:gutter="0"/>
          <w:cols w:space="720"/>
          <w:noEndnote/>
        </w:sectPr>
      </w:pPr>
    </w:p>
    <w:p w:rsidR="00174AEA" w:rsidRPr="00687A1C" w:rsidRDefault="00174AEA" w:rsidP="00174AEA">
      <w:pPr>
        <w:pStyle w:val="Heading4"/>
        <w:rPr>
          <w:rFonts w:ascii="Arial" w:hAnsi="Arial"/>
        </w:rPr>
      </w:pPr>
      <w:r w:rsidRPr="00687A1C">
        <w:t>Transactions and balances with key management personnel and other related parties</w:t>
      </w:r>
    </w:p>
    <w:p w:rsidR="00174AEA" w:rsidRPr="00687A1C" w:rsidRDefault="00174AEA" w:rsidP="00174AEA">
      <w:r w:rsidRPr="00687A1C">
        <w:t xml:space="preserve">Given the breadth and depth of State </w:t>
      </w:r>
      <w:r w:rsidR="000E0377" w:rsidRPr="00687A1C">
        <w:t>G</w:t>
      </w:r>
      <w:r w:rsidRPr="00687A1C">
        <w:t>overnment activities</w:t>
      </w:r>
      <w:r w:rsidR="00C7550E" w:rsidRPr="00687A1C">
        <w:t>,</w:t>
      </w:r>
      <w:r w:rsidRPr="00687A1C">
        <w:t xml:space="preserve"> related parties transact with the Victorian public sector in a manner consistent with other members of the public e.g. stamp duty and other government fees and charges. Further employment of processes within the Victorian public sector occur on terms and conditions consistent with the </w:t>
      </w:r>
      <w:r w:rsidRPr="00687A1C">
        <w:rPr>
          <w:i/>
        </w:rPr>
        <w:t>Public Administration Act 2004</w:t>
      </w:r>
      <w:r w:rsidRPr="00687A1C">
        <w:t xml:space="preserve"> and Codes of Conduct and Standards issued by the Victorian Public Sector Commission. Procurement processes occur on terms and conditions consistent with the Victorian Government Procurement Board requirements. </w:t>
      </w:r>
    </w:p>
    <w:p w:rsidR="00174AEA" w:rsidRPr="00687A1C" w:rsidRDefault="00BF6B83" w:rsidP="00174AEA">
      <w:r w:rsidRPr="00687A1C">
        <w:br w:type="column"/>
      </w:r>
      <w:r w:rsidRPr="00687A1C">
        <w:t xml:space="preserve">Outside of normal citizen type transactions with the Department, transactions that have occurred with </w:t>
      </w:r>
      <w:r w:rsidR="00BC6C33" w:rsidRPr="00687A1C">
        <w:t>key management personnel</w:t>
      </w:r>
      <w:r w:rsidRPr="00687A1C">
        <w:t xml:space="preserve"> and their related parties are based on terms and conditions that prevail in arm’s length transactions under the State’s procurement processes and have not been considered for disclosure. In this context, transactions are only disclosed when they are considered necessary to draw attention to the possibility that the Department’s financial position and profit or loss may have been affected by the existence of related parties, and by transactions and outstanding balances, including commitments, with such parties.</w:t>
      </w:r>
    </w:p>
    <w:p w:rsidR="00BF6B83" w:rsidRPr="00687A1C" w:rsidRDefault="00BF6B83" w:rsidP="00174AEA">
      <w:r w:rsidRPr="00687A1C">
        <w:t>No provision has been required, nor any expense recognised, for impairment of receivables from related parties.</w:t>
      </w:r>
    </w:p>
    <w:p w:rsidR="00174AEA" w:rsidRPr="00687A1C" w:rsidRDefault="00174AEA" w:rsidP="00174AEA">
      <w:pPr>
        <w:sectPr w:rsidR="00174AEA" w:rsidRPr="00687A1C" w:rsidSect="00BF6B83">
          <w:type w:val="continuous"/>
          <w:pgSz w:w="11909" w:h="16834" w:code="9"/>
          <w:pgMar w:top="1728" w:right="1152" w:bottom="1152" w:left="1152" w:header="720" w:footer="288" w:gutter="0"/>
          <w:cols w:num="2" w:space="720"/>
          <w:noEndnote/>
        </w:sectPr>
      </w:pPr>
    </w:p>
    <w:p w:rsidR="00174AEA" w:rsidRPr="00687A1C" w:rsidRDefault="00174AEA" w:rsidP="00174AEA">
      <w:pPr>
        <w:pStyle w:val="Heading2numbered"/>
      </w:pPr>
      <w:bookmarkStart w:id="150" w:name="_Toc495304311"/>
      <w:bookmarkStart w:id="151" w:name="_Toc525026219"/>
      <w:bookmarkStart w:id="152" w:name="_Toc525026252"/>
      <w:r w:rsidRPr="00687A1C">
        <w:lastRenderedPageBreak/>
        <w:t>Remuneration of auditors</w:t>
      </w:r>
      <w:bookmarkEnd w:id="150"/>
      <w:bookmarkEnd w:id="151"/>
      <w:bookmarkEnd w:id="152"/>
    </w:p>
    <w:tbl>
      <w:tblPr>
        <w:tblStyle w:val="AnnualReporttexttable"/>
        <w:tblW w:w="0" w:type="auto"/>
        <w:tblLayout w:type="fixed"/>
        <w:tblLook w:val="00A0" w:firstRow="1" w:lastRow="0" w:firstColumn="1" w:lastColumn="0" w:noHBand="0" w:noVBand="0"/>
      </w:tblPr>
      <w:tblGrid>
        <w:gridCol w:w="5238"/>
        <w:gridCol w:w="1125"/>
        <w:gridCol w:w="1125"/>
      </w:tblGrid>
      <w:tr w:rsidR="00174AEA" w:rsidRPr="00687A1C" w:rsidTr="00BF6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auto"/>
          </w:tcPr>
          <w:p w:rsidR="00174AEA" w:rsidRPr="00687A1C" w:rsidRDefault="00174AEA" w:rsidP="008A3976">
            <w:pPr>
              <w:pStyle w:val="Tabletext"/>
            </w:pPr>
          </w:p>
        </w:tc>
        <w:tc>
          <w:tcPr>
            <w:cnfStyle w:val="000010000000" w:firstRow="0" w:lastRow="0" w:firstColumn="0" w:lastColumn="0" w:oddVBand="1" w:evenVBand="0" w:oddHBand="0" w:evenHBand="0" w:firstRowFirstColumn="0" w:firstRowLastColumn="0" w:lastRowFirstColumn="0" w:lastRowLastColumn="0"/>
            <w:tcW w:w="1125" w:type="dxa"/>
            <w:shd w:val="clear" w:color="auto" w:fill="auto"/>
          </w:tcPr>
          <w:p w:rsidR="00174AEA" w:rsidRPr="00687A1C" w:rsidRDefault="00174AEA" w:rsidP="008A3976">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headingright"/>
            </w:pPr>
            <w:r w:rsidRPr="00687A1C">
              <w:rPr>
                <w:b/>
              </w:rPr>
              <w:t>2017</w:t>
            </w:r>
            <w:r w:rsidRPr="00687A1C">
              <w:rPr>
                <w:b/>
              </w:rPr>
              <w:br/>
              <w:t>$’000</w:t>
            </w:r>
          </w:p>
        </w:tc>
      </w:tr>
      <w:tr w:rsidR="00174AEA" w:rsidRPr="00687A1C" w:rsidTr="00BF6B83">
        <w:tc>
          <w:tcPr>
            <w:cnfStyle w:val="001000000000" w:firstRow="0" w:lastRow="0" w:firstColumn="1" w:lastColumn="0" w:oddVBand="0" w:evenVBand="0" w:oddHBand="0" w:evenHBand="0" w:firstRowFirstColumn="0" w:firstRowLastColumn="0" w:lastRowFirstColumn="0" w:lastRowLastColumn="0"/>
            <w:tcW w:w="5238" w:type="dxa"/>
          </w:tcPr>
          <w:p w:rsidR="00174AEA" w:rsidRPr="00687A1C" w:rsidRDefault="00174AEA" w:rsidP="008A3976">
            <w:pPr>
              <w:pStyle w:val="Tabletextbold"/>
            </w:pPr>
            <w:r w:rsidRPr="00687A1C">
              <w:t>Audit fees paid or payable to the Victorian Auditor</w:t>
            </w:r>
            <w:r w:rsidRPr="00687A1C">
              <w:noBreakHyphen/>
              <w:t>General’s Office</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pP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pPr>
          </w:p>
        </w:tc>
      </w:tr>
      <w:tr w:rsidR="00174AEA" w:rsidRPr="00687A1C" w:rsidTr="00BF6B83">
        <w:tc>
          <w:tcPr>
            <w:cnfStyle w:val="001000000000" w:firstRow="0" w:lastRow="0" w:firstColumn="1" w:lastColumn="0" w:oddVBand="0" w:evenVBand="0" w:oddHBand="0" w:evenHBand="0" w:firstRowFirstColumn="0" w:firstRowLastColumn="0" w:lastRowFirstColumn="0" w:lastRowLastColumn="0"/>
            <w:tcW w:w="5238" w:type="dxa"/>
          </w:tcPr>
          <w:p w:rsidR="00174AEA" w:rsidRPr="00687A1C" w:rsidRDefault="00174AEA" w:rsidP="008A3976">
            <w:pPr>
              <w:pStyle w:val="Tabletext"/>
            </w:pPr>
            <w:r w:rsidRPr="00687A1C">
              <w:t>Annual financial statements of the Department</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pPr>
            <w:r w:rsidRPr="00687A1C">
              <w:t>415</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pPr>
            <w:r w:rsidRPr="00687A1C">
              <w:t>437</w:t>
            </w:r>
          </w:p>
        </w:tc>
      </w:tr>
      <w:tr w:rsidR="00174AEA" w:rsidRPr="00687A1C" w:rsidTr="00BF6B83">
        <w:tc>
          <w:tcPr>
            <w:cnfStyle w:val="001000000000" w:firstRow="0" w:lastRow="0" w:firstColumn="1" w:lastColumn="0" w:oddVBand="0" w:evenVBand="0" w:oddHBand="0" w:evenHBand="0" w:firstRowFirstColumn="0" w:firstRowLastColumn="0" w:lastRowFirstColumn="0" w:lastRowLastColumn="0"/>
            <w:tcW w:w="5238" w:type="dxa"/>
          </w:tcPr>
          <w:p w:rsidR="00174AEA" w:rsidRPr="00687A1C" w:rsidRDefault="00174AEA" w:rsidP="008A3976">
            <w:pPr>
              <w:pStyle w:val="Tabletext"/>
            </w:pPr>
            <w:r w:rsidRPr="00687A1C">
              <w:t>Annual financial report for the State of Victoria</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pPr>
            <w:r w:rsidRPr="00687A1C">
              <w:t>403</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pPr>
            <w:r w:rsidRPr="00687A1C">
              <w:t>393</w:t>
            </w:r>
          </w:p>
        </w:tc>
      </w:tr>
      <w:tr w:rsidR="00174AEA" w:rsidRPr="00687A1C" w:rsidTr="00BF6B83">
        <w:tc>
          <w:tcPr>
            <w:cnfStyle w:val="001000000000" w:firstRow="0" w:lastRow="0" w:firstColumn="1" w:lastColumn="0" w:oddVBand="0" w:evenVBand="0" w:oddHBand="0" w:evenHBand="0" w:firstRowFirstColumn="0" w:firstRowLastColumn="0" w:lastRowFirstColumn="0" w:lastRowLastColumn="0"/>
            <w:tcW w:w="5238" w:type="dxa"/>
          </w:tcPr>
          <w:p w:rsidR="00174AEA" w:rsidRPr="00687A1C" w:rsidRDefault="00174AEA" w:rsidP="008A3976">
            <w:pPr>
              <w:pStyle w:val="Tabletext"/>
            </w:pPr>
            <w:r w:rsidRPr="00687A1C">
              <w:t>Annual budget for the State of Victoria</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174AEA" w:rsidP="008A3976">
            <w:pPr>
              <w:pStyle w:val="Tabletextright"/>
            </w:pPr>
            <w:r w:rsidRPr="00687A1C">
              <w:t>457</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pPr>
            <w:r w:rsidRPr="00687A1C">
              <w:t>446</w:t>
            </w:r>
          </w:p>
        </w:tc>
      </w:tr>
      <w:tr w:rsidR="00174AEA" w:rsidRPr="00687A1C" w:rsidTr="00BF6B83">
        <w:tc>
          <w:tcPr>
            <w:cnfStyle w:val="001000000000" w:firstRow="0" w:lastRow="0" w:firstColumn="1" w:lastColumn="0" w:oddVBand="0" w:evenVBand="0" w:oddHBand="0" w:evenHBand="0" w:firstRowFirstColumn="0" w:firstRowLastColumn="0" w:lastRowFirstColumn="0" w:lastRowLastColumn="0"/>
            <w:tcW w:w="5238" w:type="dxa"/>
          </w:tcPr>
          <w:p w:rsidR="00174AEA" w:rsidRPr="00687A1C" w:rsidRDefault="00174AEA" w:rsidP="008A3976">
            <w:pPr>
              <w:pStyle w:val="Tabletext"/>
            </w:pPr>
            <w:r w:rsidRPr="00687A1C">
              <w:t>Commonwealth acquittals</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BF6B83" w:rsidP="008A3976">
            <w:pPr>
              <w:pStyle w:val="Tabletextright"/>
            </w:pPr>
            <w:r w:rsidRPr="00687A1C">
              <w:t>29</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8A3976">
            <w:pPr>
              <w:pStyle w:val="Tabletextright"/>
            </w:pPr>
            <w:r w:rsidRPr="00687A1C">
              <w:t>21</w:t>
            </w:r>
          </w:p>
        </w:tc>
      </w:tr>
      <w:tr w:rsidR="00174AEA" w:rsidRPr="00687A1C" w:rsidTr="00BF6B83">
        <w:tc>
          <w:tcPr>
            <w:cnfStyle w:val="001000000000" w:firstRow="0" w:lastRow="0" w:firstColumn="1" w:lastColumn="0" w:oddVBand="0" w:evenVBand="0" w:oddHBand="0" w:evenHBand="0" w:firstRowFirstColumn="0" w:firstRowLastColumn="0" w:lastRowFirstColumn="0" w:lastRowLastColumn="0"/>
            <w:tcW w:w="5238" w:type="dxa"/>
          </w:tcPr>
          <w:p w:rsidR="00174AEA" w:rsidRPr="00687A1C" w:rsidRDefault="00174AEA" w:rsidP="008A3976">
            <w:pPr>
              <w:pStyle w:val="Tabletext"/>
            </w:pPr>
            <w:r w:rsidRPr="00687A1C">
              <w:t xml:space="preserve"> </w:t>
            </w:r>
          </w:p>
        </w:tc>
        <w:tc>
          <w:tcPr>
            <w:cnfStyle w:val="000010000000" w:firstRow="0" w:lastRow="0" w:firstColumn="0" w:lastColumn="0" w:oddVBand="1" w:evenVBand="0" w:oddHBand="0" w:evenHBand="0" w:firstRowFirstColumn="0" w:firstRowLastColumn="0" w:lastRowFirstColumn="0" w:lastRowLastColumn="0"/>
            <w:tcW w:w="1125" w:type="dxa"/>
          </w:tcPr>
          <w:p w:rsidR="00174AEA" w:rsidRPr="00687A1C" w:rsidRDefault="00BF6B83" w:rsidP="00D8412D">
            <w:pPr>
              <w:pStyle w:val="Tabletextrightbold"/>
            </w:pPr>
            <w:r w:rsidRPr="00687A1C">
              <w:t>1</w:t>
            </w:r>
            <w:r w:rsidR="00D8412D" w:rsidRPr="00687A1C">
              <w:rPr>
                <w:rFonts w:ascii="Calibri" w:hAnsi="Calibri" w:cs="Courier New"/>
              </w:rPr>
              <w:t xml:space="preserve"> </w:t>
            </w:r>
            <w:r w:rsidRPr="00687A1C">
              <w:t>304</w:t>
            </w:r>
          </w:p>
        </w:tc>
        <w:tc>
          <w:tcPr>
            <w:cnfStyle w:val="000001000000" w:firstRow="0" w:lastRow="0" w:firstColumn="0" w:lastColumn="0" w:oddVBand="0" w:evenVBand="1" w:oddHBand="0" w:evenHBand="0" w:firstRowFirstColumn="0" w:firstRowLastColumn="0" w:lastRowFirstColumn="0" w:lastRowLastColumn="0"/>
            <w:tcW w:w="1125" w:type="dxa"/>
          </w:tcPr>
          <w:p w:rsidR="00174AEA" w:rsidRPr="00687A1C" w:rsidRDefault="00174AEA" w:rsidP="00D8412D">
            <w:pPr>
              <w:pStyle w:val="Tabletextrightbold"/>
            </w:pPr>
            <w:r w:rsidRPr="00687A1C">
              <w:t>1</w:t>
            </w:r>
            <w:r w:rsidR="00D8412D" w:rsidRPr="00687A1C">
              <w:rPr>
                <w:rFonts w:ascii="Calibri" w:hAnsi="Calibri" w:cs="Calibri"/>
              </w:rPr>
              <w:t xml:space="preserve"> </w:t>
            </w:r>
            <w:r w:rsidRPr="00687A1C">
              <w:t>297</w:t>
            </w:r>
          </w:p>
        </w:tc>
      </w:tr>
    </w:tbl>
    <w:p w:rsidR="00174AEA" w:rsidRPr="00687A1C" w:rsidRDefault="00174AEA" w:rsidP="00174AEA">
      <w:r w:rsidRPr="00687A1C">
        <w:t>No other services were provided by the Victorian Auditor-General’s Office.</w:t>
      </w:r>
    </w:p>
    <w:p w:rsidR="00AE6F74" w:rsidRPr="00687A1C" w:rsidRDefault="00AE6F74" w:rsidP="00174AEA"/>
    <w:p w:rsidR="00174AEA" w:rsidRDefault="00174AEA" w:rsidP="00174AEA">
      <w:pPr>
        <w:pStyle w:val="Heading2numbered"/>
      </w:pPr>
      <w:bookmarkStart w:id="153" w:name="_Toc495304312"/>
      <w:bookmarkStart w:id="154" w:name="_Toc525026220"/>
      <w:bookmarkStart w:id="155" w:name="_Toc525026253"/>
      <w:r w:rsidRPr="00687A1C">
        <w:t xml:space="preserve">Other accounting </w:t>
      </w:r>
      <w:bookmarkEnd w:id="153"/>
      <w:r w:rsidR="00BF6B83" w:rsidRPr="00687A1C">
        <w:t>matters</w:t>
      </w:r>
      <w:bookmarkEnd w:id="154"/>
      <w:bookmarkEnd w:id="155"/>
    </w:p>
    <w:p w:rsidR="0092078A" w:rsidRDefault="0092078A" w:rsidP="0092078A">
      <w:pPr>
        <w:pStyle w:val="Heading4"/>
      </w:pPr>
      <w:r w:rsidRPr="00687A1C">
        <w:t>Operating lease receivables</w:t>
      </w:r>
    </w:p>
    <w:p w:rsidR="00AE6F74" w:rsidRPr="00687A1C" w:rsidRDefault="00AE6F74" w:rsidP="00AE6F74">
      <w:pPr>
        <w:sectPr w:rsidR="00AE6F74" w:rsidRPr="00687A1C" w:rsidSect="00AE6F74">
          <w:pgSz w:w="11909" w:h="16834" w:code="9"/>
          <w:pgMar w:top="1728" w:right="1152" w:bottom="1152" w:left="1152" w:header="720" w:footer="288" w:gutter="0"/>
          <w:cols w:space="720"/>
          <w:noEndnote/>
        </w:sectPr>
      </w:pPr>
    </w:p>
    <w:p w:rsidR="00AE6F74" w:rsidRPr="00687A1C" w:rsidRDefault="00AE6F74" w:rsidP="00AE6F74">
      <w:r w:rsidRPr="00687A1C">
        <w:t xml:space="preserve">The Department acts as a lessor for tenancies relating to its State-owned properties. The tenancy arrangements detail the lease terms, including options negotiated with the occupying departments. All tenancy arrangements contain market reviews in line with the biennial market rental valuations completed on the </w:t>
      </w:r>
      <w:r w:rsidRPr="00687A1C">
        <w:t>State-owned properties. The tenancy arrangements do not include an option to purchase the property at the expiry of the tenancy. These tenancy arrangements are not required to be recognised in the balance sheet and are based on a 5-year lease term.</w:t>
      </w:r>
    </w:p>
    <w:p w:rsidR="00AE6F74" w:rsidRPr="00687A1C" w:rsidRDefault="00AE6F74" w:rsidP="00AE6F74">
      <w:pPr>
        <w:sectPr w:rsidR="00AE6F74" w:rsidRPr="00687A1C" w:rsidSect="00AE6F74">
          <w:type w:val="continuous"/>
          <w:pgSz w:w="11909" w:h="16834" w:code="9"/>
          <w:pgMar w:top="1728" w:right="1152" w:bottom="1152" w:left="1152" w:header="720" w:footer="288" w:gutter="0"/>
          <w:cols w:num="2" w:space="720"/>
          <w:noEndnote/>
        </w:sectPr>
      </w:pPr>
    </w:p>
    <w:p w:rsidR="00174AEA" w:rsidRPr="00687A1C" w:rsidRDefault="00174AEA" w:rsidP="00174AEA"/>
    <w:tbl>
      <w:tblPr>
        <w:tblStyle w:val="AnnualReporttexttable"/>
        <w:tblW w:w="7398" w:type="dxa"/>
        <w:tblLayout w:type="fixed"/>
        <w:tblLook w:val="00A0" w:firstRow="1" w:lastRow="0" w:firstColumn="1" w:lastColumn="0" w:noHBand="0" w:noVBand="0"/>
      </w:tblPr>
      <w:tblGrid>
        <w:gridCol w:w="5238"/>
        <w:gridCol w:w="1080"/>
        <w:gridCol w:w="1080"/>
      </w:tblGrid>
      <w:tr w:rsidR="00AE6F74" w:rsidRPr="00687A1C" w:rsidTr="00DE0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auto"/>
          </w:tcPr>
          <w:p w:rsidR="00AE6F74" w:rsidRPr="00687A1C" w:rsidRDefault="00AE6F74" w:rsidP="00DE0CB9">
            <w:pPr>
              <w:pStyle w:val="Tabletext"/>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rsidR="00AE6F74" w:rsidRPr="00687A1C" w:rsidRDefault="00AE6F74" w:rsidP="00DE0CB9">
            <w:pPr>
              <w:pStyle w:val="Tabletextheadingright"/>
              <w:rPr>
                <w:b/>
              </w:rPr>
            </w:pPr>
            <w:r w:rsidRPr="00687A1C">
              <w:rPr>
                <w:b/>
              </w:rPr>
              <w:t>2018</w:t>
            </w:r>
            <w:r w:rsidRPr="00687A1C">
              <w:rPr>
                <w:b/>
              </w:rPr>
              <w:br/>
              <w:t>$’000</w:t>
            </w:r>
          </w:p>
        </w:tc>
        <w:tc>
          <w:tcPr>
            <w:cnfStyle w:val="000001000000" w:firstRow="0" w:lastRow="0" w:firstColumn="0" w:lastColumn="0" w:oddVBand="0" w:evenVBand="1" w:oddHBand="0" w:evenHBand="0" w:firstRowFirstColumn="0" w:firstRowLastColumn="0" w:lastRowFirstColumn="0" w:lastRowLastColumn="0"/>
            <w:tcW w:w="1080" w:type="dxa"/>
          </w:tcPr>
          <w:p w:rsidR="00AE6F74" w:rsidRPr="00687A1C" w:rsidRDefault="00AE6F74" w:rsidP="00DE0CB9">
            <w:pPr>
              <w:pStyle w:val="Tabletextheadingright"/>
              <w:rPr>
                <w:b/>
              </w:rPr>
            </w:pPr>
            <w:r w:rsidRPr="00687A1C">
              <w:rPr>
                <w:b/>
              </w:rPr>
              <w:t>2017</w:t>
            </w:r>
            <w:r w:rsidRPr="00687A1C">
              <w:rPr>
                <w:b/>
              </w:rPr>
              <w:br/>
              <w:t>$’000</w:t>
            </w:r>
          </w:p>
        </w:tc>
      </w:tr>
      <w:tr w:rsidR="00AE6F74" w:rsidRPr="00687A1C" w:rsidTr="00DE0CB9">
        <w:tc>
          <w:tcPr>
            <w:cnfStyle w:val="001000000000" w:firstRow="0" w:lastRow="0" w:firstColumn="1" w:lastColumn="0" w:oddVBand="0" w:evenVBand="0" w:oddHBand="0" w:evenHBand="0" w:firstRowFirstColumn="0" w:firstRowLastColumn="0" w:lastRowFirstColumn="0" w:lastRowLastColumn="0"/>
            <w:tcW w:w="5238" w:type="dxa"/>
          </w:tcPr>
          <w:p w:rsidR="00AE6F74" w:rsidRPr="00687A1C" w:rsidRDefault="00AE6F74" w:rsidP="00DE0CB9">
            <w:pPr>
              <w:pStyle w:val="Tabletext"/>
            </w:pPr>
            <w:r w:rsidRPr="00687A1C">
              <w:t>Due within one year</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AE6F74" w:rsidRPr="00687A1C" w:rsidRDefault="00AE6F74" w:rsidP="00DE0CB9">
            <w:pPr>
              <w:pStyle w:val="Tabletextright"/>
            </w:pPr>
            <w:r w:rsidRPr="00687A1C">
              <w:t>36</w:t>
            </w:r>
            <w:r w:rsidRPr="00687A1C">
              <w:rPr>
                <w:rFonts w:ascii="Calibri" w:hAnsi="Calibri" w:cs="Courier New"/>
              </w:rPr>
              <w:t xml:space="preserve"> </w:t>
            </w:r>
            <w:r w:rsidRPr="00687A1C">
              <w:t>761</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AE6F74" w:rsidRPr="00687A1C" w:rsidRDefault="00AE6F74" w:rsidP="00DE0CB9">
            <w:pPr>
              <w:pStyle w:val="Tabletextright"/>
            </w:pPr>
            <w:r w:rsidRPr="00687A1C">
              <w:t>32</w:t>
            </w:r>
            <w:r w:rsidRPr="00687A1C">
              <w:rPr>
                <w:rFonts w:ascii="Calibri" w:hAnsi="Calibri" w:cs="Courier New"/>
              </w:rPr>
              <w:t xml:space="preserve"> </w:t>
            </w:r>
            <w:r w:rsidRPr="00687A1C">
              <w:t>702</w:t>
            </w:r>
          </w:p>
        </w:tc>
      </w:tr>
      <w:tr w:rsidR="00AE6F74" w:rsidRPr="00687A1C" w:rsidTr="00DE0CB9">
        <w:tc>
          <w:tcPr>
            <w:cnfStyle w:val="001000000000" w:firstRow="0" w:lastRow="0" w:firstColumn="1" w:lastColumn="0" w:oddVBand="0" w:evenVBand="0" w:oddHBand="0" w:evenHBand="0" w:firstRowFirstColumn="0" w:firstRowLastColumn="0" w:lastRowFirstColumn="0" w:lastRowLastColumn="0"/>
            <w:tcW w:w="5238" w:type="dxa"/>
          </w:tcPr>
          <w:p w:rsidR="00AE6F74" w:rsidRPr="00687A1C" w:rsidRDefault="00AE6F74" w:rsidP="00DE0CB9">
            <w:pPr>
              <w:pStyle w:val="Tabletext"/>
            </w:pPr>
            <w:r w:rsidRPr="00687A1C">
              <w:t>Due later than one year but not later than five years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AE6F74" w:rsidRPr="00687A1C" w:rsidRDefault="00AE6F74" w:rsidP="00DE0CB9">
            <w:pPr>
              <w:pStyle w:val="Tabletextright"/>
            </w:pPr>
            <w:r w:rsidRPr="00687A1C">
              <w:t>145</w:t>
            </w:r>
            <w:r w:rsidRPr="00687A1C">
              <w:rPr>
                <w:rFonts w:ascii="Calibri" w:hAnsi="Calibri" w:cs="Courier New"/>
              </w:rPr>
              <w:t xml:space="preserve"> </w:t>
            </w:r>
            <w:r w:rsidRPr="00687A1C">
              <w:t>553</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AE6F74" w:rsidRPr="00687A1C" w:rsidRDefault="00AE6F74" w:rsidP="00DE0CB9">
            <w:pPr>
              <w:pStyle w:val="Tabletextright"/>
            </w:pPr>
            <w:r w:rsidRPr="00687A1C">
              <w:t>129</w:t>
            </w:r>
            <w:r w:rsidRPr="00687A1C">
              <w:rPr>
                <w:rFonts w:ascii="Calibri" w:hAnsi="Calibri" w:cs="Courier New"/>
              </w:rPr>
              <w:t xml:space="preserve"> </w:t>
            </w:r>
            <w:r w:rsidRPr="00687A1C">
              <w:t>593</w:t>
            </w:r>
          </w:p>
        </w:tc>
      </w:tr>
      <w:tr w:rsidR="00AE6F74" w:rsidRPr="00687A1C" w:rsidTr="00DE0CB9">
        <w:tc>
          <w:tcPr>
            <w:cnfStyle w:val="001000000000" w:firstRow="0" w:lastRow="0" w:firstColumn="1" w:lastColumn="0" w:oddVBand="0" w:evenVBand="0" w:oddHBand="0" w:evenHBand="0" w:firstRowFirstColumn="0" w:firstRowLastColumn="0" w:lastRowFirstColumn="0" w:lastRowLastColumn="0"/>
            <w:tcW w:w="5238" w:type="dxa"/>
          </w:tcPr>
          <w:p w:rsidR="00AE6F74" w:rsidRPr="00687A1C" w:rsidRDefault="00AE6F74" w:rsidP="00DE0CB9">
            <w:pPr>
              <w:pStyle w:val="Tabletext"/>
            </w:pPr>
            <w:r w:rsidRPr="00687A1C">
              <w:t>Due later than five years</w:t>
            </w: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AE6F74" w:rsidRPr="00687A1C" w:rsidRDefault="00AE6F74" w:rsidP="00DE0CB9">
            <w:pPr>
              <w:pStyle w:val="Tabletextright"/>
            </w:pPr>
            <w:r w:rsidRPr="00687A1C">
              <w:t>5</w:t>
            </w:r>
            <w:r w:rsidRPr="00687A1C">
              <w:rPr>
                <w:rFonts w:ascii="Calibri" w:hAnsi="Calibri" w:cs="Calibri"/>
              </w:rPr>
              <w:t xml:space="preserve"> </w:t>
            </w:r>
            <w:r w:rsidRPr="00687A1C">
              <w:t>708</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AE6F74" w:rsidRPr="00687A1C" w:rsidRDefault="00AE6F74" w:rsidP="00DE0CB9">
            <w:pPr>
              <w:pStyle w:val="Tabletextright"/>
            </w:pPr>
            <w:r w:rsidRPr="00687A1C">
              <w:t>7</w:t>
            </w:r>
            <w:r w:rsidRPr="00687A1C">
              <w:rPr>
                <w:rFonts w:ascii="Calibri" w:hAnsi="Calibri" w:cs="Courier New"/>
              </w:rPr>
              <w:t xml:space="preserve"> </w:t>
            </w:r>
            <w:r w:rsidRPr="00687A1C">
              <w:t>153</w:t>
            </w:r>
          </w:p>
        </w:tc>
      </w:tr>
      <w:tr w:rsidR="00AE6F74" w:rsidRPr="00687A1C" w:rsidTr="00DE0CB9">
        <w:tc>
          <w:tcPr>
            <w:cnfStyle w:val="001000000000" w:firstRow="0" w:lastRow="0" w:firstColumn="1" w:lastColumn="0" w:oddVBand="0" w:evenVBand="0" w:oddHBand="0" w:evenHBand="0" w:firstRowFirstColumn="0" w:firstRowLastColumn="0" w:lastRowFirstColumn="0" w:lastRowLastColumn="0"/>
            <w:tcW w:w="5238" w:type="dxa"/>
          </w:tcPr>
          <w:p w:rsidR="00AE6F74" w:rsidRPr="00687A1C" w:rsidRDefault="00AE6F74" w:rsidP="00DE0CB9">
            <w:pPr>
              <w:pStyle w:val="Tabletext"/>
            </w:pPr>
          </w:p>
        </w:tc>
        <w:tc>
          <w:tcPr>
            <w:cnfStyle w:val="000010000000" w:firstRow="0" w:lastRow="0" w:firstColumn="0" w:lastColumn="0" w:oddVBand="1" w:evenVBand="0" w:oddHBand="0" w:evenHBand="0" w:firstRowFirstColumn="0" w:firstRowLastColumn="0" w:lastRowFirstColumn="0" w:lastRowLastColumn="0"/>
            <w:tcW w:w="1080" w:type="dxa"/>
            <w:vAlign w:val="bottom"/>
          </w:tcPr>
          <w:p w:rsidR="00AE6F74" w:rsidRPr="00687A1C" w:rsidRDefault="00AE6F74" w:rsidP="00DE0CB9">
            <w:pPr>
              <w:pStyle w:val="Tabletextrightbold"/>
            </w:pPr>
            <w:r w:rsidRPr="00687A1C">
              <w:t>188</w:t>
            </w:r>
            <w:r w:rsidRPr="00687A1C">
              <w:rPr>
                <w:rFonts w:ascii="Calibri" w:hAnsi="Calibri" w:cs="Courier New"/>
              </w:rPr>
              <w:t xml:space="preserve"> </w:t>
            </w:r>
            <w:r w:rsidRPr="00687A1C">
              <w:t>022</w:t>
            </w:r>
          </w:p>
        </w:tc>
        <w:tc>
          <w:tcPr>
            <w:cnfStyle w:val="000001000000" w:firstRow="0" w:lastRow="0" w:firstColumn="0" w:lastColumn="0" w:oddVBand="0" w:evenVBand="1" w:oddHBand="0" w:evenHBand="0" w:firstRowFirstColumn="0" w:firstRowLastColumn="0" w:lastRowFirstColumn="0" w:lastRowLastColumn="0"/>
            <w:tcW w:w="1080" w:type="dxa"/>
            <w:vAlign w:val="bottom"/>
          </w:tcPr>
          <w:p w:rsidR="00AE6F74" w:rsidRPr="00687A1C" w:rsidRDefault="00AE6F74" w:rsidP="00DE0CB9">
            <w:pPr>
              <w:pStyle w:val="Tabletextrightbold"/>
            </w:pPr>
            <w:r w:rsidRPr="00687A1C">
              <w:t>169</w:t>
            </w:r>
            <w:r w:rsidRPr="00687A1C">
              <w:rPr>
                <w:rFonts w:ascii="Calibri" w:hAnsi="Calibri" w:cs="Courier New"/>
              </w:rPr>
              <w:t xml:space="preserve"> </w:t>
            </w:r>
            <w:r w:rsidRPr="00687A1C">
              <w:t>448</w:t>
            </w:r>
          </w:p>
        </w:tc>
      </w:tr>
    </w:tbl>
    <w:p w:rsidR="00AE6F74" w:rsidRPr="00687A1C" w:rsidRDefault="00AE6F74" w:rsidP="00174AEA"/>
    <w:p w:rsidR="00174AEA" w:rsidRPr="00687A1C" w:rsidRDefault="00174AEA" w:rsidP="00174AEA">
      <w:pPr>
        <w:sectPr w:rsidR="00174AEA" w:rsidRPr="00687A1C" w:rsidSect="00AE6F74">
          <w:type w:val="continuous"/>
          <w:pgSz w:w="11909" w:h="16834" w:code="9"/>
          <w:pgMar w:top="1728" w:right="1152" w:bottom="1152" w:left="1152" w:header="720" w:footer="288" w:gutter="0"/>
          <w:cols w:space="720"/>
          <w:noEndnote/>
        </w:sectPr>
      </w:pPr>
    </w:p>
    <w:p w:rsidR="00174AEA" w:rsidRPr="00687A1C" w:rsidRDefault="00174AEA" w:rsidP="0092078A">
      <w:pPr>
        <w:pStyle w:val="Heading4"/>
      </w:pPr>
      <w:bookmarkStart w:id="156" w:name="_Ref492627084"/>
      <w:r w:rsidRPr="00687A1C">
        <w:t xml:space="preserve">Events after </w:t>
      </w:r>
      <w:r w:rsidRPr="0092078A">
        <w:t>reporting</w:t>
      </w:r>
      <w:r w:rsidRPr="00687A1C">
        <w:t xml:space="preserve"> date</w:t>
      </w:r>
      <w:bookmarkEnd w:id="156"/>
    </w:p>
    <w:p w:rsidR="00174AEA" w:rsidRPr="00687A1C" w:rsidRDefault="00BF6B83" w:rsidP="00174AEA">
      <w:r w:rsidRPr="00687A1C">
        <w:t xml:space="preserve">No matters or circumstances have arisen since the end of the financial year that has significantly affected the Department’s operations, results or state of affairs, or </w:t>
      </w:r>
      <w:r w:rsidR="00BC6C33" w:rsidRPr="00687A1C">
        <w:t xml:space="preserve">that </w:t>
      </w:r>
      <w:r w:rsidRPr="00687A1C">
        <w:t>may do so in future years.</w:t>
      </w:r>
    </w:p>
    <w:p w:rsidR="00AE6F74" w:rsidRPr="00687A1C" w:rsidRDefault="00AE6F74" w:rsidP="00AE6F74">
      <w:pPr>
        <w:pStyle w:val="Spacer"/>
      </w:pPr>
    </w:p>
    <w:p w:rsidR="00174AEA" w:rsidRPr="00687A1C" w:rsidRDefault="00174AEA" w:rsidP="00174AEA">
      <w:pPr>
        <w:pStyle w:val="Heading2numbered"/>
      </w:pPr>
      <w:bookmarkStart w:id="157" w:name="_Toc495304313"/>
      <w:bookmarkStart w:id="158" w:name="_Toc525026221"/>
      <w:bookmarkStart w:id="159" w:name="_Toc525026254"/>
      <w:r w:rsidRPr="00687A1C">
        <w:t>Australian Accounting Standards issued that are not yet effective</w:t>
      </w:r>
      <w:bookmarkEnd w:id="157"/>
      <w:bookmarkEnd w:id="158"/>
      <w:bookmarkEnd w:id="159"/>
    </w:p>
    <w:p w:rsidR="00174AEA" w:rsidRPr="00687A1C" w:rsidRDefault="00174AEA" w:rsidP="00174AEA">
      <w:r w:rsidRPr="00687A1C">
        <w:t>As at 30 June 2018</w:t>
      </w:r>
      <w:r w:rsidR="00C7550E" w:rsidRPr="00687A1C">
        <w:t>,</w:t>
      </w:r>
      <w:r w:rsidRPr="00687A1C">
        <w:t xml:space="preserve"> the following standards and interpretations (applicable to the Department) had been issued but were not mandatory for the 30 June 2018 reporting period. </w:t>
      </w:r>
    </w:p>
    <w:p w:rsidR="00262BB9" w:rsidRPr="00687A1C" w:rsidRDefault="00174AEA" w:rsidP="00174AEA">
      <w:r w:rsidRPr="00687A1C">
        <w:t>AASB</w:t>
      </w:r>
      <w:r w:rsidRPr="00687A1C">
        <w:rPr>
          <w:rFonts w:ascii="Calibri" w:hAnsi="Calibri" w:cs="Calibri"/>
        </w:rPr>
        <w:t> </w:t>
      </w:r>
      <w:r w:rsidRPr="00687A1C">
        <w:t>9</w:t>
      </w:r>
      <w:r w:rsidRPr="00687A1C">
        <w:rPr>
          <w:i/>
        </w:rPr>
        <w:t xml:space="preserve"> Financial Instruments</w:t>
      </w:r>
      <w:r w:rsidR="00BF6B83" w:rsidRPr="00687A1C">
        <w:t xml:space="preserve"> and amending standards AASB 2014-1 and AASB 2014-7 are</w:t>
      </w:r>
      <w:r w:rsidRPr="00687A1C">
        <w:rPr>
          <w:i/>
        </w:rPr>
        <w:t xml:space="preserve"> </w:t>
      </w:r>
      <w:r w:rsidRPr="00687A1C">
        <w:t>applicable for</w:t>
      </w:r>
      <w:r w:rsidR="00BF6B83" w:rsidRPr="00687A1C">
        <w:t xml:space="preserve"> reporting periods commencing 1</w:t>
      </w:r>
      <w:r w:rsidR="00BF6B83" w:rsidRPr="00687A1C">
        <w:rPr>
          <w:rFonts w:ascii="Calibri" w:hAnsi="Calibri" w:cs="Courier New"/>
        </w:rPr>
        <w:t> </w:t>
      </w:r>
      <w:r w:rsidRPr="00687A1C">
        <w:t>January 2018. The key changes include the simplified requirements for the classification and measurement of financial assets</w:t>
      </w:r>
      <w:r w:rsidR="00C7550E" w:rsidRPr="00687A1C">
        <w:t>,</w:t>
      </w:r>
      <w:r w:rsidRPr="00687A1C">
        <w:t xml:space="preserve"> a new hedging accounting model and a revised impairment loss model to recognise impairment losses earlier</w:t>
      </w:r>
      <w:r w:rsidR="00C7550E" w:rsidRPr="00687A1C">
        <w:t>,</w:t>
      </w:r>
      <w:r w:rsidRPr="00687A1C">
        <w:t xml:space="preserve"> as opposed to the current approach that recognises impairment only when incurred. </w:t>
      </w:r>
    </w:p>
    <w:p w:rsidR="00174AEA" w:rsidRPr="00687A1C" w:rsidRDefault="00262BB9" w:rsidP="00174AEA">
      <w:r w:rsidRPr="00687A1C">
        <w:br w:type="column"/>
      </w:r>
      <w:r w:rsidR="00174AEA" w:rsidRPr="00687A1C">
        <w:t>While the Department’s assessment has not identified any material impact arising from AASB 9</w:t>
      </w:r>
      <w:r w:rsidR="004A03A3" w:rsidRPr="00687A1C">
        <w:t>,</w:t>
      </w:r>
      <w:r w:rsidR="00174AEA" w:rsidRPr="00687A1C">
        <w:t xml:space="preserve"> there will be changes to the way financial instruments are disclosed.</w:t>
      </w:r>
    </w:p>
    <w:p w:rsidR="00174AEA" w:rsidRPr="00687A1C" w:rsidRDefault="00174AEA" w:rsidP="00174AEA">
      <w:r w:rsidRPr="00687A1C">
        <w:t>AASB</w:t>
      </w:r>
      <w:r w:rsidRPr="00687A1C">
        <w:rPr>
          <w:rFonts w:ascii="Calibri" w:hAnsi="Calibri" w:cs="Calibri"/>
        </w:rPr>
        <w:t> </w:t>
      </w:r>
      <w:r w:rsidRPr="00687A1C">
        <w:t xml:space="preserve">15 </w:t>
      </w:r>
      <w:r w:rsidRPr="00687A1C">
        <w:rPr>
          <w:i/>
        </w:rPr>
        <w:t>Revenue from Contracts with Customers</w:t>
      </w:r>
      <w:r w:rsidR="004A03A3" w:rsidRPr="00687A1C">
        <w:rPr>
          <w:i/>
        </w:rPr>
        <w:t>,</w:t>
      </w:r>
      <w:r w:rsidRPr="00687A1C">
        <w:t xml:space="preserve"> </w:t>
      </w:r>
      <w:r w:rsidR="00BF6B83" w:rsidRPr="00687A1C">
        <w:t xml:space="preserve">is </w:t>
      </w:r>
      <w:r w:rsidRPr="00687A1C">
        <w:t>applicable for reporting periods commencing 1</w:t>
      </w:r>
      <w:r w:rsidRPr="00687A1C">
        <w:rPr>
          <w:rFonts w:ascii="Calibri" w:hAnsi="Calibri" w:cs="Calibri"/>
        </w:rPr>
        <w:t> </w:t>
      </w:r>
      <w:r w:rsidRPr="00687A1C">
        <w:t>January 2018. The core principle of AASB</w:t>
      </w:r>
      <w:r w:rsidRPr="00687A1C">
        <w:rPr>
          <w:rFonts w:ascii="Calibri" w:hAnsi="Calibri" w:cs="Calibri"/>
        </w:rPr>
        <w:t> </w:t>
      </w:r>
      <w:r w:rsidRPr="00687A1C">
        <w:t>15 requires an entity to recognise revenue when the entity satisfies a performance obligation by transferring a promised good or service to a customer. The changes in revenue recognition requirements in AASB</w:t>
      </w:r>
      <w:r w:rsidRPr="00687A1C">
        <w:rPr>
          <w:rFonts w:ascii="Calibri" w:hAnsi="Calibri" w:cs="Calibri"/>
        </w:rPr>
        <w:t> </w:t>
      </w:r>
      <w:r w:rsidRPr="00687A1C">
        <w:t xml:space="preserve">15 may result in changes to the timing and amount of revenue recorded in the financial statements. The Standard will also require additional disclosures on service revenue and contract modifications. </w:t>
      </w:r>
      <w:r w:rsidR="00BC6C33" w:rsidRPr="00687A1C">
        <w:t>A</w:t>
      </w:r>
      <w:r w:rsidR="00BF6B83" w:rsidRPr="00687A1C">
        <w:t>mending standards AASB 2014-5, AASB 2015-8, AASB 2016-3 and AASB 2016-7 are applicable for reporting periods commencing 1</w:t>
      </w:r>
      <w:r w:rsidR="00BF6B83" w:rsidRPr="00687A1C">
        <w:rPr>
          <w:rFonts w:ascii="Calibri" w:hAnsi="Calibri" w:cs="Courier New"/>
        </w:rPr>
        <w:t> </w:t>
      </w:r>
      <w:r w:rsidR="00BF6B83" w:rsidRPr="00687A1C">
        <w:t xml:space="preserve">January 2018 and AASB 2016-8 is applicable for reporting period commencing 1 January 2019. </w:t>
      </w:r>
      <w:r w:rsidRPr="00687A1C">
        <w:t>The assessment has indicated that there will be no significant impact for the Department.</w:t>
      </w:r>
    </w:p>
    <w:p w:rsidR="00BF6B83" w:rsidRPr="00687A1C" w:rsidRDefault="00AE6F74" w:rsidP="00BF6B83">
      <w:r w:rsidRPr="00687A1C">
        <w:br w:type="column"/>
      </w:r>
      <w:r w:rsidR="00BF6B83" w:rsidRPr="00687A1C">
        <w:lastRenderedPageBreak/>
        <w:t xml:space="preserve">AASB 16 </w:t>
      </w:r>
      <w:r w:rsidR="00BF6B83" w:rsidRPr="00687A1C">
        <w:rPr>
          <w:i/>
        </w:rPr>
        <w:t>Leases</w:t>
      </w:r>
      <w:r w:rsidR="00BF6B83" w:rsidRPr="00687A1C">
        <w:t xml:space="preserve"> </w:t>
      </w:r>
      <w:r w:rsidR="00BC6C33" w:rsidRPr="00687A1C">
        <w:t>is</w:t>
      </w:r>
      <w:r w:rsidR="00BF6B83" w:rsidRPr="00687A1C">
        <w:t xml:space="preserve"> </w:t>
      </w:r>
      <w:r w:rsidR="00152DAC" w:rsidRPr="00687A1C">
        <w:t>applicable for reporting</w:t>
      </w:r>
      <w:r w:rsidR="00BF6B83" w:rsidRPr="00687A1C">
        <w:t xml:space="preserve"> period</w:t>
      </w:r>
      <w:r w:rsidR="00152DAC" w:rsidRPr="00687A1C">
        <w:t>s</w:t>
      </w:r>
      <w:r w:rsidR="001F0321" w:rsidRPr="00687A1C">
        <w:t xml:space="preserve"> commencing 1 January 2019</w:t>
      </w:r>
      <w:r w:rsidR="00BF6B83" w:rsidRPr="00687A1C">
        <w:t>.</w:t>
      </w:r>
      <w:r w:rsidR="001F0321" w:rsidRPr="00687A1C">
        <w:t xml:space="preserve"> </w:t>
      </w:r>
      <w:r w:rsidR="00174AEA" w:rsidRPr="00687A1C">
        <w:t xml:space="preserve">The key changes introduced by AASB 16 include the recognition of most operating leases (which are currently not recognised) on balance sheet. </w:t>
      </w:r>
      <w:r w:rsidR="00BF6B83" w:rsidRPr="00687A1C">
        <w:t>The assessment has indicated that the changes from AASB16 will have a material impact as follows:</w:t>
      </w:r>
    </w:p>
    <w:p w:rsidR="00BF6B83" w:rsidRPr="00687A1C" w:rsidRDefault="00BF6B83" w:rsidP="00BF6B83">
      <w:pPr>
        <w:pStyle w:val="Normalhanging"/>
      </w:pPr>
      <w:r w:rsidRPr="00687A1C">
        <w:t>(a)</w:t>
      </w:r>
      <w:r w:rsidRPr="00687A1C">
        <w:tab/>
      </w:r>
      <w:r w:rsidR="001F0321" w:rsidRPr="00687A1C">
        <w:t>right</w:t>
      </w:r>
      <w:r w:rsidR="00861466" w:rsidRPr="00687A1C">
        <w:t>-of-</w:t>
      </w:r>
      <w:r w:rsidRPr="00687A1C">
        <w:t>use assets will be recorded for assets that are leased by the Department;</w:t>
      </w:r>
    </w:p>
    <w:p w:rsidR="00BF6B83" w:rsidRPr="00687A1C" w:rsidRDefault="00BF6B83" w:rsidP="00BF6B83">
      <w:pPr>
        <w:pStyle w:val="Normalhanging"/>
      </w:pPr>
      <w:r w:rsidRPr="00687A1C">
        <w:t>(b)</w:t>
      </w:r>
      <w:r w:rsidRPr="00687A1C">
        <w:tab/>
      </w:r>
      <w:r w:rsidR="001F0321" w:rsidRPr="00687A1C">
        <w:t xml:space="preserve">liabilities </w:t>
      </w:r>
      <w:r w:rsidRPr="00687A1C">
        <w:t>will be recorded for future lease payments in the Department’s balance sheet;</w:t>
      </w:r>
      <w:r w:rsidRPr="00687A1C">
        <w:rPr>
          <w:rFonts w:ascii="Calibri" w:hAnsi="Calibri" w:cs="Courier New"/>
        </w:rPr>
        <w:t> </w:t>
      </w:r>
      <w:r w:rsidRPr="00687A1C">
        <w:t>and</w:t>
      </w:r>
    </w:p>
    <w:p w:rsidR="00BF6B83" w:rsidRPr="00687A1C" w:rsidRDefault="00BF6B83" w:rsidP="00BF6B83">
      <w:pPr>
        <w:pStyle w:val="Normalhanging"/>
      </w:pPr>
      <w:r w:rsidRPr="00687A1C">
        <w:t>(c)</w:t>
      </w:r>
      <w:r w:rsidRPr="00687A1C">
        <w:tab/>
      </w:r>
      <w:r w:rsidR="001F0321" w:rsidRPr="00687A1C">
        <w:t xml:space="preserve">the </w:t>
      </w:r>
      <w:r w:rsidRPr="00687A1C">
        <w:t>operating statement will include depreciation and interest on lease liabilities.</w:t>
      </w:r>
    </w:p>
    <w:p w:rsidR="00BF6B83" w:rsidRPr="00687A1C" w:rsidRDefault="00BF6B83" w:rsidP="00BF6B83">
      <w:r w:rsidRPr="00687A1C">
        <w:t xml:space="preserve">AASB 1058 </w:t>
      </w:r>
      <w:r w:rsidRPr="00687A1C">
        <w:rPr>
          <w:i/>
        </w:rPr>
        <w:t>Income of Not-for-Profit Entities</w:t>
      </w:r>
      <w:r w:rsidRPr="00687A1C">
        <w:t xml:space="preserve"> </w:t>
      </w:r>
      <w:r w:rsidR="00BC6C33" w:rsidRPr="00687A1C">
        <w:t xml:space="preserve">is </w:t>
      </w:r>
      <w:r w:rsidRPr="00687A1C">
        <w:t>applicable for reporting periods commencing 1</w:t>
      </w:r>
      <w:r w:rsidRPr="00687A1C">
        <w:rPr>
          <w:rFonts w:ascii="Calibri" w:hAnsi="Calibri" w:cs="Courier New"/>
        </w:rPr>
        <w:t> </w:t>
      </w:r>
      <w:r w:rsidRPr="00687A1C">
        <w:t xml:space="preserve">January 2019. AASB 1058 standard will replace the majority of income recognition in relation to government grants and other types of contributions requirements relating to public sector not-for-profit entities, previously in AASB 1004 </w:t>
      </w:r>
      <w:r w:rsidRPr="00687A1C">
        <w:rPr>
          <w:i/>
        </w:rPr>
        <w:t>Contributions</w:t>
      </w:r>
      <w:r w:rsidRPr="00687A1C">
        <w:t>. The restructure of administrative arrangement</w:t>
      </w:r>
      <w:r w:rsidR="00BC6C33" w:rsidRPr="00687A1C">
        <w:t>s</w:t>
      </w:r>
      <w:r w:rsidRPr="00687A1C">
        <w:t xml:space="preserve"> will remain under AASB 1004 and will be restricted to government entities and contributions by owners in a public sector context. AASB 1058 establishes principles for transactions that are not within the scope of AASB 15, where the consideration to acquire an asset is significantly less than fair value to enable not-for-profit entities to further their objective</w:t>
      </w:r>
      <w:r w:rsidR="00BC6C33" w:rsidRPr="00687A1C">
        <w:t>s</w:t>
      </w:r>
      <w:r w:rsidRPr="00687A1C">
        <w:t>. The Department has yet to fully assess the impact that AASB 1058 will have on the financial statements, when applied in future periods.</w:t>
      </w:r>
    </w:p>
    <w:p w:rsidR="00BF6B83" w:rsidRPr="00687A1C" w:rsidRDefault="00BF6B83" w:rsidP="00BF6B83">
      <w:r w:rsidRPr="00687A1C">
        <w:t>In addition to the new standards and amendments above, the AASB has issued a list of other amending standards that are not effective for the 2017-18 reporting period. At this stage, the preliminary assessment suggests they either have no or may have insignificant impacts on the Department.</w:t>
      </w:r>
    </w:p>
    <w:p w:rsidR="00BF6B83" w:rsidRPr="00687A1C" w:rsidRDefault="00BF6B83" w:rsidP="004B05F6">
      <w:pPr>
        <w:pStyle w:val="Bullet"/>
      </w:pPr>
      <w:r w:rsidRPr="00687A1C">
        <w:t xml:space="preserve">AASB 2017-5 </w:t>
      </w:r>
      <w:r w:rsidRPr="00687A1C">
        <w:rPr>
          <w:i/>
        </w:rPr>
        <w:t>Amendments to Australian Accounting Standards</w:t>
      </w:r>
      <w:r w:rsidRPr="00687A1C">
        <w:t xml:space="preserve"> </w:t>
      </w:r>
      <w:r w:rsidRPr="00687A1C">
        <w:rPr>
          <w:i/>
        </w:rPr>
        <w:t>– Effective Date of Amendments to AASB 10 and AASB 128 and Editorial Corrections</w:t>
      </w:r>
    </w:p>
    <w:p w:rsidR="00BF6B83" w:rsidRPr="00687A1C" w:rsidRDefault="00BF6B83" w:rsidP="004B05F6">
      <w:pPr>
        <w:pStyle w:val="Bullet"/>
      </w:pPr>
      <w:r w:rsidRPr="00687A1C">
        <w:t xml:space="preserve">AASB 2018-1 </w:t>
      </w:r>
      <w:r w:rsidRPr="00687A1C">
        <w:rPr>
          <w:i/>
        </w:rPr>
        <w:t>Amendments to Australian Accounting Standards</w:t>
      </w:r>
      <w:r w:rsidRPr="00687A1C">
        <w:t xml:space="preserve"> </w:t>
      </w:r>
      <w:r w:rsidRPr="00687A1C">
        <w:rPr>
          <w:i/>
        </w:rPr>
        <w:t>– Annual Improvements 2015 – 2017 Cycle</w:t>
      </w:r>
    </w:p>
    <w:p w:rsidR="00BF6B83" w:rsidRPr="00687A1C" w:rsidRDefault="00BF6B83" w:rsidP="004B05F6">
      <w:pPr>
        <w:pStyle w:val="Bullet"/>
      </w:pPr>
      <w:r w:rsidRPr="00687A1C">
        <w:t xml:space="preserve">AASB 2018-2 </w:t>
      </w:r>
      <w:r w:rsidRPr="00687A1C">
        <w:rPr>
          <w:i/>
        </w:rPr>
        <w:t>Amendments to Australian Accounting Standards</w:t>
      </w:r>
      <w:r w:rsidRPr="00687A1C">
        <w:rPr>
          <w:rFonts w:ascii="Calibri" w:hAnsi="Calibri"/>
        </w:rPr>
        <w:t xml:space="preserve"> </w:t>
      </w:r>
      <w:r w:rsidRPr="00687A1C">
        <w:rPr>
          <w:i/>
        </w:rPr>
        <w:t>– Plan Amendments, Curtailment or Settlement</w:t>
      </w:r>
    </w:p>
    <w:p w:rsidR="00174AEA" w:rsidRPr="00687A1C" w:rsidRDefault="00174AEA" w:rsidP="00174AEA">
      <w:pPr>
        <w:pStyle w:val="Heading2numbered"/>
      </w:pPr>
      <w:r w:rsidRPr="00687A1C">
        <w:br w:type="column"/>
      </w:r>
      <w:bookmarkStart w:id="160" w:name="_Toc495304314"/>
      <w:bookmarkStart w:id="161" w:name="_Toc525026222"/>
      <w:bookmarkStart w:id="162" w:name="_Toc525026255"/>
      <w:r w:rsidRPr="00687A1C">
        <w:t xml:space="preserve">Glossary of </w:t>
      </w:r>
      <w:r w:rsidR="00BC6C33" w:rsidRPr="00687A1C">
        <w:t xml:space="preserve">technical </w:t>
      </w:r>
      <w:r w:rsidRPr="00687A1C">
        <w:t>terms</w:t>
      </w:r>
      <w:bookmarkEnd w:id="160"/>
      <w:bookmarkEnd w:id="161"/>
      <w:bookmarkEnd w:id="162"/>
    </w:p>
    <w:p w:rsidR="00174AEA" w:rsidRPr="00687A1C" w:rsidRDefault="00174AEA" w:rsidP="00174AEA">
      <w:pPr>
        <w:pStyle w:val="Heading5"/>
      </w:pPr>
      <w:r w:rsidRPr="00687A1C">
        <w:t>Actuarial gains or losses on superannuation defined benefit plans</w:t>
      </w:r>
    </w:p>
    <w:p w:rsidR="00174AEA" w:rsidRPr="00687A1C" w:rsidRDefault="00174AEA" w:rsidP="00174AEA">
      <w:r w:rsidRPr="00687A1C">
        <w:t>Actuarial gains or losses reflect movements in the superannuation liability resulting from differences between the assumptions used to calculate the superannuation expense from transactions and actual experience.</w:t>
      </w:r>
    </w:p>
    <w:p w:rsidR="00174AEA" w:rsidRPr="00687A1C" w:rsidRDefault="00174AEA" w:rsidP="00BC6C33">
      <w:pPr>
        <w:pStyle w:val="Heading5"/>
      </w:pPr>
      <w:r w:rsidRPr="00687A1C">
        <w:t>Administered item</w:t>
      </w:r>
    </w:p>
    <w:p w:rsidR="00174AEA" w:rsidRPr="00687A1C" w:rsidRDefault="00174AEA" w:rsidP="00174AEA">
      <w:r w:rsidRPr="00687A1C">
        <w:t>Administered item generally refers to a department lacking the capacity to benefit from that item in the pursuit of the department’s objectives and to deny or regulate the access of others to that benefit.</w:t>
      </w:r>
    </w:p>
    <w:p w:rsidR="00BC6C33" w:rsidRPr="00687A1C" w:rsidRDefault="00BC6C33" w:rsidP="00BC6C33">
      <w:pPr>
        <w:pStyle w:val="Heading5"/>
      </w:pPr>
      <w:r w:rsidRPr="00687A1C">
        <w:t>Amortisation</w:t>
      </w:r>
    </w:p>
    <w:p w:rsidR="00BC6C33" w:rsidRPr="00687A1C" w:rsidRDefault="00BC6C33" w:rsidP="00BC6C33">
      <w:r w:rsidRPr="00687A1C">
        <w:t>Amortisation is the expense that arises from the consumption or use over time of a produced intangible asset. This expense is classified as a transaction.</w:t>
      </w:r>
    </w:p>
    <w:p w:rsidR="00174AEA" w:rsidRPr="00687A1C" w:rsidRDefault="00174AEA" w:rsidP="00174AEA">
      <w:pPr>
        <w:pStyle w:val="Heading5"/>
      </w:pPr>
      <w:r w:rsidRPr="00687A1C">
        <w:t>Annualised employee equivalent</w:t>
      </w:r>
    </w:p>
    <w:p w:rsidR="00174AEA" w:rsidRPr="00687A1C" w:rsidRDefault="00174AEA" w:rsidP="00174AEA">
      <w:r w:rsidRPr="00687A1C">
        <w:t>Annualised employee equivalent is based on paid working hours of 38 ordinary hours per week over 52 weeks for a reporting period.</w:t>
      </w:r>
    </w:p>
    <w:p w:rsidR="00174AEA" w:rsidRPr="00687A1C" w:rsidRDefault="00174AEA" w:rsidP="00174AEA">
      <w:pPr>
        <w:pStyle w:val="Heading5"/>
      </w:pPr>
      <w:r w:rsidRPr="00687A1C">
        <w:t>Borrowings</w:t>
      </w:r>
    </w:p>
    <w:p w:rsidR="00174AEA" w:rsidRPr="00687A1C" w:rsidRDefault="00174AEA" w:rsidP="00174AEA">
      <w:r w:rsidRPr="00687A1C">
        <w:t>Borrowings include interest-bearing liabilities mainly from public borrowings raised through the Treasury Corporation of Victoria</w:t>
      </w:r>
      <w:r w:rsidR="004A03A3" w:rsidRPr="00687A1C">
        <w:t>,</w:t>
      </w:r>
      <w:r w:rsidRPr="00687A1C">
        <w:t xml:space="preserve"> finance leases and other interest-bearing arrangements. Borrowings also include non-interest-bearing advances from government that are incurred for policy purposes.</w:t>
      </w:r>
    </w:p>
    <w:p w:rsidR="00174AEA" w:rsidRPr="00687A1C" w:rsidRDefault="00174AEA" w:rsidP="00174AEA">
      <w:pPr>
        <w:pStyle w:val="Heading5"/>
      </w:pPr>
      <w:r w:rsidRPr="00687A1C">
        <w:t>Comprehensive result</w:t>
      </w:r>
    </w:p>
    <w:p w:rsidR="00174AEA" w:rsidRPr="00687A1C" w:rsidRDefault="00174AEA" w:rsidP="00174AEA">
      <w:r w:rsidRPr="00687A1C">
        <w:t>The net result of all items of income and expense recognised for the period. It is the aggregate of operating result and other comprehensive income.</w:t>
      </w:r>
    </w:p>
    <w:p w:rsidR="00174AEA" w:rsidRPr="00687A1C" w:rsidRDefault="00174AEA" w:rsidP="00174AEA">
      <w:pPr>
        <w:pStyle w:val="Heading5"/>
      </w:pPr>
      <w:r w:rsidRPr="00687A1C">
        <w:t>Controlled item</w:t>
      </w:r>
    </w:p>
    <w:p w:rsidR="00174AEA" w:rsidRPr="00687A1C" w:rsidRDefault="00174AEA" w:rsidP="00174AEA">
      <w:r w:rsidRPr="00687A1C">
        <w:t>Controlled item generally refers to the capacity of a department to benefit from that item in the pursuit of the department’s objectives and to deny or regulate the access of others to that benefit.</w:t>
      </w:r>
    </w:p>
    <w:p w:rsidR="00174AEA" w:rsidRPr="00687A1C" w:rsidRDefault="00174AEA" w:rsidP="00174AEA">
      <w:pPr>
        <w:pStyle w:val="Heading5"/>
      </w:pPr>
      <w:r w:rsidRPr="00687A1C">
        <w:t>Capital asset charge</w:t>
      </w:r>
    </w:p>
    <w:p w:rsidR="00174AEA" w:rsidRPr="00687A1C" w:rsidRDefault="00174AEA" w:rsidP="00174AEA">
      <w:r w:rsidRPr="00687A1C">
        <w:t>A charge levied on the written</w:t>
      </w:r>
      <w:r w:rsidRPr="00687A1C">
        <w:noBreakHyphen/>
        <w:t>down value of controlled non</w:t>
      </w:r>
      <w:r w:rsidRPr="00687A1C">
        <w:noBreakHyphen/>
        <w:t>current physical assets in a department’s balance sheet which aims to: attribute to agency outputs the opportunity cost of capital used in service delivery; and provide incentives to departments to identify and dispose of underutilised or surplus assets in a timely manner. The capital asset charge is calculated on the budgeted carrying amount of applicable non</w:t>
      </w:r>
      <w:r w:rsidRPr="00687A1C">
        <w:noBreakHyphen/>
        <w:t>financial physical assets.</w:t>
      </w:r>
    </w:p>
    <w:p w:rsidR="00174AEA" w:rsidRPr="00687A1C" w:rsidRDefault="00E327A5" w:rsidP="00174AEA">
      <w:pPr>
        <w:pStyle w:val="Heading5"/>
      </w:pPr>
      <w:r>
        <w:br w:type="column"/>
      </w:r>
      <w:r w:rsidR="00174AEA" w:rsidRPr="00687A1C">
        <w:lastRenderedPageBreak/>
        <w:t>Commitments</w:t>
      </w:r>
    </w:p>
    <w:p w:rsidR="00174AEA" w:rsidRPr="00687A1C" w:rsidRDefault="00174AEA" w:rsidP="00174AEA">
      <w:r w:rsidRPr="00687A1C">
        <w:t>Commitments include those operating</w:t>
      </w:r>
      <w:r w:rsidR="004A03A3" w:rsidRPr="00687A1C">
        <w:t>,</w:t>
      </w:r>
      <w:r w:rsidRPr="00687A1C">
        <w:t xml:space="preserve"> capital and other outsourcing commitments arising from non-cancellable contractual or statutory sources.</w:t>
      </w:r>
    </w:p>
    <w:p w:rsidR="00174AEA" w:rsidRPr="00687A1C" w:rsidRDefault="00174AEA" w:rsidP="00174AEA">
      <w:pPr>
        <w:pStyle w:val="Heading5"/>
      </w:pPr>
      <w:r w:rsidRPr="00687A1C">
        <w:t>Depreciation</w:t>
      </w:r>
    </w:p>
    <w:p w:rsidR="00174AEA" w:rsidRPr="00687A1C" w:rsidRDefault="00174AEA" w:rsidP="00174AEA">
      <w:r w:rsidRPr="00687A1C">
        <w:t>Depreciation is an expense that arises from the consumption through wear or time of a produced physical asset. This expense is classified as a transaction and so reduces the net result from transactions.</w:t>
      </w:r>
    </w:p>
    <w:p w:rsidR="00174AEA" w:rsidRPr="00687A1C" w:rsidRDefault="00174AEA" w:rsidP="00174AEA">
      <w:pPr>
        <w:pStyle w:val="Heading5"/>
      </w:pPr>
      <w:r w:rsidRPr="00687A1C">
        <w:t>Employee expenses</w:t>
      </w:r>
    </w:p>
    <w:p w:rsidR="00174AEA" w:rsidRPr="00687A1C" w:rsidRDefault="00174AEA" w:rsidP="00174AEA">
      <w:r w:rsidRPr="00687A1C">
        <w:t>Employee expenses include all costs related to employment including wages and salaries</w:t>
      </w:r>
      <w:r w:rsidR="00D86A11" w:rsidRPr="00687A1C">
        <w:t>,</w:t>
      </w:r>
      <w:r w:rsidRPr="00687A1C">
        <w:t xml:space="preserve"> fringe benefits tax</w:t>
      </w:r>
      <w:r w:rsidR="00D86A11" w:rsidRPr="00687A1C">
        <w:t>,</w:t>
      </w:r>
      <w:r w:rsidRPr="00687A1C">
        <w:t xml:space="preserve"> leave entitlements</w:t>
      </w:r>
      <w:r w:rsidR="00D86A11" w:rsidRPr="00687A1C">
        <w:t>,</w:t>
      </w:r>
      <w:r w:rsidRPr="00687A1C">
        <w:t xml:space="preserve"> redundancy payments and superannuation contributions.</w:t>
      </w:r>
    </w:p>
    <w:p w:rsidR="00174AEA" w:rsidRPr="00687A1C" w:rsidRDefault="00174AEA" w:rsidP="00174AEA">
      <w:pPr>
        <w:pStyle w:val="Heading5"/>
      </w:pPr>
      <w:r w:rsidRPr="00687A1C">
        <w:t>Ex gratia expenses</w:t>
      </w:r>
    </w:p>
    <w:p w:rsidR="00174AEA" w:rsidRPr="00687A1C" w:rsidRDefault="00174AEA" w:rsidP="00174AEA">
      <w:r w:rsidRPr="00687A1C">
        <w:t>The voluntary payment of money or other non-monetary benefit (e.g. a write off) that is not made either to acquire goods</w:t>
      </w:r>
      <w:r w:rsidR="00D86A11" w:rsidRPr="00687A1C">
        <w:t>,</w:t>
      </w:r>
      <w:r w:rsidRPr="00687A1C">
        <w:t xml:space="preserve"> services or other benefits for the entity or to meet a legal liability</w:t>
      </w:r>
      <w:r w:rsidR="00D86A11" w:rsidRPr="00687A1C">
        <w:t>,</w:t>
      </w:r>
      <w:r w:rsidRPr="00687A1C">
        <w:t xml:space="preserve"> or to settle or resolve a possible legal liability or claim against the entity.</w:t>
      </w:r>
    </w:p>
    <w:p w:rsidR="00174AEA" w:rsidRPr="00687A1C" w:rsidRDefault="00174AEA" w:rsidP="00174AEA">
      <w:pPr>
        <w:pStyle w:val="Heading5"/>
      </w:pPr>
      <w:r w:rsidRPr="00687A1C">
        <w:t>Financial asset</w:t>
      </w:r>
    </w:p>
    <w:p w:rsidR="00174AEA" w:rsidRPr="00687A1C" w:rsidRDefault="00174AEA" w:rsidP="00174AEA">
      <w:r w:rsidRPr="00687A1C">
        <w:t>A financial asset is any asset that is:</w:t>
      </w:r>
    </w:p>
    <w:p w:rsidR="00174AEA" w:rsidRPr="00687A1C" w:rsidRDefault="00174AEA" w:rsidP="00174AEA">
      <w:pPr>
        <w:pStyle w:val="Normalhanging"/>
      </w:pPr>
      <w:r w:rsidRPr="00687A1C">
        <w:t>(a)</w:t>
      </w:r>
      <w:r w:rsidRPr="00687A1C">
        <w:tab/>
        <w:t>cash;</w:t>
      </w:r>
    </w:p>
    <w:p w:rsidR="00174AEA" w:rsidRPr="00687A1C" w:rsidRDefault="00174AEA" w:rsidP="00174AEA">
      <w:pPr>
        <w:pStyle w:val="Normalhanging"/>
      </w:pPr>
      <w:r w:rsidRPr="00687A1C">
        <w:t>(b)</w:t>
      </w:r>
      <w:r w:rsidRPr="00687A1C">
        <w:tab/>
        <w:t>an equity instrument of another entity;</w:t>
      </w:r>
    </w:p>
    <w:p w:rsidR="00174AEA" w:rsidRPr="00687A1C" w:rsidRDefault="00174AEA" w:rsidP="00174AEA">
      <w:pPr>
        <w:pStyle w:val="Normalhanging"/>
      </w:pPr>
      <w:r w:rsidRPr="00687A1C">
        <w:t>(c)</w:t>
      </w:r>
      <w:r w:rsidRPr="00687A1C">
        <w:tab/>
        <w:t>a contractual right:</w:t>
      </w:r>
    </w:p>
    <w:p w:rsidR="00174AEA" w:rsidRPr="00687A1C" w:rsidRDefault="00174AEA" w:rsidP="00174AEA">
      <w:pPr>
        <w:pStyle w:val="Dash"/>
      </w:pPr>
      <w:r w:rsidRPr="00687A1C">
        <w:t>to receive cash or another financial asset from another entity; or</w:t>
      </w:r>
    </w:p>
    <w:p w:rsidR="00174AEA" w:rsidRPr="00687A1C" w:rsidRDefault="00174AEA" w:rsidP="00174AEA">
      <w:pPr>
        <w:pStyle w:val="Dash"/>
      </w:pPr>
      <w:r w:rsidRPr="00687A1C">
        <w:t>to exchange financial assets or financial liabilities with another entity under conditions that are potentially favourable to the entity; or</w:t>
      </w:r>
    </w:p>
    <w:p w:rsidR="00174AEA" w:rsidRPr="00687A1C" w:rsidRDefault="00174AEA" w:rsidP="00174AEA">
      <w:pPr>
        <w:pStyle w:val="Normalhanging"/>
      </w:pPr>
      <w:r w:rsidRPr="00687A1C">
        <w:t>(d)</w:t>
      </w:r>
      <w:r w:rsidRPr="00687A1C">
        <w:tab/>
        <w:t>a contract that will or may be settled in the entity’s own equity instruments and is:</w:t>
      </w:r>
    </w:p>
    <w:p w:rsidR="00174AEA" w:rsidRPr="00687A1C" w:rsidRDefault="00174AEA" w:rsidP="00174AEA">
      <w:pPr>
        <w:pStyle w:val="Dash"/>
      </w:pPr>
      <w:r w:rsidRPr="00687A1C">
        <w:t>a non-derivative for which the entity is or may be obliged to receive a variable number of the entity’s own equity instruments; or</w:t>
      </w:r>
    </w:p>
    <w:p w:rsidR="00174AEA" w:rsidRPr="00687A1C" w:rsidRDefault="00174AEA" w:rsidP="00174AEA">
      <w:pPr>
        <w:pStyle w:val="Dash"/>
      </w:pPr>
      <w:r w:rsidRPr="00687A1C">
        <w:t>a derivative that will or may be settled other than by the exchange of a fixed amount of cash or another financial asset for a fixed number of the entity’s own equity instruments.</w:t>
      </w:r>
    </w:p>
    <w:p w:rsidR="00174AEA" w:rsidRPr="00687A1C" w:rsidRDefault="00174AEA" w:rsidP="00174AEA">
      <w:pPr>
        <w:pStyle w:val="Heading5"/>
      </w:pPr>
      <w:r w:rsidRPr="00687A1C">
        <w:t>Financial instrument</w:t>
      </w:r>
    </w:p>
    <w:p w:rsidR="00174AEA" w:rsidRPr="00687A1C" w:rsidRDefault="00174AEA" w:rsidP="00174AEA">
      <w:r w:rsidRPr="00687A1C">
        <w:t>A financial instrument is any contract that gives rise to a financial asset of one entity and a financial liability or equity instrument of another entity. Financial assets or liabilities that are not contractual (such as statutory receivables or payables that arise as a result of statutory requirements imposed by governments) are not financial instruments.</w:t>
      </w:r>
    </w:p>
    <w:p w:rsidR="00174AEA" w:rsidRPr="00687A1C" w:rsidRDefault="00174AEA" w:rsidP="00174AEA">
      <w:pPr>
        <w:pStyle w:val="Heading5"/>
      </w:pPr>
      <w:r w:rsidRPr="00687A1C">
        <w:br w:type="column"/>
      </w:r>
      <w:r w:rsidRPr="00687A1C">
        <w:t>Financial liability</w:t>
      </w:r>
    </w:p>
    <w:p w:rsidR="00174AEA" w:rsidRPr="00687A1C" w:rsidRDefault="00174AEA" w:rsidP="00174AEA">
      <w:r w:rsidRPr="00687A1C">
        <w:t>A financial liability is any liability that is:</w:t>
      </w:r>
    </w:p>
    <w:p w:rsidR="00174AEA" w:rsidRPr="00687A1C" w:rsidRDefault="00174AEA" w:rsidP="00174AEA">
      <w:pPr>
        <w:pStyle w:val="Normalhanging"/>
      </w:pPr>
      <w:r w:rsidRPr="00687A1C">
        <w:t>(a)</w:t>
      </w:r>
      <w:r w:rsidRPr="00687A1C">
        <w:tab/>
        <w:t>a contractual obligation:</w:t>
      </w:r>
    </w:p>
    <w:p w:rsidR="00174AEA" w:rsidRPr="00687A1C" w:rsidRDefault="00174AEA" w:rsidP="00174AEA">
      <w:pPr>
        <w:pStyle w:val="Dash"/>
      </w:pPr>
      <w:r w:rsidRPr="00687A1C">
        <w:t>to deliver cash or another financial asset to another entity; or</w:t>
      </w:r>
    </w:p>
    <w:p w:rsidR="00174AEA" w:rsidRPr="00687A1C" w:rsidRDefault="00174AEA" w:rsidP="00174AEA">
      <w:pPr>
        <w:pStyle w:val="Dash"/>
      </w:pPr>
      <w:r w:rsidRPr="00687A1C">
        <w:t>to exchange financial assets or financial liabilities with another entity under conditions that are potentially unfavourable to the entity; or</w:t>
      </w:r>
    </w:p>
    <w:p w:rsidR="00174AEA" w:rsidRPr="00687A1C" w:rsidRDefault="00174AEA" w:rsidP="00174AEA">
      <w:pPr>
        <w:pStyle w:val="Normalhanging"/>
      </w:pPr>
      <w:r w:rsidRPr="00687A1C">
        <w:t>(b)</w:t>
      </w:r>
      <w:r w:rsidRPr="00687A1C">
        <w:tab/>
        <w:t>a contract that will or may be settled in the entity’s own equity instruments and is:</w:t>
      </w:r>
    </w:p>
    <w:p w:rsidR="00174AEA" w:rsidRPr="00687A1C" w:rsidRDefault="00174AEA" w:rsidP="00174AEA">
      <w:pPr>
        <w:pStyle w:val="Dash"/>
      </w:pPr>
      <w:r w:rsidRPr="00687A1C">
        <w:t>a non-derivative for which the entity is or may be obliged to deliver a variable number of the entity’s own equity instruments; or</w:t>
      </w:r>
    </w:p>
    <w:p w:rsidR="00174AEA" w:rsidRPr="00687A1C" w:rsidRDefault="00174AEA" w:rsidP="00174AEA">
      <w:pPr>
        <w:pStyle w:val="Dash"/>
      </w:pPr>
      <w:r w:rsidRPr="00687A1C">
        <w:t>a derivative that will or may be settled other than by the exchange of a fixed amount of cash or another financial asset for a fixed number of the entity’s own equity instruments. For this purpose the entity’s own equity instruments do not include instruments that are themselves contracts for the future receipt or delivery of the entity’s own equity instruments.</w:t>
      </w:r>
    </w:p>
    <w:p w:rsidR="00174AEA" w:rsidRPr="00687A1C" w:rsidRDefault="00174AEA" w:rsidP="00174AEA">
      <w:pPr>
        <w:pStyle w:val="Heading5"/>
      </w:pPr>
      <w:r w:rsidRPr="00687A1C">
        <w:t>Financial statements</w:t>
      </w:r>
    </w:p>
    <w:p w:rsidR="00174AEA" w:rsidRPr="00687A1C" w:rsidRDefault="00174AEA" w:rsidP="00174AEA">
      <w:r w:rsidRPr="00687A1C">
        <w:t>A complete set of financial statements comprises:</w:t>
      </w:r>
    </w:p>
    <w:p w:rsidR="00174AEA" w:rsidRPr="00687A1C" w:rsidRDefault="00174AEA" w:rsidP="00174AEA">
      <w:pPr>
        <w:pStyle w:val="Normalhanging"/>
      </w:pPr>
      <w:r w:rsidRPr="00687A1C">
        <w:t>(a)</w:t>
      </w:r>
      <w:r w:rsidRPr="00687A1C">
        <w:tab/>
        <w:t>a comprehensive operating statement for the period;</w:t>
      </w:r>
    </w:p>
    <w:p w:rsidR="00174AEA" w:rsidRPr="00687A1C" w:rsidRDefault="00174AEA" w:rsidP="00174AEA">
      <w:pPr>
        <w:pStyle w:val="Normalhanging"/>
      </w:pPr>
      <w:r w:rsidRPr="00687A1C">
        <w:t>(b)</w:t>
      </w:r>
      <w:r w:rsidRPr="00687A1C">
        <w:tab/>
        <w:t>a balance sheet as at the end of the period;</w:t>
      </w:r>
    </w:p>
    <w:p w:rsidR="00174AEA" w:rsidRPr="00687A1C" w:rsidRDefault="00174AEA" w:rsidP="00174AEA">
      <w:pPr>
        <w:pStyle w:val="Normalhanging"/>
      </w:pPr>
      <w:r w:rsidRPr="00687A1C">
        <w:t>(c)</w:t>
      </w:r>
      <w:r w:rsidRPr="00687A1C">
        <w:tab/>
        <w:t>a statement of changes in equity for the period;</w:t>
      </w:r>
    </w:p>
    <w:p w:rsidR="00174AEA" w:rsidRPr="00687A1C" w:rsidRDefault="00174AEA" w:rsidP="00174AEA">
      <w:pPr>
        <w:pStyle w:val="Normalhanging"/>
      </w:pPr>
      <w:r w:rsidRPr="00687A1C">
        <w:t>(d)</w:t>
      </w:r>
      <w:r w:rsidRPr="00687A1C">
        <w:tab/>
        <w:t>a cash flow statement for the period;</w:t>
      </w:r>
    </w:p>
    <w:p w:rsidR="00174AEA" w:rsidRPr="00687A1C" w:rsidRDefault="00174AEA" w:rsidP="00174AEA">
      <w:pPr>
        <w:pStyle w:val="Normalhanging"/>
      </w:pPr>
      <w:r w:rsidRPr="00687A1C">
        <w:t>(e)</w:t>
      </w:r>
      <w:r w:rsidRPr="00687A1C">
        <w:tab/>
        <w:t>notes</w:t>
      </w:r>
      <w:r w:rsidR="004A03A3" w:rsidRPr="00687A1C">
        <w:t>,</w:t>
      </w:r>
      <w:r w:rsidRPr="00687A1C">
        <w:t xml:space="preserve"> comprising a summary of significant accounting policies and other explanatory information;</w:t>
      </w:r>
    </w:p>
    <w:p w:rsidR="00174AEA" w:rsidRPr="00687A1C" w:rsidRDefault="00174AEA" w:rsidP="00174AEA">
      <w:pPr>
        <w:pStyle w:val="Normalhanging"/>
      </w:pPr>
      <w:r w:rsidRPr="00687A1C">
        <w:t>(f)</w:t>
      </w:r>
      <w:r w:rsidRPr="00687A1C">
        <w:tab/>
        <w:t xml:space="preserve">comparative information in respect of the preceding period as specified in paragraph 38 of AASB 101 </w:t>
      </w:r>
      <w:r w:rsidRPr="00687A1C">
        <w:rPr>
          <w:i/>
        </w:rPr>
        <w:t>Presentation of Financial Statements</w:t>
      </w:r>
      <w:r w:rsidRPr="00687A1C">
        <w:t>; and</w:t>
      </w:r>
    </w:p>
    <w:p w:rsidR="00174AEA" w:rsidRPr="00687A1C" w:rsidRDefault="00174AEA" w:rsidP="00174AEA">
      <w:pPr>
        <w:pStyle w:val="Normalhanging"/>
      </w:pPr>
      <w:r w:rsidRPr="00687A1C">
        <w:t>(g)</w:t>
      </w:r>
      <w:r w:rsidRPr="00687A1C">
        <w:tab/>
        <w:t>a balance sheet as at the beginning of the preceding period when an entity applies an accounting policy retrospectively or makes a retrospective restatement of items in its financial statements</w:t>
      </w:r>
      <w:r w:rsidR="004A03A3" w:rsidRPr="00687A1C">
        <w:t>,</w:t>
      </w:r>
      <w:r w:rsidRPr="00687A1C">
        <w:t xml:space="preserve"> or when it reclassifies items in its financial statements in accordance with paragraph 41 of AASB 101.</w:t>
      </w:r>
    </w:p>
    <w:p w:rsidR="00174AEA" w:rsidRPr="00687A1C" w:rsidRDefault="00174AEA" w:rsidP="00174AEA">
      <w:pPr>
        <w:pStyle w:val="Heading5"/>
      </w:pPr>
      <w:r w:rsidRPr="00687A1C">
        <w:br w:type="column"/>
      </w:r>
      <w:r w:rsidRPr="00687A1C">
        <w:lastRenderedPageBreak/>
        <w:t>Grants expense</w:t>
      </w:r>
    </w:p>
    <w:p w:rsidR="00174AEA" w:rsidRPr="00687A1C" w:rsidRDefault="00174AEA" w:rsidP="00174AEA">
      <w:r w:rsidRPr="00687A1C">
        <w:t>Transactions in which one unit provides goods, services, assets (or extinguishes a liability) or labour to another unit without receiving approximately equal value in return. Grants can either be operating or capital in nature. While grants to governments may result in the provision of some goods or services to the transferor, they do not give the transferor a claim to receive directly benefits of approximately equal value. Receipt and sacrifice of approximately equal value may occur, but only by coincidence. For example, governments are not obliged to provide commensurate benefits, in the form of goods or services, to particular taxpayers in return for their taxes. For this reason, grants are referred to by the AASB as involuntary transfers and are termed non-reciprocal transfers.</w:t>
      </w:r>
    </w:p>
    <w:p w:rsidR="00174AEA" w:rsidRPr="00687A1C" w:rsidRDefault="00174AEA" w:rsidP="00174AEA">
      <w:r w:rsidRPr="00687A1C">
        <w:t>Grants can be paid as general purpose grants which refer to grants that are not subject to conditions regarding their use. Alternatively, they may be paid as specific purpose grants which are paid for a particular purpose and/or have conditions attached regarding their use.</w:t>
      </w:r>
    </w:p>
    <w:p w:rsidR="00174AEA" w:rsidRPr="00687A1C" w:rsidRDefault="00174AEA" w:rsidP="00174AEA">
      <w:pPr>
        <w:pStyle w:val="Heading5"/>
      </w:pPr>
      <w:r w:rsidRPr="00687A1C">
        <w:t>Grants for on-passing</w:t>
      </w:r>
    </w:p>
    <w:p w:rsidR="00174AEA" w:rsidRPr="00687A1C" w:rsidRDefault="00174AEA" w:rsidP="00174AEA">
      <w:r w:rsidRPr="00687A1C">
        <w:t>All grants paid to one institutional sector (e.g. a state general government) to be passed on to another institutional sector (e.g. local government or a private non-profit institution).</w:t>
      </w:r>
    </w:p>
    <w:p w:rsidR="00174AEA" w:rsidRPr="00687A1C" w:rsidRDefault="00174AEA" w:rsidP="00174AEA">
      <w:pPr>
        <w:pStyle w:val="Heading5"/>
      </w:pPr>
      <w:r w:rsidRPr="00687A1C">
        <w:t>Intangible assets</w:t>
      </w:r>
    </w:p>
    <w:p w:rsidR="00174AEA" w:rsidRPr="00687A1C" w:rsidRDefault="00174AEA" w:rsidP="00174AEA">
      <w:r w:rsidRPr="00687A1C">
        <w:t>Intangible assets represent identifiable non-monetary assets without physical substance.</w:t>
      </w:r>
    </w:p>
    <w:p w:rsidR="00174AEA" w:rsidRPr="00687A1C" w:rsidRDefault="00174AEA" w:rsidP="00174AEA">
      <w:pPr>
        <w:pStyle w:val="Heading5"/>
      </w:pPr>
      <w:r w:rsidRPr="00687A1C">
        <w:t>Interest expense</w:t>
      </w:r>
    </w:p>
    <w:p w:rsidR="00174AEA" w:rsidRPr="00687A1C" w:rsidRDefault="00174AEA" w:rsidP="00174AEA">
      <w:r w:rsidRPr="00687A1C">
        <w:t>Costs incurred in connection with the borrowing of funds. Interest expense includes interest on bank overdrafts and short</w:t>
      </w:r>
      <w:r w:rsidR="00D86A11" w:rsidRPr="00687A1C">
        <w:t>-</w:t>
      </w:r>
      <w:r w:rsidRPr="00687A1C">
        <w:t>term and long</w:t>
      </w:r>
      <w:r w:rsidR="00D86A11" w:rsidRPr="00687A1C">
        <w:t>-</w:t>
      </w:r>
      <w:r w:rsidRPr="00687A1C">
        <w:t>term borrowings, amortisation of discounts or premiums relating to borrowings, interest component of finance leases, repayments and the increase in financial liabilities and non-employee provisions due to the unwinding of discounts to reflect the passage of time.</w:t>
      </w:r>
    </w:p>
    <w:p w:rsidR="00174AEA" w:rsidRPr="00687A1C" w:rsidRDefault="00174AEA" w:rsidP="00174AEA">
      <w:pPr>
        <w:pStyle w:val="Heading5"/>
      </w:pPr>
      <w:r w:rsidRPr="00687A1C">
        <w:t>Interest revenue</w:t>
      </w:r>
    </w:p>
    <w:p w:rsidR="00174AEA" w:rsidRPr="00687A1C" w:rsidRDefault="00174AEA" w:rsidP="00174AEA">
      <w:r w:rsidRPr="00687A1C">
        <w:t xml:space="preserve">Interest revenue includes interest received on bank term deposits, interest from investments, and other interest received. </w:t>
      </w:r>
    </w:p>
    <w:p w:rsidR="00174AEA" w:rsidRPr="00687A1C" w:rsidRDefault="00174AEA" w:rsidP="00174AEA">
      <w:pPr>
        <w:pStyle w:val="Heading5"/>
      </w:pPr>
      <w:r w:rsidRPr="00687A1C">
        <w:t>Investment properties</w:t>
      </w:r>
    </w:p>
    <w:p w:rsidR="00174AEA" w:rsidRPr="00687A1C" w:rsidRDefault="00174AEA" w:rsidP="00174AEA">
      <w:r w:rsidRPr="00687A1C">
        <w:t>Investment properties represent properties held to earn rentals or for capital appreciation or both. Investment properties exclude properties held to meet service delivery objectives of the State of Victoria.</w:t>
      </w:r>
    </w:p>
    <w:p w:rsidR="00174AEA" w:rsidRPr="00687A1C" w:rsidRDefault="00174AEA" w:rsidP="00174AEA">
      <w:pPr>
        <w:pStyle w:val="Heading5"/>
      </w:pPr>
      <w:r w:rsidRPr="00687A1C">
        <w:br w:type="column"/>
      </w:r>
      <w:r w:rsidRPr="00687A1C">
        <w:t>Net result</w:t>
      </w:r>
    </w:p>
    <w:p w:rsidR="00174AEA" w:rsidRPr="00687A1C" w:rsidRDefault="00174AEA" w:rsidP="00174AEA">
      <w:r w:rsidRPr="00687A1C">
        <w:t>Net result is a measure of financial performance of the operations for the period. It is the net result of items of income, gains and expenses (including losses) recognised for the period, excluding those that are classified as ‘other economic flows – other comprehensive income’.</w:t>
      </w:r>
    </w:p>
    <w:p w:rsidR="00174AEA" w:rsidRPr="00687A1C" w:rsidRDefault="00174AEA" w:rsidP="00174AEA">
      <w:pPr>
        <w:pStyle w:val="Heading5"/>
      </w:pPr>
      <w:r w:rsidRPr="00687A1C">
        <w:t>Net result from transactions/net operating balance</w:t>
      </w:r>
    </w:p>
    <w:p w:rsidR="00174AEA" w:rsidRPr="00687A1C" w:rsidRDefault="00174AEA" w:rsidP="00174AEA">
      <w:r w:rsidRPr="00687A1C">
        <w:t>Net result from transactions or net operating balance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rsidR="00174AEA" w:rsidRPr="00687A1C" w:rsidRDefault="00174AEA" w:rsidP="00174AEA">
      <w:pPr>
        <w:pStyle w:val="Heading5"/>
      </w:pPr>
      <w:r w:rsidRPr="00687A1C">
        <w:t>Non-financial assets</w:t>
      </w:r>
    </w:p>
    <w:p w:rsidR="00174AEA" w:rsidRPr="00687A1C" w:rsidRDefault="00174AEA" w:rsidP="00174AEA">
      <w:r w:rsidRPr="00687A1C">
        <w:t>Non-financial assets are all assets that are not ‘financial assets’.</w:t>
      </w:r>
    </w:p>
    <w:p w:rsidR="00174AEA" w:rsidRPr="00687A1C" w:rsidRDefault="00174AEA" w:rsidP="00174AEA">
      <w:pPr>
        <w:pStyle w:val="Heading5"/>
      </w:pPr>
      <w:r w:rsidRPr="00687A1C">
        <w:t>Other economic flows included in net result</w:t>
      </w:r>
    </w:p>
    <w:p w:rsidR="00174AEA" w:rsidRPr="00687A1C" w:rsidRDefault="00174AEA" w:rsidP="00174AEA">
      <w:r w:rsidRPr="00687A1C">
        <w:t>Other economic flows included in net result are changes in the volume or value of an asset or liability that do not result from transactions. They include gains and losses from disposal or derecognition or reclassification, re</w:t>
      </w:r>
      <w:r w:rsidR="00FC1175" w:rsidRPr="00687A1C">
        <w:t>valuation and impairment of non</w:t>
      </w:r>
      <w:r w:rsidR="00FC1175" w:rsidRPr="00687A1C">
        <w:noBreakHyphen/>
      </w:r>
      <w:r w:rsidRPr="00687A1C">
        <w:t>financial physical and intangible assets, and fair value changes of financial instruments. It also includes revaluation of the present value of leave liabilities due to changes in bond interest rates and from revaluation of restoration costs provisions.</w:t>
      </w:r>
    </w:p>
    <w:p w:rsidR="00174AEA" w:rsidRPr="00687A1C" w:rsidRDefault="00174AEA" w:rsidP="00174AEA">
      <w:pPr>
        <w:pStyle w:val="Heading5"/>
      </w:pPr>
      <w:r w:rsidRPr="00687A1C">
        <w:t>Other economic flows – other comprehensive income</w:t>
      </w:r>
    </w:p>
    <w:p w:rsidR="00174AEA" w:rsidRPr="00687A1C" w:rsidRDefault="00174AEA" w:rsidP="00174AEA">
      <w:r w:rsidRPr="00687A1C">
        <w:t>Other economic flows – other comprehensive income comprises items (including reclassification adjustments) that are not recognised in net result. The components of other economic flows – other comprehensive income include changes in physical asset revaluation surplus and changes arising from the remeasurement of defined benefit superannuation liabilities.</w:t>
      </w:r>
    </w:p>
    <w:p w:rsidR="00174AEA" w:rsidRPr="00687A1C" w:rsidRDefault="00174AEA" w:rsidP="00174AEA">
      <w:pPr>
        <w:pStyle w:val="Heading5"/>
      </w:pPr>
      <w:r w:rsidRPr="00687A1C">
        <w:t>Payables</w:t>
      </w:r>
    </w:p>
    <w:p w:rsidR="00174AEA" w:rsidRPr="00687A1C" w:rsidRDefault="00D86A11" w:rsidP="00174AEA">
      <w:r w:rsidRPr="00687A1C">
        <w:t>Includes short and long-</w:t>
      </w:r>
      <w:r w:rsidR="00174AEA" w:rsidRPr="00687A1C">
        <w:t>term trade debt and accounts payable, grants and interest payable.</w:t>
      </w:r>
    </w:p>
    <w:p w:rsidR="00174AEA" w:rsidRPr="00687A1C" w:rsidRDefault="00174AEA" w:rsidP="00174AEA">
      <w:pPr>
        <w:pStyle w:val="Heading5"/>
      </w:pPr>
      <w:r w:rsidRPr="00687A1C">
        <w:t>Receivables</w:t>
      </w:r>
    </w:p>
    <w:p w:rsidR="00174AEA" w:rsidRPr="00687A1C" w:rsidRDefault="00D86A11" w:rsidP="00174AEA">
      <w:r w:rsidRPr="00687A1C">
        <w:t>Includes short and long-</w:t>
      </w:r>
      <w:r w:rsidR="00174AEA" w:rsidRPr="00687A1C">
        <w:t>term trade credit and accounts receivable, grants, taxes and interest receivable.</w:t>
      </w:r>
    </w:p>
    <w:p w:rsidR="00174AEA" w:rsidRPr="00687A1C" w:rsidRDefault="00BD419B" w:rsidP="00174AEA">
      <w:pPr>
        <w:pStyle w:val="Heading5"/>
      </w:pPr>
      <w:r w:rsidRPr="00687A1C">
        <w:br w:type="column"/>
      </w:r>
      <w:r w:rsidR="00174AEA" w:rsidRPr="00687A1C">
        <w:lastRenderedPageBreak/>
        <w:t>Sales of goods and services</w:t>
      </w:r>
    </w:p>
    <w:p w:rsidR="00174AEA" w:rsidRPr="00687A1C" w:rsidRDefault="00174AEA" w:rsidP="00174AEA">
      <w:r w:rsidRPr="00687A1C">
        <w:t>Refers to revenue from the direct provision of goods and services and includes fees and charges for services rendered, sales of goods, fees from regulatory services, and work done as an agent for private enterprises. It also includes rental income under operating leases and on produced assets such as buildings and entertainment, but excludes rent income from the use of non-produced assets such as land.</w:t>
      </w:r>
    </w:p>
    <w:p w:rsidR="00174AEA" w:rsidRPr="00687A1C" w:rsidRDefault="00174AEA" w:rsidP="00174AEA">
      <w:pPr>
        <w:pStyle w:val="Heading5"/>
      </w:pPr>
      <w:r w:rsidRPr="00687A1C">
        <w:t>Supplies and services</w:t>
      </w:r>
    </w:p>
    <w:p w:rsidR="00174AEA" w:rsidRPr="00687A1C" w:rsidRDefault="00174AEA" w:rsidP="00174AEA">
      <w:r w:rsidRPr="00687A1C">
        <w:t xml:space="preserve">Supplies and services generally represent cost of goods sold and the day to day running costs, including maintenance costs, incurred in the normal operations of the Department. </w:t>
      </w:r>
    </w:p>
    <w:p w:rsidR="00174AEA" w:rsidRPr="00687A1C" w:rsidRDefault="00174AEA" w:rsidP="00174AEA">
      <w:pPr>
        <w:pStyle w:val="Heading5"/>
      </w:pPr>
      <w:r w:rsidRPr="00687A1C">
        <w:t>Transactions</w:t>
      </w:r>
    </w:p>
    <w:p w:rsidR="00174AEA" w:rsidRPr="00687A1C" w:rsidRDefault="00174AEA" w:rsidP="00174AEA">
      <w:r w:rsidRPr="00687A1C">
        <w:t xml:space="preserve">Transactions are those economic flows that are considered to arise as a result of policy decisions, usually an interaction between two entities by mutual agreement. They also include flows within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 for nominal consideration) or where the final consideration is cash. In simple terms, transactions arise from the policy decisions of the </w:t>
      </w:r>
      <w:r w:rsidR="00D86A11" w:rsidRPr="00687A1C">
        <w:t>Government</w:t>
      </w:r>
      <w:r w:rsidRPr="00687A1C">
        <w:t>.</w:t>
      </w:r>
    </w:p>
    <w:bookmarkEnd w:id="132"/>
    <w:p w:rsidR="00174AEA" w:rsidRPr="00687A1C" w:rsidRDefault="00174AEA" w:rsidP="00174AEA"/>
    <w:p w:rsidR="00174AEA" w:rsidRPr="00687A1C" w:rsidRDefault="00174AEA" w:rsidP="00174AEA">
      <w:pPr>
        <w:sectPr w:rsidR="00174AEA" w:rsidRPr="00687A1C" w:rsidSect="008A3976">
          <w:headerReference w:type="default" r:id="rId99"/>
          <w:type w:val="continuous"/>
          <w:pgSz w:w="11909" w:h="16834" w:code="9"/>
          <w:pgMar w:top="1728" w:right="1152" w:bottom="1152" w:left="1152" w:header="720" w:footer="288" w:gutter="0"/>
          <w:cols w:num="2" w:space="720"/>
          <w:noEndnote/>
        </w:sectPr>
      </w:pPr>
    </w:p>
    <w:p w:rsidR="00140BFD" w:rsidRPr="00687A1C" w:rsidRDefault="00140BFD" w:rsidP="00140BFD">
      <w:pPr>
        <w:pStyle w:val="Heading1"/>
      </w:pPr>
      <w:bookmarkStart w:id="163" w:name="_Toc525026157"/>
      <w:r w:rsidRPr="00687A1C">
        <w:lastRenderedPageBreak/>
        <w:t>Appendices</w:t>
      </w:r>
      <w:bookmarkEnd w:id="30"/>
      <w:bookmarkEnd w:id="31"/>
      <w:bookmarkEnd w:id="32"/>
      <w:bookmarkEnd w:id="163"/>
    </w:p>
    <w:p w:rsidR="00140BFD" w:rsidRPr="00687A1C" w:rsidRDefault="00140BFD" w:rsidP="00140BFD">
      <w:pPr>
        <w:rPr>
          <w:rFonts w:cstheme="minorHAnsi"/>
        </w:rPr>
      </w:pPr>
    </w:p>
    <w:p w:rsidR="00F97BB9" w:rsidRDefault="00140BFD">
      <w:pPr>
        <w:pStyle w:val="TOC2"/>
        <w:rPr>
          <w:rFonts w:eastAsiaTheme="minorEastAsia" w:cstheme="minorBidi"/>
          <w:color w:val="auto"/>
          <w:sz w:val="22"/>
          <w:szCs w:val="22"/>
        </w:rPr>
      </w:pPr>
      <w:r w:rsidRPr="00687A1C">
        <w:rPr>
          <w:rFonts w:cstheme="minorHAnsi"/>
          <w:noProof w:val="0"/>
          <w:sz w:val="20"/>
        </w:rPr>
        <w:fldChar w:fldCharType="begin"/>
      </w:r>
      <w:r w:rsidRPr="00687A1C">
        <w:rPr>
          <w:rFonts w:cstheme="minorHAnsi"/>
          <w:noProof w:val="0"/>
        </w:rPr>
        <w:instrText xml:space="preserve"> TOC \h \z \t "Heading 1 App,2" </w:instrText>
      </w:r>
      <w:r w:rsidRPr="00687A1C">
        <w:rPr>
          <w:rFonts w:cstheme="minorHAnsi"/>
          <w:noProof w:val="0"/>
          <w:sz w:val="20"/>
        </w:rPr>
        <w:fldChar w:fldCharType="separate"/>
      </w:r>
      <w:hyperlink w:anchor="_Toc525026256" w:history="1">
        <w:r w:rsidR="00F97BB9" w:rsidRPr="00A91A00">
          <w:rPr>
            <w:rStyle w:val="Hyperlink"/>
          </w:rPr>
          <w:t>Appendix 1</w:t>
        </w:r>
        <w:r w:rsidR="00F97BB9">
          <w:rPr>
            <w:rFonts w:eastAsiaTheme="minorEastAsia" w:cstheme="minorBidi"/>
            <w:color w:val="auto"/>
            <w:sz w:val="22"/>
            <w:szCs w:val="22"/>
          </w:rPr>
          <w:tab/>
        </w:r>
        <w:r w:rsidR="00F97BB9" w:rsidRPr="00A91A00">
          <w:rPr>
            <w:rStyle w:val="Hyperlink"/>
          </w:rPr>
          <w:t>Workforce data</w:t>
        </w:r>
        <w:r w:rsidR="00F97BB9">
          <w:rPr>
            <w:webHidden/>
          </w:rPr>
          <w:tab/>
        </w:r>
        <w:r w:rsidR="00F97BB9">
          <w:rPr>
            <w:webHidden/>
          </w:rPr>
          <w:fldChar w:fldCharType="begin"/>
        </w:r>
        <w:r w:rsidR="00F97BB9">
          <w:rPr>
            <w:webHidden/>
          </w:rPr>
          <w:instrText xml:space="preserve"> PAGEREF _Toc525026256 \h </w:instrText>
        </w:r>
        <w:r w:rsidR="00F97BB9">
          <w:rPr>
            <w:webHidden/>
          </w:rPr>
        </w:r>
        <w:r w:rsidR="00F97BB9">
          <w:rPr>
            <w:webHidden/>
          </w:rPr>
          <w:fldChar w:fldCharType="separate"/>
        </w:r>
        <w:r w:rsidR="00BE5F15">
          <w:rPr>
            <w:webHidden/>
          </w:rPr>
          <w:t>101</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257" w:history="1">
        <w:r w:rsidR="00F97BB9" w:rsidRPr="00A91A00">
          <w:rPr>
            <w:rStyle w:val="Hyperlink"/>
          </w:rPr>
          <w:t>Appendix 2</w:t>
        </w:r>
        <w:r w:rsidR="00F97BB9">
          <w:rPr>
            <w:rFonts w:eastAsiaTheme="minorEastAsia" w:cstheme="minorBidi"/>
            <w:color w:val="auto"/>
            <w:sz w:val="22"/>
            <w:szCs w:val="22"/>
          </w:rPr>
          <w:tab/>
        </w:r>
        <w:r w:rsidR="00F97BB9" w:rsidRPr="00A91A00">
          <w:rPr>
            <w:rStyle w:val="Hyperlink"/>
          </w:rPr>
          <w:t>DTF occupational health and safety report 30 June 2018</w:t>
        </w:r>
        <w:r w:rsidR="00F97BB9">
          <w:rPr>
            <w:webHidden/>
          </w:rPr>
          <w:tab/>
        </w:r>
        <w:r w:rsidR="00F97BB9">
          <w:rPr>
            <w:webHidden/>
          </w:rPr>
          <w:fldChar w:fldCharType="begin"/>
        </w:r>
        <w:r w:rsidR="00F97BB9">
          <w:rPr>
            <w:webHidden/>
          </w:rPr>
          <w:instrText xml:space="preserve"> PAGEREF _Toc525026257 \h </w:instrText>
        </w:r>
        <w:r w:rsidR="00F97BB9">
          <w:rPr>
            <w:webHidden/>
          </w:rPr>
        </w:r>
        <w:r w:rsidR="00F97BB9">
          <w:rPr>
            <w:webHidden/>
          </w:rPr>
          <w:fldChar w:fldCharType="separate"/>
        </w:r>
        <w:r w:rsidR="00BE5F15">
          <w:rPr>
            <w:webHidden/>
          </w:rPr>
          <w:t>113</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258" w:history="1">
        <w:r w:rsidR="00F97BB9" w:rsidRPr="00A91A00">
          <w:rPr>
            <w:rStyle w:val="Hyperlink"/>
          </w:rPr>
          <w:t>Appendix 3</w:t>
        </w:r>
        <w:r w:rsidR="00F97BB9">
          <w:rPr>
            <w:rFonts w:eastAsiaTheme="minorEastAsia" w:cstheme="minorBidi"/>
            <w:color w:val="auto"/>
            <w:sz w:val="22"/>
            <w:szCs w:val="22"/>
          </w:rPr>
          <w:tab/>
        </w:r>
        <w:r w:rsidR="00F97BB9" w:rsidRPr="00A91A00">
          <w:rPr>
            <w:rStyle w:val="Hyperlink"/>
          </w:rPr>
          <w:t>Environmental reporting</w:t>
        </w:r>
        <w:r w:rsidR="00F97BB9">
          <w:rPr>
            <w:webHidden/>
          </w:rPr>
          <w:tab/>
        </w:r>
        <w:r w:rsidR="00F97BB9">
          <w:rPr>
            <w:webHidden/>
          </w:rPr>
          <w:fldChar w:fldCharType="begin"/>
        </w:r>
        <w:r w:rsidR="00F97BB9">
          <w:rPr>
            <w:webHidden/>
          </w:rPr>
          <w:instrText xml:space="preserve"> PAGEREF _Toc525026258 \h </w:instrText>
        </w:r>
        <w:r w:rsidR="00F97BB9">
          <w:rPr>
            <w:webHidden/>
          </w:rPr>
        </w:r>
        <w:r w:rsidR="00F97BB9">
          <w:rPr>
            <w:webHidden/>
          </w:rPr>
          <w:fldChar w:fldCharType="separate"/>
        </w:r>
        <w:r w:rsidR="00BE5F15">
          <w:rPr>
            <w:webHidden/>
          </w:rPr>
          <w:t>117</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259" w:history="1">
        <w:r w:rsidR="00F97BB9" w:rsidRPr="00A91A00">
          <w:rPr>
            <w:rStyle w:val="Hyperlink"/>
          </w:rPr>
          <w:t>Appendix 4</w:t>
        </w:r>
        <w:r w:rsidR="00F97BB9">
          <w:rPr>
            <w:rFonts w:eastAsiaTheme="minorEastAsia" w:cstheme="minorBidi"/>
            <w:color w:val="auto"/>
            <w:sz w:val="22"/>
            <w:szCs w:val="22"/>
          </w:rPr>
          <w:tab/>
        </w:r>
        <w:r w:rsidR="00F97BB9" w:rsidRPr="00A91A00">
          <w:rPr>
            <w:rStyle w:val="Hyperlink"/>
          </w:rPr>
          <w:t>Statutory compliance and other information</w:t>
        </w:r>
        <w:r w:rsidR="00F97BB9">
          <w:rPr>
            <w:webHidden/>
          </w:rPr>
          <w:tab/>
        </w:r>
        <w:r w:rsidR="00F97BB9">
          <w:rPr>
            <w:webHidden/>
          </w:rPr>
          <w:fldChar w:fldCharType="begin"/>
        </w:r>
        <w:r w:rsidR="00F97BB9">
          <w:rPr>
            <w:webHidden/>
          </w:rPr>
          <w:instrText xml:space="preserve"> PAGEREF _Toc525026259 \h </w:instrText>
        </w:r>
        <w:r w:rsidR="00F97BB9">
          <w:rPr>
            <w:webHidden/>
          </w:rPr>
        </w:r>
        <w:r w:rsidR="00F97BB9">
          <w:rPr>
            <w:webHidden/>
          </w:rPr>
          <w:fldChar w:fldCharType="separate"/>
        </w:r>
        <w:r w:rsidR="00BE5F15">
          <w:rPr>
            <w:webHidden/>
          </w:rPr>
          <w:t>124</w:t>
        </w:r>
        <w:r w:rsidR="00F97BB9">
          <w:rPr>
            <w:webHidden/>
          </w:rPr>
          <w:fldChar w:fldCharType="end"/>
        </w:r>
      </w:hyperlink>
    </w:p>
    <w:p w:rsidR="00F97BB9" w:rsidRDefault="00EC4CFD">
      <w:pPr>
        <w:pStyle w:val="TOC2"/>
        <w:rPr>
          <w:rFonts w:eastAsiaTheme="minorEastAsia" w:cstheme="minorBidi"/>
          <w:color w:val="auto"/>
          <w:sz w:val="22"/>
          <w:szCs w:val="22"/>
        </w:rPr>
      </w:pPr>
      <w:hyperlink w:anchor="_Toc525026260" w:history="1">
        <w:r w:rsidR="00F97BB9" w:rsidRPr="00A91A00">
          <w:rPr>
            <w:rStyle w:val="Hyperlink"/>
          </w:rPr>
          <w:t>Appendix 5</w:t>
        </w:r>
        <w:r w:rsidR="00F97BB9">
          <w:rPr>
            <w:rFonts w:eastAsiaTheme="minorEastAsia" w:cstheme="minorBidi"/>
            <w:color w:val="auto"/>
            <w:sz w:val="22"/>
            <w:szCs w:val="22"/>
          </w:rPr>
          <w:tab/>
        </w:r>
        <w:r w:rsidR="00F97BB9" w:rsidRPr="00A91A00">
          <w:rPr>
            <w:rStyle w:val="Hyperlink"/>
          </w:rPr>
          <w:t>Disclosure index</w:t>
        </w:r>
        <w:r w:rsidR="00F97BB9">
          <w:rPr>
            <w:webHidden/>
          </w:rPr>
          <w:tab/>
        </w:r>
        <w:r w:rsidR="00F97BB9">
          <w:rPr>
            <w:webHidden/>
          </w:rPr>
          <w:fldChar w:fldCharType="begin"/>
        </w:r>
        <w:r w:rsidR="00F97BB9">
          <w:rPr>
            <w:webHidden/>
          </w:rPr>
          <w:instrText xml:space="preserve"> PAGEREF _Toc525026260 \h </w:instrText>
        </w:r>
        <w:r w:rsidR="00F97BB9">
          <w:rPr>
            <w:webHidden/>
          </w:rPr>
        </w:r>
        <w:r w:rsidR="00F97BB9">
          <w:rPr>
            <w:webHidden/>
          </w:rPr>
          <w:fldChar w:fldCharType="separate"/>
        </w:r>
        <w:r w:rsidR="00BE5F15">
          <w:rPr>
            <w:webHidden/>
          </w:rPr>
          <w:t>135</w:t>
        </w:r>
        <w:r w:rsidR="00F97BB9">
          <w:rPr>
            <w:webHidden/>
          </w:rPr>
          <w:fldChar w:fldCharType="end"/>
        </w:r>
      </w:hyperlink>
    </w:p>
    <w:p w:rsidR="00140BFD" w:rsidRPr="00687A1C" w:rsidRDefault="00140BFD" w:rsidP="00140BFD">
      <w:pPr>
        <w:rPr>
          <w:rFonts w:cstheme="minorHAnsi"/>
          <w:color w:val="4A4A4A"/>
          <w:szCs w:val="20"/>
        </w:rPr>
      </w:pPr>
      <w:r w:rsidRPr="00687A1C">
        <w:rPr>
          <w:rFonts w:cstheme="minorHAnsi"/>
          <w:color w:val="4A4A4A"/>
          <w:szCs w:val="20"/>
        </w:rPr>
        <w:fldChar w:fldCharType="end"/>
      </w:r>
    </w:p>
    <w:p w:rsidR="00140BFD" w:rsidRPr="00687A1C" w:rsidRDefault="00140BFD" w:rsidP="00140BFD"/>
    <w:p w:rsidR="00140BFD" w:rsidRPr="00687A1C" w:rsidRDefault="00140BFD" w:rsidP="00140BFD"/>
    <w:p w:rsidR="00546FA8" w:rsidRPr="00687A1C" w:rsidRDefault="00546FA8">
      <w:pPr>
        <w:spacing w:before="0" w:after="0"/>
      </w:pPr>
      <w:r w:rsidRPr="00687A1C">
        <w:br w:type="page"/>
      </w:r>
    </w:p>
    <w:p w:rsidR="005F7D48" w:rsidRPr="00687A1C" w:rsidRDefault="005F7D48" w:rsidP="00C8160C">
      <w:pPr>
        <w:pStyle w:val="Heading1App"/>
      </w:pPr>
      <w:bookmarkStart w:id="164" w:name="_Toc525026158"/>
      <w:bookmarkStart w:id="165" w:name="_Toc525026256"/>
      <w:r w:rsidRPr="00687A1C">
        <w:lastRenderedPageBreak/>
        <w:t xml:space="preserve">Appendix </w:t>
      </w:r>
      <w:r w:rsidR="007D55CC" w:rsidRPr="00687A1C">
        <w:t>1</w:t>
      </w:r>
      <w:r w:rsidRPr="00687A1C">
        <w:tab/>
        <w:t>Workforce data</w:t>
      </w:r>
      <w:bookmarkStart w:id="166" w:name="Workforce1"/>
      <w:bookmarkEnd w:id="166"/>
      <w:bookmarkEnd w:id="164"/>
      <w:bookmarkEnd w:id="165"/>
    </w:p>
    <w:p w:rsidR="0011669B" w:rsidRPr="00687A1C" w:rsidRDefault="0011669B" w:rsidP="00F93A60">
      <w:pPr>
        <w:pStyle w:val="Heading2"/>
        <w:sectPr w:rsidR="0011669B" w:rsidRPr="00687A1C" w:rsidSect="00BB311C">
          <w:headerReference w:type="even" r:id="rId100"/>
          <w:headerReference w:type="default" r:id="rId101"/>
          <w:footerReference w:type="even" r:id="rId102"/>
          <w:footerReference w:type="default" r:id="rId103"/>
          <w:pgSz w:w="11909" w:h="16834" w:code="9"/>
          <w:pgMar w:top="1728" w:right="1152" w:bottom="1260" w:left="1152" w:header="720" w:footer="288" w:gutter="0"/>
          <w:cols w:space="720"/>
          <w:noEndnote/>
        </w:sectPr>
      </w:pPr>
    </w:p>
    <w:p w:rsidR="00D740EE" w:rsidRPr="00687A1C" w:rsidRDefault="00D740EE" w:rsidP="00D740EE">
      <w:pPr>
        <w:pStyle w:val="Heading2"/>
      </w:pPr>
      <w:bookmarkStart w:id="167" w:name="_Ref492626850"/>
      <w:r w:rsidRPr="00687A1C">
        <w:t>Public sector values and employment principles</w:t>
      </w:r>
      <w:bookmarkEnd w:id="167"/>
    </w:p>
    <w:p w:rsidR="00CA32A5" w:rsidRPr="00687A1C" w:rsidRDefault="00CA32A5" w:rsidP="00CA32A5">
      <w:pPr>
        <w:rPr>
          <w:b/>
        </w:rPr>
      </w:pPr>
      <w:r w:rsidRPr="00687A1C">
        <w:t xml:space="preserve">The </w:t>
      </w:r>
      <w:r w:rsidRPr="00687A1C">
        <w:rPr>
          <w:i/>
        </w:rPr>
        <w:t xml:space="preserve">Public Administration Act 2004 </w:t>
      </w:r>
      <w:r w:rsidRPr="00687A1C">
        <w:t>e</w:t>
      </w:r>
      <w:r w:rsidR="00154058" w:rsidRPr="00687A1C">
        <w:t xml:space="preserve">stablished the Victorian Public </w:t>
      </w:r>
      <w:r w:rsidRPr="00687A1C">
        <w:t>Sector Commission (VPSC). The VPSC</w:t>
      </w:r>
      <w:r w:rsidR="009469FE" w:rsidRPr="00687A1C">
        <w:t>’</w:t>
      </w:r>
      <w:r w:rsidRPr="00687A1C">
        <w:t xml:space="preserve">s role is to strengthen public sector efficiency, effectiveness and capability, and advocate for public sector professionalism and integrity. </w:t>
      </w:r>
    </w:p>
    <w:p w:rsidR="00CA32A5" w:rsidRPr="00687A1C" w:rsidRDefault="00CA32A5" w:rsidP="00CA32A5">
      <w:r w:rsidRPr="00687A1C">
        <w:t>The Department</w:t>
      </w:r>
      <w:r w:rsidR="009469FE" w:rsidRPr="00687A1C">
        <w:t>’</w:t>
      </w:r>
      <w:r w:rsidRPr="00687A1C">
        <w:t>s policies and practices are consistent with the VPSC</w:t>
      </w:r>
      <w:r w:rsidR="009469FE" w:rsidRPr="00687A1C">
        <w:t>’</w:t>
      </w:r>
      <w:r w:rsidRPr="00687A1C">
        <w:t xml:space="preserve">s employment standards and provide for fair treatment, career opportunities and the early resolution of workplace issues. The Department advises its employees how to avoid conflicts of interest, how to respond to offers of gifts and hospitality and how it deals with misconduct. </w:t>
      </w:r>
    </w:p>
    <w:p w:rsidR="00CA32A5" w:rsidRPr="00687A1C" w:rsidRDefault="00CA32A5" w:rsidP="00CA32A5">
      <w:pPr>
        <w:pStyle w:val="Heading2"/>
      </w:pPr>
      <w:r w:rsidRPr="00687A1C">
        <w:t xml:space="preserve">People and culture strategic activities </w:t>
      </w:r>
    </w:p>
    <w:p w:rsidR="00CA32A5" w:rsidRPr="00687A1C" w:rsidRDefault="00CA32A5" w:rsidP="00CA32A5">
      <w:r w:rsidRPr="00687A1C">
        <w:t>In 2017-18, the Department implemented a</w:t>
      </w:r>
      <w:r w:rsidRPr="00687A1C">
        <w:rPr>
          <w:rFonts w:ascii="Arial" w:hAnsi="Arial"/>
          <w:spacing w:val="-2"/>
          <w:szCs w:val="20"/>
        </w:rPr>
        <w:t xml:space="preserve"> </w:t>
      </w:r>
      <w:r w:rsidRPr="00687A1C">
        <w:t>number of strategic initiatives including a People Matter Action Plan and a Diversity and Inclusion Framework, which currently includes an Aboriginal Employment Action Plan and an All Abilities Action Plan</w:t>
      </w:r>
      <w:r w:rsidR="00472CA1" w:rsidRPr="00687A1C">
        <w:t xml:space="preserve">. </w:t>
      </w:r>
      <w:r w:rsidRPr="00687A1C">
        <w:t>Additional diversity and inclusion plans will be developed in the future</w:t>
      </w:r>
      <w:r w:rsidR="00472CA1" w:rsidRPr="00687A1C">
        <w:t xml:space="preserve">. </w:t>
      </w:r>
    </w:p>
    <w:p w:rsidR="00CA32A5" w:rsidRPr="00687A1C" w:rsidRDefault="00CA32A5" w:rsidP="00CA32A5">
      <w:r w:rsidRPr="00687A1C">
        <w:t xml:space="preserve">In February 2018, the People Strategy was endorsed by the Treasury and Finance Board. The People Strategy aims to support DTF </w:t>
      </w:r>
      <w:r w:rsidR="007B77A5" w:rsidRPr="00687A1C">
        <w:t>in achieving</w:t>
      </w:r>
      <w:r w:rsidRPr="00687A1C">
        <w:t xml:space="preserve"> its objectives through several key strategic initiatives to be implemented from 2019 onwards, including a tailored leadership development program for all people leaders, the development of a new capability framework that will position the Department to meet current and future needs, and initiatives that support workforce planning, talent management, learning and development, career development</w:t>
      </w:r>
      <w:r w:rsidR="00154058" w:rsidRPr="00687A1C">
        <w:t>,</w:t>
      </w:r>
      <w:r w:rsidRPr="00687A1C">
        <w:t xml:space="preserve"> and diversity and inclusion. </w:t>
      </w:r>
    </w:p>
    <w:p w:rsidR="00CA32A5" w:rsidRPr="00687A1C" w:rsidRDefault="00CA32A5" w:rsidP="00CA32A5">
      <w:pPr>
        <w:pStyle w:val="Heading2"/>
      </w:pPr>
      <w:r w:rsidRPr="00687A1C">
        <w:t>People development</w:t>
      </w:r>
    </w:p>
    <w:p w:rsidR="006E7CD5" w:rsidRPr="00687A1C" w:rsidRDefault="00CA32A5" w:rsidP="00CA32A5">
      <w:r w:rsidRPr="00687A1C">
        <w:t>Key focus areas in the Departm</w:t>
      </w:r>
      <w:r w:rsidR="008B2C73" w:rsidRPr="00687A1C">
        <w:t>ent throughout 2017</w:t>
      </w:r>
      <w:r w:rsidR="008B2C73" w:rsidRPr="00687A1C">
        <w:noBreakHyphen/>
      </w:r>
      <w:r w:rsidRPr="00687A1C">
        <w:t>18 that align with our People Matter Action Plan include flexible work practices, diversity and inclusion, leadership, change management, career intentions, wellbeing, and learning and development.</w:t>
      </w:r>
      <w:r w:rsidR="006E7CD5" w:rsidRPr="00687A1C">
        <w:t xml:space="preserve"> </w:t>
      </w:r>
      <w:r w:rsidRPr="00687A1C">
        <w:t xml:space="preserve">Training offered included workplace flexibility, bullying and sexual harassment, career planning, Aboriginal cultural awareness, LGBTI awareness, </w:t>
      </w:r>
    </w:p>
    <w:p w:rsidR="00CA32A5" w:rsidRPr="00687A1C" w:rsidRDefault="006E7CD5" w:rsidP="00CA32A5">
      <w:r w:rsidRPr="00687A1C">
        <w:br w:type="column"/>
      </w:r>
      <w:r w:rsidR="00CA32A5" w:rsidRPr="00687A1C">
        <w:t>building positive workplace relationships, public speaking and presentation skills, mental health in the workplace, and a VPS6 leadership development program. In addition, executive one-on-one coaching is approved when required, and People and Culture assisted with tailored departmental leadership and team development programs when required.</w:t>
      </w:r>
    </w:p>
    <w:p w:rsidR="00CA32A5" w:rsidRPr="00687A1C" w:rsidRDefault="00CA32A5" w:rsidP="00CA32A5">
      <w:r w:rsidRPr="00687A1C">
        <w:t>The Victorian Leadership Academy (VLA) underwent changes in 2017, re-focusing the program on development. This saw DTF</w:t>
      </w:r>
      <w:r w:rsidR="00E06462" w:rsidRPr="00687A1C">
        <w:t>’</w:t>
      </w:r>
      <w:r w:rsidRPr="00687A1C">
        <w:t xml:space="preserve">s 26 attendees, from the 2017 intake, become eligible for numerous development opportunities over the year. </w:t>
      </w:r>
    </w:p>
    <w:p w:rsidR="00CA32A5" w:rsidRPr="00687A1C" w:rsidRDefault="00CA32A5" w:rsidP="00CA32A5">
      <w:r w:rsidRPr="00687A1C">
        <w:t>In addition, DTF approved 11 new studies assistance applications and supported one staff member in the ANZSOG Executive Fellows Program.</w:t>
      </w:r>
    </w:p>
    <w:p w:rsidR="00CA32A5" w:rsidRPr="00687A1C" w:rsidRDefault="00CA32A5" w:rsidP="00CA32A5">
      <w:pPr>
        <w:pStyle w:val="Heading2"/>
      </w:pPr>
      <w:r w:rsidRPr="00687A1C">
        <w:t>Employee relations</w:t>
      </w:r>
    </w:p>
    <w:p w:rsidR="00CA32A5" w:rsidRPr="00687A1C" w:rsidRDefault="00CA32A5" w:rsidP="00CA32A5">
      <w:r w:rsidRPr="00687A1C">
        <w:t xml:space="preserve">During 2017-18, there were no industrial disputes lodged with </w:t>
      </w:r>
      <w:r w:rsidR="00466019" w:rsidRPr="00687A1C">
        <w:t xml:space="preserve">the </w:t>
      </w:r>
      <w:r w:rsidRPr="00687A1C">
        <w:t xml:space="preserve">Fair Work </w:t>
      </w:r>
      <w:r w:rsidR="00466019" w:rsidRPr="00687A1C">
        <w:t>Commission</w:t>
      </w:r>
      <w:r w:rsidRPr="00687A1C">
        <w:t>. The Department has a comprehensive grievance process to ensure employee concerns are dealt with fairly and promptly. The Department received one formal grievance for the reporting period</w:t>
      </w:r>
      <w:r w:rsidR="00472CA1" w:rsidRPr="00687A1C">
        <w:t xml:space="preserve">. </w:t>
      </w:r>
    </w:p>
    <w:p w:rsidR="00CA32A5" w:rsidRPr="00687A1C" w:rsidRDefault="00CA32A5" w:rsidP="00CA32A5">
      <w:r w:rsidRPr="00687A1C">
        <w:t xml:space="preserve">The Department has a full suite of policies covering recruitment and selection, issue resolution and grievance review, redeployment, unsatisfactory work, misconduct, probation and fair treatment (among others). </w:t>
      </w:r>
    </w:p>
    <w:p w:rsidR="00CA32A5" w:rsidRPr="00687A1C" w:rsidRDefault="00CA32A5" w:rsidP="00CA32A5">
      <w:r w:rsidRPr="00687A1C">
        <w:t xml:space="preserve">Human </w:t>
      </w:r>
      <w:r w:rsidR="007D2DFC" w:rsidRPr="00687A1C">
        <w:t xml:space="preserve">resources </w:t>
      </w:r>
      <w:r w:rsidRPr="00687A1C">
        <w:t xml:space="preserve">policies are periodically reviewed during the reporting period. The Department has actively participated in the Victorian public service (VPS) Towards Common Practice policy development process, assisting with the development of consistent VPS policies and processes, which the Department will implement. </w:t>
      </w:r>
    </w:p>
    <w:p w:rsidR="00CA32A5" w:rsidRPr="00687A1C" w:rsidRDefault="00CA32A5" w:rsidP="008B2C73">
      <w:pPr>
        <w:pStyle w:val="Heading2"/>
      </w:pPr>
      <w:r w:rsidRPr="00687A1C">
        <w:t>Recruitment</w:t>
      </w:r>
    </w:p>
    <w:p w:rsidR="00CA32A5" w:rsidRPr="00687A1C" w:rsidRDefault="00CA32A5" w:rsidP="00CA32A5">
      <w:r w:rsidRPr="00687A1C">
        <w:t xml:space="preserve">The Department is committed to ensuring the best people are recruited and selected. The selection processes ensure applicants are assessed and evaluated fairly and equitably on the basis of key selection criteria and other accountabilities, without discrimination. </w:t>
      </w:r>
    </w:p>
    <w:p w:rsidR="006E7CD5" w:rsidRPr="00687A1C" w:rsidRDefault="00CA32A5" w:rsidP="006E7CD5">
      <w:pPr>
        <w:rPr>
          <w:rFonts w:cstheme="minorHAnsi"/>
          <w:b/>
          <w:color w:val="404040"/>
          <w:sz w:val="24"/>
          <w:szCs w:val="28"/>
        </w:rPr>
      </w:pPr>
      <w:r w:rsidRPr="00687A1C">
        <w:t>During 2017-18, the Department advertised externally for 130 roles. A number of additional vacancies were filled by internal appointment at level, including through the Department</w:t>
      </w:r>
      <w:r w:rsidR="009469FE" w:rsidRPr="00687A1C">
        <w:t>’</w:t>
      </w:r>
      <w:r w:rsidRPr="00687A1C">
        <w:t xml:space="preserve">s Job Transfer program. </w:t>
      </w:r>
    </w:p>
    <w:p w:rsidR="004B4B9F" w:rsidRPr="00687A1C" w:rsidRDefault="004B4B9F">
      <w:pPr>
        <w:spacing w:before="0" w:after="0"/>
        <w:rPr>
          <w:rFonts w:cstheme="minorHAnsi"/>
          <w:b/>
          <w:color w:val="404040"/>
          <w:sz w:val="24"/>
          <w:szCs w:val="28"/>
        </w:rPr>
      </w:pPr>
      <w:r w:rsidRPr="00687A1C">
        <w:br w:type="page"/>
      </w:r>
    </w:p>
    <w:p w:rsidR="00CA32A5" w:rsidRPr="00687A1C" w:rsidRDefault="00CA32A5" w:rsidP="00CA32A5">
      <w:pPr>
        <w:pStyle w:val="Heading2"/>
      </w:pPr>
      <w:r w:rsidRPr="00687A1C">
        <w:lastRenderedPageBreak/>
        <w:t>Graduate recruitment scheme</w:t>
      </w:r>
    </w:p>
    <w:p w:rsidR="00CA32A5" w:rsidRPr="00687A1C" w:rsidRDefault="00CA32A5" w:rsidP="00CA32A5">
      <w:r w:rsidRPr="00687A1C">
        <w:t xml:space="preserve">The Department continued to support the recruitment and development of university graduates by participating in the VPS graduate scheme and managing the accounting and finance and economist programs on behalf of the VPS. </w:t>
      </w:r>
    </w:p>
    <w:p w:rsidR="00CA32A5" w:rsidRPr="00687A1C" w:rsidRDefault="00CA32A5" w:rsidP="00CA32A5">
      <w:r w:rsidRPr="00687A1C">
        <w:t>During 2017</w:t>
      </w:r>
      <w:r w:rsidRPr="00687A1C">
        <w:noBreakHyphen/>
        <w:t>18, 20 graduates joined the Department (eight economists, seven generalists and five accounting and finance graduates). The Department also offers summer economist and accounting and finance internships to a small number of penultimate year university students. There were 10 internships offered last summer (five economists and five accounting and finance).</w:t>
      </w:r>
    </w:p>
    <w:p w:rsidR="00CA32A5" w:rsidRPr="00687A1C" w:rsidRDefault="00CA32A5" w:rsidP="00CA32A5">
      <w:pPr>
        <w:pStyle w:val="Heading2"/>
        <w:rPr>
          <w:rFonts w:asciiTheme="majorHAnsi" w:hAnsiTheme="majorHAnsi"/>
          <w:sz w:val="20"/>
          <w:szCs w:val="20"/>
        </w:rPr>
      </w:pPr>
      <w:r w:rsidRPr="00687A1C">
        <w:t>Diversity</w:t>
      </w:r>
    </w:p>
    <w:p w:rsidR="00926F99" w:rsidRPr="00687A1C" w:rsidRDefault="00926F99" w:rsidP="00926F99">
      <w:r w:rsidRPr="00687A1C">
        <w:t xml:space="preserve">The Department strives to create an environment that supports a diverse, flexible and adaptive workforce, which reflects the communities we serve. Diverse and inclusive workforces have a better capacity to meet customer needs, are adept at providing different ways of looking at work issues, drive higher innovation and productivity, and are better placed to attract and retain talent. </w:t>
      </w:r>
    </w:p>
    <w:p w:rsidR="00926F99" w:rsidRPr="00687A1C" w:rsidRDefault="00926F99" w:rsidP="00926F99">
      <w:r w:rsidRPr="00687A1C">
        <w:t>DTF’s Diversity and Inclusion Framework was endorsed by the Treasury and Finance Board in February 2018 and reflects the feedback and areas of focus from the 2017 People Matter Survey. The Department wishes to increase the representation of people with disability to 6</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by 2020 and provide a working environment where people can safely express their sexual orientation and identity, without concern about the impact on their career opportunities. The Department has a 50:50 gender target at the </w:t>
      </w:r>
      <w:r w:rsidR="00CD72C6" w:rsidRPr="00687A1C">
        <w:t>executive officer</w:t>
      </w:r>
      <w:r w:rsidRPr="00687A1C">
        <w:t xml:space="preserve"> level and is focused on fostering a workplace that reflects Victoria’s multicultural society. DTF celebrates and supports participation in our workforce of people of all ages, makes flexible work options available to staff, and supports the recruitment, capability development and career advancement of Aboriginal Australians. </w:t>
      </w:r>
    </w:p>
    <w:p w:rsidR="00926F99" w:rsidRPr="00687A1C" w:rsidRDefault="00926F99" w:rsidP="00926F99">
      <w:r w:rsidRPr="00687A1C">
        <w:t xml:space="preserve">DTF has implemented a range of initiatives to advance equity and inclusion for all. These are: diversity and inclusion awareness sessions, disability confidence training for staff and managers, Aboriginal cultural awareness training, retirement transition and superannuation planning, LGBTI awareness training, and a ‘Safe Space’ program, which is an alternative option for staff to discuss perceived issues of unreasonable workplace behaviour. The Department supports the LGBTI Pride Network. DTF also participated in the launch of the VPS Enablers network for staff living with disability, joined the Australian Network on Disability and established a partnership with Job Access to assist in recruiting people with disability. </w:t>
      </w:r>
    </w:p>
    <w:p w:rsidR="00926F99" w:rsidRPr="00687A1C" w:rsidRDefault="00E327A5" w:rsidP="00926F99">
      <w:r>
        <w:br w:type="column"/>
      </w:r>
      <w:r w:rsidR="00926F99" w:rsidRPr="00687A1C">
        <w:t xml:space="preserve">The Department and its agencies provide cadetships to young people, through the Jobs Victoria Youth Cadetship Scheme. In 2017-18, two cadets joined the Department. </w:t>
      </w:r>
    </w:p>
    <w:p w:rsidR="00926F99" w:rsidRPr="00687A1C" w:rsidRDefault="00926F99" w:rsidP="00926F99">
      <w:r w:rsidRPr="00687A1C">
        <w:t xml:space="preserve">The Department’s Aboriginal Employment and Inclusion Action Plan contains five areas of focus, including improving attraction and recruitment and creating a culturally safe workplace, and supporting Aboriginal jobs and business growth in Victoria through procurement practices. This plan aligns with, and leverages, Barring Djinang, the Aboriginal Employment Strategy for the VPS. </w:t>
      </w:r>
    </w:p>
    <w:p w:rsidR="00926F99" w:rsidRPr="00687A1C" w:rsidRDefault="00926F99" w:rsidP="00926F99">
      <w:r w:rsidRPr="00687A1C">
        <w:t xml:space="preserve">DTF’s Aboriginal Working Group met regularly throughout 2017-18 to support the implementation of actions identified in the plan. Throughout the year, DTF celebrated a number of significant events such as Reconciliation and NAIDOC weeks. The Department conducts Aboriginal cultural awareness training for all staff, and at 30 June 2018, 132 staff had attended. </w:t>
      </w:r>
    </w:p>
    <w:p w:rsidR="00926F99" w:rsidRPr="00687A1C" w:rsidRDefault="00926F99" w:rsidP="00926F99">
      <w:r w:rsidRPr="00687A1C">
        <w:t>The Department continues to work with the VPSC Pathways program to support Aboriginal graduate recruitment. DTF wishes to increase the number of staff identifying as Aboriginal and Torres Strait Islander to 4</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by 2020.</w:t>
      </w:r>
    </w:p>
    <w:p w:rsidR="00CA32A5" w:rsidRPr="00687A1C" w:rsidRDefault="00CA32A5" w:rsidP="007D2DFC">
      <w:pPr>
        <w:pStyle w:val="Heading2"/>
      </w:pPr>
      <w:r w:rsidRPr="00687A1C">
        <w:t>Ment</w:t>
      </w:r>
      <w:r w:rsidR="007D2DFC" w:rsidRPr="00687A1C">
        <w:t>al Health and Wellbeing Charter</w:t>
      </w:r>
    </w:p>
    <w:p w:rsidR="00CA32A5" w:rsidRPr="00687A1C" w:rsidRDefault="00CA32A5" w:rsidP="00926F99">
      <w:r w:rsidRPr="00687A1C">
        <w:t xml:space="preserve">The Victorian </w:t>
      </w:r>
      <w:r w:rsidR="007D2DFC" w:rsidRPr="00687A1C">
        <w:t xml:space="preserve">public sector </w:t>
      </w:r>
      <w:r w:rsidRPr="00687A1C">
        <w:t>Mental Health and Wellbeing Charter (the Charter) was launched in March 2016 to support a holistic and inclusive approach to mental health in the workplace by promoting mental wellbeing, preventing mental injury and illness, and taki</w:t>
      </w:r>
      <w:r w:rsidR="00325C78" w:rsidRPr="00687A1C">
        <w:t xml:space="preserve">ng action to support recovery. </w:t>
      </w:r>
    </w:p>
    <w:p w:rsidR="00CA32A5" w:rsidRPr="00687A1C" w:rsidRDefault="00CA32A5" w:rsidP="00CA32A5">
      <w:pPr>
        <w:autoSpaceDE w:val="0"/>
        <w:autoSpaceDN w:val="0"/>
        <w:adjustRightInd w:val="0"/>
        <w:rPr>
          <w:rFonts w:cs="Garamond"/>
          <w:szCs w:val="20"/>
        </w:rPr>
      </w:pPr>
      <w:r w:rsidRPr="00687A1C">
        <w:rPr>
          <w:rFonts w:cs="Garamond"/>
          <w:szCs w:val="20"/>
        </w:rPr>
        <w:t xml:space="preserve">The Department endorsed the </w:t>
      </w:r>
      <w:r w:rsidRPr="00687A1C">
        <w:rPr>
          <w:rFonts w:cs="Garamond"/>
          <w:i/>
          <w:iCs/>
          <w:szCs w:val="20"/>
        </w:rPr>
        <w:t>Leading the Way</w:t>
      </w:r>
      <w:r w:rsidRPr="00687A1C">
        <w:rPr>
          <w:rFonts w:cs="Garamond"/>
          <w:szCs w:val="20"/>
        </w:rPr>
        <w:t xml:space="preserve"> approach during 2017-18, integrating the holistic framework with existing strategic Occupational Health and Safety (OHS) priorities that support mental health and wellbeing initiatives. </w:t>
      </w:r>
    </w:p>
    <w:p w:rsidR="00CA32A5" w:rsidRPr="00687A1C" w:rsidRDefault="00CA32A5" w:rsidP="00CA32A5">
      <w:pPr>
        <w:autoSpaceDE w:val="0"/>
        <w:autoSpaceDN w:val="0"/>
        <w:adjustRightInd w:val="0"/>
        <w:rPr>
          <w:rFonts w:cs="Garamond"/>
          <w:szCs w:val="20"/>
        </w:rPr>
      </w:pPr>
      <w:r w:rsidRPr="00687A1C">
        <w:rPr>
          <w:rFonts w:cs="Garamond"/>
          <w:szCs w:val="20"/>
        </w:rPr>
        <w:t xml:space="preserve">During 2017-18, the Department also trained four </w:t>
      </w:r>
      <w:r w:rsidR="009253F0" w:rsidRPr="00687A1C">
        <w:rPr>
          <w:rFonts w:cs="Garamond"/>
          <w:szCs w:val="20"/>
        </w:rPr>
        <w:br/>
        <w:t xml:space="preserve">first aid officers </w:t>
      </w:r>
      <w:r w:rsidRPr="00687A1C">
        <w:rPr>
          <w:rFonts w:cs="Garamond"/>
          <w:szCs w:val="20"/>
        </w:rPr>
        <w:t xml:space="preserve">in </w:t>
      </w:r>
      <w:r w:rsidR="007D2DFC" w:rsidRPr="00687A1C">
        <w:rPr>
          <w:rFonts w:cs="Garamond"/>
          <w:szCs w:val="20"/>
        </w:rPr>
        <w:t>mental health first aid</w:t>
      </w:r>
      <w:r w:rsidR="00472CA1" w:rsidRPr="00687A1C">
        <w:rPr>
          <w:rFonts w:cs="Garamond"/>
          <w:szCs w:val="20"/>
        </w:rPr>
        <w:t xml:space="preserve">. </w:t>
      </w:r>
    </w:p>
    <w:p w:rsidR="00CA32A5" w:rsidRPr="00687A1C" w:rsidRDefault="00CA32A5" w:rsidP="00CA32A5">
      <w:pPr>
        <w:autoSpaceDE w:val="0"/>
        <w:autoSpaceDN w:val="0"/>
        <w:adjustRightInd w:val="0"/>
        <w:rPr>
          <w:rFonts w:cs="Garamond"/>
          <w:szCs w:val="20"/>
        </w:rPr>
      </w:pPr>
      <w:r w:rsidRPr="00687A1C">
        <w:rPr>
          <w:rFonts w:cs="Garamond"/>
          <w:szCs w:val="20"/>
        </w:rPr>
        <w:t>Confidential professional counselling services, provided by an independent impartial Employee Assistance Provider (EAP), continue to be available for staff,</w:t>
      </w:r>
      <w:r w:rsidR="009469FE" w:rsidRPr="00687A1C">
        <w:rPr>
          <w:rFonts w:cs="Garamond"/>
          <w:szCs w:val="20"/>
        </w:rPr>
        <w:t xml:space="preserve"> </w:t>
      </w:r>
      <w:r w:rsidRPr="00687A1C">
        <w:rPr>
          <w:rFonts w:cs="Garamond"/>
          <w:szCs w:val="20"/>
        </w:rPr>
        <w:t xml:space="preserve">including specialist services for Aboriginal and Torres Strait Islanders, LGBTI staff, mature age staff and staff experiencing </w:t>
      </w:r>
      <w:r w:rsidR="00C263BF" w:rsidRPr="00687A1C">
        <w:rPr>
          <w:rFonts w:cs="Garamond"/>
          <w:szCs w:val="20"/>
        </w:rPr>
        <w:t>family viol</w:t>
      </w:r>
      <w:r w:rsidRPr="00687A1C">
        <w:rPr>
          <w:rFonts w:cs="Garamond"/>
          <w:szCs w:val="20"/>
        </w:rPr>
        <w:t>ence</w:t>
      </w:r>
      <w:r w:rsidR="00472CA1" w:rsidRPr="00687A1C">
        <w:rPr>
          <w:rFonts w:cs="Garamond"/>
          <w:szCs w:val="20"/>
        </w:rPr>
        <w:t xml:space="preserve">. </w:t>
      </w:r>
    </w:p>
    <w:p w:rsidR="004B4B9F" w:rsidRPr="00687A1C" w:rsidRDefault="00CA32A5" w:rsidP="00926F99">
      <w:r w:rsidRPr="00687A1C">
        <w:t xml:space="preserve">The Department delivered Mental Health and Wellbeing training for </w:t>
      </w:r>
      <w:r w:rsidR="00CD72C6" w:rsidRPr="00687A1C">
        <w:t>executive officer</w:t>
      </w:r>
      <w:r w:rsidRPr="00687A1C">
        <w:t xml:space="preserve">s and VPS6 staff, which supports the identification, prevention, and ways to address mental injury and illness, as well as promoting positive mental wellbeing at work. </w:t>
      </w:r>
    </w:p>
    <w:p w:rsidR="00CA32A5" w:rsidRPr="00687A1C" w:rsidRDefault="006050B1" w:rsidP="00926F99">
      <w:r w:rsidRPr="00687A1C">
        <w:br w:type="column"/>
      </w:r>
      <w:r w:rsidR="00CA32A5" w:rsidRPr="00687A1C">
        <w:lastRenderedPageBreak/>
        <w:t>Throughout 2017–18, the Department undertook a review of its OHS policies to ensure they align with the Charter</w:t>
      </w:r>
      <w:r w:rsidR="009469FE" w:rsidRPr="00687A1C">
        <w:t>’</w:t>
      </w:r>
      <w:r w:rsidR="00CA32A5" w:rsidRPr="00687A1C">
        <w:t>s objectives, developed a new Mental Health Incident Management process and delivered a series of education sessions on bullying and sexual harassment. DTF arranged seminars and activities throughout the health and safety month of October and provided res</w:t>
      </w:r>
      <w:r w:rsidR="00A8488E" w:rsidRPr="00687A1C">
        <w:t>ilience seminars for all staff.</w:t>
      </w:r>
      <w:r w:rsidR="00926F99" w:rsidRPr="00687A1C">
        <w:t xml:space="preserve"> </w:t>
      </w:r>
      <w:r w:rsidR="00CA32A5" w:rsidRPr="00687A1C">
        <w:t>Strong commitment to health</w:t>
      </w:r>
      <w:r w:rsidR="007D2DFC" w:rsidRPr="00687A1C">
        <w:t>,</w:t>
      </w:r>
      <w:r w:rsidR="00CA32A5" w:rsidRPr="00687A1C">
        <w:t xml:space="preserve"> safety and wellbeing has been ongoing throughout the year</w:t>
      </w:r>
      <w:r w:rsidR="00C263BF" w:rsidRPr="00687A1C">
        <w:t>,</w:t>
      </w:r>
      <w:r w:rsidR="00CA32A5" w:rsidRPr="00687A1C">
        <w:t xml:space="preserve"> with active participation by the Department in the Victorian </w:t>
      </w:r>
      <w:r w:rsidR="007D2DFC" w:rsidRPr="00687A1C">
        <w:t xml:space="preserve">public service </w:t>
      </w:r>
      <w:r w:rsidR="00CA32A5" w:rsidRPr="00687A1C">
        <w:t>OHS committees and working groups</w:t>
      </w:r>
      <w:r w:rsidR="00472CA1" w:rsidRPr="00687A1C">
        <w:t xml:space="preserve">. </w:t>
      </w:r>
    </w:p>
    <w:p w:rsidR="00D740EE" w:rsidRPr="00687A1C" w:rsidRDefault="00D740EE" w:rsidP="00D740EE">
      <w:pPr>
        <w:pStyle w:val="Heading2"/>
      </w:pPr>
      <w:bookmarkStart w:id="168" w:name="_Ref492626859"/>
      <w:r w:rsidRPr="00687A1C">
        <w:t>Human Rights Charter</w:t>
      </w:r>
      <w:bookmarkEnd w:id="168"/>
    </w:p>
    <w:p w:rsidR="00CA32A5" w:rsidRPr="00687A1C" w:rsidRDefault="00CA32A5" w:rsidP="00926F99">
      <w:r w:rsidRPr="00687A1C">
        <w:t>Throughout 2017</w:t>
      </w:r>
      <w:r w:rsidRPr="00687A1C">
        <w:noBreakHyphen/>
        <w:t>18, DTF</w:t>
      </w:r>
      <w:r w:rsidR="009469FE" w:rsidRPr="00687A1C">
        <w:t>’</w:t>
      </w:r>
      <w:r w:rsidRPr="00687A1C">
        <w:t xml:space="preserve">s employees continued to consider human rights in the course of their work on submissions to Cabinet on matters that would affect members of the public. Commitment to the Human Rights Charter forms part of our public sector values, </w:t>
      </w:r>
      <w:r w:rsidR="00852225" w:rsidRPr="00687A1C">
        <w:t xml:space="preserve">and is </w:t>
      </w:r>
      <w:r w:rsidRPr="00687A1C">
        <w:t>highlighted for all new staff during DTF</w:t>
      </w:r>
      <w:r w:rsidR="009469FE" w:rsidRPr="00687A1C">
        <w:t>’</w:t>
      </w:r>
      <w:r w:rsidRPr="00687A1C">
        <w:t>s corporate induction.</w:t>
      </w:r>
    </w:p>
    <w:p w:rsidR="00CA32A5" w:rsidRPr="00687A1C" w:rsidRDefault="00CA32A5" w:rsidP="00CA32A5">
      <w:r w:rsidRPr="00687A1C">
        <w:t>Given the nature of its portfolio, the Department</w:t>
      </w:r>
      <w:r w:rsidR="009469FE" w:rsidRPr="00687A1C">
        <w:t>’</w:t>
      </w:r>
      <w:r w:rsidRPr="00687A1C">
        <w:t>s interactions with the public tend to focus on individuals who are either currently engaged, or are seeking to be engaged, by DTF for a specific purpose. These include individuals who are job applicants, employees, tenderers, contractors, Board appointees, purchasers, landlords and tenants of government land.</w:t>
      </w:r>
    </w:p>
    <w:p w:rsidR="006E7CD5" w:rsidRPr="00687A1C" w:rsidRDefault="00CA32A5" w:rsidP="00CA32A5">
      <w:r w:rsidRPr="00687A1C">
        <w:t>To guide interactions with these individuals, the Department has various policies and processes in place to protect the</w:t>
      </w:r>
      <w:r w:rsidR="00852225" w:rsidRPr="00687A1C">
        <w:t>ir</w:t>
      </w:r>
      <w:r w:rsidRPr="00687A1C">
        <w:t xml:space="preserve"> rights. These include privacy, equal opportunity, OHS, protected disclosure and employment policies. </w:t>
      </w:r>
    </w:p>
    <w:p w:rsidR="009253F0" w:rsidRPr="00687A1C" w:rsidRDefault="009253F0" w:rsidP="00CA32A5"/>
    <w:p w:rsidR="0011669B" w:rsidRPr="00687A1C" w:rsidRDefault="00926F99" w:rsidP="009253F0">
      <w:pPr>
        <w:pStyle w:val="Heading2"/>
      </w:pPr>
      <w:r w:rsidRPr="00687A1C">
        <w:br w:type="column"/>
      </w:r>
      <w:r w:rsidR="0011669B" w:rsidRPr="00687A1C">
        <w:t>No</w:t>
      </w:r>
      <w:r w:rsidR="00B1250D" w:rsidRPr="00687A1C">
        <w:t xml:space="preserve">tes for all tables in Appendix </w:t>
      </w:r>
      <w:r w:rsidR="007D55CC" w:rsidRPr="00687A1C">
        <w:t>1</w:t>
      </w:r>
    </w:p>
    <w:p w:rsidR="007007C5" w:rsidRPr="00687A1C" w:rsidRDefault="007007C5" w:rsidP="007007C5">
      <w:pPr>
        <w:pStyle w:val="Notes"/>
        <w:ind w:left="270" w:hanging="270"/>
      </w:pPr>
      <w:r w:rsidRPr="00687A1C">
        <w:t xml:space="preserve">1. </w:t>
      </w:r>
      <w:r w:rsidRPr="00687A1C">
        <w:tab/>
        <w:t>All figures reflect employment levels during the last pay period of June of each year unless otherwise stated.</w:t>
      </w:r>
    </w:p>
    <w:p w:rsidR="007007C5" w:rsidRPr="00687A1C" w:rsidRDefault="007007C5" w:rsidP="007007C5">
      <w:pPr>
        <w:pStyle w:val="Notes"/>
        <w:ind w:left="270" w:hanging="270"/>
      </w:pPr>
      <w:r w:rsidRPr="00687A1C">
        <w:t xml:space="preserve">2. </w:t>
      </w:r>
      <w:r w:rsidRPr="00687A1C">
        <w:tab/>
        <w:t>Ongoing employees means people engaged on an open</w:t>
      </w:r>
      <w:r w:rsidR="00B336DF" w:rsidRPr="00687A1C">
        <w:noBreakHyphen/>
      </w:r>
      <w:r w:rsidRPr="00687A1C">
        <w:t>ended contract of employment and executives engaged on a standard executive contract who were active in the last pay period of June.</w:t>
      </w:r>
    </w:p>
    <w:p w:rsidR="007007C5" w:rsidRPr="00687A1C" w:rsidRDefault="007007C5" w:rsidP="007007C5">
      <w:pPr>
        <w:pStyle w:val="Notes"/>
        <w:ind w:left="270" w:hanging="270"/>
      </w:pPr>
      <w:r w:rsidRPr="00687A1C">
        <w:t xml:space="preserve">3. </w:t>
      </w:r>
      <w:r w:rsidRPr="00687A1C">
        <w:tab/>
        <w:t>FTE means full</w:t>
      </w:r>
      <w:r w:rsidR="00B336DF" w:rsidRPr="00687A1C">
        <w:noBreakHyphen/>
      </w:r>
      <w:r w:rsidRPr="00687A1C">
        <w:t>time equivalent.</w:t>
      </w:r>
    </w:p>
    <w:p w:rsidR="007007C5" w:rsidRPr="00687A1C" w:rsidRDefault="007007C5" w:rsidP="007007C5">
      <w:pPr>
        <w:pStyle w:val="Notes"/>
        <w:ind w:left="270" w:hanging="270"/>
      </w:pPr>
      <w:r w:rsidRPr="00687A1C">
        <w:t xml:space="preserve">4. </w:t>
      </w:r>
      <w:r w:rsidRPr="00687A1C">
        <w:tab/>
        <w:t>Excluded are those on leave without pay or absent on secondment, external contractors/consultants and temporary staff employed by employment agencies.</w:t>
      </w:r>
    </w:p>
    <w:p w:rsidR="007007C5" w:rsidRPr="00687A1C" w:rsidRDefault="007007C5" w:rsidP="007007C5">
      <w:pPr>
        <w:pStyle w:val="Notes"/>
        <w:ind w:left="270" w:hanging="270"/>
      </w:pPr>
      <w:r w:rsidRPr="00687A1C">
        <w:t>5.</w:t>
      </w:r>
      <w:r w:rsidRPr="00687A1C">
        <w:tab/>
        <w:t>STS means senior technical specialist.</w:t>
      </w:r>
    </w:p>
    <w:p w:rsidR="00E31CED" w:rsidRPr="00687A1C" w:rsidRDefault="00E31CED" w:rsidP="007007C5">
      <w:pPr>
        <w:pStyle w:val="Notes"/>
        <w:ind w:left="270" w:hanging="270"/>
      </w:pPr>
      <w:r w:rsidRPr="00687A1C">
        <w:t>6.</w:t>
      </w:r>
      <w:r w:rsidRPr="00687A1C">
        <w:tab/>
      </w:r>
      <w:r w:rsidR="009469FE" w:rsidRPr="00687A1C">
        <w:t>‘</w:t>
      </w:r>
      <w:r w:rsidRPr="00687A1C">
        <w:t>Other</w:t>
      </w:r>
      <w:r w:rsidR="009469FE" w:rsidRPr="00687A1C">
        <w:t>’</w:t>
      </w:r>
      <w:r w:rsidRPr="00687A1C">
        <w:t xml:space="preserve"> means any employee classified as a Legal Officer under the VPS Aligned Adaptive Structures.</w:t>
      </w:r>
    </w:p>
    <w:p w:rsidR="0011669B" w:rsidRPr="00687A1C" w:rsidRDefault="0011669B" w:rsidP="0011669B">
      <w:pPr>
        <w:pStyle w:val="Notes"/>
        <w:ind w:left="270" w:hanging="270"/>
        <w:rPr>
          <w:rFonts w:cstheme="minorHAnsi"/>
        </w:rPr>
      </w:pPr>
    </w:p>
    <w:p w:rsidR="00154E75" w:rsidRPr="00687A1C" w:rsidRDefault="00154E75" w:rsidP="00154E75">
      <w:pPr>
        <w:sectPr w:rsidR="00154E75" w:rsidRPr="00687A1C" w:rsidSect="0028555D">
          <w:type w:val="continuous"/>
          <w:pgSz w:w="11909" w:h="16834" w:code="9"/>
          <w:pgMar w:top="1728" w:right="1152" w:bottom="1260" w:left="1152" w:header="720" w:footer="288" w:gutter="0"/>
          <w:cols w:num="2" w:space="720"/>
          <w:noEndnote/>
        </w:sectPr>
      </w:pPr>
    </w:p>
    <w:p w:rsidR="00154E75" w:rsidRPr="00687A1C" w:rsidRDefault="00154E75" w:rsidP="00154E75">
      <w:pPr>
        <w:pStyle w:val="Heading2"/>
      </w:pPr>
      <w:r w:rsidRPr="00687A1C">
        <w:lastRenderedPageBreak/>
        <w:t>Comparative workforce data</w:t>
      </w:r>
    </w:p>
    <w:p w:rsidR="00154E75" w:rsidRPr="00687A1C" w:rsidRDefault="00154E75" w:rsidP="00154E75">
      <w:r w:rsidRPr="00687A1C">
        <w:t>The following table discloses the head count and full</w:t>
      </w:r>
      <w:r w:rsidR="00B336DF" w:rsidRPr="00687A1C">
        <w:noBreakHyphen/>
      </w:r>
      <w:r w:rsidRPr="00687A1C">
        <w:t>time staff equivalent (FTE) of all active public service employees of the Department, employed in the last full pay period in June of the current reporting period, and in the last full pay period in June (2017) of the previous reporting period (2016).</w:t>
      </w:r>
    </w:p>
    <w:p w:rsidR="00A5358C" w:rsidRPr="00687A1C" w:rsidRDefault="00A5358C" w:rsidP="0021241E">
      <w:pPr>
        <w:pStyle w:val="Heading4"/>
      </w:pPr>
      <w:bookmarkStart w:id="169" w:name="_Ref492626580"/>
      <w:r w:rsidRPr="00687A1C">
        <w:t>Profile of Department of Treasury and Finance</w:t>
      </w:r>
      <w:r w:rsidR="009469FE" w:rsidRPr="00687A1C">
        <w:t>’</w:t>
      </w:r>
      <w:r w:rsidRPr="00687A1C">
        <w:t>s workforce: June 201</w:t>
      </w:r>
      <w:bookmarkEnd w:id="169"/>
      <w:r w:rsidR="00352A50" w:rsidRPr="00687A1C">
        <w:t>8</w:t>
      </w:r>
    </w:p>
    <w:tbl>
      <w:tblPr>
        <w:tblW w:w="13867" w:type="dxa"/>
        <w:tblLayout w:type="fixed"/>
        <w:tblCellMar>
          <w:left w:w="43" w:type="dxa"/>
          <w:right w:w="43" w:type="dxa"/>
        </w:tblCellMar>
        <w:tblLook w:val="0000" w:firstRow="0" w:lastRow="0" w:firstColumn="0" w:lastColumn="0" w:noHBand="0" w:noVBand="0"/>
      </w:tblPr>
      <w:tblGrid>
        <w:gridCol w:w="1483"/>
        <w:gridCol w:w="950"/>
        <w:gridCol w:w="778"/>
        <w:gridCol w:w="979"/>
        <w:gridCol w:w="979"/>
        <w:gridCol w:w="778"/>
        <w:gridCol w:w="950"/>
        <w:gridCol w:w="778"/>
        <w:gridCol w:w="950"/>
        <w:gridCol w:w="778"/>
        <w:gridCol w:w="979"/>
        <w:gridCol w:w="979"/>
        <w:gridCol w:w="778"/>
        <w:gridCol w:w="950"/>
        <w:gridCol w:w="778"/>
      </w:tblGrid>
      <w:tr w:rsidR="00722E5C" w:rsidRPr="00687A1C" w:rsidTr="00722E5C">
        <w:trPr>
          <w:cantSplit/>
        </w:trPr>
        <w:tc>
          <w:tcPr>
            <w:tcW w:w="1483" w:type="dxa"/>
            <w:shd w:val="clear" w:color="auto" w:fill="auto"/>
          </w:tcPr>
          <w:p w:rsidR="00722E5C" w:rsidRPr="00687A1C" w:rsidRDefault="00722E5C" w:rsidP="00E67247">
            <w:pPr>
              <w:pStyle w:val="Tabletext"/>
            </w:pPr>
          </w:p>
        </w:tc>
        <w:tc>
          <w:tcPr>
            <w:tcW w:w="6192" w:type="dxa"/>
            <w:gridSpan w:val="7"/>
            <w:shd w:val="clear" w:color="auto" w:fill="E0E0E0"/>
            <w:vAlign w:val="bottom"/>
          </w:tcPr>
          <w:p w:rsidR="00722E5C" w:rsidRPr="00687A1C" w:rsidRDefault="00352A50" w:rsidP="005A4319">
            <w:pPr>
              <w:pStyle w:val="Tabletextheadingcentred"/>
            </w:pPr>
            <w:r w:rsidRPr="00687A1C">
              <w:t>June 2018</w:t>
            </w:r>
          </w:p>
        </w:tc>
        <w:tc>
          <w:tcPr>
            <w:tcW w:w="6192" w:type="dxa"/>
            <w:gridSpan w:val="7"/>
            <w:shd w:val="clear" w:color="auto" w:fill="auto"/>
            <w:noWrap/>
            <w:vAlign w:val="bottom"/>
          </w:tcPr>
          <w:p w:rsidR="00722E5C" w:rsidRPr="00687A1C" w:rsidRDefault="00352A50" w:rsidP="005A4319">
            <w:pPr>
              <w:pStyle w:val="Tabletextheadingcentred"/>
            </w:pPr>
            <w:r w:rsidRPr="00687A1C">
              <w:t>June 2017</w:t>
            </w:r>
          </w:p>
        </w:tc>
      </w:tr>
      <w:tr w:rsidR="00722E5C" w:rsidRPr="00687A1C" w:rsidTr="00722E5C">
        <w:trPr>
          <w:cantSplit/>
        </w:trPr>
        <w:tc>
          <w:tcPr>
            <w:tcW w:w="1483" w:type="dxa"/>
            <w:shd w:val="clear" w:color="auto" w:fill="auto"/>
          </w:tcPr>
          <w:p w:rsidR="00722E5C" w:rsidRPr="00687A1C" w:rsidRDefault="00722E5C" w:rsidP="00E67247">
            <w:pPr>
              <w:pStyle w:val="Tabletext"/>
            </w:pPr>
          </w:p>
        </w:tc>
        <w:tc>
          <w:tcPr>
            <w:tcW w:w="1728" w:type="dxa"/>
            <w:gridSpan w:val="2"/>
            <w:shd w:val="clear" w:color="auto" w:fill="auto"/>
            <w:vAlign w:val="bottom"/>
          </w:tcPr>
          <w:p w:rsidR="00722E5C" w:rsidRPr="00687A1C" w:rsidRDefault="00722E5C" w:rsidP="005A4319">
            <w:pPr>
              <w:pStyle w:val="Tabletextheadingcentred"/>
              <w:spacing w:after="20"/>
            </w:pPr>
            <w:r w:rsidRPr="00687A1C">
              <w:t>All employees</w:t>
            </w:r>
          </w:p>
        </w:tc>
        <w:tc>
          <w:tcPr>
            <w:tcW w:w="2736" w:type="dxa"/>
            <w:gridSpan w:val="3"/>
            <w:shd w:val="clear" w:color="auto" w:fill="auto"/>
            <w:vAlign w:val="bottom"/>
          </w:tcPr>
          <w:p w:rsidR="00722E5C" w:rsidRPr="00687A1C" w:rsidRDefault="00722E5C" w:rsidP="005A4319">
            <w:pPr>
              <w:pStyle w:val="Tabletextheadingcentred"/>
              <w:spacing w:after="20"/>
            </w:pPr>
            <w:r w:rsidRPr="00687A1C">
              <w:t>Ongoing</w:t>
            </w:r>
          </w:p>
        </w:tc>
        <w:tc>
          <w:tcPr>
            <w:tcW w:w="1728" w:type="dxa"/>
            <w:gridSpan w:val="2"/>
            <w:shd w:val="clear" w:color="auto" w:fill="auto"/>
          </w:tcPr>
          <w:p w:rsidR="00722E5C" w:rsidRPr="00687A1C" w:rsidRDefault="00722E5C" w:rsidP="005A4319">
            <w:pPr>
              <w:pStyle w:val="Tabletextheadingcentred"/>
              <w:spacing w:after="20"/>
              <w:rPr>
                <w:rFonts w:cstheme="minorHAnsi"/>
              </w:rPr>
            </w:pPr>
            <w:r w:rsidRPr="00687A1C">
              <w:t>Fixed term</w:t>
            </w:r>
            <w:r w:rsidRPr="00687A1C">
              <w:br/>
              <w:t>and casual</w:t>
            </w:r>
          </w:p>
        </w:tc>
        <w:tc>
          <w:tcPr>
            <w:tcW w:w="1728" w:type="dxa"/>
            <w:gridSpan w:val="2"/>
            <w:shd w:val="clear" w:color="auto" w:fill="auto"/>
            <w:noWrap/>
            <w:vAlign w:val="bottom"/>
          </w:tcPr>
          <w:p w:rsidR="00722E5C" w:rsidRPr="00687A1C" w:rsidRDefault="00722E5C" w:rsidP="005A4319">
            <w:pPr>
              <w:pStyle w:val="Tabletextheadingcentred"/>
              <w:spacing w:after="20"/>
            </w:pPr>
            <w:r w:rsidRPr="00687A1C">
              <w:t>All employees</w:t>
            </w:r>
          </w:p>
        </w:tc>
        <w:tc>
          <w:tcPr>
            <w:tcW w:w="2736" w:type="dxa"/>
            <w:gridSpan w:val="3"/>
            <w:shd w:val="clear" w:color="auto" w:fill="auto"/>
            <w:noWrap/>
            <w:vAlign w:val="bottom"/>
          </w:tcPr>
          <w:p w:rsidR="00722E5C" w:rsidRPr="00687A1C" w:rsidRDefault="00722E5C" w:rsidP="005A4319">
            <w:pPr>
              <w:pStyle w:val="Tabletextheadingcentred"/>
              <w:spacing w:after="20"/>
            </w:pPr>
            <w:r w:rsidRPr="00687A1C">
              <w:t>Ongoing</w:t>
            </w:r>
          </w:p>
        </w:tc>
        <w:tc>
          <w:tcPr>
            <w:tcW w:w="1728" w:type="dxa"/>
            <w:gridSpan w:val="2"/>
          </w:tcPr>
          <w:p w:rsidR="00722E5C" w:rsidRPr="00687A1C" w:rsidRDefault="00722E5C" w:rsidP="005A4319">
            <w:pPr>
              <w:pStyle w:val="Tabletextheadingcentred"/>
              <w:spacing w:after="20"/>
              <w:rPr>
                <w:rFonts w:cstheme="minorHAnsi"/>
              </w:rPr>
            </w:pPr>
            <w:r w:rsidRPr="00687A1C">
              <w:t>Fixed term</w:t>
            </w:r>
            <w:r w:rsidRPr="00687A1C">
              <w:br/>
              <w:t>and casual</w:t>
            </w:r>
          </w:p>
        </w:tc>
      </w:tr>
      <w:tr w:rsidR="00722E5C" w:rsidRPr="00687A1C" w:rsidTr="00722E5C">
        <w:trPr>
          <w:cantSplit/>
        </w:trPr>
        <w:tc>
          <w:tcPr>
            <w:tcW w:w="1483" w:type="dxa"/>
            <w:shd w:val="clear" w:color="auto" w:fill="auto"/>
          </w:tcPr>
          <w:p w:rsidR="00722E5C" w:rsidRPr="00687A1C" w:rsidRDefault="00722E5C" w:rsidP="00E67247">
            <w:pPr>
              <w:pStyle w:val="Tabletext"/>
            </w:pPr>
          </w:p>
        </w:tc>
        <w:tc>
          <w:tcPr>
            <w:tcW w:w="950" w:type="dxa"/>
            <w:shd w:val="clear" w:color="auto" w:fill="auto"/>
            <w:vAlign w:val="bottom"/>
          </w:tcPr>
          <w:p w:rsidR="00722E5C" w:rsidRPr="00687A1C" w:rsidRDefault="00722E5C" w:rsidP="00E67247">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722E5C" w:rsidRPr="00687A1C" w:rsidRDefault="00722E5C" w:rsidP="00E67247">
            <w:pPr>
              <w:pStyle w:val="Tabletextheadingright"/>
              <w:rPr>
                <w:rFonts w:cstheme="minorHAnsi"/>
              </w:rPr>
            </w:pPr>
            <w:r w:rsidRPr="00687A1C">
              <w:rPr>
                <w:rFonts w:cstheme="minorHAnsi"/>
              </w:rPr>
              <w:t>FTE</w:t>
            </w:r>
          </w:p>
        </w:tc>
        <w:tc>
          <w:tcPr>
            <w:tcW w:w="979" w:type="dxa"/>
            <w:shd w:val="clear" w:color="auto" w:fill="auto"/>
            <w:vAlign w:val="bottom"/>
          </w:tcPr>
          <w:p w:rsidR="00722E5C" w:rsidRPr="00687A1C" w:rsidRDefault="00722E5C" w:rsidP="00E67247">
            <w:pPr>
              <w:pStyle w:val="Tabletextheadingright"/>
              <w:rPr>
                <w:rFonts w:cstheme="minorHAnsi"/>
              </w:rPr>
            </w:pPr>
            <w:r w:rsidRPr="00687A1C">
              <w:rPr>
                <w:rFonts w:cstheme="minorHAnsi"/>
              </w:rPr>
              <w:t>Full</w:t>
            </w:r>
            <w:r w:rsidR="00B336DF" w:rsidRPr="00687A1C">
              <w:rPr>
                <w:rFonts w:cstheme="minorHAnsi"/>
              </w:rPr>
              <w:noBreakHyphen/>
            </w:r>
            <w:r w:rsidRPr="00687A1C">
              <w:rPr>
                <w:rFonts w:cstheme="minorHAnsi"/>
              </w:rPr>
              <w:t xml:space="preserve">time </w:t>
            </w:r>
            <w:r w:rsidRPr="00687A1C">
              <w:rPr>
                <w:rFonts w:cstheme="minorHAnsi"/>
                <w:sz w:val="14"/>
              </w:rPr>
              <w:t>(headcount)</w:t>
            </w:r>
          </w:p>
        </w:tc>
        <w:tc>
          <w:tcPr>
            <w:tcW w:w="979" w:type="dxa"/>
            <w:shd w:val="clear" w:color="auto" w:fill="auto"/>
          </w:tcPr>
          <w:p w:rsidR="00722E5C" w:rsidRPr="00687A1C" w:rsidRDefault="00722E5C" w:rsidP="00E67247">
            <w:pPr>
              <w:pStyle w:val="Tabletextheadingright"/>
              <w:rPr>
                <w:rFonts w:cstheme="minorHAnsi"/>
              </w:rPr>
            </w:pPr>
            <w:r w:rsidRPr="00687A1C">
              <w:rPr>
                <w:rFonts w:cstheme="minorHAnsi"/>
              </w:rPr>
              <w:t>Part</w:t>
            </w:r>
            <w:r w:rsidR="00B336DF" w:rsidRPr="00687A1C">
              <w:rPr>
                <w:rFonts w:cstheme="minorHAnsi"/>
              </w:rPr>
              <w:noBreakHyphen/>
            </w:r>
            <w:r w:rsidRPr="00687A1C">
              <w:rPr>
                <w:rFonts w:cstheme="minorHAnsi"/>
              </w:rPr>
              <w:t>time</w:t>
            </w:r>
            <w:r w:rsidRPr="00687A1C">
              <w:rPr>
                <w:rFonts w:cstheme="minorHAnsi"/>
              </w:rPr>
              <w:br/>
            </w:r>
            <w:r w:rsidRPr="00687A1C">
              <w:rPr>
                <w:rFonts w:cstheme="minorHAnsi"/>
                <w:sz w:val="14"/>
              </w:rPr>
              <w:t>(headcount)</w:t>
            </w:r>
          </w:p>
        </w:tc>
        <w:tc>
          <w:tcPr>
            <w:tcW w:w="778" w:type="dxa"/>
            <w:shd w:val="clear" w:color="auto" w:fill="auto"/>
          </w:tcPr>
          <w:p w:rsidR="00722E5C" w:rsidRPr="00687A1C" w:rsidRDefault="00722E5C" w:rsidP="00E67247">
            <w:pPr>
              <w:pStyle w:val="Tabletextheadingright"/>
              <w:rPr>
                <w:rFonts w:cstheme="minorHAnsi"/>
              </w:rPr>
            </w:pPr>
            <w:r w:rsidRPr="00687A1C">
              <w:rPr>
                <w:rFonts w:cstheme="minorHAnsi"/>
              </w:rPr>
              <w:t>FTE</w:t>
            </w:r>
          </w:p>
        </w:tc>
        <w:tc>
          <w:tcPr>
            <w:tcW w:w="950" w:type="dxa"/>
            <w:shd w:val="clear" w:color="auto" w:fill="auto"/>
          </w:tcPr>
          <w:p w:rsidR="00722E5C" w:rsidRPr="00687A1C" w:rsidRDefault="00722E5C" w:rsidP="00E67247">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tcPr>
          <w:p w:rsidR="00722E5C" w:rsidRPr="00687A1C" w:rsidRDefault="00722E5C" w:rsidP="00E67247">
            <w:pPr>
              <w:pStyle w:val="Tabletextheadingright"/>
              <w:rPr>
                <w:rFonts w:cstheme="minorHAnsi"/>
              </w:rPr>
            </w:pPr>
            <w:r w:rsidRPr="00687A1C">
              <w:rPr>
                <w:rFonts w:cstheme="minorHAnsi"/>
              </w:rPr>
              <w:t>FTE</w:t>
            </w:r>
          </w:p>
        </w:tc>
        <w:tc>
          <w:tcPr>
            <w:tcW w:w="950" w:type="dxa"/>
            <w:shd w:val="clear" w:color="auto" w:fill="auto"/>
            <w:noWrap/>
            <w:vAlign w:val="bottom"/>
          </w:tcPr>
          <w:p w:rsidR="00722E5C" w:rsidRPr="00687A1C" w:rsidRDefault="00722E5C" w:rsidP="00E67247">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722E5C" w:rsidRPr="00687A1C" w:rsidRDefault="00722E5C" w:rsidP="00E67247">
            <w:pPr>
              <w:pStyle w:val="Tabletextheadingright"/>
              <w:rPr>
                <w:rFonts w:cstheme="minorHAnsi"/>
              </w:rPr>
            </w:pPr>
            <w:r w:rsidRPr="00687A1C">
              <w:rPr>
                <w:rFonts w:cstheme="minorHAnsi"/>
              </w:rPr>
              <w:t>FTE</w:t>
            </w:r>
          </w:p>
        </w:tc>
        <w:tc>
          <w:tcPr>
            <w:tcW w:w="979" w:type="dxa"/>
            <w:shd w:val="clear" w:color="auto" w:fill="auto"/>
            <w:noWrap/>
            <w:vAlign w:val="bottom"/>
          </w:tcPr>
          <w:p w:rsidR="00722E5C" w:rsidRPr="00687A1C" w:rsidRDefault="00722E5C" w:rsidP="00E67247">
            <w:pPr>
              <w:pStyle w:val="Tabletextheadingright"/>
              <w:rPr>
                <w:rFonts w:cstheme="minorHAnsi"/>
              </w:rPr>
            </w:pPr>
            <w:r w:rsidRPr="00687A1C">
              <w:rPr>
                <w:rFonts w:cstheme="minorHAnsi"/>
              </w:rPr>
              <w:t>Full</w:t>
            </w:r>
            <w:r w:rsidR="00B336DF" w:rsidRPr="00687A1C">
              <w:rPr>
                <w:rFonts w:cstheme="minorHAnsi"/>
              </w:rPr>
              <w:noBreakHyphen/>
            </w:r>
            <w:r w:rsidRPr="00687A1C">
              <w:rPr>
                <w:rFonts w:cstheme="minorHAnsi"/>
              </w:rPr>
              <w:t xml:space="preserve">time </w:t>
            </w:r>
            <w:r w:rsidRPr="00687A1C">
              <w:rPr>
                <w:rFonts w:cstheme="minorHAnsi"/>
                <w:sz w:val="14"/>
              </w:rPr>
              <w:t>(headcount)</w:t>
            </w:r>
          </w:p>
        </w:tc>
        <w:tc>
          <w:tcPr>
            <w:tcW w:w="979" w:type="dxa"/>
            <w:shd w:val="clear" w:color="auto" w:fill="auto"/>
          </w:tcPr>
          <w:p w:rsidR="00722E5C" w:rsidRPr="00687A1C" w:rsidRDefault="00722E5C" w:rsidP="00E67247">
            <w:pPr>
              <w:pStyle w:val="Tabletextheadingright"/>
              <w:rPr>
                <w:rFonts w:cstheme="minorHAnsi"/>
              </w:rPr>
            </w:pPr>
            <w:r w:rsidRPr="00687A1C">
              <w:rPr>
                <w:rFonts w:cstheme="minorHAnsi"/>
              </w:rPr>
              <w:t>Part</w:t>
            </w:r>
            <w:r w:rsidR="00B336DF" w:rsidRPr="00687A1C">
              <w:rPr>
                <w:rFonts w:cstheme="minorHAnsi"/>
              </w:rPr>
              <w:noBreakHyphen/>
            </w:r>
            <w:r w:rsidRPr="00687A1C">
              <w:rPr>
                <w:rFonts w:cstheme="minorHAnsi"/>
              </w:rPr>
              <w:t>time</w:t>
            </w:r>
            <w:r w:rsidRPr="00687A1C">
              <w:rPr>
                <w:rFonts w:cstheme="minorHAnsi"/>
              </w:rPr>
              <w:br/>
            </w:r>
            <w:r w:rsidRPr="00687A1C">
              <w:rPr>
                <w:rFonts w:cstheme="minorHAnsi"/>
                <w:sz w:val="14"/>
              </w:rPr>
              <w:t>(headcount)</w:t>
            </w:r>
          </w:p>
        </w:tc>
        <w:tc>
          <w:tcPr>
            <w:tcW w:w="778" w:type="dxa"/>
            <w:shd w:val="clear" w:color="auto" w:fill="auto"/>
          </w:tcPr>
          <w:p w:rsidR="00722E5C" w:rsidRPr="00687A1C" w:rsidRDefault="00722E5C" w:rsidP="00E67247">
            <w:pPr>
              <w:pStyle w:val="Tabletextheadingright"/>
              <w:rPr>
                <w:rFonts w:cstheme="minorHAnsi"/>
              </w:rPr>
            </w:pPr>
            <w:r w:rsidRPr="00687A1C">
              <w:rPr>
                <w:rFonts w:cstheme="minorHAnsi"/>
              </w:rPr>
              <w:t>FTE</w:t>
            </w:r>
          </w:p>
        </w:tc>
        <w:tc>
          <w:tcPr>
            <w:tcW w:w="950" w:type="dxa"/>
          </w:tcPr>
          <w:p w:rsidR="00722E5C" w:rsidRPr="00687A1C" w:rsidRDefault="00722E5C" w:rsidP="00E67247">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tcPr>
          <w:p w:rsidR="00722E5C" w:rsidRPr="00687A1C" w:rsidRDefault="00722E5C" w:rsidP="00E67247">
            <w:pPr>
              <w:pStyle w:val="Tabletextheadingright"/>
              <w:rPr>
                <w:rFonts w:cstheme="minorHAnsi"/>
              </w:rPr>
            </w:pPr>
            <w:r w:rsidRPr="00687A1C">
              <w:rPr>
                <w:rFonts w:cstheme="minorHAnsi"/>
              </w:rPr>
              <w:t>FTE</w:t>
            </w:r>
          </w:p>
        </w:tc>
      </w:tr>
      <w:tr w:rsidR="00352A50" w:rsidRPr="00687A1C" w:rsidTr="00722E5C">
        <w:trPr>
          <w:cantSplit/>
        </w:trPr>
        <w:tc>
          <w:tcPr>
            <w:tcW w:w="1483" w:type="dxa"/>
            <w:shd w:val="clear" w:color="auto" w:fill="auto"/>
          </w:tcPr>
          <w:p w:rsidR="00352A50" w:rsidRPr="00687A1C" w:rsidRDefault="00352A50" w:rsidP="00E67247">
            <w:pPr>
              <w:pStyle w:val="Tabletext"/>
            </w:pPr>
            <w:r w:rsidRPr="00687A1C">
              <w:rPr>
                <w:rFonts w:cstheme="minorHAnsi"/>
                <w:b/>
              </w:rPr>
              <w:t>Gender</w:t>
            </w:r>
          </w:p>
        </w:tc>
        <w:tc>
          <w:tcPr>
            <w:tcW w:w="950" w:type="dxa"/>
            <w:shd w:val="clear" w:color="auto" w:fill="E0E0E0"/>
          </w:tcPr>
          <w:p w:rsidR="00352A50" w:rsidRPr="00687A1C" w:rsidRDefault="00352A50" w:rsidP="00E67247">
            <w:pPr>
              <w:pStyle w:val="Tabletextright"/>
              <w:rPr>
                <w:rFonts w:cstheme="minorHAnsi"/>
              </w:rPr>
            </w:pPr>
          </w:p>
        </w:tc>
        <w:tc>
          <w:tcPr>
            <w:tcW w:w="778" w:type="dxa"/>
            <w:shd w:val="clear" w:color="auto" w:fill="E0E0E0"/>
          </w:tcPr>
          <w:p w:rsidR="00352A50" w:rsidRPr="00687A1C" w:rsidRDefault="00352A50" w:rsidP="00E67247">
            <w:pPr>
              <w:pStyle w:val="Tabletextright"/>
              <w:rPr>
                <w:rFonts w:cstheme="minorHAnsi"/>
              </w:rPr>
            </w:pPr>
          </w:p>
        </w:tc>
        <w:tc>
          <w:tcPr>
            <w:tcW w:w="979" w:type="dxa"/>
            <w:shd w:val="clear" w:color="auto" w:fill="auto"/>
          </w:tcPr>
          <w:p w:rsidR="00352A50" w:rsidRPr="00687A1C" w:rsidRDefault="00352A50" w:rsidP="00E67247">
            <w:pPr>
              <w:pStyle w:val="Tabletextright"/>
              <w:rPr>
                <w:rFonts w:cstheme="minorHAnsi"/>
              </w:rPr>
            </w:pPr>
          </w:p>
        </w:tc>
        <w:tc>
          <w:tcPr>
            <w:tcW w:w="979" w:type="dxa"/>
            <w:shd w:val="clear" w:color="auto" w:fill="auto"/>
          </w:tcPr>
          <w:p w:rsidR="00352A50" w:rsidRPr="00687A1C" w:rsidRDefault="00352A50" w:rsidP="00E67247">
            <w:pPr>
              <w:pStyle w:val="Tabletextright"/>
            </w:pPr>
          </w:p>
        </w:tc>
        <w:tc>
          <w:tcPr>
            <w:tcW w:w="778" w:type="dxa"/>
            <w:shd w:val="clear" w:color="auto" w:fill="auto"/>
          </w:tcPr>
          <w:p w:rsidR="00352A50" w:rsidRPr="00687A1C" w:rsidRDefault="00352A50" w:rsidP="00E67247">
            <w:pPr>
              <w:pStyle w:val="Tabletextright"/>
            </w:pPr>
          </w:p>
        </w:tc>
        <w:tc>
          <w:tcPr>
            <w:tcW w:w="950" w:type="dxa"/>
            <w:shd w:val="clear" w:color="auto" w:fill="E0E0E0"/>
          </w:tcPr>
          <w:p w:rsidR="00352A50" w:rsidRPr="00687A1C" w:rsidRDefault="00352A50" w:rsidP="00E67247">
            <w:pPr>
              <w:pStyle w:val="Tabletextright"/>
            </w:pPr>
          </w:p>
        </w:tc>
        <w:tc>
          <w:tcPr>
            <w:tcW w:w="778" w:type="dxa"/>
            <w:shd w:val="clear" w:color="auto" w:fill="E0E0E0"/>
          </w:tcPr>
          <w:p w:rsidR="00352A50" w:rsidRPr="00687A1C" w:rsidRDefault="00352A50" w:rsidP="00E67247">
            <w:pPr>
              <w:pStyle w:val="Tabletextright"/>
            </w:pPr>
          </w:p>
        </w:tc>
        <w:tc>
          <w:tcPr>
            <w:tcW w:w="950" w:type="dxa"/>
            <w:shd w:val="clear" w:color="auto" w:fill="auto"/>
            <w:noWrap/>
          </w:tcPr>
          <w:p w:rsidR="00352A50" w:rsidRPr="00687A1C" w:rsidRDefault="00352A50" w:rsidP="00D57125">
            <w:pPr>
              <w:pStyle w:val="Tabletextright"/>
              <w:rPr>
                <w:rFonts w:cstheme="minorHAnsi"/>
              </w:rPr>
            </w:pPr>
          </w:p>
        </w:tc>
        <w:tc>
          <w:tcPr>
            <w:tcW w:w="778" w:type="dxa"/>
            <w:shd w:val="clear" w:color="auto" w:fill="auto"/>
          </w:tcPr>
          <w:p w:rsidR="00352A50" w:rsidRPr="00687A1C" w:rsidRDefault="00352A50" w:rsidP="00D57125">
            <w:pPr>
              <w:pStyle w:val="Tabletextright"/>
              <w:rPr>
                <w:rFonts w:cstheme="minorHAnsi"/>
              </w:rPr>
            </w:pPr>
          </w:p>
        </w:tc>
        <w:tc>
          <w:tcPr>
            <w:tcW w:w="979" w:type="dxa"/>
            <w:shd w:val="clear" w:color="auto" w:fill="E0E0E0"/>
            <w:noWrap/>
          </w:tcPr>
          <w:p w:rsidR="00352A50" w:rsidRPr="00687A1C" w:rsidRDefault="00352A50" w:rsidP="00D57125">
            <w:pPr>
              <w:pStyle w:val="Tabletextright"/>
              <w:rPr>
                <w:rFonts w:cstheme="minorHAnsi"/>
              </w:rPr>
            </w:pPr>
          </w:p>
        </w:tc>
        <w:tc>
          <w:tcPr>
            <w:tcW w:w="979" w:type="dxa"/>
            <w:shd w:val="clear" w:color="auto" w:fill="E0E0E0"/>
          </w:tcPr>
          <w:p w:rsidR="00352A50" w:rsidRPr="00687A1C" w:rsidRDefault="00352A50" w:rsidP="00D57125">
            <w:pPr>
              <w:pStyle w:val="Tabletextright"/>
            </w:pPr>
          </w:p>
        </w:tc>
        <w:tc>
          <w:tcPr>
            <w:tcW w:w="778" w:type="dxa"/>
            <w:shd w:val="clear" w:color="auto" w:fill="E0E0E0"/>
          </w:tcPr>
          <w:p w:rsidR="00352A50" w:rsidRPr="00687A1C" w:rsidRDefault="00352A50" w:rsidP="00D57125">
            <w:pPr>
              <w:pStyle w:val="Tabletextright"/>
            </w:pPr>
          </w:p>
        </w:tc>
        <w:tc>
          <w:tcPr>
            <w:tcW w:w="950" w:type="dxa"/>
          </w:tcPr>
          <w:p w:rsidR="00352A50" w:rsidRPr="00687A1C" w:rsidRDefault="00352A50" w:rsidP="00D57125">
            <w:pPr>
              <w:pStyle w:val="Tabletextright"/>
            </w:pPr>
          </w:p>
        </w:tc>
        <w:tc>
          <w:tcPr>
            <w:tcW w:w="778" w:type="dxa"/>
          </w:tcPr>
          <w:p w:rsidR="00352A50" w:rsidRPr="00687A1C" w:rsidRDefault="00352A50" w:rsidP="00D57125">
            <w:pPr>
              <w:pStyle w:val="Tabletextright"/>
            </w:pP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Male</w:t>
            </w:r>
          </w:p>
        </w:tc>
        <w:tc>
          <w:tcPr>
            <w:tcW w:w="950" w:type="dxa"/>
            <w:shd w:val="clear" w:color="auto" w:fill="E0E0E0"/>
            <w:vAlign w:val="bottom"/>
          </w:tcPr>
          <w:p w:rsidR="00C65F2A" w:rsidRPr="00687A1C" w:rsidRDefault="00C65F2A" w:rsidP="004145DE">
            <w:pPr>
              <w:pStyle w:val="Tabletextright"/>
            </w:pPr>
            <w:r w:rsidRPr="00687A1C">
              <w:t>321</w:t>
            </w:r>
          </w:p>
        </w:tc>
        <w:tc>
          <w:tcPr>
            <w:tcW w:w="778" w:type="dxa"/>
            <w:shd w:val="clear" w:color="auto" w:fill="E0E0E0"/>
            <w:vAlign w:val="bottom"/>
          </w:tcPr>
          <w:p w:rsidR="00C65F2A" w:rsidRPr="00687A1C" w:rsidRDefault="00C65F2A" w:rsidP="004145DE">
            <w:pPr>
              <w:pStyle w:val="Tabletextright"/>
            </w:pPr>
            <w:r w:rsidRPr="00687A1C">
              <w:t>315.19</w:t>
            </w:r>
          </w:p>
        </w:tc>
        <w:tc>
          <w:tcPr>
            <w:tcW w:w="979" w:type="dxa"/>
            <w:shd w:val="clear" w:color="auto" w:fill="auto"/>
            <w:vAlign w:val="bottom"/>
          </w:tcPr>
          <w:p w:rsidR="00C65F2A" w:rsidRPr="00687A1C" w:rsidRDefault="00C65F2A" w:rsidP="00C65F2A">
            <w:pPr>
              <w:pStyle w:val="Tabletextright"/>
            </w:pPr>
            <w:r w:rsidRPr="00687A1C">
              <w:t>282</w:t>
            </w:r>
          </w:p>
        </w:tc>
        <w:tc>
          <w:tcPr>
            <w:tcW w:w="979" w:type="dxa"/>
            <w:shd w:val="clear" w:color="auto" w:fill="auto"/>
            <w:vAlign w:val="bottom"/>
          </w:tcPr>
          <w:p w:rsidR="00C65F2A" w:rsidRPr="00687A1C" w:rsidRDefault="00C65F2A" w:rsidP="00C65F2A">
            <w:pPr>
              <w:pStyle w:val="Tabletextright"/>
            </w:pPr>
            <w:r w:rsidRPr="00687A1C">
              <w:t>18</w:t>
            </w:r>
          </w:p>
        </w:tc>
        <w:tc>
          <w:tcPr>
            <w:tcW w:w="778" w:type="dxa"/>
            <w:shd w:val="clear" w:color="auto" w:fill="auto"/>
            <w:vAlign w:val="bottom"/>
          </w:tcPr>
          <w:p w:rsidR="00C65F2A" w:rsidRPr="00687A1C" w:rsidRDefault="00C65F2A" w:rsidP="00C65F2A">
            <w:pPr>
              <w:pStyle w:val="Tabletextright"/>
            </w:pPr>
            <w:r w:rsidRPr="00687A1C">
              <w:t>295.63</w:t>
            </w:r>
          </w:p>
        </w:tc>
        <w:tc>
          <w:tcPr>
            <w:tcW w:w="950" w:type="dxa"/>
            <w:shd w:val="clear" w:color="auto" w:fill="E0E0E0"/>
            <w:vAlign w:val="bottom"/>
          </w:tcPr>
          <w:p w:rsidR="00C65F2A" w:rsidRPr="00687A1C" w:rsidRDefault="00C65F2A" w:rsidP="004145DE">
            <w:pPr>
              <w:pStyle w:val="Tabletextright"/>
            </w:pPr>
            <w:r w:rsidRPr="00687A1C">
              <w:t>21</w:t>
            </w:r>
          </w:p>
        </w:tc>
        <w:tc>
          <w:tcPr>
            <w:tcW w:w="778" w:type="dxa"/>
            <w:shd w:val="clear" w:color="auto" w:fill="E0E0E0"/>
            <w:vAlign w:val="bottom"/>
          </w:tcPr>
          <w:p w:rsidR="00C65F2A" w:rsidRPr="00687A1C" w:rsidRDefault="00C65F2A" w:rsidP="004145DE">
            <w:pPr>
              <w:pStyle w:val="Tabletextright"/>
            </w:pPr>
            <w:r w:rsidRPr="00687A1C">
              <w:t>19.57</w:t>
            </w:r>
          </w:p>
        </w:tc>
        <w:tc>
          <w:tcPr>
            <w:tcW w:w="950" w:type="dxa"/>
            <w:shd w:val="clear" w:color="auto" w:fill="auto"/>
            <w:noWrap/>
          </w:tcPr>
          <w:p w:rsidR="00C65F2A" w:rsidRPr="00687A1C" w:rsidRDefault="00C65F2A" w:rsidP="00D57125">
            <w:pPr>
              <w:pStyle w:val="Tabletextright"/>
            </w:pPr>
            <w:r w:rsidRPr="00687A1C">
              <w:t>314</w:t>
            </w:r>
          </w:p>
        </w:tc>
        <w:tc>
          <w:tcPr>
            <w:tcW w:w="778" w:type="dxa"/>
            <w:shd w:val="clear" w:color="auto" w:fill="auto"/>
          </w:tcPr>
          <w:p w:rsidR="00C65F2A" w:rsidRPr="00687A1C" w:rsidRDefault="00C65F2A" w:rsidP="00D57125">
            <w:pPr>
              <w:pStyle w:val="Tabletextright"/>
            </w:pPr>
            <w:r w:rsidRPr="00687A1C">
              <w:t>310.55</w:t>
            </w:r>
          </w:p>
        </w:tc>
        <w:tc>
          <w:tcPr>
            <w:tcW w:w="979" w:type="dxa"/>
            <w:shd w:val="clear" w:color="auto" w:fill="E0E0E0"/>
            <w:noWrap/>
          </w:tcPr>
          <w:p w:rsidR="00C65F2A" w:rsidRPr="00687A1C" w:rsidRDefault="00C65F2A" w:rsidP="00D57125">
            <w:pPr>
              <w:pStyle w:val="Tabletextright"/>
            </w:pPr>
            <w:r w:rsidRPr="00687A1C">
              <w:t>286</w:t>
            </w:r>
          </w:p>
        </w:tc>
        <w:tc>
          <w:tcPr>
            <w:tcW w:w="979" w:type="dxa"/>
            <w:shd w:val="clear" w:color="auto" w:fill="E0E0E0"/>
          </w:tcPr>
          <w:p w:rsidR="00C65F2A" w:rsidRPr="00687A1C" w:rsidRDefault="00C65F2A" w:rsidP="00D57125">
            <w:pPr>
              <w:pStyle w:val="Tabletextright"/>
            </w:pPr>
            <w:r w:rsidRPr="00687A1C">
              <w:t>15</w:t>
            </w:r>
          </w:p>
        </w:tc>
        <w:tc>
          <w:tcPr>
            <w:tcW w:w="778" w:type="dxa"/>
            <w:shd w:val="clear" w:color="auto" w:fill="E0E0E0"/>
          </w:tcPr>
          <w:p w:rsidR="00C65F2A" w:rsidRPr="00687A1C" w:rsidRDefault="00C65F2A" w:rsidP="00D57125">
            <w:pPr>
              <w:pStyle w:val="Tabletextright"/>
            </w:pPr>
            <w:r w:rsidRPr="00687A1C">
              <w:t>297.95</w:t>
            </w:r>
          </w:p>
        </w:tc>
        <w:tc>
          <w:tcPr>
            <w:tcW w:w="950" w:type="dxa"/>
          </w:tcPr>
          <w:p w:rsidR="00C65F2A" w:rsidRPr="00687A1C" w:rsidRDefault="00C65F2A" w:rsidP="00D57125">
            <w:pPr>
              <w:pStyle w:val="Tabletextright"/>
            </w:pPr>
            <w:r w:rsidRPr="00687A1C">
              <w:t>13</w:t>
            </w:r>
          </w:p>
        </w:tc>
        <w:tc>
          <w:tcPr>
            <w:tcW w:w="778" w:type="dxa"/>
          </w:tcPr>
          <w:p w:rsidR="00C65F2A" w:rsidRPr="00687A1C" w:rsidRDefault="00C65F2A" w:rsidP="00D57125">
            <w:pPr>
              <w:pStyle w:val="Tabletextright"/>
            </w:pPr>
            <w:r w:rsidRPr="00687A1C">
              <w:t>12.60</w:t>
            </w: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Female</w:t>
            </w:r>
          </w:p>
        </w:tc>
        <w:tc>
          <w:tcPr>
            <w:tcW w:w="950" w:type="dxa"/>
            <w:shd w:val="clear" w:color="auto" w:fill="E0E0E0"/>
            <w:vAlign w:val="bottom"/>
          </w:tcPr>
          <w:p w:rsidR="00C65F2A" w:rsidRPr="00687A1C" w:rsidRDefault="00C65F2A" w:rsidP="004145DE">
            <w:pPr>
              <w:pStyle w:val="Tabletextright"/>
            </w:pPr>
            <w:r w:rsidRPr="00687A1C">
              <w:t>299</w:t>
            </w:r>
          </w:p>
        </w:tc>
        <w:tc>
          <w:tcPr>
            <w:tcW w:w="778" w:type="dxa"/>
            <w:shd w:val="clear" w:color="auto" w:fill="E0E0E0"/>
            <w:vAlign w:val="bottom"/>
          </w:tcPr>
          <w:p w:rsidR="00C65F2A" w:rsidRPr="00687A1C" w:rsidRDefault="00C65F2A" w:rsidP="004145DE">
            <w:pPr>
              <w:pStyle w:val="Tabletextright"/>
            </w:pPr>
            <w:r w:rsidRPr="00687A1C">
              <w:t>276.70</w:t>
            </w:r>
          </w:p>
        </w:tc>
        <w:tc>
          <w:tcPr>
            <w:tcW w:w="979" w:type="dxa"/>
            <w:shd w:val="clear" w:color="auto" w:fill="auto"/>
            <w:vAlign w:val="bottom"/>
          </w:tcPr>
          <w:p w:rsidR="00C65F2A" w:rsidRPr="00687A1C" w:rsidRDefault="00C65F2A" w:rsidP="00C65F2A">
            <w:pPr>
              <w:pStyle w:val="Tabletextright"/>
            </w:pPr>
            <w:r w:rsidRPr="00687A1C">
              <w:t>204</w:t>
            </w:r>
          </w:p>
        </w:tc>
        <w:tc>
          <w:tcPr>
            <w:tcW w:w="979" w:type="dxa"/>
            <w:shd w:val="clear" w:color="auto" w:fill="auto"/>
            <w:vAlign w:val="bottom"/>
          </w:tcPr>
          <w:p w:rsidR="00C65F2A" w:rsidRPr="00687A1C" w:rsidRDefault="00C65F2A" w:rsidP="00C65F2A">
            <w:pPr>
              <w:pStyle w:val="Tabletextright"/>
            </w:pPr>
            <w:r w:rsidRPr="00687A1C">
              <w:t>79</w:t>
            </w:r>
          </w:p>
        </w:tc>
        <w:tc>
          <w:tcPr>
            <w:tcW w:w="778" w:type="dxa"/>
            <w:shd w:val="clear" w:color="auto" w:fill="auto"/>
            <w:vAlign w:val="bottom"/>
          </w:tcPr>
          <w:p w:rsidR="00C65F2A" w:rsidRPr="00687A1C" w:rsidRDefault="00C65F2A" w:rsidP="00C65F2A">
            <w:pPr>
              <w:pStyle w:val="Tabletextright"/>
            </w:pPr>
            <w:r w:rsidRPr="00687A1C">
              <w:t>261.70</w:t>
            </w:r>
          </w:p>
        </w:tc>
        <w:tc>
          <w:tcPr>
            <w:tcW w:w="950" w:type="dxa"/>
            <w:shd w:val="clear" w:color="auto" w:fill="E0E0E0"/>
            <w:vAlign w:val="bottom"/>
          </w:tcPr>
          <w:p w:rsidR="00C65F2A" w:rsidRPr="00687A1C" w:rsidRDefault="00C65F2A" w:rsidP="004145DE">
            <w:pPr>
              <w:pStyle w:val="Tabletextright"/>
            </w:pPr>
            <w:r w:rsidRPr="00687A1C">
              <w:t>16</w:t>
            </w:r>
          </w:p>
        </w:tc>
        <w:tc>
          <w:tcPr>
            <w:tcW w:w="778" w:type="dxa"/>
            <w:shd w:val="clear" w:color="auto" w:fill="E0E0E0"/>
            <w:vAlign w:val="bottom"/>
          </w:tcPr>
          <w:p w:rsidR="00C65F2A" w:rsidRPr="00687A1C" w:rsidRDefault="00C65F2A" w:rsidP="004145DE">
            <w:pPr>
              <w:pStyle w:val="Tabletextright"/>
            </w:pPr>
            <w:r w:rsidRPr="00687A1C">
              <w:t>15.00</w:t>
            </w:r>
          </w:p>
        </w:tc>
        <w:tc>
          <w:tcPr>
            <w:tcW w:w="950" w:type="dxa"/>
            <w:shd w:val="clear" w:color="auto" w:fill="auto"/>
            <w:noWrap/>
          </w:tcPr>
          <w:p w:rsidR="00C65F2A" w:rsidRPr="00687A1C" w:rsidRDefault="00C65F2A" w:rsidP="00D57125">
            <w:pPr>
              <w:pStyle w:val="Tabletextright"/>
            </w:pPr>
            <w:r w:rsidRPr="00687A1C">
              <w:t>295</w:t>
            </w:r>
          </w:p>
        </w:tc>
        <w:tc>
          <w:tcPr>
            <w:tcW w:w="778" w:type="dxa"/>
            <w:shd w:val="clear" w:color="auto" w:fill="auto"/>
          </w:tcPr>
          <w:p w:rsidR="00C65F2A" w:rsidRPr="00687A1C" w:rsidRDefault="00C65F2A" w:rsidP="00D57125">
            <w:pPr>
              <w:pStyle w:val="Tabletextright"/>
            </w:pPr>
            <w:r w:rsidRPr="00687A1C">
              <w:t>271.57</w:t>
            </w:r>
          </w:p>
        </w:tc>
        <w:tc>
          <w:tcPr>
            <w:tcW w:w="979" w:type="dxa"/>
            <w:shd w:val="clear" w:color="auto" w:fill="E0E0E0"/>
            <w:noWrap/>
          </w:tcPr>
          <w:p w:rsidR="00C65F2A" w:rsidRPr="00687A1C" w:rsidRDefault="00C65F2A" w:rsidP="00D57125">
            <w:pPr>
              <w:pStyle w:val="Tabletextright"/>
            </w:pPr>
            <w:r w:rsidRPr="00687A1C">
              <w:t>201</w:t>
            </w:r>
          </w:p>
        </w:tc>
        <w:tc>
          <w:tcPr>
            <w:tcW w:w="979" w:type="dxa"/>
            <w:shd w:val="clear" w:color="auto" w:fill="E0E0E0"/>
          </w:tcPr>
          <w:p w:rsidR="00C65F2A" w:rsidRPr="00687A1C" w:rsidRDefault="00C65F2A" w:rsidP="00D57125">
            <w:pPr>
              <w:pStyle w:val="Tabletextright"/>
            </w:pPr>
            <w:r w:rsidRPr="00687A1C">
              <w:t>80</w:t>
            </w:r>
          </w:p>
        </w:tc>
        <w:tc>
          <w:tcPr>
            <w:tcW w:w="778" w:type="dxa"/>
            <w:shd w:val="clear" w:color="auto" w:fill="E0E0E0"/>
          </w:tcPr>
          <w:p w:rsidR="00C65F2A" w:rsidRPr="00687A1C" w:rsidRDefault="00C65F2A" w:rsidP="00D57125">
            <w:pPr>
              <w:pStyle w:val="Tabletextright"/>
            </w:pPr>
            <w:r w:rsidRPr="00687A1C">
              <w:t>257.97</w:t>
            </w:r>
          </w:p>
        </w:tc>
        <w:tc>
          <w:tcPr>
            <w:tcW w:w="950" w:type="dxa"/>
          </w:tcPr>
          <w:p w:rsidR="00C65F2A" w:rsidRPr="00687A1C" w:rsidRDefault="00C65F2A" w:rsidP="00D57125">
            <w:pPr>
              <w:pStyle w:val="Tabletextright"/>
            </w:pPr>
            <w:r w:rsidRPr="00687A1C">
              <w:t>14</w:t>
            </w:r>
          </w:p>
        </w:tc>
        <w:tc>
          <w:tcPr>
            <w:tcW w:w="778" w:type="dxa"/>
          </w:tcPr>
          <w:p w:rsidR="00C65F2A" w:rsidRPr="00687A1C" w:rsidRDefault="00C65F2A" w:rsidP="00D57125">
            <w:pPr>
              <w:pStyle w:val="Tabletextright"/>
            </w:pPr>
            <w:r w:rsidRPr="00687A1C">
              <w:t>13.60</w:t>
            </w:r>
          </w:p>
        </w:tc>
      </w:tr>
      <w:tr w:rsidR="00C65F2A" w:rsidRPr="00687A1C" w:rsidTr="00722E5C">
        <w:trPr>
          <w:cantSplit/>
        </w:trPr>
        <w:tc>
          <w:tcPr>
            <w:tcW w:w="1483" w:type="dxa"/>
            <w:shd w:val="clear" w:color="auto" w:fill="auto"/>
          </w:tcPr>
          <w:p w:rsidR="00C65F2A" w:rsidRPr="00687A1C" w:rsidRDefault="00C65F2A" w:rsidP="00E67247">
            <w:pPr>
              <w:pStyle w:val="Tabletext"/>
              <w:rPr>
                <w:sz w:val="6"/>
              </w:rPr>
            </w:pPr>
          </w:p>
        </w:tc>
        <w:tc>
          <w:tcPr>
            <w:tcW w:w="950" w:type="dxa"/>
            <w:shd w:val="clear" w:color="auto" w:fill="E0E0E0"/>
          </w:tcPr>
          <w:p w:rsidR="00C65F2A" w:rsidRPr="00687A1C" w:rsidRDefault="00C65F2A" w:rsidP="004145DE">
            <w:pPr>
              <w:pStyle w:val="Tabletextright"/>
              <w:rPr>
                <w:rFonts w:cstheme="minorHAnsi"/>
                <w:sz w:val="6"/>
              </w:rPr>
            </w:pPr>
          </w:p>
        </w:tc>
        <w:tc>
          <w:tcPr>
            <w:tcW w:w="778" w:type="dxa"/>
            <w:shd w:val="clear" w:color="auto" w:fill="E0E0E0"/>
          </w:tcPr>
          <w:p w:rsidR="00C65F2A" w:rsidRPr="00687A1C" w:rsidRDefault="00C65F2A" w:rsidP="004145DE">
            <w:pPr>
              <w:pStyle w:val="Tabletextright"/>
              <w:rPr>
                <w:rFonts w:cstheme="minorHAnsi"/>
                <w:sz w:val="6"/>
              </w:rPr>
            </w:pPr>
          </w:p>
        </w:tc>
        <w:tc>
          <w:tcPr>
            <w:tcW w:w="979" w:type="dxa"/>
            <w:shd w:val="clear" w:color="auto" w:fill="auto"/>
          </w:tcPr>
          <w:p w:rsidR="00C65F2A" w:rsidRPr="00687A1C" w:rsidRDefault="00C65F2A" w:rsidP="00C65F2A">
            <w:pPr>
              <w:pStyle w:val="Tabletextright"/>
              <w:rPr>
                <w:rFonts w:cstheme="minorHAnsi"/>
                <w:sz w:val="6"/>
              </w:rPr>
            </w:pPr>
          </w:p>
        </w:tc>
        <w:tc>
          <w:tcPr>
            <w:tcW w:w="979" w:type="dxa"/>
            <w:shd w:val="clear" w:color="auto" w:fill="auto"/>
          </w:tcPr>
          <w:p w:rsidR="00C65F2A" w:rsidRPr="00687A1C" w:rsidRDefault="00C65F2A" w:rsidP="00C65F2A">
            <w:pPr>
              <w:pStyle w:val="Tabletextright"/>
              <w:rPr>
                <w:sz w:val="6"/>
              </w:rPr>
            </w:pPr>
          </w:p>
        </w:tc>
        <w:tc>
          <w:tcPr>
            <w:tcW w:w="778" w:type="dxa"/>
            <w:shd w:val="clear" w:color="auto" w:fill="auto"/>
          </w:tcPr>
          <w:p w:rsidR="00C65F2A" w:rsidRPr="00687A1C" w:rsidRDefault="00C65F2A" w:rsidP="00C65F2A">
            <w:pPr>
              <w:pStyle w:val="Tabletextright"/>
              <w:rPr>
                <w:sz w:val="6"/>
              </w:rPr>
            </w:pPr>
          </w:p>
        </w:tc>
        <w:tc>
          <w:tcPr>
            <w:tcW w:w="950" w:type="dxa"/>
            <w:shd w:val="clear" w:color="auto" w:fill="E0E0E0"/>
          </w:tcPr>
          <w:p w:rsidR="00C65F2A" w:rsidRPr="00687A1C" w:rsidRDefault="00C65F2A" w:rsidP="004145DE">
            <w:pPr>
              <w:pStyle w:val="Tabletextright"/>
              <w:rPr>
                <w:sz w:val="6"/>
              </w:rPr>
            </w:pPr>
          </w:p>
        </w:tc>
        <w:tc>
          <w:tcPr>
            <w:tcW w:w="778" w:type="dxa"/>
            <w:shd w:val="clear" w:color="auto" w:fill="E0E0E0"/>
          </w:tcPr>
          <w:p w:rsidR="00C65F2A" w:rsidRPr="00687A1C" w:rsidRDefault="00C65F2A" w:rsidP="004145DE">
            <w:pPr>
              <w:pStyle w:val="Tabletextright"/>
              <w:rPr>
                <w:sz w:val="6"/>
              </w:rPr>
            </w:pPr>
          </w:p>
        </w:tc>
        <w:tc>
          <w:tcPr>
            <w:tcW w:w="950" w:type="dxa"/>
            <w:shd w:val="clear" w:color="auto" w:fill="auto"/>
            <w:noWrap/>
          </w:tcPr>
          <w:p w:rsidR="00C65F2A" w:rsidRPr="00687A1C" w:rsidRDefault="00C65F2A" w:rsidP="00D57125">
            <w:pPr>
              <w:pStyle w:val="Tabletextright"/>
              <w:rPr>
                <w:rFonts w:cstheme="minorHAnsi"/>
                <w:sz w:val="6"/>
              </w:rPr>
            </w:pPr>
          </w:p>
        </w:tc>
        <w:tc>
          <w:tcPr>
            <w:tcW w:w="778" w:type="dxa"/>
            <w:shd w:val="clear" w:color="auto" w:fill="auto"/>
          </w:tcPr>
          <w:p w:rsidR="00C65F2A" w:rsidRPr="00687A1C" w:rsidRDefault="00C65F2A" w:rsidP="00D57125">
            <w:pPr>
              <w:pStyle w:val="Tabletextright"/>
              <w:rPr>
                <w:rFonts w:cstheme="minorHAnsi"/>
                <w:sz w:val="6"/>
              </w:rPr>
            </w:pPr>
          </w:p>
        </w:tc>
        <w:tc>
          <w:tcPr>
            <w:tcW w:w="979" w:type="dxa"/>
            <w:shd w:val="clear" w:color="auto" w:fill="E0E0E0"/>
            <w:noWrap/>
          </w:tcPr>
          <w:p w:rsidR="00C65F2A" w:rsidRPr="00687A1C" w:rsidRDefault="00C65F2A" w:rsidP="00D57125">
            <w:pPr>
              <w:pStyle w:val="Tabletextright"/>
              <w:rPr>
                <w:rFonts w:cstheme="minorHAnsi"/>
                <w:sz w:val="6"/>
              </w:rPr>
            </w:pPr>
          </w:p>
        </w:tc>
        <w:tc>
          <w:tcPr>
            <w:tcW w:w="979" w:type="dxa"/>
            <w:shd w:val="clear" w:color="auto" w:fill="E0E0E0"/>
          </w:tcPr>
          <w:p w:rsidR="00C65F2A" w:rsidRPr="00687A1C" w:rsidRDefault="00C65F2A" w:rsidP="00D57125">
            <w:pPr>
              <w:pStyle w:val="Tabletextright"/>
              <w:rPr>
                <w:sz w:val="6"/>
              </w:rPr>
            </w:pPr>
          </w:p>
        </w:tc>
        <w:tc>
          <w:tcPr>
            <w:tcW w:w="778" w:type="dxa"/>
            <w:shd w:val="clear" w:color="auto" w:fill="E0E0E0"/>
          </w:tcPr>
          <w:p w:rsidR="00C65F2A" w:rsidRPr="00687A1C" w:rsidRDefault="00C65F2A" w:rsidP="00D57125">
            <w:pPr>
              <w:pStyle w:val="Tabletextright"/>
              <w:rPr>
                <w:sz w:val="6"/>
              </w:rPr>
            </w:pPr>
          </w:p>
        </w:tc>
        <w:tc>
          <w:tcPr>
            <w:tcW w:w="950" w:type="dxa"/>
          </w:tcPr>
          <w:p w:rsidR="00C65F2A" w:rsidRPr="00687A1C" w:rsidRDefault="00C65F2A" w:rsidP="00D57125">
            <w:pPr>
              <w:pStyle w:val="Tabletextright"/>
              <w:rPr>
                <w:sz w:val="6"/>
              </w:rPr>
            </w:pPr>
          </w:p>
        </w:tc>
        <w:tc>
          <w:tcPr>
            <w:tcW w:w="778" w:type="dxa"/>
          </w:tcPr>
          <w:p w:rsidR="00C65F2A" w:rsidRPr="00687A1C" w:rsidRDefault="00C65F2A" w:rsidP="00D57125">
            <w:pPr>
              <w:pStyle w:val="Tabletextright"/>
              <w:rPr>
                <w:sz w:val="6"/>
              </w:rPr>
            </w:pPr>
          </w:p>
        </w:tc>
      </w:tr>
      <w:tr w:rsidR="00C65F2A" w:rsidRPr="00687A1C" w:rsidTr="00722E5C">
        <w:trPr>
          <w:cantSplit/>
        </w:trPr>
        <w:tc>
          <w:tcPr>
            <w:tcW w:w="1483" w:type="dxa"/>
            <w:shd w:val="clear" w:color="auto" w:fill="auto"/>
          </w:tcPr>
          <w:p w:rsidR="00C65F2A" w:rsidRPr="00687A1C" w:rsidRDefault="00C65F2A" w:rsidP="00E67247">
            <w:pPr>
              <w:pStyle w:val="Tabletext"/>
            </w:pPr>
            <w:r w:rsidRPr="00687A1C">
              <w:rPr>
                <w:rFonts w:cstheme="minorHAnsi"/>
                <w:b/>
              </w:rPr>
              <w:t>Age</w:t>
            </w:r>
          </w:p>
        </w:tc>
        <w:tc>
          <w:tcPr>
            <w:tcW w:w="950" w:type="dxa"/>
            <w:shd w:val="clear" w:color="auto" w:fill="E0E0E0"/>
          </w:tcPr>
          <w:p w:rsidR="00C65F2A" w:rsidRPr="00687A1C" w:rsidRDefault="00C65F2A" w:rsidP="004145DE">
            <w:pPr>
              <w:pStyle w:val="Tabletextright"/>
              <w:rPr>
                <w:rFonts w:cstheme="minorHAnsi"/>
              </w:rPr>
            </w:pPr>
          </w:p>
        </w:tc>
        <w:tc>
          <w:tcPr>
            <w:tcW w:w="778" w:type="dxa"/>
            <w:shd w:val="clear" w:color="auto" w:fill="E0E0E0"/>
          </w:tcPr>
          <w:p w:rsidR="00C65F2A" w:rsidRPr="00687A1C" w:rsidRDefault="00C65F2A" w:rsidP="004145DE">
            <w:pPr>
              <w:pStyle w:val="Tabletextright"/>
              <w:rPr>
                <w:rFonts w:cstheme="minorHAnsi"/>
              </w:rPr>
            </w:pPr>
          </w:p>
        </w:tc>
        <w:tc>
          <w:tcPr>
            <w:tcW w:w="979" w:type="dxa"/>
            <w:shd w:val="clear" w:color="auto" w:fill="auto"/>
          </w:tcPr>
          <w:p w:rsidR="00C65F2A" w:rsidRPr="00687A1C" w:rsidRDefault="00C65F2A" w:rsidP="00C65F2A">
            <w:pPr>
              <w:pStyle w:val="Tabletextright"/>
              <w:rPr>
                <w:rFonts w:cstheme="minorHAnsi"/>
              </w:rPr>
            </w:pPr>
          </w:p>
        </w:tc>
        <w:tc>
          <w:tcPr>
            <w:tcW w:w="979" w:type="dxa"/>
            <w:shd w:val="clear" w:color="auto" w:fill="auto"/>
          </w:tcPr>
          <w:p w:rsidR="00C65F2A" w:rsidRPr="00687A1C" w:rsidRDefault="00C65F2A" w:rsidP="00C65F2A">
            <w:pPr>
              <w:pStyle w:val="Tabletextright"/>
            </w:pPr>
          </w:p>
        </w:tc>
        <w:tc>
          <w:tcPr>
            <w:tcW w:w="778" w:type="dxa"/>
            <w:shd w:val="clear" w:color="auto" w:fill="auto"/>
          </w:tcPr>
          <w:p w:rsidR="00C65F2A" w:rsidRPr="00687A1C" w:rsidRDefault="00C65F2A" w:rsidP="00C65F2A">
            <w:pPr>
              <w:pStyle w:val="Tabletextright"/>
            </w:pPr>
          </w:p>
        </w:tc>
        <w:tc>
          <w:tcPr>
            <w:tcW w:w="950" w:type="dxa"/>
            <w:shd w:val="clear" w:color="auto" w:fill="E0E0E0"/>
          </w:tcPr>
          <w:p w:rsidR="00C65F2A" w:rsidRPr="00687A1C" w:rsidRDefault="00C65F2A" w:rsidP="004145DE">
            <w:pPr>
              <w:pStyle w:val="Tabletextright"/>
            </w:pPr>
          </w:p>
        </w:tc>
        <w:tc>
          <w:tcPr>
            <w:tcW w:w="778" w:type="dxa"/>
            <w:shd w:val="clear" w:color="auto" w:fill="E0E0E0"/>
          </w:tcPr>
          <w:p w:rsidR="00C65F2A" w:rsidRPr="00687A1C" w:rsidRDefault="00C65F2A" w:rsidP="004145DE">
            <w:pPr>
              <w:pStyle w:val="Tabletextright"/>
            </w:pPr>
          </w:p>
        </w:tc>
        <w:tc>
          <w:tcPr>
            <w:tcW w:w="950" w:type="dxa"/>
            <w:shd w:val="clear" w:color="auto" w:fill="auto"/>
            <w:noWrap/>
          </w:tcPr>
          <w:p w:rsidR="00C65F2A" w:rsidRPr="00687A1C" w:rsidRDefault="00C65F2A" w:rsidP="00D57125">
            <w:pPr>
              <w:pStyle w:val="Tabletextright"/>
              <w:rPr>
                <w:rFonts w:cstheme="minorHAnsi"/>
              </w:rPr>
            </w:pPr>
          </w:p>
        </w:tc>
        <w:tc>
          <w:tcPr>
            <w:tcW w:w="778" w:type="dxa"/>
            <w:shd w:val="clear" w:color="auto" w:fill="auto"/>
          </w:tcPr>
          <w:p w:rsidR="00C65F2A" w:rsidRPr="00687A1C" w:rsidRDefault="00C65F2A" w:rsidP="00D57125">
            <w:pPr>
              <w:pStyle w:val="Tabletextright"/>
              <w:rPr>
                <w:rFonts w:cstheme="minorHAnsi"/>
              </w:rPr>
            </w:pPr>
          </w:p>
        </w:tc>
        <w:tc>
          <w:tcPr>
            <w:tcW w:w="979" w:type="dxa"/>
            <w:shd w:val="clear" w:color="auto" w:fill="E0E0E0"/>
            <w:noWrap/>
          </w:tcPr>
          <w:p w:rsidR="00C65F2A" w:rsidRPr="00687A1C" w:rsidRDefault="00C65F2A" w:rsidP="00D57125">
            <w:pPr>
              <w:pStyle w:val="Tabletextright"/>
              <w:rPr>
                <w:rFonts w:cstheme="minorHAnsi"/>
              </w:rPr>
            </w:pPr>
          </w:p>
        </w:tc>
        <w:tc>
          <w:tcPr>
            <w:tcW w:w="979" w:type="dxa"/>
            <w:shd w:val="clear" w:color="auto" w:fill="E0E0E0"/>
          </w:tcPr>
          <w:p w:rsidR="00C65F2A" w:rsidRPr="00687A1C" w:rsidRDefault="00C65F2A" w:rsidP="00D57125">
            <w:pPr>
              <w:pStyle w:val="Tabletextright"/>
            </w:pPr>
          </w:p>
        </w:tc>
        <w:tc>
          <w:tcPr>
            <w:tcW w:w="778" w:type="dxa"/>
            <w:shd w:val="clear" w:color="auto" w:fill="E0E0E0"/>
          </w:tcPr>
          <w:p w:rsidR="00C65F2A" w:rsidRPr="00687A1C" w:rsidRDefault="00C65F2A" w:rsidP="00D57125">
            <w:pPr>
              <w:pStyle w:val="Tabletextright"/>
            </w:pPr>
          </w:p>
        </w:tc>
        <w:tc>
          <w:tcPr>
            <w:tcW w:w="950" w:type="dxa"/>
          </w:tcPr>
          <w:p w:rsidR="00C65F2A" w:rsidRPr="00687A1C" w:rsidRDefault="00C65F2A" w:rsidP="00D57125">
            <w:pPr>
              <w:pStyle w:val="Tabletextright"/>
            </w:pPr>
          </w:p>
        </w:tc>
        <w:tc>
          <w:tcPr>
            <w:tcW w:w="778" w:type="dxa"/>
          </w:tcPr>
          <w:p w:rsidR="00C65F2A" w:rsidRPr="00687A1C" w:rsidRDefault="00C65F2A" w:rsidP="00D57125">
            <w:pPr>
              <w:pStyle w:val="Tabletextright"/>
            </w:pP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15–24</w:t>
            </w:r>
          </w:p>
        </w:tc>
        <w:tc>
          <w:tcPr>
            <w:tcW w:w="950" w:type="dxa"/>
            <w:shd w:val="clear" w:color="auto" w:fill="E0E0E0"/>
            <w:vAlign w:val="bottom"/>
          </w:tcPr>
          <w:p w:rsidR="00C65F2A" w:rsidRPr="00687A1C" w:rsidRDefault="00C65F2A" w:rsidP="004145DE">
            <w:pPr>
              <w:pStyle w:val="Tabletextright"/>
            </w:pPr>
            <w:r w:rsidRPr="00687A1C">
              <w:t>34</w:t>
            </w:r>
          </w:p>
        </w:tc>
        <w:tc>
          <w:tcPr>
            <w:tcW w:w="778" w:type="dxa"/>
            <w:shd w:val="clear" w:color="auto" w:fill="E0E0E0"/>
            <w:vAlign w:val="bottom"/>
          </w:tcPr>
          <w:p w:rsidR="00C65F2A" w:rsidRPr="00687A1C" w:rsidRDefault="00C65F2A" w:rsidP="004145DE">
            <w:pPr>
              <w:pStyle w:val="Tabletextright"/>
            </w:pPr>
            <w:r w:rsidRPr="00687A1C">
              <w:t>33.20</w:t>
            </w:r>
          </w:p>
        </w:tc>
        <w:tc>
          <w:tcPr>
            <w:tcW w:w="979" w:type="dxa"/>
            <w:shd w:val="clear" w:color="auto" w:fill="auto"/>
            <w:vAlign w:val="bottom"/>
          </w:tcPr>
          <w:p w:rsidR="00C65F2A" w:rsidRPr="00687A1C" w:rsidRDefault="00C65F2A" w:rsidP="00C65F2A">
            <w:pPr>
              <w:pStyle w:val="Tabletextright"/>
            </w:pPr>
            <w:r w:rsidRPr="00687A1C">
              <w:t>30</w:t>
            </w:r>
          </w:p>
        </w:tc>
        <w:tc>
          <w:tcPr>
            <w:tcW w:w="979" w:type="dxa"/>
            <w:shd w:val="clear" w:color="auto" w:fill="auto"/>
            <w:vAlign w:val="bottom"/>
          </w:tcPr>
          <w:p w:rsidR="00C65F2A" w:rsidRPr="00687A1C" w:rsidRDefault="00C65F2A" w:rsidP="00C65F2A">
            <w:pPr>
              <w:pStyle w:val="Tabletextright"/>
            </w:pPr>
            <w:r w:rsidRPr="00687A1C">
              <w:t>–</w:t>
            </w:r>
          </w:p>
        </w:tc>
        <w:tc>
          <w:tcPr>
            <w:tcW w:w="778" w:type="dxa"/>
            <w:shd w:val="clear" w:color="auto" w:fill="auto"/>
            <w:vAlign w:val="bottom"/>
          </w:tcPr>
          <w:p w:rsidR="00C65F2A" w:rsidRPr="00687A1C" w:rsidRDefault="00C65F2A" w:rsidP="00C65F2A">
            <w:pPr>
              <w:pStyle w:val="Tabletextright"/>
            </w:pPr>
            <w:r w:rsidRPr="00687A1C">
              <w:t>30.00</w:t>
            </w:r>
          </w:p>
        </w:tc>
        <w:tc>
          <w:tcPr>
            <w:tcW w:w="950" w:type="dxa"/>
            <w:shd w:val="clear" w:color="auto" w:fill="E0E0E0"/>
            <w:vAlign w:val="bottom"/>
          </w:tcPr>
          <w:p w:rsidR="00C65F2A" w:rsidRPr="00687A1C" w:rsidRDefault="00C65F2A" w:rsidP="004145DE">
            <w:pPr>
              <w:pStyle w:val="Tabletextright"/>
            </w:pPr>
            <w:r w:rsidRPr="00687A1C">
              <w:t>4</w:t>
            </w:r>
          </w:p>
        </w:tc>
        <w:tc>
          <w:tcPr>
            <w:tcW w:w="778" w:type="dxa"/>
            <w:shd w:val="clear" w:color="auto" w:fill="E0E0E0"/>
            <w:vAlign w:val="bottom"/>
          </w:tcPr>
          <w:p w:rsidR="00C65F2A" w:rsidRPr="00687A1C" w:rsidRDefault="00C65F2A" w:rsidP="004145DE">
            <w:pPr>
              <w:pStyle w:val="Tabletextright"/>
            </w:pPr>
            <w:r w:rsidRPr="00687A1C">
              <w:t>3.20</w:t>
            </w:r>
          </w:p>
        </w:tc>
        <w:tc>
          <w:tcPr>
            <w:tcW w:w="950" w:type="dxa"/>
            <w:shd w:val="clear" w:color="auto" w:fill="auto"/>
            <w:noWrap/>
          </w:tcPr>
          <w:p w:rsidR="00C65F2A" w:rsidRPr="00687A1C" w:rsidRDefault="00C65F2A" w:rsidP="00D57125">
            <w:pPr>
              <w:pStyle w:val="Tabletextright"/>
            </w:pPr>
            <w:r w:rsidRPr="00687A1C">
              <w:t>24</w:t>
            </w:r>
          </w:p>
        </w:tc>
        <w:tc>
          <w:tcPr>
            <w:tcW w:w="778" w:type="dxa"/>
            <w:shd w:val="clear" w:color="auto" w:fill="auto"/>
          </w:tcPr>
          <w:p w:rsidR="00C65F2A" w:rsidRPr="00687A1C" w:rsidRDefault="00C65F2A" w:rsidP="00D57125">
            <w:pPr>
              <w:pStyle w:val="Tabletextright"/>
            </w:pPr>
            <w:r w:rsidRPr="00687A1C">
              <w:t>23.60</w:t>
            </w:r>
          </w:p>
        </w:tc>
        <w:tc>
          <w:tcPr>
            <w:tcW w:w="979" w:type="dxa"/>
            <w:shd w:val="clear" w:color="auto" w:fill="E0E0E0"/>
            <w:noWrap/>
          </w:tcPr>
          <w:p w:rsidR="00C65F2A" w:rsidRPr="00687A1C" w:rsidRDefault="00C65F2A" w:rsidP="00D57125">
            <w:pPr>
              <w:pStyle w:val="Tabletextright"/>
            </w:pPr>
            <w:r w:rsidRPr="00687A1C">
              <w:t>21</w:t>
            </w:r>
          </w:p>
        </w:tc>
        <w:tc>
          <w:tcPr>
            <w:tcW w:w="979" w:type="dxa"/>
            <w:shd w:val="clear" w:color="auto" w:fill="E0E0E0"/>
          </w:tcPr>
          <w:p w:rsidR="00C65F2A" w:rsidRPr="00687A1C" w:rsidRDefault="00C65F2A" w:rsidP="00D57125">
            <w:pPr>
              <w:pStyle w:val="Tabletextright"/>
            </w:pPr>
            <w:r w:rsidRPr="00687A1C">
              <w:t>1</w:t>
            </w:r>
          </w:p>
        </w:tc>
        <w:tc>
          <w:tcPr>
            <w:tcW w:w="778" w:type="dxa"/>
            <w:shd w:val="clear" w:color="auto" w:fill="E0E0E0"/>
          </w:tcPr>
          <w:p w:rsidR="00C65F2A" w:rsidRPr="00687A1C" w:rsidRDefault="00C65F2A" w:rsidP="00D57125">
            <w:pPr>
              <w:pStyle w:val="Tabletextright"/>
            </w:pPr>
            <w:r w:rsidRPr="00687A1C">
              <w:t>21.80</w:t>
            </w:r>
          </w:p>
        </w:tc>
        <w:tc>
          <w:tcPr>
            <w:tcW w:w="950" w:type="dxa"/>
          </w:tcPr>
          <w:p w:rsidR="00C65F2A" w:rsidRPr="00687A1C" w:rsidRDefault="00C65F2A" w:rsidP="00D57125">
            <w:pPr>
              <w:pStyle w:val="Tabletextright"/>
            </w:pPr>
            <w:r w:rsidRPr="00687A1C">
              <w:t>2</w:t>
            </w:r>
          </w:p>
        </w:tc>
        <w:tc>
          <w:tcPr>
            <w:tcW w:w="778" w:type="dxa"/>
          </w:tcPr>
          <w:p w:rsidR="00C65F2A" w:rsidRPr="00687A1C" w:rsidRDefault="00C65F2A" w:rsidP="00D57125">
            <w:pPr>
              <w:pStyle w:val="Tabletextright"/>
            </w:pPr>
            <w:r w:rsidRPr="00687A1C">
              <w:t>1.80</w:t>
            </w: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25</w:t>
            </w:r>
            <w:r w:rsidRPr="00687A1C">
              <w:rPr>
                <w:rFonts w:cstheme="minorHAnsi"/>
              </w:rPr>
              <w:noBreakHyphen/>
              <w:t>34</w:t>
            </w:r>
          </w:p>
        </w:tc>
        <w:tc>
          <w:tcPr>
            <w:tcW w:w="950" w:type="dxa"/>
            <w:shd w:val="clear" w:color="auto" w:fill="E0E0E0"/>
            <w:vAlign w:val="bottom"/>
          </w:tcPr>
          <w:p w:rsidR="00C65F2A" w:rsidRPr="00687A1C" w:rsidRDefault="00C65F2A" w:rsidP="004145DE">
            <w:pPr>
              <w:pStyle w:val="Tabletextright"/>
            </w:pPr>
            <w:r w:rsidRPr="00687A1C">
              <w:t>177</w:t>
            </w:r>
          </w:p>
        </w:tc>
        <w:tc>
          <w:tcPr>
            <w:tcW w:w="778" w:type="dxa"/>
            <w:shd w:val="clear" w:color="auto" w:fill="E0E0E0"/>
            <w:vAlign w:val="bottom"/>
          </w:tcPr>
          <w:p w:rsidR="00C65F2A" w:rsidRPr="00687A1C" w:rsidRDefault="00C65F2A" w:rsidP="004145DE">
            <w:pPr>
              <w:pStyle w:val="Tabletextright"/>
            </w:pPr>
            <w:r w:rsidRPr="00687A1C">
              <w:t>173.58</w:t>
            </w:r>
          </w:p>
        </w:tc>
        <w:tc>
          <w:tcPr>
            <w:tcW w:w="979" w:type="dxa"/>
            <w:shd w:val="clear" w:color="auto" w:fill="auto"/>
            <w:vAlign w:val="bottom"/>
          </w:tcPr>
          <w:p w:rsidR="00C65F2A" w:rsidRPr="00687A1C" w:rsidRDefault="00C65F2A" w:rsidP="00C65F2A">
            <w:pPr>
              <w:pStyle w:val="Tabletextright"/>
            </w:pPr>
            <w:r w:rsidRPr="00687A1C">
              <w:t>150</w:t>
            </w:r>
          </w:p>
        </w:tc>
        <w:tc>
          <w:tcPr>
            <w:tcW w:w="979" w:type="dxa"/>
            <w:shd w:val="clear" w:color="auto" w:fill="auto"/>
            <w:vAlign w:val="bottom"/>
          </w:tcPr>
          <w:p w:rsidR="00C65F2A" w:rsidRPr="00687A1C" w:rsidRDefault="00C65F2A" w:rsidP="00C65F2A">
            <w:pPr>
              <w:pStyle w:val="Tabletextright"/>
            </w:pPr>
            <w:r w:rsidRPr="00687A1C">
              <w:t>13</w:t>
            </w:r>
          </w:p>
        </w:tc>
        <w:tc>
          <w:tcPr>
            <w:tcW w:w="778" w:type="dxa"/>
            <w:shd w:val="clear" w:color="auto" w:fill="auto"/>
            <w:vAlign w:val="bottom"/>
          </w:tcPr>
          <w:p w:rsidR="00C65F2A" w:rsidRPr="00687A1C" w:rsidRDefault="00C65F2A" w:rsidP="00C65F2A">
            <w:pPr>
              <w:pStyle w:val="Tabletextright"/>
            </w:pPr>
            <w:r w:rsidRPr="00687A1C">
              <w:t>159.58</w:t>
            </w:r>
          </w:p>
        </w:tc>
        <w:tc>
          <w:tcPr>
            <w:tcW w:w="950" w:type="dxa"/>
            <w:shd w:val="clear" w:color="auto" w:fill="E0E0E0"/>
            <w:vAlign w:val="bottom"/>
          </w:tcPr>
          <w:p w:rsidR="00C65F2A" w:rsidRPr="00687A1C" w:rsidRDefault="00C65F2A" w:rsidP="004145DE">
            <w:pPr>
              <w:pStyle w:val="Tabletextright"/>
            </w:pPr>
            <w:r w:rsidRPr="00687A1C">
              <w:t>14</w:t>
            </w:r>
          </w:p>
        </w:tc>
        <w:tc>
          <w:tcPr>
            <w:tcW w:w="778" w:type="dxa"/>
            <w:shd w:val="clear" w:color="auto" w:fill="E0E0E0"/>
            <w:vAlign w:val="bottom"/>
          </w:tcPr>
          <w:p w:rsidR="00C65F2A" w:rsidRPr="00687A1C" w:rsidRDefault="00C65F2A" w:rsidP="004145DE">
            <w:pPr>
              <w:pStyle w:val="Tabletextright"/>
            </w:pPr>
            <w:r w:rsidRPr="00687A1C">
              <w:t>14.00</w:t>
            </w:r>
          </w:p>
        </w:tc>
        <w:tc>
          <w:tcPr>
            <w:tcW w:w="950" w:type="dxa"/>
            <w:shd w:val="clear" w:color="auto" w:fill="auto"/>
            <w:noWrap/>
          </w:tcPr>
          <w:p w:rsidR="00C65F2A" w:rsidRPr="00687A1C" w:rsidRDefault="00C65F2A" w:rsidP="00D57125">
            <w:pPr>
              <w:pStyle w:val="Tabletextright"/>
            </w:pPr>
            <w:r w:rsidRPr="00687A1C">
              <w:t>172</w:t>
            </w:r>
          </w:p>
        </w:tc>
        <w:tc>
          <w:tcPr>
            <w:tcW w:w="778" w:type="dxa"/>
            <w:shd w:val="clear" w:color="auto" w:fill="auto"/>
          </w:tcPr>
          <w:p w:rsidR="00C65F2A" w:rsidRPr="00687A1C" w:rsidRDefault="00C65F2A" w:rsidP="00D57125">
            <w:pPr>
              <w:pStyle w:val="Tabletextright"/>
            </w:pPr>
            <w:r w:rsidRPr="00687A1C">
              <w:t>165.68</w:t>
            </w:r>
          </w:p>
        </w:tc>
        <w:tc>
          <w:tcPr>
            <w:tcW w:w="979" w:type="dxa"/>
            <w:shd w:val="clear" w:color="auto" w:fill="E0E0E0"/>
            <w:noWrap/>
          </w:tcPr>
          <w:p w:rsidR="00C65F2A" w:rsidRPr="00687A1C" w:rsidRDefault="00C65F2A" w:rsidP="00D57125">
            <w:pPr>
              <w:pStyle w:val="Tabletextright"/>
            </w:pPr>
            <w:r w:rsidRPr="00687A1C">
              <w:t>142</w:t>
            </w:r>
          </w:p>
        </w:tc>
        <w:tc>
          <w:tcPr>
            <w:tcW w:w="979" w:type="dxa"/>
            <w:shd w:val="clear" w:color="auto" w:fill="E0E0E0"/>
          </w:tcPr>
          <w:p w:rsidR="00C65F2A" w:rsidRPr="00687A1C" w:rsidRDefault="00C65F2A" w:rsidP="00D57125">
            <w:pPr>
              <w:pStyle w:val="Tabletextright"/>
            </w:pPr>
            <w:r w:rsidRPr="00687A1C">
              <w:t>20</w:t>
            </w:r>
          </w:p>
        </w:tc>
        <w:tc>
          <w:tcPr>
            <w:tcW w:w="778" w:type="dxa"/>
            <w:shd w:val="clear" w:color="auto" w:fill="E0E0E0"/>
          </w:tcPr>
          <w:p w:rsidR="00C65F2A" w:rsidRPr="00687A1C" w:rsidRDefault="00C65F2A" w:rsidP="00D57125">
            <w:pPr>
              <w:pStyle w:val="Tabletextright"/>
            </w:pPr>
            <w:r w:rsidRPr="00687A1C">
              <w:t>155.88</w:t>
            </w:r>
          </w:p>
        </w:tc>
        <w:tc>
          <w:tcPr>
            <w:tcW w:w="950" w:type="dxa"/>
          </w:tcPr>
          <w:p w:rsidR="00C65F2A" w:rsidRPr="00687A1C" w:rsidRDefault="00C65F2A" w:rsidP="00D57125">
            <w:pPr>
              <w:pStyle w:val="Tabletextright"/>
            </w:pPr>
            <w:r w:rsidRPr="00687A1C">
              <w:t>10</w:t>
            </w:r>
          </w:p>
        </w:tc>
        <w:tc>
          <w:tcPr>
            <w:tcW w:w="778" w:type="dxa"/>
          </w:tcPr>
          <w:p w:rsidR="00C65F2A" w:rsidRPr="00687A1C" w:rsidRDefault="00C65F2A" w:rsidP="00D57125">
            <w:pPr>
              <w:pStyle w:val="Tabletextright"/>
            </w:pPr>
            <w:r w:rsidRPr="00687A1C">
              <w:t>9.80</w:t>
            </w: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35</w:t>
            </w:r>
            <w:r w:rsidRPr="00687A1C">
              <w:rPr>
                <w:rFonts w:cstheme="minorHAnsi"/>
              </w:rPr>
              <w:noBreakHyphen/>
              <w:t>44</w:t>
            </w:r>
          </w:p>
        </w:tc>
        <w:tc>
          <w:tcPr>
            <w:tcW w:w="950" w:type="dxa"/>
            <w:shd w:val="clear" w:color="auto" w:fill="E0E0E0"/>
            <w:vAlign w:val="bottom"/>
          </w:tcPr>
          <w:p w:rsidR="00C65F2A" w:rsidRPr="00687A1C" w:rsidRDefault="00C65F2A" w:rsidP="004145DE">
            <w:pPr>
              <w:pStyle w:val="Tabletextright"/>
            </w:pPr>
            <w:r w:rsidRPr="00687A1C">
              <w:t>166</w:t>
            </w:r>
          </w:p>
        </w:tc>
        <w:tc>
          <w:tcPr>
            <w:tcW w:w="778" w:type="dxa"/>
            <w:shd w:val="clear" w:color="auto" w:fill="E0E0E0"/>
            <w:vAlign w:val="bottom"/>
          </w:tcPr>
          <w:p w:rsidR="00C65F2A" w:rsidRPr="00687A1C" w:rsidRDefault="00C65F2A" w:rsidP="004145DE">
            <w:pPr>
              <w:pStyle w:val="Tabletextright"/>
            </w:pPr>
            <w:r w:rsidRPr="00687A1C">
              <w:t>151.59</w:t>
            </w:r>
          </w:p>
        </w:tc>
        <w:tc>
          <w:tcPr>
            <w:tcW w:w="979" w:type="dxa"/>
            <w:shd w:val="clear" w:color="auto" w:fill="auto"/>
            <w:vAlign w:val="bottom"/>
          </w:tcPr>
          <w:p w:rsidR="00C65F2A" w:rsidRPr="00687A1C" w:rsidRDefault="00C65F2A" w:rsidP="00C65F2A">
            <w:pPr>
              <w:pStyle w:val="Tabletextright"/>
            </w:pPr>
            <w:r w:rsidRPr="00687A1C">
              <w:t>109</w:t>
            </w:r>
          </w:p>
        </w:tc>
        <w:tc>
          <w:tcPr>
            <w:tcW w:w="979" w:type="dxa"/>
            <w:shd w:val="clear" w:color="auto" w:fill="auto"/>
            <w:vAlign w:val="bottom"/>
          </w:tcPr>
          <w:p w:rsidR="00C65F2A" w:rsidRPr="00687A1C" w:rsidRDefault="00C65F2A" w:rsidP="00C65F2A">
            <w:pPr>
              <w:pStyle w:val="Tabletextright"/>
            </w:pPr>
            <w:r w:rsidRPr="00687A1C">
              <w:t>50</w:t>
            </w:r>
          </w:p>
        </w:tc>
        <w:tc>
          <w:tcPr>
            <w:tcW w:w="778" w:type="dxa"/>
            <w:shd w:val="clear" w:color="auto" w:fill="auto"/>
            <w:vAlign w:val="bottom"/>
          </w:tcPr>
          <w:p w:rsidR="00C65F2A" w:rsidRPr="00687A1C" w:rsidRDefault="00C65F2A" w:rsidP="00C65F2A">
            <w:pPr>
              <w:pStyle w:val="Tabletextright"/>
            </w:pPr>
            <w:r w:rsidRPr="00687A1C">
              <w:t>145.19</w:t>
            </w:r>
          </w:p>
        </w:tc>
        <w:tc>
          <w:tcPr>
            <w:tcW w:w="950" w:type="dxa"/>
            <w:shd w:val="clear" w:color="auto" w:fill="E0E0E0"/>
            <w:vAlign w:val="bottom"/>
          </w:tcPr>
          <w:p w:rsidR="00C65F2A" w:rsidRPr="00687A1C" w:rsidRDefault="00C65F2A" w:rsidP="004145DE">
            <w:pPr>
              <w:pStyle w:val="Tabletextright"/>
            </w:pPr>
            <w:r w:rsidRPr="00687A1C">
              <w:t>5</w:t>
            </w:r>
          </w:p>
        </w:tc>
        <w:tc>
          <w:tcPr>
            <w:tcW w:w="778" w:type="dxa"/>
            <w:shd w:val="clear" w:color="auto" w:fill="E0E0E0"/>
            <w:vAlign w:val="bottom"/>
          </w:tcPr>
          <w:p w:rsidR="00C65F2A" w:rsidRPr="00687A1C" w:rsidRDefault="00C65F2A" w:rsidP="004145DE">
            <w:pPr>
              <w:pStyle w:val="Tabletextright"/>
            </w:pPr>
            <w:r w:rsidRPr="00687A1C">
              <w:t>5.00</w:t>
            </w:r>
          </w:p>
        </w:tc>
        <w:tc>
          <w:tcPr>
            <w:tcW w:w="950" w:type="dxa"/>
            <w:shd w:val="clear" w:color="auto" w:fill="auto"/>
            <w:noWrap/>
          </w:tcPr>
          <w:p w:rsidR="00C65F2A" w:rsidRPr="00687A1C" w:rsidRDefault="00C65F2A" w:rsidP="00D57125">
            <w:pPr>
              <w:pStyle w:val="Tabletextright"/>
            </w:pPr>
            <w:r w:rsidRPr="00687A1C">
              <w:t>184</w:t>
            </w:r>
          </w:p>
        </w:tc>
        <w:tc>
          <w:tcPr>
            <w:tcW w:w="778" w:type="dxa"/>
            <w:shd w:val="clear" w:color="auto" w:fill="auto"/>
          </w:tcPr>
          <w:p w:rsidR="00C65F2A" w:rsidRPr="00687A1C" w:rsidRDefault="00C65F2A" w:rsidP="00D57125">
            <w:pPr>
              <w:pStyle w:val="Tabletextright"/>
            </w:pPr>
            <w:r w:rsidRPr="00687A1C">
              <w:t>170.47</w:t>
            </w:r>
          </w:p>
        </w:tc>
        <w:tc>
          <w:tcPr>
            <w:tcW w:w="979" w:type="dxa"/>
            <w:shd w:val="clear" w:color="auto" w:fill="E0E0E0"/>
            <w:noWrap/>
          </w:tcPr>
          <w:p w:rsidR="00C65F2A" w:rsidRPr="00687A1C" w:rsidRDefault="00C65F2A" w:rsidP="00D57125">
            <w:pPr>
              <w:pStyle w:val="Tabletextright"/>
            </w:pPr>
            <w:r w:rsidRPr="00687A1C">
              <w:t>129</w:t>
            </w:r>
          </w:p>
        </w:tc>
        <w:tc>
          <w:tcPr>
            <w:tcW w:w="979" w:type="dxa"/>
            <w:shd w:val="clear" w:color="auto" w:fill="E0E0E0"/>
          </w:tcPr>
          <w:p w:rsidR="00C65F2A" w:rsidRPr="00687A1C" w:rsidRDefault="00C65F2A" w:rsidP="00D57125">
            <w:pPr>
              <w:pStyle w:val="Tabletextright"/>
            </w:pPr>
            <w:r w:rsidRPr="00687A1C">
              <w:t>47</w:t>
            </w:r>
          </w:p>
        </w:tc>
        <w:tc>
          <w:tcPr>
            <w:tcW w:w="778" w:type="dxa"/>
            <w:shd w:val="clear" w:color="auto" w:fill="E0E0E0"/>
          </w:tcPr>
          <w:p w:rsidR="00C65F2A" w:rsidRPr="00687A1C" w:rsidRDefault="00C65F2A" w:rsidP="00D57125">
            <w:pPr>
              <w:pStyle w:val="Tabletextright"/>
            </w:pPr>
            <w:r w:rsidRPr="00687A1C">
              <w:t>162.67</w:t>
            </w:r>
          </w:p>
        </w:tc>
        <w:tc>
          <w:tcPr>
            <w:tcW w:w="950" w:type="dxa"/>
          </w:tcPr>
          <w:p w:rsidR="00C65F2A" w:rsidRPr="00687A1C" w:rsidRDefault="00C65F2A" w:rsidP="00D57125">
            <w:pPr>
              <w:pStyle w:val="Tabletextright"/>
            </w:pPr>
            <w:r w:rsidRPr="00687A1C">
              <w:t>8</w:t>
            </w:r>
          </w:p>
        </w:tc>
        <w:tc>
          <w:tcPr>
            <w:tcW w:w="778" w:type="dxa"/>
          </w:tcPr>
          <w:p w:rsidR="00C65F2A" w:rsidRPr="00687A1C" w:rsidRDefault="00C65F2A" w:rsidP="00D57125">
            <w:pPr>
              <w:pStyle w:val="Tabletextright"/>
            </w:pPr>
            <w:r w:rsidRPr="00687A1C">
              <w:t>7.80</w:t>
            </w: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45</w:t>
            </w:r>
            <w:r w:rsidRPr="00687A1C">
              <w:rPr>
                <w:rFonts w:cstheme="minorHAnsi"/>
              </w:rPr>
              <w:noBreakHyphen/>
              <w:t>54</w:t>
            </w:r>
          </w:p>
        </w:tc>
        <w:tc>
          <w:tcPr>
            <w:tcW w:w="950" w:type="dxa"/>
            <w:shd w:val="clear" w:color="auto" w:fill="E0E0E0"/>
            <w:vAlign w:val="bottom"/>
          </w:tcPr>
          <w:p w:rsidR="00C65F2A" w:rsidRPr="00687A1C" w:rsidRDefault="00C65F2A" w:rsidP="004145DE">
            <w:pPr>
              <w:pStyle w:val="Tabletextright"/>
            </w:pPr>
            <w:r w:rsidRPr="00687A1C">
              <w:t>133</w:t>
            </w:r>
          </w:p>
        </w:tc>
        <w:tc>
          <w:tcPr>
            <w:tcW w:w="778" w:type="dxa"/>
            <w:shd w:val="clear" w:color="auto" w:fill="E0E0E0"/>
            <w:vAlign w:val="bottom"/>
          </w:tcPr>
          <w:p w:rsidR="00C65F2A" w:rsidRPr="00687A1C" w:rsidRDefault="00C65F2A" w:rsidP="004145DE">
            <w:pPr>
              <w:pStyle w:val="Tabletextright"/>
            </w:pPr>
            <w:r w:rsidRPr="00687A1C">
              <w:t>128.54</w:t>
            </w:r>
          </w:p>
        </w:tc>
        <w:tc>
          <w:tcPr>
            <w:tcW w:w="979" w:type="dxa"/>
            <w:shd w:val="clear" w:color="auto" w:fill="auto"/>
            <w:vAlign w:val="bottom"/>
          </w:tcPr>
          <w:p w:rsidR="00C65F2A" w:rsidRPr="00687A1C" w:rsidRDefault="00C65F2A" w:rsidP="00C65F2A">
            <w:pPr>
              <w:pStyle w:val="Tabletextright"/>
            </w:pPr>
            <w:r w:rsidRPr="00687A1C">
              <w:t>109</w:t>
            </w:r>
          </w:p>
        </w:tc>
        <w:tc>
          <w:tcPr>
            <w:tcW w:w="979" w:type="dxa"/>
            <w:shd w:val="clear" w:color="auto" w:fill="auto"/>
            <w:vAlign w:val="bottom"/>
          </w:tcPr>
          <w:p w:rsidR="00C65F2A" w:rsidRPr="00687A1C" w:rsidRDefault="00C65F2A" w:rsidP="00C65F2A">
            <w:pPr>
              <w:pStyle w:val="Tabletextright"/>
            </w:pPr>
            <w:r w:rsidRPr="00687A1C">
              <w:t>17</w:t>
            </w:r>
          </w:p>
        </w:tc>
        <w:tc>
          <w:tcPr>
            <w:tcW w:w="778" w:type="dxa"/>
            <w:shd w:val="clear" w:color="auto" w:fill="auto"/>
            <w:vAlign w:val="bottom"/>
          </w:tcPr>
          <w:p w:rsidR="00C65F2A" w:rsidRPr="00687A1C" w:rsidRDefault="00C65F2A" w:rsidP="00C65F2A">
            <w:pPr>
              <w:pStyle w:val="Tabletextright"/>
            </w:pPr>
            <w:r w:rsidRPr="00687A1C">
              <w:t>121.74</w:t>
            </w:r>
          </w:p>
        </w:tc>
        <w:tc>
          <w:tcPr>
            <w:tcW w:w="950" w:type="dxa"/>
            <w:shd w:val="clear" w:color="auto" w:fill="E0E0E0"/>
            <w:vAlign w:val="bottom"/>
          </w:tcPr>
          <w:p w:rsidR="00C65F2A" w:rsidRPr="00687A1C" w:rsidRDefault="00C65F2A" w:rsidP="004145DE">
            <w:pPr>
              <w:pStyle w:val="Tabletextright"/>
            </w:pPr>
            <w:r w:rsidRPr="00687A1C">
              <w:t>7</w:t>
            </w:r>
          </w:p>
        </w:tc>
        <w:tc>
          <w:tcPr>
            <w:tcW w:w="778" w:type="dxa"/>
            <w:shd w:val="clear" w:color="auto" w:fill="E0E0E0"/>
            <w:vAlign w:val="bottom"/>
          </w:tcPr>
          <w:p w:rsidR="00C65F2A" w:rsidRPr="00687A1C" w:rsidRDefault="00C65F2A" w:rsidP="004145DE">
            <w:pPr>
              <w:pStyle w:val="Tabletextright"/>
            </w:pPr>
            <w:r w:rsidRPr="00687A1C">
              <w:t>6.80</w:t>
            </w:r>
          </w:p>
        </w:tc>
        <w:tc>
          <w:tcPr>
            <w:tcW w:w="950" w:type="dxa"/>
            <w:shd w:val="clear" w:color="auto" w:fill="auto"/>
            <w:noWrap/>
          </w:tcPr>
          <w:p w:rsidR="00C65F2A" w:rsidRPr="00687A1C" w:rsidRDefault="00C65F2A" w:rsidP="00D57125">
            <w:pPr>
              <w:pStyle w:val="Tabletextright"/>
            </w:pPr>
            <w:r w:rsidRPr="00687A1C">
              <w:t>116</w:t>
            </w:r>
          </w:p>
        </w:tc>
        <w:tc>
          <w:tcPr>
            <w:tcW w:w="778" w:type="dxa"/>
            <w:shd w:val="clear" w:color="auto" w:fill="auto"/>
          </w:tcPr>
          <w:p w:rsidR="00C65F2A" w:rsidRPr="00687A1C" w:rsidRDefault="00C65F2A" w:rsidP="00D57125">
            <w:pPr>
              <w:pStyle w:val="Tabletextright"/>
            </w:pPr>
            <w:r w:rsidRPr="00687A1C">
              <w:t>113.35</w:t>
            </w:r>
          </w:p>
        </w:tc>
        <w:tc>
          <w:tcPr>
            <w:tcW w:w="979" w:type="dxa"/>
            <w:shd w:val="clear" w:color="auto" w:fill="E0E0E0"/>
            <w:noWrap/>
          </w:tcPr>
          <w:p w:rsidR="00C65F2A" w:rsidRPr="00687A1C" w:rsidRDefault="00C65F2A" w:rsidP="00D57125">
            <w:pPr>
              <w:pStyle w:val="Tabletextright"/>
            </w:pPr>
            <w:r w:rsidRPr="00687A1C">
              <w:t>101</w:t>
            </w:r>
          </w:p>
        </w:tc>
        <w:tc>
          <w:tcPr>
            <w:tcW w:w="979" w:type="dxa"/>
            <w:shd w:val="clear" w:color="auto" w:fill="E0E0E0"/>
          </w:tcPr>
          <w:p w:rsidR="00C65F2A" w:rsidRPr="00687A1C" w:rsidRDefault="00C65F2A" w:rsidP="00D57125">
            <w:pPr>
              <w:pStyle w:val="Tabletextright"/>
            </w:pPr>
            <w:r w:rsidRPr="00687A1C">
              <w:t>12</w:t>
            </w:r>
          </w:p>
        </w:tc>
        <w:tc>
          <w:tcPr>
            <w:tcW w:w="778" w:type="dxa"/>
            <w:shd w:val="clear" w:color="auto" w:fill="E0E0E0"/>
          </w:tcPr>
          <w:p w:rsidR="00C65F2A" w:rsidRPr="00687A1C" w:rsidRDefault="00C65F2A" w:rsidP="00D57125">
            <w:pPr>
              <w:pStyle w:val="Tabletextright"/>
            </w:pPr>
            <w:r w:rsidRPr="00687A1C">
              <w:t>110.35</w:t>
            </w:r>
          </w:p>
        </w:tc>
        <w:tc>
          <w:tcPr>
            <w:tcW w:w="950" w:type="dxa"/>
          </w:tcPr>
          <w:p w:rsidR="00C65F2A" w:rsidRPr="00687A1C" w:rsidRDefault="00C65F2A" w:rsidP="00D57125">
            <w:pPr>
              <w:pStyle w:val="Tabletextright"/>
            </w:pPr>
            <w:r w:rsidRPr="00687A1C">
              <w:t>3</w:t>
            </w:r>
          </w:p>
        </w:tc>
        <w:tc>
          <w:tcPr>
            <w:tcW w:w="778" w:type="dxa"/>
          </w:tcPr>
          <w:p w:rsidR="00C65F2A" w:rsidRPr="00687A1C" w:rsidRDefault="00C65F2A" w:rsidP="00D57125">
            <w:pPr>
              <w:pStyle w:val="Tabletextright"/>
            </w:pPr>
            <w:r w:rsidRPr="00687A1C">
              <w:t>3.00</w:t>
            </w: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55</w:t>
            </w:r>
            <w:r w:rsidRPr="00687A1C">
              <w:rPr>
                <w:rFonts w:cstheme="minorHAnsi"/>
              </w:rPr>
              <w:noBreakHyphen/>
              <w:t>64</w:t>
            </w:r>
          </w:p>
        </w:tc>
        <w:tc>
          <w:tcPr>
            <w:tcW w:w="950" w:type="dxa"/>
            <w:shd w:val="clear" w:color="auto" w:fill="E0E0E0"/>
            <w:vAlign w:val="bottom"/>
          </w:tcPr>
          <w:p w:rsidR="00C65F2A" w:rsidRPr="00687A1C" w:rsidRDefault="00C65F2A" w:rsidP="004145DE">
            <w:pPr>
              <w:pStyle w:val="Tabletextright"/>
            </w:pPr>
            <w:r w:rsidRPr="00687A1C">
              <w:t>95</w:t>
            </w:r>
          </w:p>
        </w:tc>
        <w:tc>
          <w:tcPr>
            <w:tcW w:w="778" w:type="dxa"/>
            <w:shd w:val="clear" w:color="auto" w:fill="E0E0E0"/>
            <w:vAlign w:val="bottom"/>
          </w:tcPr>
          <w:p w:rsidR="00C65F2A" w:rsidRPr="00687A1C" w:rsidRDefault="00C65F2A" w:rsidP="004145DE">
            <w:pPr>
              <w:pStyle w:val="Tabletextright"/>
            </w:pPr>
            <w:r w:rsidRPr="00687A1C">
              <w:t>92.44</w:t>
            </w:r>
          </w:p>
        </w:tc>
        <w:tc>
          <w:tcPr>
            <w:tcW w:w="979" w:type="dxa"/>
            <w:shd w:val="clear" w:color="auto" w:fill="auto"/>
            <w:vAlign w:val="bottom"/>
          </w:tcPr>
          <w:p w:rsidR="00C65F2A" w:rsidRPr="00687A1C" w:rsidRDefault="00C65F2A" w:rsidP="00C65F2A">
            <w:pPr>
              <w:pStyle w:val="Tabletextright"/>
            </w:pPr>
            <w:r w:rsidRPr="00687A1C">
              <w:t>79</w:t>
            </w:r>
          </w:p>
        </w:tc>
        <w:tc>
          <w:tcPr>
            <w:tcW w:w="979" w:type="dxa"/>
            <w:shd w:val="clear" w:color="auto" w:fill="auto"/>
            <w:vAlign w:val="bottom"/>
          </w:tcPr>
          <w:p w:rsidR="00C65F2A" w:rsidRPr="00687A1C" w:rsidRDefault="00C65F2A" w:rsidP="00C65F2A">
            <w:pPr>
              <w:pStyle w:val="Tabletextright"/>
            </w:pPr>
            <w:r w:rsidRPr="00687A1C">
              <w:t>12</w:t>
            </w:r>
          </w:p>
        </w:tc>
        <w:tc>
          <w:tcPr>
            <w:tcW w:w="778" w:type="dxa"/>
            <w:shd w:val="clear" w:color="auto" w:fill="auto"/>
            <w:vAlign w:val="bottom"/>
          </w:tcPr>
          <w:p w:rsidR="00C65F2A" w:rsidRPr="00687A1C" w:rsidRDefault="00C65F2A" w:rsidP="00C65F2A">
            <w:pPr>
              <w:pStyle w:val="Tabletextright"/>
            </w:pPr>
            <w:r w:rsidRPr="00687A1C">
              <w:t>88.64</w:t>
            </w:r>
          </w:p>
        </w:tc>
        <w:tc>
          <w:tcPr>
            <w:tcW w:w="950" w:type="dxa"/>
            <w:shd w:val="clear" w:color="auto" w:fill="E0E0E0"/>
            <w:vAlign w:val="bottom"/>
          </w:tcPr>
          <w:p w:rsidR="00C65F2A" w:rsidRPr="00687A1C" w:rsidRDefault="00C65F2A" w:rsidP="004145DE">
            <w:pPr>
              <w:pStyle w:val="Tabletextright"/>
            </w:pPr>
            <w:r w:rsidRPr="00687A1C">
              <w:t>4</w:t>
            </w:r>
          </w:p>
        </w:tc>
        <w:tc>
          <w:tcPr>
            <w:tcW w:w="778" w:type="dxa"/>
            <w:shd w:val="clear" w:color="auto" w:fill="E0E0E0"/>
            <w:vAlign w:val="bottom"/>
          </w:tcPr>
          <w:p w:rsidR="00C65F2A" w:rsidRPr="00687A1C" w:rsidRDefault="00C65F2A" w:rsidP="004145DE">
            <w:pPr>
              <w:pStyle w:val="Tabletextright"/>
            </w:pPr>
            <w:r w:rsidRPr="00687A1C">
              <w:t>3.80</w:t>
            </w:r>
          </w:p>
        </w:tc>
        <w:tc>
          <w:tcPr>
            <w:tcW w:w="950" w:type="dxa"/>
            <w:shd w:val="clear" w:color="auto" w:fill="auto"/>
            <w:noWrap/>
          </w:tcPr>
          <w:p w:rsidR="00C65F2A" w:rsidRPr="00687A1C" w:rsidRDefault="00C65F2A" w:rsidP="00D57125">
            <w:pPr>
              <w:pStyle w:val="Tabletextright"/>
            </w:pPr>
            <w:r w:rsidRPr="00687A1C">
              <w:t>96</w:t>
            </w:r>
          </w:p>
        </w:tc>
        <w:tc>
          <w:tcPr>
            <w:tcW w:w="778" w:type="dxa"/>
            <w:shd w:val="clear" w:color="auto" w:fill="auto"/>
          </w:tcPr>
          <w:p w:rsidR="00C65F2A" w:rsidRPr="00687A1C" w:rsidRDefault="00C65F2A" w:rsidP="00D57125">
            <w:pPr>
              <w:pStyle w:val="Tabletextright"/>
            </w:pPr>
            <w:r w:rsidRPr="00687A1C">
              <w:t>92.95</w:t>
            </w:r>
          </w:p>
        </w:tc>
        <w:tc>
          <w:tcPr>
            <w:tcW w:w="979" w:type="dxa"/>
            <w:shd w:val="clear" w:color="auto" w:fill="E0E0E0"/>
            <w:noWrap/>
          </w:tcPr>
          <w:p w:rsidR="00C65F2A" w:rsidRPr="00687A1C" w:rsidRDefault="00C65F2A" w:rsidP="00D57125">
            <w:pPr>
              <w:pStyle w:val="Tabletextright"/>
            </w:pPr>
            <w:r w:rsidRPr="00687A1C">
              <w:t>80</w:t>
            </w:r>
          </w:p>
        </w:tc>
        <w:tc>
          <w:tcPr>
            <w:tcW w:w="979" w:type="dxa"/>
            <w:shd w:val="clear" w:color="auto" w:fill="E0E0E0"/>
          </w:tcPr>
          <w:p w:rsidR="00C65F2A" w:rsidRPr="00687A1C" w:rsidRDefault="00C65F2A" w:rsidP="00D57125">
            <w:pPr>
              <w:pStyle w:val="Tabletextright"/>
            </w:pPr>
            <w:r w:rsidRPr="00687A1C">
              <w:t>13</w:t>
            </w:r>
          </w:p>
        </w:tc>
        <w:tc>
          <w:tcPr>
            <w:tcW w:w="778" w:type="dxa"/>
            <w:shd w:val="clear" w:color="auto" w:fill="E0E0E0"/>
          </w:tcPr>
          <w:p w:rsidR="00C65F2A" w:rsidRPr="00687A1C" w:rsidRDefault="00C65F2A" w:rsidP="00D57125">
            <w:pPr>
              <w:pStyle w:val="Tabletextright"/>
            </w:pPr>
            <w:r w:rsidRPr="00687A1C">
              <w:t>90.15</w:t>
            </w:r>
          </w:p>
        </w:tc>
        <w:tc>
          <w:tcPr>
            <w:tcW w:w="950" w:type="dxa"/>
          </w:tcPr>
          <w:p w:rsidR="00C65F2A" w:rsidRPr="00687A1C" w:rsidRDefault="00C65F2A" w:rsidP="00D57125">
            <w:pPr>
              <w:pStyle w:val="Tabletextright"/>
            </w:pPr>
            <w:r w:rsidRPr="00687A1C">
              <w:t>3</w:t>
            </w:r>
          </w:p>
        </w:tc>
        <w:tc>
          <w:tcPr>
            <w:tcW w:w="778" w:type="dxa"/>
          </w:tcPr>
          <w:p w:rsidR="00C65F2A" w:rsidRPr="00687A1C" w:rsidRDefault="00C65F2A" w:rsidP="00D57125">
            <w:pPr>
              <w:pStyle w:val="Tabletextright"/>
            </w:pPr>
            <w:r w:rsidRPr="00687A1C">
              <w:t>2.80</w:t>
            </w:r>
          </w:p>
        </w:tc>
      </w:tr>
      <w:tr w:rsidR="00C65F2A" w:rsidRPr="00687A1C" w:rsidTr="00D00B76">
        <w:trPr>
          <w:cantSplit/>
        </w:trPr>
        <w:tc>
          <w:tcPr>
            <w:tcW w:w="1483" w:type="dxa"/>
            <w:shd w:val="clear" w:color="auto" w:fill="auto"/>
          </w:tcPr>
          <w:p w:rsidR="00C65F2A" w:rsidRPr="00687A1C" w:rsidRDefault="00C65F2A" w:rsidP="00E67247">
            <w:pPr>
              <w:pStyle w:val="Tabletext"/>
            </w:pPr>
            <w:r w:rsidRPr="00687A1C">
              <w:rPr>
                <w:rFonts w:cstheme="minorHAnsi"/>
              </w:rPr>
              <w:t>65+</w:t>
            </w:r>
          </w:p>
        </w:tc>
        <w:tc>
          <w:tcPr>
            <w:tcW w:w="950" w:type="dxa"/>
            <w:shd w:val="clear" w:color="auto" w:fill="E0E0E0"/>
            <w:vAlign w:val="bottom"/>
          </w:tcPr>
          <w:p w:rsidR="00C65F2A" w:rsidRPr="00687A1C" w:rsidRDefault="00C65F2A" w:rsidP="004145DE">
            <w:pPr>
              <w:pStyle w:val="Tabletextright"/>
            </w:pPr>
            <w:r w:rsidRPr="00687A1C">
              <w:t>15</w:t>
            </w:r>
          </w:p>
        </w:tc>
        <w:tc>
          <w:tcPr>
            <w:tcW w:w="778" w:type="dxa"/>
            <w:shd w:val="clear" w:color="auto" w:fill="E0E0E0"/>
            <w:vAlign w:val="bottom"/>
          </w:tcPr>
          <w:p w:rsidR="00C65F2A" w:rsidRPr="00687A1C" w:rsidRDefault="00C65F2A" w:rsidP="004145DE">
            <w:pPr>
              <w:pStyle w:val="Tabletextright"/>
            </w:pPr>
            <w:r w:rsidRPr="00687A1C">
              <w:t>12.54</w:t>
            </w:r>
          </w:p>
        </w:tc>
        <w:tc>
          <w:tcPr>
            <w:tcW w:w="979" w:type="dxa"/>
            <w:shd w:val="clear" w:color="auto" w:fill="auto"/>
            <w:vAlign w:val="bottom"/>
          </w:tcPr>
          <w:p w:rsidR="00C65F2A" w:rsidRPr="00687A1C" w:rsidRDefault="00C65F2A" w:rsidP="00C65F2A">
            <w:pPr>
              <w:pStyle w:val="Tabletextright"/>
            </w:pPr>
            <w:r w:rsidRPr="00687A1C">
              <w:t>9</w:t>
            </w:r>
          </w:p>
        </w:tc>
        <w:tc>
          <w:tcPr>
            <w:tcW w:w="979" w:type="dxa"/>
            <w:shd w:val="clear" w:color="auto" w:fill="auto"/>
            <w:vAlign w:val="bottom"/>
          </w:tcPr>
          <w:p w:rsidR="00C65F2A" w:rsidRPr="00687A1C" w:rsidRDefault="00C65F2A" w:rsidP="00C65F2A">
            <w:pPr>
              <w:pStyle w:val="Tabletextright"/>
            </w:pPr>
            <w:r w:rsidRPr="00687A1C">
              <w:t>5</w:t>
            </w:r>
          </w:p>
        </w:tc>
        <w:tc>
          <w:tcPr>
            <w:tcW w:w="778" w:type="dxa"/>
            <w:shd w:val="clear" w:color="auto" w:fill="auto"/>
            <w:vAlign w:val="bottom"/>
          </w:tcPr>
          <w:p w:rsidR="00C65F2A" w:rsidRPr="00687A1C" w:rsidRDefault="00C65F2A" w:rsidP="00C65F2A">
            <w:pPr>
              <w:pStyle w:val="Tabletextright"/>
            </w:pPr>
            <w:r w:rsidRPr="00687A1C">
              <w:t>12.17</w:t>
            </w:r>
          </w:p>
        </w:tc>
        <w:tc>
          <w:tcPr>
            <w:tcW w:w="950" w:type="dxa"/>
            <w:shd w:val="clear" w:color="auto" w:fill="E0E0E0"/>
            <w:vAlign w:val="bottom"/>
          </w:tcPr>
          <w:p w:rsidR="00C65F2A" w:rsidRPr="00687A1C" w:rsidRDefault="00C65F2A" w:rsidP="004145DE">
            <w:pPr>
              <w:pStyle w:val="Tabletextright"/>
            </w:pPr>
            <w:r w:rsidRPr="00687A1C">
              <w:t>1</w:t>
            </w:r>
          </w:p>
        </w:tc>
        <w:tc>
          <w:tcPr>
            <w:tcW w:w="778" w:type="dxa"/>
            <w:shd w:val="clear" w:color="auto" w:fill="E0E0E0"/>
            <w:vAlign w:val="bottom"/>
          </w:tcPr>
          <w:p w:rsidR="00C65F2A" w:rsidRPr="00687A1C" w:rsidRDefault="00C65F2A" w:rsidP="004145DE">
            <w:pPr>
              <w:pStyle w:val="Tabletextright"/>
            </w:pPr>
            <w:r w:rsidRPr="00687A1C">
              <w:t>0.37</w:t>
            </w:r>
          </w:p>
        </w:tc>
        <w:tc>
          <w:tcPr>
            <w:tcW w:w="950" w:type="dxa"/>
            <w:shd w:val="clear" w:color="auto" w:fill="auto"/>
            <w:noWrap/>
          </w:tcPr>
          <w:p w:rsidR="00C65F2A" w:rsidRPr="00687A1C" w:rsidRDefault="00C65F2A" w:rsidP="00D57125">
            <w:pPr>
              <w:pStyle w:val="Tabletextright"/>
            </w:pPr>
            <w:r w:rsidRPr="00687A1C">
              <w:t>17</w:t>
            </w:r>
          </w:p>
        </w:tc>
        <w:tc>
          <w:tcPr>
            <w:tcW w:w="778" w:type="dxa"/>
            <w:shd w:val="clear" w:color="auto" w:fill="auto"/>
          </w:tcPr>
          <w:p w:rsidR="00C65F2A" w:rsidRPr="00687A1C" w:rsidRDefault="00C65F2A" w:rsidP="00D57125">
            <w:pPr>
              <w:pStyle w:val="Tabletextright"/>
            </w:pPr>
            <w:r w:rsidRPr="00687A1C">
              <w:t>16.07</w:t>
            </w:r>
          </w:p>
        </w:tc>
        <w:tc>
          <w:tcPr>
            <w:tcW w:w="979" w:type="dxa"/>
            <w:shd w:val="clear" w:color="auto" w:fill="E0E0E0"/>
            <w:noWrap/>
          </w:tcPr>
          <w:p w:rsidR="00C65F2A" w:rsidRPr="00687A1C" w:rsidRDefault="00C65F2A" w:rsidP="00D57125">
            <w:pPr>
              <w:pStyle w:val="Tabletextright"/>
            </w:pPr>
            <w:r w:rsidRPr="00687A1C">
              <w:t>14</w:t>
            </w:r>
          </w:p>
        </w:tc>
        <w:tc>
          <w:tcPr>
            <w:tcW w:w="979" w:type="dxa"/>
            <w:shd w:val="clear" w:color="auto" w:fill="E0E0E0"/>
          </w:tcPr>
          <w:p w:rsidR="00C65F2A" w:rsidRPr="00687A1C" w:rsidRDefault="00C65F2A" w:rsidP="00D57125">
            <w:pPr>
              <w:pStyle w:val="Tabletextright"/>
            </w:pPr>
            <w:r w:rsidRPr="00687A1C">
              <w:t>2</w:t>
            </w:r>
          </w:p>
        </w:tc>
        <w:tc>
          <w:tcPr>
            <w:tcW w:w="778" w:type="dxa"/>
            <w:shd w:val="clear" w:color="auto" w:fill="E0E0E0"/>
          </w:tcPr>
          <w:p w:rsidR="00C65F2A" w:rsidRPr="00687A1C" w:rsidRDefault="00C65F2A" w:rsidP="00D57125">
            <w:pPr>
              <w:pStyle w:val="Tabletextright"/>
            </w:pPr>
            <w:r w:rsidRPr="00687A1C">
              <w:t>15.07</w:t>
            </w:r>
          </w:p>
        </w:tc>
        <w:tc>
          <w:tcPr>
            <w:tcW w:w="950" w:type="dxa"/>
          </w:tcPr>
          <w:p w:rsidR="00C65F2A" w:rsidRPr="00687A1C" w:rsidRDefault="00C65F2A" w:rsidP="00D57125">
            <w:pPr>
              <w:pStyle w:val="Tabletextright"/>
            </w:pPr>
            <w:r w:rsidRPr="00687A1C">
              <w:t>1</w:t>
            </w:r>
          </w:p>
        </w:tc>
        <w:tc>
          <w:tcPr>
            <w:tcW w:w="778" w:type="dxa"/>
          </w:tcPr>
          <w:p w:rsidR="00C65F2A" w:rsidRPr="00687A1C" w:rsidRDefault="00C65F2A" w:rsidP="00D57125">
            <w:pPr>
              <w:pStyle w:val="Tabletextright"/>
            </w:pPr>
            <w:r w:rsidRPr="00687A1C">
              <w:t>1.00</w:t>
            </w:r>
          </w:p>
        </w:tc>
      </w:tr>
      <w:tr w:rsidR="00C65F2A" w:rsidRPr="00687A1C" w:rsidTr="00722E5C">
        <w:trPr>
          <w:cantSplit/>
        </w:trPr>
        <w:tc>
          <w:tcPr>
            <w:tcW w:w="1483" w:type="dxa"/>
            <w:shd w:val="clear" w:color="auto" w:fill="auto"/>
          </w:tcPr>
          <w:p w:rsidR="00C65F2A" w:rsidRPr="00687A1C" w:rsidRDefault="00C65F2A" w:rsidP="00E67247">
            <w:pPr>
              <w:pStyle w:val="Tabletext"/>
              <w:rPr>
                <w:sz w:val="6"/>
              </w:rPr>
            </w:pPr>
          </w:p>
        </w:tc>
        <w:tc>
          <w:tcPr>
            <w:tcW w:w="950" w:type="dxa"/>
            <w:shd w:val="clear" w:color="auto" w:fill="E0E0E0"/>
          </w:tcPr>
          <w:p w:rsidR="00C65F2A" w:rsidRPr="00687A1C" w:rsidRDefault="00C65F2A" w:rsidP="004145DE">
            <w:pPr>
              <w:pStyle w:val="Tabletextright"/>
              <w:rPr>
                <w:rFonts w:cstheme="minorHAnsi"/>
                <w:sz w:val="6"/>
              </w:rPr>
            </w:pPr>
          </w:p>
        </w:tc>
        <w:tc>
          <w:tcPr>
            <w:tcW w:w="778" w:type="dxa"/>
            <w:shd w:val="clear" w:color="auto" w:fill="E0E0E0"/>
          </w:tcPr>
          <w:p w:rsidR="00C65F2A" w:rsidRPr="00687A1C" w:rsidRDefault="00C65F2A" w:rsidP="004145DE">
            <w:pPr>
              <w:pStyle w:val="Tabletextright"/>
              <w:rPr>
                <w:rFonts w:cstheme="minorHAnsi"/>
                <w:sz w:val="6"/>
              </w:rPr>
            </w:pPr>
          </w:p>
        </w:tc>
        <w:tc>
          <w:tcPr>
            <w:tcW w:w="979" w:type="dxa"/>
            <w:shd w:val="clear" w:color="auto" w:fill="auto"/>
          </w:tcPr>
          <w:p w:rsidR="00C65F2A" w:rsidRPr="00687A1C" w:rsidRDefault="00C65F2A" w:rsidP="00C65F2A">
            <w:pPr>
              <w:pStyle w:val="Tabletextright"/>
              <w:rPr>
                <w:rFonts w:cstheme="minorHAnsi"/>
                <w:sz w:val="6"/>
              </w:rPr>
            </w:pPr>
          </w:p>
        </w:tc>
        <w:tc>
          <w:tcPr>
            <w:tcW w:w="979" w:type="dxa"/>
            <w:shd w:val="clear" w:color="auto" w:fill="auto"/>
          </w:tcPr>
          <w:p w:rsidR="00C65F2A" w:rsidRPr="00687A1C" w:rsidRDefault="00C65F2A" w:rsidP="00C65F2A">
            <w:pPr>
              <w:pStyle w:val="Tabletextright"/>
              <w:rPr>
                <w:sz w:val="6"/>
              </w:rPr>
            </w:pPr>
          </w:p>
        </w:tc>
        <w:tc>
          <w:tcPr>
            <w:tcW w:w="778" w:type="dxa"/>
            <w:shd w:val="clear" w:color="auto" w:fill="auto"/>
          </w:tcPr>
          <w:p w:rsidR="00C65F2A" w:rsidRPr="00687A1C" w:rsidRDefault="00C65F2A" w:rsidP="00C65F2A">
            <w:pPr>
              <w:pStyle w:val="Tabletextright"/>
              <w:rPr>
                <w:sz w:val="6"/>
              </w:rPr>
            </w:pPr>
          </w:p>
        </w:tc>
        <w:tc>
          <w:tcPr>
            <w:tcW w:w="950" w:type="dxa"/>
            <w:shd w:val="clear" w:color="auto" w:fill="E0E0E0"/>
          </w:tcPr>
          <w:p w:rsidR="00C65F2A" w:rsidRPr="00687A1C" w:rsidRDefault="00C65F2A" w:rsidP="004145DE">
            <w:pPr>
              <w:pStyle w:val="Tabletextright"/>
              <w:rPr>
                <w:sz w:val="6"/>
              </w:rPr>
            </w:pPr>
          </w:p>
        </w:tc>
        <w:tc>
          <w:tcPr>
            <w:tcW w:w="778" w:type="dxa"/>
            <w:shd w:val="clear" w:color="auto" w:fill="E0E0E0"/>
          </w:tcPr>
          <w:p w:rsidR="00C65F2A" w:rsidRPr="00687A1C" w:rsidRDefault="00C65F2A" w:rsidP="004145DE">
            <w:pPr>
              <w:pStyle w:val="Tabletextright"/>
              <w:rPr>
                <w:sz w:val="6"/>
              </w:rPr>
            </w:pPr>
          </w:p>
        </w:tc>
        <w:tc>
          <w:tcPr>
            <w:tcW w:w="950" w:type="dxa"/>
            <w:shd w:val="clear" w:color="auto" w:fill="auto"/>
            <w:noWrap/>
          </w:tcPr>
          <w:p w:rsidR="00C65F2A" w:rsidRPr="00687A1C" w:rsidRDefault="00C65F2A" w:rsidP="00D57125">
            <w:pPr>
              <w:pStyle w:val="Tabletextright"/>
              <w:rPr>
                <w:rFonts w:cstheme="minorHAnsi"/>
                <w:sz w:val="6"/>
              </w:rPr>
            </w:pPr>
          </w:p>
        </w:tc>
        <w:tc>
          <w:tcPr>
            <w:tcW w:w="778" w:type="dxa"/>
            <w:shd w:val="clear" w:color="auto" w:fill="auto"/>
          </w:tcPr>
          <w:p w:rsidR="00C65F2A" w:rsidRPr="00687A1C" w:rsidRDefault="00C65F2A" w:rsidP="00D57125">
            <w:pPr>
              <w:pStyle w:val="Tabletextright"/>
              <w:rPr>
                <w:rFonts w:cstheme="minorHAnsi"/>
                <w:sz w:val="6"/>
              </w:rPr>
            </w:pPr>
          </w:p>
        </w:tc>
        <w:tc>
          <w:tcPr>
            <w:tcW w:w="979" w:type="dxa"/>
            <w:shd w:val="clear" w:color="auto" w:fill="E0E0E0"/>
            <w:noWrap/>
          </w:tcPr>
          <w:p w:rsidR="00C65F2A" w:rsidRPr="00687A1C" w:rsidRDefault="00C65F2A" w:rsidP="00D57125">
            <w:pPr>
              <w:pStyle w:val="Tabletextright"/>
              <w:rPr>
                <w:rFonts w:cstheme="minorHAnsi"/>
                <w:sz w:val="6"/>
              </w:rPr>
            </w:pPr>
          </w:p>
        </w:tc>
        <w:tc>
          <w:tcPr>
            <w:tcW w:w="979" w:type="dxa"/>
            <w:shd w:val="clear" w:color="auto" w:fill="E0E0E0"/>
          </w:tcPr>
          <w:p w:rsidR="00C65F2A" w:rsidRPr="00687A1C" w:rsidRDefault="00C65F2A" w:rsidP="00D57125">
            <w:pPr>
              <w:pStyle w:val="Tabletextright"/>
              <w:rPr>
                <w:sz w:val="6"/>
              </w:rPr>
            </w:pPr>
          </w:p>
        </w:tc>
        <w:tc>
          <w:tcPr>
            <w:tcW w:w="778" w:type="dxa"/>
            <w:shd w:val="clear" w:color="auto" w:fill="E0E0E0"/>
          </w:tcPr>
          <w:p w:rsidR="00C65F2A" w:rsidRPr="00687A1C" w:rsidRDefault="00C65F2A" w:rsidP="00D57125">
            <w:pPr>
              <w:pStyle w:val="Tabletextright"/>
              <w:rPr>
                <w:sz w:val="6"/>
              </w:rPr>
            </w:pPr>
          </w:p>
        </w:tc>
        <w:tc>
          <w:tcPr>
            <w:tcW w:w="950" w:type="dxa"/>
          </w:tcPr>
          <w:p w:rsidR="00C65F2A" w:rsidRPr="00687A1C" w:rsidRDefault="00C65F2A" w:rsidP="00D57125">
            <w:pPr>
              <w:pStyle w:val="Tabletextright"/>
              <w:rPr>
                <w:sz w:val="6"/>
              </w:rPr>
            </w:pPr>
          </w:p>
        </w:tc>
        <w:tc>
          <w:tcPr>
            <w:tcW w:w="778" w:type="dxa"/>
          </w:tcPr>
          <w:p w:rsidR="00C65F2A" w:rsidRPr="00687A1C" w:rsidRDefault="00C65F2A" w:rsidP="00D57125">
            <w:pPr>
              <w:pStyle w:val="Tabletextright"/>
              <w:rPr>
                <w:sz w:val="6"/>
              </w:rPr>
            </w:pPr>
          </w:p>
        </w:tc>
      </w:tr>
      <w:tr w:rsidR="00C65F2A" w:rsidRPr="00687A1C" w:rsidTr="00EB2016">
        <w:trPr>
          <w:cantSplit/>
        </w:trPr>
        <w:tc>
          <w:tcPr>
            <w:tcW w:w="1483" w:type="dxa"/>
            <w:shd w:val="clear" w:color="auto" w:fill="auto"/>
          </w:tcPr>
          <w:p w:rsidR="00C65F2A" w:rsidRPr="00687A1C" w:rsidRDefault="00C65F2A" w:rsidP="00EB2016">
            <w:pPr>
              <w:pStyle w:val="Tabletext"/>
            </w:pPr>
            <w:r w:rsidRPr="00687A1C">
              <w:rPr>
                <w:rFonts w:cstheme="minorHAnsi"/>
                <w:b/>
                <w:szCs w:val="18"/>
              </w:rPr>
              <w:t>VPS1–6 Grade</w:t>
            </w:r>
          </w:p>
        </w:tc>
        <w:tc>
          <w:tcPr>
            <w:tcW w:w="950" w:type="dxa"/>
            <w:shd w:val="clear" w:color="auto" w:fill="E0E0E0"/>
            <w:vAlign w:val="bottom"/>
          </w:tcPr>
          <w:p w:rsidR="00C65F2A" w:rsidRPr="00687A1C" w:rsidRDefault="00C65F2A" w:rsidP="00EB2016">
            <w:pPr>
              <w:pStyle w:val="Tabletextrightbold"/>
            </w:pPr>
            <w:r w:rsidRPr="00687A1C">
              <w:t>525</w:t>
            </w:r>
          </w:p>
        </w:tc>
        <w:tc>
          <w:tcPr>
            <w:tcW w:w="778" w:type="dxa"/>
            <w:shd w:val="clear" w:color="auto" w:fill="E0E0E0"/>
            <w:vAlign w:val="bottom"/>
          </w:tcPr>
          <w:p w:rsidR="00C65F2A" w:rsidRPr="00687A1C" w:rsidRDefault="00C65F2A" w:rsidP="00EB2016">
            <w:pPr>
              <w:pStyle w:val="Tabletextrightbold"/>
            </w:pPr>
            <w:r w:rsidRPr="00687A1C">
              <w:t>500.16</w:t>
            </w:r>
          </w:p>
        </w:tc>
        <w:tc>
          <w:tcPr>
            <w:tcW w:w="979" w:type="dxa"/>
            <w:shd w:val="clear" w:color="auto" w:fill="auto"/>
            <w:vAlign w:val="bottom"/>
          </w:tcPr>
          <w:p w:rsidR="00C65F2A" w:rsidRPr="00687A1C" w:rsidRDefault="00C65F2A" w:rsidP="00C65F2A">
            <w:pPr>
              <w:pStyle w:val="Tabletextrightbold"/>
            </w:pPr>
            <w:r w:rsidRPr="00687A1C">
              <w:t>406</w:t>
            </w:r>
          </w:p>
        </w:tc>
        <w:tc>
          <w:tcPr>
            <w:tcW w:w="979" w:type="dxa"/>
            <w:shd w:val="clear" w:color="auto" w:fill="auto"/>
            <w:vAlign w:val="bottom"/>
          </w:tcPr>
          <w:p w:rsidR="00C65F2A" w:rsidRPr="00687A1C" w:rsidRDefault="00C65F2A" w:rsidP="00C65F2A">
            <w:pPr>
              <w:pStyle w:val="Tabletextrightbold"/>
            </w:pPr>
            <w:r w:rsidRPr="00687A1C">
              <w:t>84</w:t>
            </w:r>
          </w:p>
        </w:tc>
        <w:tc>
          <w:tcPr>
            <w:tcW w:w="778" w:type="dxa"/>
            <w:shd w:val="clear" w:color="auto" w:fill="auto"/>
            <w:vAlign w:val="bottom"/>
          </w:tcPr>
          <w:p w:rsidR="00C65F2A" w:rsidRPr="00687A1C" w:rsidRDefault="00C65F2A" w:rsidP="00C65F2A">
            <w:pPr>
              <w:pStyle w:val="Tabletextrightbold"/>
            </w:pPr>
            <w:r w:rsidRPr="00687A1C">
              <w:t>466.96</w:t>
            </w:r>
          </w:p>
        </w:tc>
        <w:tc>
          <w:tcPr>
            <w:tcW w:w="950" w:type="dxa"/>
            <w:shd w:val="clear" w:color="auto" w:fill="E0E0E0"/>
            <w:vAlign w:val="bottom"/>
          </w:tcPr>
          <w:p w:rsidR="00C65F2A" w:rsidRPr="00687A1C" w:rsidRDefault="00C65F2A" w:rsidP="00EB2016">
            <w:pPr>
              <w:pStyle w:val="Tabletextrightbold"/>
            </w:pPr>
            <w:r w:rsidRPr="00687A1C">
              <w:t>36</w:t>
            </w:r>
          </w:p>
        </w:tc>
        <w:tc>
          <w:tcPr>
            <w:tcW w:w="778" w:type="dxa"/>
            <w:shd w:val="clear" w:color="auto" w:fill="E0E0E0"/>
            <w:vAlign w:val="bottom"/>
          </w:tcPr>
          <w:p w:rsidR="00C65F2A" w:rsidRPr="00687A1C" w:rsidRDefault="00C65F2A" w:rsidP="00EB2016">
            <w:pPr>
              <w:pStyle w:val="Tabletextrightbold"/>
            </w:pPr>
            <w:r w:rsidRPr="00687A1C">
              <w:t>34.20</w:t>
            </w:r>
          </w:p>
        </w:tc>
        <w:tc>
          <w:tcPr>
            <w:tcW w:w="950" w:type="dxa"/>
            <w:shd w:val="clear" w:color="auto" w:fill="auto"/>
            <w:noWrap/>
            <w:vAlign w:val="bottom"/>
          </w:tcPr>
          <w:p w:rsidR="00C65F2A" w:rsidRPr="00687A1C" w:rsidRDefault="00C65F2A" w:rsidP="00EB2016">
            <w:pPr>
              <w:pStyle w:val="Tabletextrightbold"/>
            </w:pPr>
            <w:r w:rsidRPr="00687A1C">
              <w:t>530</w:t>
            </w:r>
          </w:p>
        </w:tc>
        <w:tc>
          <w:tcPr>
            <w:tcW w:w="778" w:type="dxa"/>
            <w:shd w:val="clear" w:color="auto" w:fill="auto"/>
            <w:vAlign w:val="bottom"/>
          </w:tcPr>
          <w:p w:rsidR="00C65F2A" w:rsidRPr="00687A1C" w:rsidRDefault="00C65F2A" w:rsidP="00EB2016">
            <w:pPr>
              <w:pStyle w:val="Tabletextrightbold"/>
            </w:pPr>
            <w:r w:rsidRPr="00687A1C">
              <w:t>504.76</w:t>
            </w:r>
          </w:p>
        </w:tc>
        <w:tc>
          <w:tcPr>
            <w:tcW w:w="979" w:type="dxa"/>
            <w:shd w:val="clear" w:color="auto" w:fill="E0E0E0"/>
            <w:noWrap/>
            <w:vAlign w:val="bottom"/>
          </w:tcPr>
          <w:p w:rsidR="00C65F2A" w:rsidRPr="00687A1C" w:rsidRDefault="00C65F2A" w:rsidP="00EB2016">
            <w:pPr>
              <w:pStyle w:val="Tabletextrightbold"/>
            </w:pPr>
            <w:r w:rsidRPr="00687A1C">
              <w:t>416</w:t>
            </w:r>
          </w:p>
        </w:tc>
        <w:tc>
          <w:tcPr>
            <w:tcW w:w="979" w:type="dxa"/>
            <w:shd w:val="clear" w:color="auto" w:fill="E0E0E0"/>
            <w:vAlign w:val="bottom"/>
          </w:tcPr>
          <w:p w:rsidR="00C65F2A" w:rsidRPr="00687A1C" w:rsidRDefault="00C65F2A" w:rsidP="00EB2016">
            <w:pPr>
              <w:pStyle w:val="Tabletextrightbold"/>
            </w:pPr>
            <w:r w:rsidRPr="00687A1C">
              <w:t>87</w:t>
            </w:r>
          </w:p>
        </w:tc>
        <w:tc>
          <w:tcPr>
            <w:tcW w:w="778" w:type="dxa"/>
            <w:shd w:val="clear" w:color="auto" w:fill="E0E0E0"/>
            <w:vAlign w:val="bottom"/>
          </w:tcPr>
          <w:p w:rsidR="00C65F2A" w:rsidRPr="00687A1C" w:rsidRDefault="00C65F2A" w:rsidP="00EB2016">
            <w:pPr>
              <w:pStyle w:val="Tabletextrightbold"/>
            </w:pPr>
            <w:r w:rsidRPr="00687A1C">
              <w:t>478.56</w:t>
            </w:r>
          </w:p>
        </w:tc>
        <w:tc>
          <w:tcPr>
            <w:tcW w:w="950" w:type="dxa"/>
            <w:vAlign w:val="bottom"/>
          </w:tcPr>
          <w:p w:rsidR="00C65F2A" w:rsidRPr="00687A1C" w:rsidRDefault="00C65F2A" w:rsidP="00EB2016">
            <w:pPr>
              <w:pStyle w:val="Tabletextrightbold"/>
            </w:pPr>
            <w:r w:rsidRPr="00687A1C">
              <w:t>27</w:t>
            </w:r>
          </w:p>
        </w:tc>
        <w:tc>
          <w:tcPr>
            <w:tcW w:w="778" w:type="dxa"/>
            <w:vAlign w:val="bottom"/>
          </w:tcPr>
          <w:p w:rsidR="00C65F2A" w:rsidRPr="00687A1C" w:rsidRDefault="00C65F2A" w:rsidP="00EB2016">
            <w:pPr>
              <w:pStyle w:val="Tabletextrightbold"/>
            </w:pPr>
            <w:r w:rsidRPr="00687A1C">
              <w:t>26.20</w:t>
            </w:r>
          </w:p>
        </w:tc>
      </w:tr>
      <w:tr w:rsidR="00C65F2A" w:rsidRPr="00687A1C" w:rsidTr="00EB2016">
        <w:trPr>
          <w:cantSplit/>
        </w:trPr>
        <w:tc>
          <w:tcPr>
            <w:tcW w:w="1483" w:type="dxa"/>
            <w:shd w:val="clear" w:color="auto" w:fill="auto"/>
            <w:vAlign w:val="bottom"/>
          </w:tcPr>
          <w:p w:rsidR="00C65F2A" w:rsidRPr="00687A1C" w:rsidRDefault="00C65F2A" w:rsidP="00EB2016">
            <w:pPr>
              <w:pStyle w:val="Tabletext"/>
            </w:pPr>
            <w:r w:rsidRPr="00687A1C">
              <w:t>Grade 1</w:t>
            </w:r>
          </w:p>
        </w:tc>
        <w:tc>
          <w:tcPr>
            <w:tcW w:w="950" w:type="dxa"/>
            <w:shd w:val="clear" w:color="auto" w:fill="E0E0E0"/>
            <w:vAlign w:val="bottom"/>
          </w:tcPr>
          <w:p w:rsidR="00C65F2A" w:rsidRPr="00687A1C" w:rsidRDefault="00C65F2A" w:rsidP="00EB2016">
            <w:pPr>
              <w:pStyle w:val="Tabletextright"/>
            </w:pPr>
            <w:r w:rsidRPr="00687A1C">
              <w:t>3</w:t>
            </w:r>
          </w:p>
        </w:tc>
        <w:tc>
          <w:tcPr>
            <w:tcW w:w="778" w:type="dxa"/>
            <w:shd w:val="clear" w:color="auto" w:fill="E0E0E0"/>
            <w:vAlign w:val="bottom"/>
          </w:tcPr>
          <w:p w:rsidR="00C65F2A" w:rsidRPr="00687A1C" w:rsidRDefault="00C65F2A" w:rsidP="00EB2016">
            <w:pPr>
              <w:pStyle w:val="Tabletextright"/>
            </w:pPr>
            <w:r w:rsidRPr="00687A1C">
              <w:t>2.80</w:t>
            </w:r>
          </w:p>
        </w:tc>
        <w:tc>
          <w:tcPr>
            <w:tcW w:w="979" w:type="dxa"/>
            <w:shd w:val="clear" w:color="auto" w:fill="auto"/>
            <w:vAlign w:val="bottom"/>
          </w:tcPr>
          <w:p w:rsidR="00C65F2A" w:rsidRPr="00687A1C" w:rsidRDefault="00C65F2A" w:rsidP="00C65F2A">
            <w:pPr>
              <w:pStyle w:val="Tabletextright"/>
            </w:pPr>
            <w:r w:rsidRPr="00687A1C">
              <w:t>–</w:t>
            </w:r>
          </w:p>
        </w:tc>
        <w:tc>
          <w:tcPr>
            <w:tcW w:w="979" w:type="dxa"/>
            <w:shd w:val="clear" w:color="auto" w:fill="auto"/>
            <w:vAlign w:val="bottom"/>
          </w:tcPr>
          <w:p w:rsidR="00C65F2A" w:rsidRPr="00687A1C" w:rsidRDefault="00C65F2A" w:rsidP="00C65F2A">
            <w:pPr>
              <w:pStyle w:val="Tabletextright"/>
            </w:pPr>
            <w:r w:rsidRPr="00687A1C">
              <w:t>–</w:t>
            </w:r>
          </w:p>
        </w:tc>
        <w:tc>
          <w:tcPr>
            <w:tcW w:w="778" w:type="dxa"/>
            <w:shd w:val="clear" w:color="auto" w:fill="auto"/>
            <w:vAlign w:val="bottom"/>
          </w:tcPr>
          <w:p w:rsidR="00C65F2A" w:rsidRPr="00687A1C" w:rsidRDefault="00C65F2A" w:rsidP="00C65F2A">
            <w:pPr>
              <w:pStyle w:val="Tabletextright"/>
            </w:pPr>
            <w:r w:rsidRPr="00687A1C">
              <w:t>–</w:t>
            </w:r>
          </w:p>
        </w:tc>
        <w:tc>
          <w:tcPr>
            <w:tcW w:w="950" w:type="dxa"/>
            <w:shd w:val="clear" w:color="auto" w:fill="E0E0E0"/>
            <w:vAlign w:val="bottom"/>
          </w:tcPr>
          <w:p w:rsidR="00C65F2A" w:rsidRPr="00687A1C" w:rsidRDefault="00C65F2A" w:rsidP="00EB2016">
            <w:pPr>
              <w:pStyle w:val="Tabletextright"/>
            </w:pPr>
            <w:r w:rsidRPr="00687A1C">
              <w:t>3</w:t>
            </w:r>
          </w:p>
        </w:tc>
        <w:tc>
          <w:tcPr>
            <w:tcW w:w="778" w:type="dxa"/>
            <w:shd w:val="clear" w:color="auto" w:fill="E0E0E0"/>
            <w:vAlign w:val="bottom"/>
          </w:tcPr>
          <w:p w:rsidR="00C65F2A" w:rsidRPr="00687A1C" w:rsidRDefault="00C65F2A" w:rsidP="00EB2016">
            <w:pPr>
              <w:pStyle w:val="Tabletextright"/>
            </w:pPr>
            <w:r w:rsidRPr="00687A1C">
              <w:t>2.80</w:t>
            </w:r>
          </w:p>
        </w:tc>
        <w:tc>
          <w:tcPr>
            <w:tcW w:w="950" w:type="dxa"/>
            <w:shd w:val="clear" w:color="auto" w:fill="auto"/>
            <w:noWrap/>
          </w:tcPr>
          <w:p w:rsidR="00C65F2A" w:rsidRPr="00687A1C" w:rsidRDefault="00C65F2A" w:rsidP="00EB2016">
            <w:pPr>
              <w:pStyle w:val="Tabletextright"/>
            </w:pPr>
            <w:r w:rsidRPr="00687A1C">
              <w:t>–</w:t>
            </w:r>
          </w:p>
        </w:tc>
        <w:tc>
          <w:tcPr>
            <w:tcW w:w="778" w:type="dxa"/>
            <w:shd w:val="clear" w:color="auto" w:fill="auto"/>
          </w:tcPr>
          <w:p w:rsidR="00C65F2A" w:rsidRPr="00687A1C" w:rsidRDefault="00C65F2A" w:rsidP="00EB2016">
            <w:pPr>
              <w:pStyle w:val="Tabletextright"/>
            </w:pPr>
            <w:r w:rsidRPr="00687A1C">
              <w:t>–</w:t>
            </w:r>
          </w:p>
        </w:tc>
        <w:tc>
          <w:tcPr>
            <w:tcW w:w="979" w:type="dxa"/>
            <w:shd w:val="clear" w:color="auto" w:fill="E0E0E0"/>
            <w:noWrap/>
          </w:tcPr>
          <w:p w:rsidR="00C65F2A" w:rsidRPr="00687A1C" w:rsidRDefault="00C65F2A" w:rsidP="00EB2016">
            <w:pPr>
              <w:pStyle w:val="Tabletextright"/>
            </w:pPr>
            <w:r w:rsidRPr="00687A1C">
              <w:t>–</w:t>
            </w:r>
          </w:p>
        </w:tc>
        <w:tc>
          <w:tcPr>
            <w:tcW w:w="979" w:type="dxa"/>
            <w:shd w:val="clear" w:color="auto" w:fill="E0E0E0"/>
          </w:tcPr>
          <w:p w:rsidR="00C65F2A" w:rsidRPr="00687A1C" w:rsidRDefault="00C65F2A" w:rsidP="00EB2016">
            <w:pPr>
              <w:pStyle w:val="Tabletextright"/>
            </w:pPr>
            <w:r w:rsidRPr="00687A1C">
              <w:t>–</w:t>
            </w:r>
          </w:p>
        </w:tc>
        <w:tc>
          <w:tcPr>
            <w:tcW w:w="778" w:type="dxa"/>
            <w:shd w:val="clear" w:color="auto" w:fill="E0E0E0"/>
          </w:tcPr>
          <w:p w:rsidR="00C65F2A" w:rsidRPr="00687A1C" w:rsidRDefault="00C65F2A" w:rsidP="00EB2016">
            <w:pPr>
              <w:pStyle w:val="Tabletextright"/>
            </w:pPr>
            <w:r w:rsidRPr="00687A1C">
              <w:t>–</w:t>
            </w:r>
          </w:p>
        </w:tc>
        <w:tc>
          <w:tcPr>
            <w:tcW w:w="950" w:type="dxa"/>
          </w:tcPr>
          <w:p w:rsidR="00C65F2A" w:rsidRPr="00687A1C" w:rsidRDefault="00C65F2A" w:rsidP="00EB2016">
            <w:pPr>
              <w:pStyle w:val="Tabletextright"/>
            </w:pPr>
            <w:r w:rsidRPr="00687A1C">
              <w:t>–</w:t>
            </w:r>
          </w:p>
        </w:tc>
        <w:tc>
          <w:tcPr>
            <w:tcW w:w="778" w:type="dxa"/>
          </w:tcPr>
          <w:p w:rsidR="00C65F2A" w:rsidRPr="00687A1C" w:rsidRDefault="00C65F2A" w:rsidP="00EB2016">
            <w:pPr>
              <w:pStyle w:val="Tabletextright"/>
            </w:pPr>
            <w:r w:rsidRPr="00687A1C">
              <w:t>–</w:t>
            </w:r>
          </w:p>
        </w:tc>
      </w:tr>
      <w:tr w:rsidR="00C65F2A" w:rsidRPr="00687A1C" w:rsidTr="00D00B76">
        <w:trPr>
          <w:cantSplit/>
        </w:trPr>
        <w:tc>
          <w:tcPr>
            <w:tcW w:w="1483" w:type="dxa"/>
            <w:shd w:val="clear" w:color="auto" w:fill="auto"/>
            <w:vAlign w:val="bottom"/>
          </w:tcPr>
          <w:p w:rsidR="00C65F2A" w:rsidRPr="00687A1C" w:rsidRDefault="00C65F2A" w:rsidP="00722E5C">
            <w:pPr>
              <w:pStyle w:val="Tabletext"/>
            </w:pPr>
            <w:r w:rsidRPr="00687A1C">
              <w:t>Grade 2</w:t>
            </w:r>
          </w:p>
        </w:tc>
        <w:tc>
          <w:tcPr>
            <w:tcW w:w="950" w:type="dxa"/>
            <w:shd w:val="clear" w:color="auto" w:fill="E0E0E0"/>
            <w:vAlign w:val="bottom"/>
          </w:tcPr>
          <w:p w:rsidR="00C65F2A" w:rsidRPr="00687A1C" w:rsidRDefault="00C65F2A" w:rsidP="004145DE">
            <w:pPr>
              <w:pStyle w:val="Tabletextright"/>
            </w:pPr>
            <w:r w:rsidRPr="00687A1C">
              <w:t>28</w:t>
            </w:r>
          </w:p>
        </w:tc>
        <w:tc>
          <w:tcPr>
            <w:tcW w:w="778" w:type="dxa"/>
            <w:shd w:val="clear" w:color="auto" w:fill="E0E0E0"/>
            <w:vAlign w:val="bottom"/>
          </w:tcPr>
          <w:p w:rsidR="00C65F2A" w:rsidRPr="00687A1C" w:rsidRDefault="00C65F2A" w:rsidP="004145DE">
            <w:pPr>
              <w:pStyle w:val="Tabletextright"/>
            </w:pPr>
            <w:r w:rsidRPr="00687A1C">
              <w:t>26.78</w:t>
            </w:r>
          </w:p>
        </w:tc>
        <w:tc>
          <w:tcPr>
            <w:tcW w:w="979" w:type="dxa"/>
            <w:shd w:val="clear" w:color="auto" w:fill="auto"/>
            <w:vAlign w:val="bottom"/>
          </w:tcPr>
          <w:p w:rsidR="00C65F2A" w:rsidRPr="00687A1C" w:rsidRDefault="00C65F2A" w:rsidP="00C65F2A">
            <w:pPr>
              <w:pStyle w:val="Tabletextright"/>
            </w:pPr>
            <w:r w:rsidRPr="00687A1C">
              <w:t>24</w:t>
            </w:r>
          </w:p>
        </w:tc>
        <w:tc>
          <w:tcPr>
            <w:tcW w:w="979" w:type="dxa"/>
            <w:shd w:val="clear" w:color="auto" w:fill="auto"/>
            <w:vAlign w:val="bottom"/>
          </w:tcPr>
          <w:p w:rsidR="00C65F2A" w:rsidRPr="00687A1C" w:rsidRDefault="00C65F2A" w:rsidP="00C65F2A">
            <w:pPr>
              <w:pStyle w:val="Tabletextright"/>
            </w:pPr>
            <w:r w:rsidRPr="00687A1C">
              <w:t>2</w:t>
            </w:r>
          </w:p>
        </w:tc>
        <w:tc>
          <w:tcPr>
            <w:tcW w:w="778" w:type="dxa"/>
            <w:shd w:val="clear" w:color="auto" w:fill="auto"/>
            <w:vAlign w:val="bottom"/>
          </w:tcPr>
          <w:p w:rsidR="00C65F2A" w:rsidRPr="00687A1C" w:rsidRDefault="00C65F2A" w:rsidP="00C65F2A">
            <w:pPr>
              <w:pStyle w:val="Tabletextright"/>
            </w:pPr>
            <w:r w:rsidRPr="00687A1C">
              <w:t>25.38</w:t>
            </w:r>
          </w:p>
        </w:tc>
        <w:tc>
          <w:tcPr>
            <w:tcW w:w="950" w:type="dxa"/>
            <w:shd w:val="clear" w:color="auto" w:fill="E0E0E0"/>
            <w:vAlign w:val="bottom"/>
          </w:tcPr>
          <w:p w:rsidR="00C65F2A" w:rsidRPr="00687A1C" w:rsidRDefault="00C65F2A" w:rsidP="004145DE">
            <w:pPr>
              <w:pStyle w:val="Tabletextright"/>
            </w:pPr>
            <w:r w:rsidRPr="00687A1C">
              <w:t>2</w:t>
            </w:r>
          </w:p>
        </w:tc>
        <w:tc>
          <w:tcPr>
            <w:tcW w:w="778" w:type="dxa"/>
            <w:shd w:val="clear" w:color="auto" w:fill="E0E0E0"/>
            <w:vAlign w:val="bottom"/>
          </w:tcPr>
          <w:p w:rsidR="00C65F2A" w:rsidRPr="00687A1C" w:rsidRDefault="00C65F2A" w:rsidP="004145DE">
            <w:pPr>
              <w:pStyle w:val="Tabletextright"/>
            </w:pPr>
            <w:r w:rsidRPr="00687A1C">
              <w:t>1.40</w:t>
            </w:r>
          </w:p>
        </w:tc>
        <w:tc>
          <w:tcPr>
            <w:tcW w:w="950" w:type="dxa"/>
            <w:shd w:val="clear" w:color="auto" w:fill="auto"/>
            <w:noWrap/>
          </w:tcPr>
          <w:p w:rsidR="00C65F2A" w:rsidRPr="00687A1C" w:rsidRDefault="00C65F2A" w:rsidP="00D57125">
            <w:pPr>
              <w:pStyle w:val="Tabletextright"/>
            </w:pPr>
            <w:r w:rsidRPr="00687A1C">
              <w:t>18</w:t>
            </w:r>
          </w:p>
        </w:tc>
        <w:tc>
          <w:tcPr>
            <w:tcW w:w="778" w:type="dxa"/>
            <w:shd w:val="clear" w:color="auto" w:fill="auto"/>
          </w:tcPr>
          <w:p w:rsidR="00C65F2A" w:rsidRPr="00687A1C" w:rsidRDefault="00C65F2A" w:rsidP="00D57125">
            <w:pPr>
              <w:pStyle w:val="Tabletextright"/>
            </w:pPr>
            <w:r w:rsidRPr="00687A1C">
              <w:t>17.20</w:t>
            </w:r>
          </w:p>
        </w:tc>
        <w:tc>
          <w:tcPr>
            <w:tcW w:w="979" w:type="dxa"/>
            <w:shd w:val="clear" w:color="auto" w:fill="E0E0E0"/>
            <w:noWrap/>
          </w:tcPr>
          <w:p w:rsidR="00C65F2A" w:rsidRPr="00687A1C" w:rsidRDefault="00C65F2A" w:rsidP="00D57125">
            <w:pPr>
              <w:pStyle w:val="Tabletextright"/>
            </w:pPr>
            <w:r w:rsidRPr="00687A1C">
              <w:t>14</w:t>
            </w:r>
          </w:p>
        </w:tc>
        <w:tc>
          <w:tcPr>
            <w:tcW w:w="979" w:type="dxa"/>
            <w:shd w:val="clear" w:color="auto" w:fill="E0E0E0"/>
          </w:tcPr>
          <w:p w:rsidR="00C65F2A" w:rsidRPr="00687A1C" w:rsidRDefault="00C65F2A" w:rsidP="00D57125">
            <w:pPr>
              <w:pStyle w:val="Tabletextright"/>
            </w:pPr>
            <w:r w:rsidRPr="00687A1C">
              <w:t>2</w:t>
            </w:r>
          </w:p>
        </w:tc>
        <w:tc>
          <w:tcPr>
            <w:tcW w:w="778" w:type="dxa"/>
            <w:shd w:val="clear" w:color="auto" w:fill="E0E0E0"/>
          </w:tcPr>
          <w:p w:rsidR="00C65F2A" w:rsidRPr="00687A1C" w:rsidRDefault="00C65F2A" w:rsidP="00D57125">
            <w:pPr>
              <w:pStyle w:val="Tabletextright"/>
            </w:pPr>
            <w:r w:rsidRPr="00687A1C">
              <w:t>15.40</w:t>
            </w:r>
          </w:p>
        </w:tc>
        <w:tc>
          <w:tcPr>
            <w:tcW w:w="950" w:type="dxa"/>
          </w:tcPr>
          <w:p w:rsidR="00C65F2A" w:rsidRPr="00687A1C" w:rsidRDefault="00C65F2A" w:rsidP="00D57125">
            <w:pPr>
              <w:pStyle w:val="Tabletextright"/>
            </w:pPr>
            <w:r w:rsidRPr="00687A1C">
              <w:t>2</w:t>
            </w:r>
          </w:p>
        </w:tc>
        <w:tc>
          <w:tcPr>
            <w:tcW w:w="778" w:type="dxa"/>
          </w:tcPr>
          <w:p w:rsidR="00C65F2A" w:rsidRPr="00687A1C" w:rsidRDefault="00C65F2A" w:rsidP="00D57125">
            <w:pPr>
              <w:pStyle w:val="Tabletextright"/>
            </w:pPr>
            <w:r w:rsidRPr="00687A1C">
              <w:t>1.80</w:t>
            </w:r>
          </w:p>
        </w:tc>
      </w:tr>
      <w:tr w:rsidR="00C65F2A" w:rsidRPr="00687A1C" w:rsidTr="00D00B76">
        <w:trPr>
          <w:cantSplit/>
        </w:trPr>
        <w:tc>
          <w:tcPr>
            <w:tcW w:w="1483" w:type="dxa"/>
            <w:shd w:val="clear" w:color="auto" w:fill="auto"/>
            <w:vAlign w:val="bottom"/>
          </w:tcPr>
          <w:p w:rsidR="00C65F2A" w:rsidRPr="00687A1C" w:rsidRDefault="00C65F2A" w:rsidP="00722E5C">
            <w:pPr>
              <w:pStyle w:val="Tabletext"/>
            </w:pPr>
            <w:r w:rsidRPr="00687A1C">
              <w:t>Grade 3</w:t>
            </w:r>
          </w:p>
        </w:tc>
        <w:tc>
          <w:tcPr>
            <w:tcW w:w="950" w:type="dxa"/>
            <w:shd w:val="clear" w:color="auto" w:fill="E0E0E0"/>
            <w:vAlign w:val="bottom"/>
          </w:tcPr>
          <w:p w:rsidR="00C65F2A" w:rsidRPr="00687A1C" w:rsidRDefault="00C65F2A" w:rsidP="004145DE">
            <w:pPr>
              <w:pStyle w:val="Tabletextright"/>
            </w:pPr>
            <w:r w:rsidRPr="00687A1C">
              <w:t>75</w:t>
            </w:r>
          </w:p>
        </w:tc>
        <w:tc>
          <w:tcPr>
            <w:tcW w:w="778" w:type="dxa"/>
            <w:shd w:val="clear" w:color="auto" w:fill="E0E0E0"/>
            <w:vAlign w:val="bottom"/>
          </w:tcPr>
          <w:p w:rsidR="00C65F2A" w:rsidRPr="00687A1C" w:rsidRDefault="00C65F2A" w:rsidP="004145DE">
            <w:pPr>
              <w:pStyle w:val="Tabletextright"/>
            </w:pPr>
            <w:r w:rsidRPr="00687A1C">
              <w:t>71.12</w:t>
            </w:r>
          </w:p>
        </w:tc>
        <w:tc>
          <w:tcPr>
            <w:tcW w:w="979" w:type="dxa"/>
            <w:shd w:val="clear" w:color="auto" w:fill="auto"/>
            <w:vAlign w:val="bottom"/>
          </w:tcPr>
          <w:p w:rsidR="00C65F2A" w:rsidRPr="00687A1C" w:rsidRDefault="00C65F2A" w:rsidP="00C65F2A">
            <w:pPr>
              <w:pStyle w:val="Tabletextright"/>
            </w:pPr>
            <w:r w:rsidRPr="00687A1C">
              <w:t>56</w:t>
            </w:r>
          </w:p>
        </w:tc>
        <w:tc>
          <w:tcPr>
            <w:tcW w:w="979" w:type="dxa"/>
            <w:shd w:val="clear" w:color="auto" w:fill="auto"/>
            <w:vAlign w:val="bottom"/>
          </w:tcPr>
          <w:p w:rsidR="00C65F2A" w:rsidRPr="00687A1C" w:rsidRDefault="00C65F2A" w:rsidP="00C65F2A">
            <w:pPr>
              <w:pStyle w:val="Tabletextright"/>
            </w:pPr>
            <w:r w:rsidRPr="00687A1C">
              <w:t>16</w:t>
            </w:r>
          </w:p>
        </w:tc>
        <w:tc>
          <w:tcPr>
            <w:tcW w:w="778" w:type="dxa"/>
            <w:shd w:val="clear" w:color="auto" w:fill="auto"/>
            <w:vAlign w:val="bottom"/>
          </w:tcPr>
          <w:p w:rsidR="00C65F2A" w:rsidRPr="00687A1C" w:rsidRDefault="00C65F2A" w:rsidP="00C65F2A">
            <w:pPr>
              <w:pStyle w:val="Tabletextright"/>
            </w:pPr>
            <w:r w:rsidRPr="00687A1C">
              <w:t>68.12</w:t>
            </w:r>
          </w:p>
        </w:tc>
        <w:tc>
          <w:tcPr>
            <w:tcW w:w="950" w:type="dxa"/>
            <w:shd w:val="clear" w:color="auto" w:fill="E0E0E0"/>
            <w:vAlign w:val="bottom"/>
          </w:tcPr>
          <w:p w:rsidR="00C65F2A" w:rsidRPr="00687A1C" w:rsidRDefault="00C65F2A" w:rsidP="004145DE">
            <w:pPr>
              <w:pStyle w:val="Tabletextright"/>
            </w:pPr>
            <w:r w:rsidRPr="00687A1C">
              <w:t>4</w:t>
            </w:r>
          </w:p>
        </w:tc>
        <w:tc>
          <w:tcPr>
            <w:tcW w:w="778" w:type="dxa"/>
            <w:shd w:val="clear" w:color="auto" w:fill="E0E0E0"/>
            <w:vAlign w:val="bottom"/>
          </w:tcPr>
          <w:p w:rsidR="00C65F2A" w:rsidRPr="00687A1C" w:rsidRDefault="00C65F2A" w:rsidP="004145DE">
            <w:pPr>
              <w:pStyle w:val="Tabletextright"/>
            </w:pPr>
            <w:r w:rsidRPr="00687A1C">
              <w:t>4.00</w:t>
            </w:r>
          </w:p>
        </w:tc>
        <w:tc>
          <w:tcPr>
            <w:tcW w:w="950" w:type="dxa"/>
            <w:shd w:val="clear" w:color="auto" w:fill="auto"/>
            <w:noWrap/>
          </w:tcPr>
          <w:p w:rsidR="00C65F2A" w:rsidRPr="00687A1C" w:rsidRDefault="00C65F2A" w:rsidP="00D57125">
            <w:pPr>
              <w:pStyle w:val="Tabletextright"/>
            </w:pPr>
            <w:r w:rsidRPr="00687A1C">
              <w:t>85</w:t>
            </w:r>
          </w:p>
        </w:tc>
        <w:tc>
          <w:tcPr>
            <w:tcW w:w="778" w:type="dxa"/>
            <w:shd w:val="clear" w:color="auto" w:fill="auto"/>
          </w:tcPr>
          <w:p w:rsidR="00C65F2A" w:rsidRPr="00687A1C" w:rsidRDefault="00C65F2A" w:rsidP="00D57125">
            <w:pPr>
              <w:pStyle w:val="Tabletextright"/>
            </w:pPr>
            <w:r w:rsidRPr="00687A1C">
              <w:t>80.63</w:t>
            </w:r>
          </w:p>
        </w:tc>
        <w:tc>
          <w:tcPr>
            <w:tcW w:w="979" w:type="dxa"/>
            <w:shd w:val="clear" w:color="auto" w:fill="E0E0E0"/>
            <w:noWrap/>
          </w:tcPr>
          <w:p w:rsidR="00C65F2A" w:rsidRPr="00687A1C" w:rsidRDefault="00C65F2A" w:rsidP="00D57125">
            <w:pPr>
              <w:pStyle w:val="Tabletextright"/>
            </w:pPr>
            <w:r w:rsidRPr="00687A1C">
              <w:t>63</w:t>
            </w:r>
          </w:p>
        </w:tc>
        <w:tc>
          <w:tcPr>
            <w:tcW w:w="979" w:type="dxa"/>
            <w:shd w:val="clear" w:color="auto" w:fill="E0E0E0"/>
          </w:tcPr>
          <w:p w:rsidR="00C65F2A" w:rsidRPr="00687A1C" w:rsidRDefault="00C65F2A" w:rsidP="00D57125">
            <w:pPr>
              <w:pStyle w:val="Tabletextright"/>
            </w:pPr>
            <w:r w:rsidRPr="00687A1C">
              <w:t>16</w:t>
            </w:r>
          </w:p>
        </w:tc>
        <w:tc>
          <w:tcPr>
            <w:tcW w:w="778" w:type="dxa"/>
            <w:shd w:val="clear" w:color="auto" w:fill="E0E0E0"/>
          </w:tcPr>
          <w:p w:rsidR="00C65F2A" w:rsidRPr="00687A1C" w:rsidRDefault="00C65F2A" w:rsidP="00D57125">
            <w:pPr>
              <w:pStyle w:val="Tabletextright"/>
            </w:pPr>
            <w:r w:rsidRPr="00687A1C">
              <w:t>74.63</w:t>
            </w:r>
          </w:p>
        </w:tc>
        <w:tc>
          <w:tcPr>
            <w:tcW w:w="950" w:type="dxa"/>
          </w:tcPr>
          <w:p w:rsidR="00C65F2A" w:rsidRPr="00687A1C" w:rsidRDefault="00C65F2A" w:rsidP="00D57125">
            <w:pPr>
              <w:pStyle w:val="Tabletextright"/>
            </w:pPr>
            <w:r w:rsidRPr="00687A1C">
              <w:t>6</w:t>
            </w:r>
          </w:p>
        </w:tc>
        <w:tc>
          <w:tcPr>
            <w:tcW w:w="778" w:type="dxa"/>
          </w:tcPr>
          <w:p w:rsidR="00C65F2A" w:rsidRPr="00687A1C" w:rsidRDefault="00C65F2A" w:rsidP="00D57125">
            <w:pPr>
              <w:pStyle w:val="Tabletextright"/>
            </w:pPr>
            <w:r w:rsidRPr="00687A1C">
              <w:t>6.00</w:t>
            </w:r>
          </w:p>
        </w:tc>
      </w:tr>
      <w:tr w:rsidR="00C65F2A" w:rsidRPr="00687A1C" w:rsidTr="00D00B76">
        <w:trPr>
          <w:cantSplit/>
        </w:trPr>
        <w:tc>
          <w:tcPr>
            <w:tcW w:w="1483" w:type="dxa"/>
            <w:shd w:val="clear" w:color="auto" w:fill="auto"/>
            <w:vAlign w:val="bottom"/>
          </w:tcPr>
          <w:p w:rsidR="00C65F2A" w:rsidRPr="00687A1C" w:rsidRDefault="00C65F2A" w:rsidP="00722E5C">
            <w:pPr>
              <w:pStyle w:val="Tabletext"/>
            </w:pPr>
            <w:r w:rsidRPr="00687A1C">
              <w:t>Grade 4</w:t>
            </w:r>
          </w:p>
        </w:tc>
        <w:tc>
          <w:tcPr>
            <w:tcW w:w="950" w:type="dxa"/>
            <w:shd w:val="clear" w:color="auto" w:fill="E0E0E0"/>
            <w:vAlign w:val="bottom"/>
          </w:tcPr>
          <w:p w:rsidR="00C65F2A" w:rsidRPr="00687A1C" w:rsidRDefault="00C65F2A" w:rsidP="004145DE">
            <w:pPr>
              <w:pStyle w:val="Tabletextright"/>
            </w:pPr>
            <w:r w:rsidRPr="00687A1C">
              <w:t>108</w:t>
            </w:r>
          </w:p>
        </w:tc>
        <w:tc>
          <w:tcPr>
            <w:tcW w:w="778" w:type="dxa"/>
            <w:shd w:val="clear" w:color="auto" w:fill="E0E0E0"/>
            <w:vAlign w:val="bottom"/>
          </w:tcPr>
          <w:p w:rsidR="00C65F2A" w:rsidRPr="00687A1C" w:rsidRDefault="00C65F2A" w:rsidP="004145DE">
            <w:pPr>
              <w:pStyle w:val="Tabletextright"/>
            </w:pPr>
            <w:r w:rsidRPr="00687A1C">
              <w:t>104.11</w:t>
            </w:r>
          </w:p>
        </w:tc>
        <w:tc>
          <w:tcPr>
            <w:tcW w:w="979" w:type="dxa"/>
            <w:shd w:val="clear" w:color="auto" w:fill="auto"/>
            <w:vAlign w:val="bottom"/>
          </w:tcPr>
          <w:p w:rsidR="00C65F2A" w:rsidRPr="00687A1C" w:rsidRDefault="00C65F2A" w:rsidP="00C65F2A">
            <w:pPr>
              <w:pStyle w:val="Tabletextright"/>
            </w:pPr>
            <w:r w:rsidRPr="00687A1C">
              <w:t>87</w:t>
            </w:r>
          </w:p>
        </w:tc>
        <w:tc>
          <w:tcPr>
            <w:tcW w:w="979" w:type="dxa"/>
            <w:shd w:val="clear" w:color="auto" w:fill="auto"/>
            <w:vAlign w:val="bottom"/>
          </w:tcPr>
          <w:p w:rsidR="00C65F2A" w:rsidRPr="00687A1C" w:rsidRDefault="00C65F2A" w:rsidP="00C65F2A">
            <w:pPr>
              <w:pStyle w:val="Tabletextright"/>
            </w:pPr>
            <w:r w:rsidRPr="00687A1C">
              <w:t>15</w:t>
            </w:r>
          </w:p>
        </w:tc>
        <w:tc>
          <w:tcPr>
            <w:tcW w:w="778" w:type="dxa"/>
            <w:shd w:val="clear" w:color="auto" w:fill="auto"/>
            <w:vAlign w:val="bottom"/>
          </w:tcPr>
          <w:p w:rsidR="00C65F2A" w:rsidRPr="00687A1C" w:rsidRDefault="00C65F2A" w:rsidP="00C65F2A">
            <w:pPr>
              <w:pStyle w:val="Tabletextright"/>
            </w:pPr>
            <w:r w:rsidRPr="00687A1C">
              <w:t>98.31</w:t>
            </w:r>
          </w:p>
        </w:tc>
        <w:tc>
          <w:tcPr>
            <w:tcW w:w="950" w:type="dxa"/>
            <w:shd w:val="clear" w:color="auto" w:fill="E0E0E0"/>
            <w:vAlign w:val="bottom"/>
          </w:tcPr>
          <w:p w:rsidR="00C65F2A" w:rsidRPr="00687A1C" w:rsidRDefault="00C65F2A" w:rsidP="004145DE">
            <w:pPr>
              <w:pStyle w:val="Tabletextright"/>
            </w:pPr>
            <w:r w:rsidRPr="00687A1C">
              <w:t>6</w:t>
            </w:r>
          </w:p>
        </w:tc>
        <w:tc>
          <w:tcPr>
            <w:tcW w:w="778" w:type="dxa"/>
            <w:shd w:val="clear" w:color="auto" w:fill="E0E0E0"/>
            <w:vAlign w:val="bottom"/>
          </w:tcPr>
          <w:p w:rsidR="00C65F2A" w:rsidRPr="00687A1C" w:rsidRDefault="00C65F2A" w:rsidP="004145DE">
            <w:pPr>
              <w:pStyle w:val="Tabletextright"/>
            </w:pPr>
            <w:r w:rsidRPr="00687A1C">
              <w:t>5.80</w:t>
            </w:r>
          </w:p>
        </w:tc>
        <w:tc>
          <w:tcPr>
            <w:tcW w:w="950" w:type="dxa"/>
            <w:shd w:val="clear" w:color="auto" w:fill="auto"/>
            <w:noWrap/>
          </w:tcPr>
          <w:p w:rsidR="00C65F2A" w:rsidRPr="00687A1C" w:rsidRDefault="00C65F2A" w:rsidP="00D57125">
            <w:pPr>
              <w:pStyle w:val="Tabletextright"/>
            </w:pPr>
            <w:r w:rsidRPr="00687A1C">
              <w:t>121</w:t>
            </w:r>
          </w:p>
        </w:tc>
        <w:tc>
          <w:tcPr>
            <w:tcW w:w="778" w:type="dxa"/>
            <w:shd w:val="clear" w:color="auto" w:fill="auto"/>
          </w:tcPr>
          <w:p w:rsidR="00C65F2A" w:rsidRPr="00687A1C" w:rsidRDefault="00C65F2A" w:rsidP="00D57125">
            <w:pPr>
              <w:pStyle w:val="Tabletextright"/>
            </w:pPr>
            <w:r w:rsidRPr="00687A1C">
              <w:t>116.26</w:t>
            </w:r>
          </w:p>
        </w:tc>
        <w:tc>
          <w:tcPr>
            <w:tcW w:w="979" w:type="dxa"/>
            <w:shd w:val="clear" w:color="auto" w:fill="E0E0E0"/>
            <w:noWrap/>
          </w:tcPr>
          <w:p w:rsidR="00C65F2A" w:rsidRPr="00687A1C" w:rsidRDefault="00C65F2A" w:rsidP="00D57125">
            <w:pPr>
              <w:pStyle w:val="Tabletextright"/>
            </w:pPr>
            <w:r w:rsidRPr="00687A1C">
              <w:t>91</w:t>
            </w:r>
          </w:p>
        </w:tc>
        <w:tc>
          <w:tcPr>
            <w:tcW w:w="979" w:type="dxa"/>
            <w:shd w:val="clear" w:color="auto" w:fill="E0E0E0"/>
          </w:tcPr>
          <w:p w:rsidR="00C65F2A" w:rsidRPr="00687A1C" w:rsidRDefault="00C65F2A" w:rsidP="00D57125">
            <w:pPr>
              <w:pStyle w:val="Tabletextright"/>
            </w:pPr>
            <w:r w:rsidRPr="00687A1C">
              <w:t>17</w:t>
            </w:r>
          </w:p>
        </w:tc>
        <w:tc>
          <w:tcPr>
            <w:tcW w:w="778" w:type="dxa"/>
            <w:shd w:val="clear" w:color="auto" w:fill="E0E0E0"/>
          </w:tcPr>
          <w:p w:rsidR="00C65F2A" w:rsidRPr="00687A1C" w:rsidRDefault="00C65F2A" w:rsidP="00D57125">
            <w:pPr>
              <w:pStyle w:val="Tabletextright"/>
            </w:pPr>
            <w:r w:rsidRPr="00687A1C">
              <w:t>103.46</w:t>
            </w:r>
          </w:p>
        </w:tc>
        <w:tc>
          <w:tcPr>
            <w:tcW w:w="950" w:type="dxa"/>
          </w:tcPr>
          <w:p w:rsidR="00C65F2A" w:rsidRPr="00687A1C" w:rsidRDefault="00C65F2A" w:rsidP="00D57125">
            <w:pPr>
              <w:pStyle w:val="Tabletextright"/>
            </w:pPr>
            <w:r w:rsidRPr="00687A1C">
              <w:t>13</w:t>
            </w:r>
          </w:p>
        </w:tc>
        <w:tc>
          <w:tcPr>
            <w:tcW w:w="778" w:type="dxa"/>
          </w:tcPr>
          <w:p w:rsidR="00C65F2A" w:rsidRPr="00687A1C" w:rsidRDefault="00C65F2A" w:rsidP="00D57125">
            <w:pPr>
              <w:pStyle w:val="Tabletextright"/>
            </w:pPr>
            <w:r w:rsidRPr="00687A1C">
              <w:t>12.80</w:t>
            </w:r>
          </w:p>
        </w:tc>
      </w:tr>
      <w:tr w:rsidR="00C65F2A" w:rsidRPr="00687A1C" w:rsidTr="00D00B76">
        <w:trPr>
          <w:cantSplit/>
        </w:trPr>
        <w:tc>
          <w:tcPr>
            <w:tcW w:w="1483" w:type="dxa"/>
            <w:shd w:val="clear" w:color="auto" w:fill="auto"/>
            <w:vAlign w:val="bottom"/>
          </w:tcPr>
          <w:p w:rsidR="00C65F2A" w:rsidRPr="00687A1C" w:rsidRDefault="00C65F2A" w:rsidP="00722E5C">
            <w:pPr>
              <w:pStyle w:val="Tabletext"/>
            </w:pPr>
            <w:r w:rsidRPr="00687A1C">
              <w:t>Grade 5</w:t>
            </w:r>
          </w:p>
        </w:tc>
        <w:tc>
          <w:tcPr>
            <w:tcW w:w="950" w:type="dxa"/>
            <w:shd w:val="clear" w:color="auto" w:fill="E0E0E0"/>
            <w:vAlign w:val="bottom"/>
          </w:tcPr>
          <w:p w:rsidR="00C65F2A" w:rsidRPr="00687A1C" w:rsidRDefault="00C65F2A" w:rsidP="004145DE">
            <w:pPr>
              <w:pStyle w:val="Tabletextright"/>
            </w:pPr>
            <w:r w:rsidRPr="00687A1C">
              <w:t>153</w:t>
            </w:r>
          </w:p>
        </w:tc>
        <w:tc>
          <w:tcPr>
            <w:tcW w:w="778" w:type="dxa"/>
            <w:shd w:val="clear" w:color="auto" w:fill="E0E0E0"/>
            <w:vAlign w:val="bottom"/>
          </w:tcPr>
          <w:p w:rsidR="00C65F2A" w:rsidRPr="00687A1C" w:rsidRDefault="00C65F2A" w:rsidP="004145DE">
            <w:pPr>
              <w:pStyle w:val="Tabletextright"/>
            </w:pPr>
            <w:r w:rsidRPr="00687A1C">
              <w:t>147.54</w:t>
            </w:r>
          </w:p>
        </w:tc>
        <w:tc>
          <w:tcPr>
            <w:tcW w:w="979" w:type="dxa"/>
            <w:shd w:val="clear" w:color="auto" w:fill="auto"/>
            <w:vAlign w:val="bottom"/>
          </w:tcPr>
          <w:p w:rsidR="00C65F2A" w:rsidRPr="00687A1C" w:rsidRDefault="00C65F2A" w:rsidP="00C65F2A">
            <w:pPr>
              <w:pStyle w:val="Tabletextright"/>
            </w:pPr>
            <w:r w:rsidRPr="00687A1C">
              <w:t>120</w:t>
            </w:r>
          </w:p>
        </w:tc>
        <w:tc>
          <w:tcPr>
            <w:tcW w:w="979" w:type="dxa"/>
            <w:shd w:val="clear" w:color="auto" w:fill="auto"/>
            <w:vAlign w:val="bottom"/>
          </w:tcPr>
          <w:p w:rsidR="00C65F2A" w:rsidRPr="00687A1C" w:rsidRDefault="00C65F2A" w:rsidP="00C65F2A">
            <w:pPr>
              <w:pStyle w:val="Tabletextright"/>
            </w:pPr>
            <w:r w:rsidRPr="00687A1C">
              <w:t>19</w:t>
            </w:r>
          </w:p>
        </w:tc>
        <w:tc>
          <w:tcPr>
            <w:tcW w:w="778" w:type="dxa"/>
            <w:shd w:val="clear" w:color="auto" w:fill="auto"/>
            <w:vAlign w:val="bottom"/>
          </w:tcPr>
          <w:p w:rsidR="00C65F2A" w:rsidRPr="00687A1C" w:rsidRDefault="00C65F2A" w:rsidP="00C65F2A">
            <w:pPr>
              <w:pStyle w:val="Tabletextright"/>
            </w:pPr>
            <w:r w:rsidRPr="00687A1C">
              <w:t>133.94</w:t>
            </w:r>
          </w:p>
        </w:tc>
        <w:tc>
          <w:tcPr>
            <w:tcW w:w="950" w:type="dxa"/>
            <w:shd w:val="clear" w:color="auto" w:fill="E0E0E0"/>
            <w:vAlign w:val="bottom"/>
          </w:tcPr>
          <w:p w:rsidR="00C65F2A" w:rsidRPr="00687A1C" w:rsidRDefault="00C65F2A" w:rsidP="004145DE">
            <w:pPr>
              <w:pStyle w:val="Tabletextright"/>
            </w:pPr>
            <w:r w:rsidRPr="00687A1C">
              <w:t>14</w:t>
            </w:r>
          </w:p>
        </w:tc>
        <w:tc>
          <w:tcPr>
            <w:tcW w:w="778" w:type="dxa"/>
            <w:shd w:val="clear" w:color="auto" w:fill="E0E0E0"/>
            <w:vAlign w:val="bottom"/>
          </w:tcPr>
          <w:p w:rsidR="00C65F2A" w:rsidRPr="00687A1C" w:rsidRDefault="00C65F2A" w:rsidP="004145DE">
            <w:pPr>
              <w:pStyle w:val="Tabletextright"/>
            </w:pPr>
            <w:r w:rsidRPr="00687A1C">
              <w:t>13.60</w:t>
            </w:r>
          </w:p>
        </w:tc>
        <w:tc>
          <w:tcPr>
            <w:tcW w:w="950" w:type="dxa"/>
            <w:shd w:val="clear" w:color="auto" w:fill="auto"/>
            <w:noWrap/>
          </w:tcPr>
          <w:p w:rsidR="00C65F2A" w:rsidRPr="00687A1C" w:rsidRDefault="00C65F2A" w:rsidP="00D57125">
            <w:pPr>
              <w:pStyle w:val="Tabletextright"/>
            </w:pPr>
            <w:r w:rsidRPr="00687A1C">
              <w:t>147</w:t>
            </w:r>
          </w:p>
        </w:tc>
        <w:tc>
          <w:tcPr>
            <w:tcW w:w="778" w:type="dxa"/>
            <w:shd w:val="clear" w:color="auto" w:fill="auto"/>
          </w:tcPr>
          <w:p w:rsidR="00C65F2A" w:rsidRPr="00687A1C" w:rsidRDefault="00C65F2A" w:rsidP="00D57125">
            <w:pPr>
              <w:pStyle w:val="Tabletextright"/>
            </w:pPr>
            <w:r w:rsidRPr="00687A1C">
              <w:t>141.01</w:t>
            </w:r>
          </w:p>
        </w:tc>
        <w:tc>
          <w:tcPr>
            <w:tcW w:w="979" w:type="dxa"/>
            <w:shd w:val="clear" w:color="auto" w:fill="E0E0E0"/>
            <w:noWrap/>
          </w:tcPr>
          <w:p w:rsidR="00C65F2A" w:rsidRPr="00687A1C" w:rsidRDefault="00C65F2A" w:rsidP="00D57125">
            <w:pPr>
              <w:pStyle w:val="Tabletextright"/>
            </w:pPr>
            <w:r w:rsidRPr="00687A1C">
              <w:t>123</w:t>
            </w:r>
          </w:p>
        </w:tc>
        <w:tc>
          <w:tcPr>
            <w:tcW w:w="979" w:type="dxa"/>
            <w:shd w:val="clear" w:color="auto" w:fill="E0E0E0"/>
          </w:tcPr>
          <w:p w:rsidR="00C65F2A" w:rsidRPr="00687A1C" w:rsidRDefault="00C65F2A" w:rsidP="00D57125">
            <w:pPr>
              <w:pStyle w:val="Tabletextright"/>
            </w:pPr>
            <w:r w:rsidRPr="00687A1C">
              <w:t>21</w:t>
            </w:r>
          </w:p>
        </w:tc>
        <w:tc>
          <w:tcPr>
            <w:tcW w:w="778" w:type="dxa"/>
            <w:shd w:val="clear" w:color="auto" w:fill="E0E0E0"/>
          </w:tcPr>
          <w:p w:rsidR="00C65F2A" w:rsidRPr="00687A1C" w:rsidRDefault="00C65F2A" w:rsidP="00D57125">
            <w:pPr>
              <w:pStyle w:val="Tabletextright"/>
            </w:pPr>
            <w:r w:rsidRPr="00687A1C">
              <w:t>138.41</w:t>
            </w:r>
          </w:p>
        </w:tc>
        <w:tc>
          <w:tcPr>
            <w:tcW w:w="950" w:type="dxa"/>
          </w:tcPr>
          <w:p w:rsidR="00C65F2A" w:rsidRPr="00687A1C" w:rsidRDefault="00C65F2A" w:rsidP="00D57125">
            <w:pPr>
              <w:pStyle w:val="Tabletextright"/>
            </w:pPr>
            <w:r w:rsidRPr="00687A1C">
              <w:t>3</w:t>
            </w:r>
          </w:p>
        </w:tc>
        <w:tc>
          <w:tcPr>
            <w:tcW w:w="778" w:type="dxa"/>
          </w:tcPr>
          <w:p w:rsidR="00C65F2A" w:rsidRPr="00687A1C" w:rsidRDefault="00C65F2A" w:rsidP="00D57125">
            <w:pPr>
              <w:pStyle w:val="Tabletextright"/>
            </w:pPr>
            <w:r w:rsidRPr="00687A1C">
              <w:t>2.60</w:t>
            </w:r>
          </w:p>
        </w:tc>
      </w:tr>
      <w:tr w:rsidR="00C65F2A" w:rsidRPr="00687A1C" w:rsidTr="00D00B76">
        <w:trPr>
          <w:cantSplit/>
        </w:trPr>
        <w:tc>
          <w:tcPr>
            <w:tcW w:w="1483" w:type="dxa"/>
            <w:shd w:val="clear" w:color="auto" w:fill="auto"/>
            <w:vAlign w:val="bottom"/>
          </w:tcPr>
          <w:p w:rsidR="00C65F2A" w:rsidRPr="00687A1C" w:rsidRDefault="00C65F2A" w:rsidP="00722E5C">
            <w:pPr>
              <w:pStyle w:val="Tabletext"/>
            </w:pPr>
            <w:r w:rsidRPr="00687A1C">
              <w:t>Grade 6</w:t>
            </w:r>
          </w:p>
        </w:tc>
        <w:tc>
          <w:tcPr>
            <w:tcW w:w="950" w:type="dxa"/>
            <w:shd w:val="clear" w:color="auto" w:fill="E0E0E0"/>
            <w:vAlign w:val="bottom"/>
          </w:tcPr>
          <w:p w:rsidR="00C65F2A" w:rsidRPr="00687A1C" w:rsidRDefault="00C65F2A" w:rsidP="004145DE">
            <w:pPr>
              <w:pStyle w:val="Tabletextright"/>
            </w:pPr>
            <w:r w:rsidRPr="00687A1C">
              <w:t>158</w:t>
            </w:r>
          </w:p>
        </w:tc>
        <w:tc>
          <w:tcPr>
            <w:tcW w:w="778" w:type="dxa"/>
            <w:shd w:val="clear" w:color="auto" w:fill="E0E0E0"/>
            <w:vAlign w:val="bottom"/>
          </w:tcPr>
          <w:p w:rsidR="00C65F2A" w:rsidRPr="00687A1C" w:rsidRDefault="00C65F2A" w:rsidP="004145DE">
            <w:pPr>
              <w:pStyle w:val="Tabletextright"/>
            </w:pPr>
            <w:r w:rsidRPr="00687A1C">
              <w:t>147.81</w:t>
            </w:r>
          </w:p>
        </w:tc>
        <w:tc>
          <w:tcPr>
            <w:tcW w:w="979" w:type="dxa"/>
            <w:shd w:val="clear" w:color="auto" w:fill="auto"/>
            <w:vAlign w:val="bottom"/>
          </w:tcPr>
          <w:p w:rsidR="00C65F2A" w:rsidRPr="00687A1C" w:rsidRDefault="00C65F2A" w:rsidP="00C65F2A">
            <w:pPr>
              <w:pStyle w:val="Tabletextright"/>
            </w:pPr>
            <w:r w:rsidRPr="00687A1C">
              <w:t>119</w:t>
            </w:r>
          </w:p>
        </w:tc>
        <w:tc>
          <w:tcPr>
            <w:tcW w:w="979" w:type="dxa"/>
            <w:shd w:val="clear" w:color="auto" w:fill="auto"/>
            <w:vAlign w:val="bottom"/>
          </w:tcPr>
          <w:p w:rsidR="00C65F2A" w:rsidRPr="00687A1C" w:rsidRDefault="00C65F2A" w:rsidP="00C65F2A">
            <w:pPr>
              <w:pStyle w:val="Tabletextright"/>
            </w:pPr>
            <w:r w:rsidRPr="00687A1C">
              <w:t>32</w:t>
            </w:r>
          </w:p>
        </w:tc>
        <w:tc>
          <w:tcPr>
            <w:tcW w:w="778" w:type="dxa"/>
            <w:shd w:val="clear" w:color="auto" w:fill="auto"/>
            <w:vAlign w:val="bottom"/>
          </w:tcPr>
          <w:p w:rsidR="00C65F2A" w:rsidRPr="00687A1C" w:rsidRDefault="00C65F2A" w:rsidP="00C65F2A">
            <w:pPr>
              <w:pStyle w:val="Tabletextright"/>
            </w:pPr>
            <w:r w:rsidRPr="00687A1C">
              <w:t>141.21</w:t>
            </w:r>
          </w:p>
        </w:tc>
        <w:tc>
          <w:tcPr>
            <w:tcW w:w="950" w:type="dxa"/>
            <w:shd w:val="clear" w:color="auto" w:fill="E0E0E0"/>
            <w:vAlign w:val="bottom"/>
          </w:tcPr>
          <w:p w:rsidR="00C65F2A" w:rsidRPr="00687A1C" w:rsidRDefault="00C65F2A" w:rsidP="004145DE">
            <w:pPr>
              <w:pStyle w:val="Tabletextright"/>
            </w:pPr>
            <w:r w:rsidRPr="00687A1C">
              <w:t>7</w:t>
            </w:r>
          </w:p>
        </w:tc>
        <w:tc>
          <w:tcPr>
            <w:tcW w:w="778" w:type="dxa"/>
            <w:shd w:val="clear" w:color="auto" w:fill="E0E0E0"/>
            <w:vAlign w:val="bottom"/>
          </w:tcPr>
          <w:p w:rsidR="00C65F2A" w:rsidRPr="00687A1C" w:rsidRDefault="00C65F2A" w:rsidP="004145DE">
            <w:pPr>
              <w:pStyle w:val="Tabletextright"/>
            </w:pPr>
            <w:r w:rsidRPr="00687A1C">
              <w:t>6.60</w:t>
            </w:r>
          </w:p>
        </w:tc>
        <w:tc>
          <w:tcPr>
            <w:tcW w:w="950" w:type="dxa"/>
            <w:shd w:val="clear" w:color="auto" w:fill="auto"/>
            <w:noWrap/>
          </w:tcPr>
          <w:p w:rsidR="00C65F2A" w:rsidRPr="00687A1C" w:rsidRDefault="00C65F2A" w:rsidP="00D57125">
            <w:pPr>
              <w:pStyle w:val="Tabletextright"/>
            </w:pPr>
            <w:r w:rsidRPr="00687A1C">
              <w:t>159</w:t>
            </w:r>
          </w:p>
        </w:tc>
        <w:tc>
          <w:tcPr>
            <w:tcW w:w="778" w:type="dxa"/>
            <w:shd w:val="clear" w:color="auto" w:fill="auto"/>
          </w:tcPr>
          <w:p w:rsidR="00C65F2A" w:rsidRPr="00687A1C" w:rsidRDefault="00C65F2A" w:rsidP="00D57125">
            <w:pPr>
              <w:pStyle w:val="Tabletextright"/>
            </w:pPr>
            <w:r w:rsidRPr="00687A1C">
              <w:t>149.66</w:t>
            </w:r>
          </w:p>
        </w:tc>
        <w:tc>
          <w:tcPr>
            <w:tcW w:w="979" w:type="dxa"/>
            <w:shd w:val="clear" w:color="auto" w:fill="E0E0E0"/>
            <w:noWrap/>
          </w:tcPr>
          <w:p w:rsidR="00C65F2A" w:rsidRPr="00687A1C" w:rsidRDefault="00C65F2A" w:rsidP="00D57125">
            <w:pPr>
              <w:pStyle w:val="Tabletextright"/>
            </w:pPr>
            <w:r w:rsidRPr="00687A1C">
              <w:t>125</w:t>
            </w:r>
          </w:p>
        </w:tc>
        <w:tc>
          <w:tcPr>
            <w:tcW w:w="979" w:type="dxa"/>
            <w:shd w:val="clear" w:color="auto" w:fill="E0E0E0"/>
          </w:tcPr>
          <w:p w:rsidR="00C65F2A" w:rsidRPr="00687A1C" w:rsidRDefault="00C65F2A" w:rsidP="00D57125">
            <w:pPr>
              <w:pStyle w:val="Tabletextright"/>
            </w:pPr>
            <w:r w:rsidRPr="00687A1C">
              <w:t>31</w:t>
            </w:r>
          </w:p>
        </w:tc>
        <w:tc>
          <w:tcPr>
            <w:tcW w:w="778" w:type="dxa"/>
            <w:shd w:val="clear" w:color="auto" w:fill="E0E0E0"/>
          </w:tcPr>
          <w:p w:rsidR="00C65F2A" w:rsidRPr="00687A1C" w:rsidRDefault="00C65F2A" w:rsidP="00D57125">
            <w:pPr>
              <w:pStyle w:val="Tabletextright"/>
            </w:pPr>
            <w:r w:rsidRPr="00687A1C">
              <w:t>146.66</w:t>
            </w:r>
          </w:p>
        </w:tc>
        <w:tc>
          <w:tcPr>
            <w:tcW w:w="950" w:type="dxa"/>
          </w:tcPr>
          <w:p w:rsidR="00C65F2A" w:rsidRPr="00687A1C" w:rsidRDefault="00C65F2A" w:rsidP="00D57125">
            <w:pPr>
              <w:pStyle w:val="Tabletextright"/>
            </w:pPr>
            <w:r w:rsidRPr="00687A1C">
              <w:t>3</w:t>
            </w:r>
          </w:p>
        </w:tc>
        <w:tc>
          <w:tcPr>
            <w:tcW w:w="778" w:type="dxa"/>
          </w:tcPr>
          <w:p w:rsidR="00C65F2A" w:rsidRPr="00687A1C" w:rsidRDefault="00C65F2A" w:rsidP="00D57125">
            <w:pPr>
              <w:pStyle w:val="Tabletextright"/>
            </w:pPr>
            <w:r w:rsidRPr="00687A1C">
              <w:t>3.00</w:t>
            </w:r>
          </w:p>
        </w:tc>
      </w:tr>
      <w:tr w:rsidR="00C65F2A" w:rsidRPr="00687A1C" w:rsidTr="005A4319">
        <w:trPr>
          <w:cantSplit/>
        </w:trPr>
        <w:tc>
          <w:tcPr>
            <w:tcW w:w="1483" w:type="dxa"/>
            <w:shd w:val="clear" w:color="auto" w:fill="auto"/>
          </w:tcPr>
          <w:p w:rsidR="00C65F2A" w:rsidRPr="00687A1C" w:rsidRDefault="00C65F2A" w:rsidP="005A4319">
            <w:pPr>
              <w:pStyle w:val="Tabletext"/>
              <w:rPr>
                <w:sz w:val="6"/>
              </w:rPr>
            </w:pPr>
          </w:p>
        </w:tc>
        <w:tc>
          <w:tcPr>
            <w:tcW w:w="950" w:type="dxa"/>
            <w:shd w:val="clear" w:color="auto" w:fill="E0E0E0"/>
          </w:tcPr>
          <w:p w:rsidR="00C65F2A" w:rsidRPr="00687A1C" w:rsidRDefault="00C65F2A" w:rsidP="004145DE">
            <w:pPr>
              <w:pStyle w:val="Tabletextright"/>
              <w:rPr>
                <w:rFonts w:cstheme="minorHAnsi"/>
                <w:sz w:val="6"/>
              </w:rPr>
            </w:pPr>
          </w:p>
        </w:tc>
        <w:tc>
          <w:tcPr>
            <w:tcW w:w="778" w:type="dxa"/>
            <w:shd w:val="clear" w:color="auto" w:fill="E0E0E0"/>
          </w:tcPr>
          <w:p w:rsidR="00C65F2A" w:rsidRPr="00687A1C" w:rsidRDefault="00C65F2A" w:rsidP="004145DE">
            <w:pPr>
              <w:pStyle w:val="Tabletextright"/>
              <w:rPr>
                <w:rFonts w:cstheme="minorHAnsi"/>
                <w:sz w:val="6"/>
              </w:rPr>
            </w:pPr>
          </w:p>
        </w:tc>
        <w:tc>
          <w:tcPr>
            <w:tcW w:w="979" w:type="dxa"/>
            <w:shd w:val="clear" w:color="auto" w:fill="auto"/>
          </w:tcPr>
          <w:p w:rsidR="00C65F2A" w:rsidRPr="00687A1C" w:rsidRDefault="00C65F2A" w:rsidP="004145DE">
            <w:pPr>
              <w:pStyle w:val="Tabletextright"/>
              <w:rPr>
                <w:rFonts w:cstheme="minorHAnsi"/>
                <w:sz w:val="6"/>
              </w:rPr>
            </w:pPr>
          </w:p>
        </w:tc>
        <w:tc>
          <w:tcPr>
            <w:tcW w:w="979" w:type="dxa"/>
            <w:shd w:val="clear" w:color="auto" w:fill="auto"/>
          </w:tcPr>
          <w:p w:rsidR="00C65F2A" w:rsidRPr="00687A1C" w:rsidRDefault="00C65F2A" w:rsidP="004145DE">
            <w:pPr>
              <w:pStyle w:val="Tabletextright"/>
              <w:rPr>
                <w:sz w:val="6"/>
              </w:rPr>
            </w:pPr>
          </w:p>
        </w:tc>
        <w:tc>
          <w:tcPr>
            <w:tcW w:w="778" w:type="dxa"/>
            <w:shd w:val="clear" w:color="auto" w:fill="auto"/>
          </w:tcPr>
          <w:p w:rsidR="00C65F2A" w:rsidRPr="00687A1C" w:rsidRDefault="00C65F2A" w:rsidP="004145DE">
            <w:pPr>
              <w:pStyle w:val="Tabletextright"/>
              <w:rPr>
                <w:sz w:val="6"/>
              </w:rPr>
            </w:pPr>
          </w:p>
        </w:tc>
        <w:tc>
          <w:tcPr>
            <w:tcW w:w="950" w:type="dxa"/>
            <w:shd w:val="clear" w:color="auto" w:fill="E0E0E0"/>
          </w:tcPr>
          <w:p w:rsidR="00C65F2A" w:rsidRPr="00687A1C" w:rsidRDefault="00C65F2A" w:rsidP="004145DE">
            <w:pPr>
              <w:pStyle w:val="Tabletextright"/>
              <w:rPr>
                <w:sz w:val="6"/>
              </w:rPr>
            </w:pPr>
          </w:p>
        </w:tc>
        <w:tc>
          <w:tcPr>
            <w:tcW w:w="778" w:type="dxa"/>
            <w:shd w:val="clear" w:color="auto" w:fill="E0E0E0"/>
          </w:tcPr>
          <w:p w:rsidR="00C65F2A" w:rsidRPr="00687A1C" w:rsidRDefault="00C65F2A" w:rsidP="004145DE">
            <w:pPr>
              <w:pStyle w:val="Tabletextright"/>
              <w:rPr>
                <w:sz w:val="6"/>
              </w:rPr>
            </w:pPr>
          </w:p>
        </w:tc>
        <w:tc>
          <w:tcPr>
            <w:tcW w:w="950" w:type="dxa"/>
            <w:shd w:val="clear" w:color="auto" w:fill="auto"/>
            <w:noWrap/>
          </w:tcPr>
          <w:p w:rsidR="00C65F2A" w:rsidRPr="00687A1C" w:rsidRDefault="00C65F2A" w:rsidP="00D57125">
            <w:pPr>
              <w:pStyle w:val="Tabletextright"/>
              <w:rPr>
                <w:rFonts w:cstheme="minorHAnsi"/>
                <w:sz w:val="6"/>
              </w:rPr>
            </w:pPr>
          </w:p>
        </w:tc>
        <w:tc>
          <w:tcPr>
            <w:tcW w:w="778" w:type="dxa"/>
            <w:shd w:val="clear" w:color="auto" w:fill="auto"/>
          </w:tcPr>
          <w:p w:rsidR="00C65F2A" w:rsidRPr="00687A1C" w:rsidRDefault="00C65F2A" w:rsidP="00D57125">
            <w:pPr>
              <w:pStyle w:val="Tabletextright"/>
              <w:rPr>
                <w:rFonts w:cstheme="minorHAnsi"/>
                <w:sz w:val="6"/>
              </w:rPr>
            </w:pPr>
          </w:p>
        </w:tc>
        <w:tc>
          <w:tcPr>
            <w:tcW w:w="979" w:type="dxa"/>
            <w:shd w:val="clear" w:color="auto" w:fill="E0E0E0"/>
            <w:noWrap/>
          </w:tcPr>
          <w:p w:rsidR="00C65F2A" w:rsidRPr="00687A1C" w:rsidRDefault="00C65F2A" w:rsidP="00D57125">
            <w:pPr>
              <w:pStyle w:val="Tabletextright"/>
              <w:rPr>
                <w:rFonts w:cstheme="minorHAnsi"/>
                <w:sz w:val="6"/>
              </w:rPr>
            </w:pPr>
          </w:p>
        </w:tc>
        <w:tc>
          <w:tcPr>
            <w:tcW w:w="979" w:type="dxa"/>
            <w:shd w:val="clear" w:color="auto" w:fill="E0E0E0"/>
          </w:tcPr>
          <w:p w:rsidR="00C65F2A" w:rsidRPr="00687A1C" w:rsidRDefault="00C65F2A" w:rsidP="00D57125">
            <w:pPr>
              <w:pStyle w:val="Tabletextright"/>
              <w:rPr>
                <w:sz w:val="6"/>
              </w:rPr>
            </w:pPr>
          </w:p>
        </w:tc>
        <w:tc>
          <w:tcPr>
            <w:tcW w:w="778" w:type="dxa"/>
            <w:shd w:val="clear" w:color="auto" w:fill="E0E0E0"/>
          </w:tcPr>
          <w:p w:rsidR="00C65F2A" w:rsidRPr="00687A1C" w:rsidRDefault="00C65F2A" w:rsidP="00D57125">
            <w:pPr>
              <w:pStyle w:val="Tabletextright"/>
              <w:rPr>
                <w:sz w:val="6"/>
              </w:rPr>
            </w:pPr>
          </w:p>
        </w:tc>
        <w:tc>
          <w:tcPr>
            <w:tcW w:w="950" w:type="dxa"/>
          </w:tcPr>
          <w:p w:rsidR="00C65F2A" w:rsidRPr="00687A1C" w:rsidRDefault="00C65F2A" w:rsidP="00D57125">
            <w:pPr>
              <w:pStyle w:val="Tabletextright"/>
              <w:rPr>
                <w:sz w:val="6"/>
              </w:rPr>
            </w:pPr>
          </w:p>
        </w:tc>
        <w:tc>
          <w:tcPr>
            <w:tcW w:w="778" w:type="dxa"/>
          </w:tcPr>
          <w:p w:rsidR="00C65F2A" w:rsidRPr="00687A1C" w:rsidRDefault="00C65F2A" w:rsidP="00D57125">
            <w:pPr>
              <w:pStyle w:val="Tabletextright"/>
              <w:rPr>
                <w:sz w:val="6"/>
              </w:rPr>
            </w:pPr>
          </w:p>
        </w:tc>
      </w:tr>
      <w:tr w:rsidR="00C65F2A" w:rsidRPr="00687A1C" w:rsidTr="00EB2016">
        <w:trPr>
          <w:cantSplit/>
        </w:trPr>
        <w:tc>
          <w:tcPr>
            <w:tcW w:w="1483" w:type="dxa"/>
            <w:shd w:val="clear" w:color="auto" w:fill="auto"/>
          </w:tcPr>
          <w:p w:rsidR="00C65F2A" w:rsidRPr="00687A1C" w:rsidRDefault="00C65F2A" w:rsidP="00E67247">
            <w:pPr>
              <w:pStyle w:val="Tabletext"/>
            </w:pPr>
            <w:r w:rsidRPr="00687A1C">
              <w:rPr>
                <w:rFonts w:cstheme="minorHAnsi"/>
                <w:b/>
                <w:szCs w:val="18"/>
              </w:rPr>
              <w:t>Senior employees</w:t>
            </w:r>
          </w:p>
        </w:tc>
        <w:tc>
          <w:tcPr>
            <w:tcW w:w="950" w:type="dxa"/>
            <w:shd w:val="clear" w:color="auto" w:fill="E0E0E0"/>
            <w:vAlign w:val="bottom"/>
          </w:tcPr>
          <w:p w:rsidR="00C65F2A" w:rsidRPr="00687A1C" w:rsidRDefault="00C65F2A" w:rsidP="00EB2016">
            <w:pPr>
              <w:pStyle w:val="Tabletextrightbold"/>
            </w:pPr>
            <w:r w:rsidRPr="00687A1C">
              <w:t>93</w:t>
            </w:r>
          </w:p>
        </w:tc>
        <w:tc>
          <w:tcPr>
            <w:tcW w:w="778" w:type="dxa"/>
            <w:shd w:val="clear" w:color="auto" w:fill="E0E0E0"/>
            <w:vAlign w:val="bottom"/>
          </w:tcPr>
          <w:p w:rsidR="00C65F2A" w:rsidRPr="00687A1C" w:rsidRDefault="00C65F2A" w:rsidP="00EB2016">
            <w:pPr>
              <w:pStyle w:val="Tabletextrightbold"/>
            </w:pPr>
            <w:r w:rsidRPr="00687A1C">
              <w:t>90.36</w:t>
            </w:r>
          </w:p>
        </w:tc>
        <w:tc>
          <w:tcPr>
            <w:tcW w:w="979" w:type="dxa"/>
            <w:shd w:val="clear" w:color="auto" w:fill="auto"/>
            <w:vAlign w:val="bottom"/>
          </w:tcPr>
          <w:p w:rsidR="00C65F2A" w:rsidRPr="00687A1C" w:rsidRDefault="00C65F2A" w:rsidP="00C65F2A">
            <w:pPr>
              <w:pStyle w:val="Tabletextrightbold"/>
            </w:pPr>
            <w:r w:rsidRPr="00687A1C">
              <w:t>80</w:t>
            </w:r>
          </w:p>
        </w:tc>
        <w:tc>
          <w:tcPr>
            <w:tcW w:w="979" w:type="dxa"/>
            <w:shd w:val="clear" w:color="auto" w:fill="auto"/>
            <w:vAlign w:val="bottom"/>
          </w:tcPr>
          <w:p w:rsidR="00C65F2A" w:rsidRPr="00687A1C" w:rsidRDefault="00C65F2A" w:rsidP="00C65F2A">
            <w:pPr>
              <w:pStyle w:val="Tabletextrightbold"/>
            </w:pPr>
            <w:r w:rsidRPr="00687A1C">
              <w:t>13</w:t>
            </w:r>
          </w:p>
        </w:tc>
        <w:tc>
          <w:tcPr>
            <w:tcW w:w="778" w:type="dxa"/>
            <w:shd w:val="clear" w:color="auto" w:fill="auto"/>
            <w:vAlign w:val="bottom"/>
          </w:tcPr>
          <w:p w:rsidR="00C65F2A" w:rsidRPr="00687A1C" w:rsidRDefault="00C65F2A" w:rsidP="00C65F2A">
            <w:pPr>
              <w:pStyle w:val="Tabletextrightbold"/>
            </w:pPr>
            <w:r w:rsidRPr="00687A1C">
              <w:t>90.36</w:t>
            </w:r>
          </w:p>
        </w:tc>
        <w:tc>
          <w:tcPr>
            <w:tcW w:w="950" w:type="dxa"/>
            <w:shd w:val="clear" w:color="auto" w:fill="E0E0E0"/>
            <w:vAlign w:val="bottom"/>
          </w:tcPr>
          <w:p w:rsidR="00C65F2A" w:rsidRPr="00687A1C" w:rsidRDefault="00212645" w:rsidP="00EB2016">
            <w:pPr>
              <w:pStyle w:val="Tabletextrightbold"/>
            </w:pPr>
            <w:r w:rsidRPr="00687A1C">
              <w:t>–</w:t>
            </w:r>
          </w:p>
        </w:tc>
        <w:tc>
          <w:tcPr>
            <w:tcW w:w="778" w:type="dxa"/>
            <w:shd w:val="clear" w:color="auto" w:fill="E0E0E0"/>
            <w:vAlign w:val="bottom"/>
          </w:tcPr>
          <w:p w:rsidR="00C65F2A" w:rsidRPr="00687A1C" w:rsidRDefault="00212645" w:rsidP="00EB2016">
            <w:pPr>
              <w:pStyle w:val="Tabletextrightbold"/>
            </w:pPr>
            <w:r w:rsidRPr="00687A1C">
              <w:t>–</w:t>
            </w:r>
          </w:p>
        </w:tc>
        <w:tc>
          <w:tcPr>
            <w:tcW w:w="950" w:type="dxa"/>
            <w:shd w:val="clear" w:color="auto" w:fill="auto"/>
            <w:noWrap/>
          </w:tcPr>
          <w:p w:rsidR="00C65F2A" w:rsidRPr="00687A1C" w:rsidRDefault="00C65F2A" w:rsidP="00D57125">
            <w:pPr>
              <w:pStyle w:val="Tabletextrightbold"/>
            </w:pPr>
            <w:r w:rsidRPr="00687A1C">
              <w:t>78</w:t>
            </w:r>
          </w:p>
        </w:tc>
        <w:tc>
          <w:tcPr>
            <w:tcW w:w="778" w:type="dxa"/>
            <w:shd w:val="clear" w:color="auto" w:fill="auto"/>
          </w:tcPr>
          <w:p w:rsidR="00C65F2A" w:rsidRPr="00687A1C" w:rsidRDefault="00C65F2A" w:rsidP="00D57125">
            <w:pPr>
              <w:pStyle w:val="Tabletextrightbold"/>
            </w:pPr>
            <w:r w:rsidRPr="00687A1C">
              <w:t>76.36</w:t>
            </w:r>
          </w:p>
        </w:tc>
        <w:tc>
          <w:tcPr>
            <w:tcW w:w="979" w:type="dxa"/>
            <w:shd w:val="clear" w:color="auto" w:fill="E0E0E0"/>
            <w:noWrap/>
          </w:tcPr>
          <w:p w:rsidR="00C65F2A" w:rsidRPr="00687A1C" w:rsidRDefault="00C65F2A" w:rsidP="00D57125">
            <w:pPr>
              <w:pStyle w:val="Tabletextrightbold"/>
            </w:pPr>
            <w:r w:rsidRPr="00687A1C">
              <w:t>70</w:t>
            </w:r>
          </w:p>
        </w:tc>
        <w:tc>
          <w:tcPr>
            <w:tcW w:w="979" w:type="dxa"/>
            <w:shd w:val="clear" w:color="auto" w:fill="E0E0E0"/>
          </w:tcPr>
          <w:p w:rsidR="00C65F2A" w:rsidRPr="00687A1C" w:rsidRDefault="00C65F2A" w:rsidP="00D57125">
            <w:pPr>
              <w:pStyle w:val="Tabletextrightbold"/>
            </w:pPr>
            <w:r w:rsidRPr="00687A1C">
              <w:t>8</w:t>
            </w:r>
          </w:p>
        </w:tc>
        <w:tc>
          <w:tcPr>
            <w:tcW w:w="778" w:type="dxa"/>
            <w:shd w:val="clear" w:color="auto" w:fill="E0E0E0"/>
          </w:tcPr>
          <w:p w:rsidR="00C65F2A" w:rsidRPr="00687A1C" w:rsidRDefault="00C65F2A" w:rsidP="00D57125">
            <w:pPr>
              <w:pStyle w:val="Tabletextrightbold"/>
            </w:pPr>
            <w:r w:rsidRPr="00687A1C">
              <w:t>76.36</w:t>
            </w:r>
          </w:p>
        </w:tc>
        <w:tc>
          <w:tcPr>
            <w:tcW w:w="950" w:type="dxa"/>
          </w:tcPr>
          <w:p w:rsidR="00C65F2A" w:rsidRPr="00687A1C" w:rsidRDefault="00C65F2A" w:rsidP="00D57125">
            <w:pPr>
              <w:pStyle w:val="Tabletextrightbold"/>
            </w:pPr>
            <w:r w:rsidRPr="00687A1C">
              <w:t>–</w:t>
            </w:r>
          </w:p>
        </w:tc>
        <w:tc>
          <w:tcPr>
            <w:tcW w:w="778" w:type="dxa"/>
          </w:tcPr>
          <w:p w:rsidR="00C65F2A" w:rsidRPr="00687A1C" w:rsidRDefault="00C65F2A" w:rsidP="00D57125">
            <w:pPr>
              <w:pStyle w:val="Tabletextrightbold"/>
            </w:pPr>
            <w:r w:rsidRPr="00687A1C">
              <w:t>–</w:t>
            </w:r>
          </w:p>
        </w:tc>
      </w:tr>
      <w:tr w:rsidR="00C65F2A" w:rsidRPr="00687A1C" w:rsidTr="00D00B76">
        <w:trPr>
          <w:cantSplit/>
        </w:trPr>
        <w:tc>
          <w:tcPr>
            <w:tcW w:w="1483" w:type="dxa"/>
            <w:shd w:val="clear" w:color="auto" w:fill="auto"/>
            <w:vAlign w:val="bottom"/>
          </w:tcPr>
          <w:p w:rsidR="00C65F2A" w:rsidRPr="00687A1C" w:rsidRDefault="00C65F2A" w:rsidP="00722E5C">
            <w:pPr>
              <w:pStyle w:val="Tabletext"/>
            </w:pPr>
            <w:r w:rsidRPr="00687A1C">
              <w:t>STS</w:t>
            </w:r>
          </w:p>
        </w:tc>
        <w:tc>
          <w:tcPr>
            <w:tcW w:w="950" w:type="dxa"/>
            <w:shd w:val="clear" w:color="auto" w:fill="E0E0E0"/>
            <w:vAlign w:val="bottom"/>
          </w:tcPr>
          <w:p w:rsidR="00C65F2A" w:rsidRPr="00687A1C" w:rsidRDefault="00C65F2A" w:rsidP="004145DE">
            <w:pPr>
              <w:pStyle w:val="Tabletextright"/>
            </w:pPr>
            <w:r w:rsidRPr="00687A1C">
              <w:t>10</w:t>
            </w:r>
          </w:p>
        </w:tc>
        <w:tc>
          <w:tcPr>
            <w:tcW w:w="778" w:type="dxa"/>
            <w:shd w:val="clear" w:color="auto" w:fill="E0E0E0"/>
            <w:vAlign w:val="bottom"/>
          </w:tcPr>
          <w:p w:rsidR="00C65F2A" w:rsidRPr="00687A1C" w:rsidRDefault="00C65F2A" w:rsidP="004145DE">
            <w:pPr>
              <w:pStyle w:val="Tabletextright"/>
            </w:pPr>
            <w:r w:rsidRPr="00687A1C">
              <w:t>9.50</w:t>
            </w:r>
          </w:p>
        </w:tc>
        <w:tc>
          <w:tcPr>
            <w:tcW w:w="979" w:type="dxa"/>
            <w:shd w:val="clear" w:color="auto" w:fill="auto"/>
            <w:vAlign w:val="bottom"/>
          </w:tcPr>
          <w:p w:rsidR="00C65F2A" w:rsidRPr="00687A1C" w:rsidRDefault="00C65F2A" w:rsidP="00C65F2A">
            <w:pPr>
              <w:pStyle w:val="Tabletextright"/>
            </w:pPr>
            <w:r w:rsidRPr="00687A1C">
              <w:t>7</w:t>
            </w:r>
          </w:p>
        </w:tc>
        <w:tc>
          <w:tcPr>
            <w:tcW w:w="979" w:type="dxa"/>
            <w:shd w:val="clear" w:color="auto" w:fill="auto"/>
            <w:vAlign w:val="bottom"/>
          </w:tcPr>
          <w:p w:rsidR="00C65F2A" w:rsidRPr="00687A1C" w:rsidRDefault="00C65F2A" w:rsidP="00C65F2A">
            <w:pPr>
              <w:pStyle w:val="Tabletextright"/>
            </w:pPr>
            <w:r w:rsidRPr="00687A1C">
              <w:t>3</w:t>
            </w:r>
          </w:p>
        </w:tc>
        <w:tc>
          <w:tcPr>
            <w:tcW w:w="778" w:type="dxa"/>
            <w:shd w:val="clear" w:color="auto" w:fill="auto"/>
            <w:vAlign w:val="bottom"/>
          </w:tcPr>
          <w:p w:rsidR="00C65F2A" w:rsidRPr="00687A1C" w:rsidRDefault="00C65F2A" w:rsidP="00C65F2A">
            <w:pPr>
              <w:pStyle w:val="Tabletextright"/>
            </w:pPr>
            <w:r w:rsidRPr="00687A1C">
              <w:t>9.50</w:t>
            </w:r>
          </w:p>
        </w:tc>
        <w:tc>
          <w:tcPr>
            <w:tcW w:w="950" w:type="dxa"/>
            <w:shd w:val="clear" w:color="auto" w:fill="E0E0E0"/>
            <w:vAlign w:val="bottom"/>
          </w:tcPr>
          <w:p w:rsidR="00C65F2A" w:rsidRPr="00687A1C" w:rsidRDefault="00212645" w:rsidP="004145DE">
            <w:pPr>
              <w:pStyle w:val="Tabletextright"/>
            </w:pPr>
            <w:r w:rsidRPr="00687A1C">
              <w:t>–</w:t>
            </w:r>
          </w:p>
        </w:tc>
        <w:tc>
          <w:tcPr>
            <w:tcW w:w="778" w:type="dxa"/>
            <w:shd w:val="clear" w:color="auto" w:fill="E0E0E0"/>
            <w:vAlign w:val="bottom"/>
          </w:tcPr>
          <w:p w:rsidR="00C65F2A" w:rsidRPr="00687A1C" w:rsidRDefault="00212645" w:rsidP="004145DE">
            <w:pPr>
              <w:pStyle w:val="Tabletextright"/>
            </w:pPr>
            <w:r w:rsidRPr="00687A1C">
              <w:t>–</w:t>
            </w:r>
          </w:p>
        </w:tc>
        <w:tc>
          <w:tcPr>
            <w:tcW w:w="950" w:type="dxa"/>
            <w:shd w:val="clear" w:color="auto" w:fill="auto"/>
            <w:noWrap/>
          </w:tcPr>
          <w:p w:rsidR="00C65F2A" w:rsidRPr="00687A1C" w:rsidRDefault="00C65F2A" w:rsidP="00D57125">
            <w:pPr>
              <w:pStyle w:val="Tabletextright"/>
            </w:pPr>
            <w:r w:rsidRPr="00687A1C">
              <w:t>10</w:t>
            </w:r>
          </w:p>
        </w:tc>
        <w:tc>
          <w:tcPr>
            <w:tcW w:w="778" w:type="dxa"/>
            <w:shd w:val="clear" w:color="auto" w:fill="auto"/>
          </w:tcPr>
          <w:p w:rsidR="00C65F2A" w:rsidRPr="00687A1C" w:rsidRDefault="00C65F2A" w:rsidP="00D57125">
            <w:pPr>
              <w:pStyle w:val="Tabletextright"/>
            </w:pPr>
            <w:r w:rsidRPr="00687A1C">
              <w:t>9.70</w:t>
            </w:r>
          </w:p>
        </w:tc>
        <w:tc>
          <w:tcPr>
            <w:tcW w:w="979" w:type="dxa"/>
            <w:shd w:val="clear" w:color="auto" w:fill="E0E0E0"/>
            <w:noWrap/>
          </w:tcPr>
          <w:p w:rsidR="00C65F2A" w:rsidRPr="00687A1C" w:rsidRDefault="00C65F2A" w:rsidP="00D57125">
            <w:pPr>
              <w:pStyle w:val="Tabletextright"/>
            </w:pPr>
            <w:r w:rsidRPr="00687A1C">
              <w:t>8</w:t>
            </w:r>
          </w:p>
        </w:tc>
        <w:tc>
          <w:tcPr>
            <w:tcW w:w="979" w:type="dxa"/>
            <w:shd w:val="clear" w:color="auto" w:fill="E0E0E0"/>
          </w:tcPr>
          <w:p w:rsidR="00C65F2A" w:rsidRPr="00687A1C" w:rsidRDefault="00C65F2A" w:rsidP="00D57125">
            <w:pPr>
              <w:pStyle w:val="Tabletextright"/>
            </w:pPr>
            <w:r w:rsidRPr="00687A1C">
              <w:t>2</w:t>
            </w:r>
          </w:p>
        </w:tc>
        <w:tc>
          <w:tcPr>
            <w:tcW w:w="778" w:type="dxa"/>
            <w:shd w:val="clear" w:color="auto" w:fill="E0E0E0"/>
          </w:tcPr>
          <w:p w:rsidR="00C65F2A" w:rsidRPr="00687A1C" w:rsidRDefault="00C65F2A" w:rsidP="00D57125">
            <w:pPr>
              <w:pStyle w:val="Tabletextright"/>
            </w:pPr>
            <w:r w:rsidRPr="00687A1C">
              <w:t>9.70</w:t>
            </w:r>
          </w:p>
        </w:tc>
        <w:tc>
          <w:tcPr>
            <w:tcW w:w="950" w:type="dxa"/>
          </w:tcPr>
          <w:p w:rsidR="00C65F2A" w:rsidRPr="00687A1C" w:rsidRDefault="00C65F2A" w:rsidP="00D57125">
            <w:pPr>
              <w:pStyle w:val="Tabletextright"/>
            </w:pPr>
            <w:r w:rsidRPr="00687A1C">
              <w:t>–</w:t>
            </w:r>
          </w:p>
        </w:tc>
        <w:tc>
          <w:tcPr>
            <w:tcW w:w="778" w:type="dxa"/>
          </w:tcPr>
          <w:p w:rsidR="00C65F2A" w:rsidRPr="00687A1C" w:rsidRDefault="00C65F2A" w:rsidP="00D57125">
            <w:pPr>
              <w:pStyle w:val="Tabletextright"/>
            </w:pPr>
            <w:r w:rsidRPr="00687A1C">
              <w:t>–</w:t>
            </w:r>
          </w:p>
        </w:tc>
      </w:tr>
      <w:tr w:rsidR="00C65F2A" w:rsidRPr="00687A1C" w:rsidTr="00D00B76">
        <w:trPr>
          <w:cantSplit/>
        </w:trPr>
        <w:tc>
          <w:tcPr>
            <w:tcW w:w="1483" w:type="dxa"/>
            <w:shd w:val="clear" w:color="auto" w:fill="auto"/>
            <w:vAlign w:val="bottom"/>
          </w:tcPr>
          <w:p w:rsidR="00C65F2A" w:rsidRPr="00687A1C" w:rsidRDefault="00C65F2A" w:rsidP="00722E5C">
            <w:pPr>
              <w:pStyle w:val="Tabletext"/>
            </w:pPr>
            <w:r w:rsidRPr="00687A1C">
              <w:t>Executives</w:t>
            </w:r>
            <w:r w:rsidR="00525A0B" w:rsidRPr="00687A1C">
              <w:rPr>
                <w:vertAlign w:val="superscript"/>
              </w:rPr>
              <w:t>(a)</w:t>
            </w:r>
          </w:p>
        </w:tc>
        <w:tc>
          <w:tcPr>
            <w:tcW w:w="950" w:type="dxa"/>
            <w:shd w:val="clear" w:color="auto" w:fill="E0E0E0"/>
            <w:vAlign w:val="bottom"/>
          </w:tcPr>
          <w:p w:rsidR="00C65F2A" w:rsidRPr="00687A1C" w:rsidRDefault="00C65F2A" w:rsidP="004145DE">
            <w:pPr>
              <w:pStyle w:val="Tabletextright"/>
            </w:pPr>
            <w:r w:rsidRPr="00687A1C">
              <w:t>83</w:t>
            </w:r>
          </w:p>
        </w:tc>
        <w:tc>
          <w:tcPr>
            <w:tcW w:w="778" w:type="dxa"/>
            <w:shd w:val="clear" w:color="auto" w:fill="E0E0E0"/>
            <w:vAlign w:val="bottom"/>
          </w:tcPr>
          <w:p w:rsidR="00C65F2A" w:rsidRPr="00687A1C" w:rsidRDefault="00C65F2A" w:rsidP="004145DE">
            <w:pPr>
              <w:pStyle w:val="Tabletextright"/>
            </w:pPr>
            <w:r w:rsidRPr="00687A1C">
              <w:t>80.86</w:t>
            </w:r>
          </w:p>
        </w:tc>
        <w:tc>
          <w:tcPr>
            <w:tcW w:w="979" w:type="dxa"/>
            <w:shd w:val="clear" w:color="auto" w:fill="auto"/>
            <w:vAlign w:val="bottom"/>
          </w:tcPr>
          <w:p w:rsidR="00C65F2A" w:rsidRPr="00687A1C" w:rsidRDefault="00C65F2A" w:rsidP="00C65F2A">
            <w:pPr>
              <w:pStyle w:val="Tabletextright"/>
            </w:pPr>
            <w:r w:rsidRPr="00687A1C">
              <w:t>73</w:t>
            </w:r>
          </w:p>
        </w:tc>
        <w:tc>
          <w:tcPr>
            <w:tcW w:w="979" w:type="dxa"/>
            <w:shd w:val="clear" w:color="auto" w:fill="auto"/>
            <w:vAlign w:val="bottom"/>
          </w:tcPr>
          <w:p w:rsidR="00C65F2A" w:rsidRPr="00687A1C" w:rsidRDefault="00C65F2A" w:rsidP="00C65F2A">
            <w:pPr>
              <w:pStyle w:val="Tabletextright"/>
            </w:pPr>
            <w:r w:rsidRPr="00687A1C">
              <w:t>10</w:t>
            </w:r>
          </w:p>
        </w:tc>
        <w:tc>
          <w:tcPr>
            <w:tcW w:w="778" w:type="dxa"/>
            <w:shd w:val="clear" w:color="auto" w:fill="auto"/>
            <w:vAlign w:val="bottom"/>
          </w:tcPr>
          <w:p w:rsidR="00C65F2A" w:rsidRPr="00687A1C" w:rsidRDefault="00C65F2A" w:rsidP="00C65F2A">
            <w:pPr>
              <w:pStyle w:val="Tabletextright"/>
            </w:pPr>
            <w:r w:rsidRPr="00687A1C">
              <w:t>80.86</w:t>
            </w:r>
          </w:p>
        </w:tc>
        <w:tc>
          <w:tcPr>
            <w:tcW w:w="950" w:type="dxa"/>
            <w:shd w:val="clear" w:color="auto" w:fill="E0E0E0"/>
            <w:vAlign w:val="bottom"/>
          </w:tcPr>
          <w:p w:rsidR="00C65F2A" w:rsidRPr="00687A1C" w:rsidRDefault="00212645" w:rsidP="004145DE">
            <w:pPr>
              <w:pStyle w:val="Tabletextright"/>
            </w:pPr>
            <w:r w:rsidRPr="00687A1C">
              <w:t>–</w:t>
            </w:r>
          </w:p>
        </w:tc>
        <w:tc>
          <w:tcPr>
            <w:tcW w:w="778" w:type="dxa"/>
            <w:shd w:val="clear" w:color="auto" w:fill="E0E0E0"/>
            <w:vAlign w:val="bottom"/>
          </w:tcPr>
          <w:p w:rsidR="00C65F2A" w:rsidRPr="00687A1C" w:rsidRDefault="00212645" w:rsidP="004145DE">
            <w:pPr>
              <w:pStyle w:val="Tabletextright"/>
            </w:pPr>
            <w:r w:rsidRPr="00687A1C">
              <w:t>–</w:t>
            </w:r>
          </w:p>
        </w:tc>
        <w:tc>
          <w:tcPr>
            <w:tcW w:w="950" w:type="dxa"/>
            <w:shd w:val="clear" w:color="auto" w:fill="auto"/>
            <w:noWrap/>
          </w:tcPr>
          <w:p w:rsidR="00C65F2A" w:rsidRPr="00687A1C" w:rsidRDefault="00C65F2A" w:rsidP="00D57125">
            <w:pPr>
              <w:pStyle w:val="Tabletextright"/>
            </w:pPr>
            <w:r w:rsidRPr="00687A1C">
              <w:t>68</w:t>
            </w:r>
          </w:p>
        </w:tc>
        <w:tc>
          <w:tcPr>
            <w:tcW w:w="778" w:type="dxa"/>
            <w:shd w:val="clear" w:color="auto" w:fill="auto"/>
          </w:tcPr>
          <w:p w:rsidR="00C65F2A" w:rsidRPr="00687A1C" w:rsidRDefault="00C65F2A" w:rsidP="00D57125">
            <w:pPr>
              <w:pStyle w:val="Tabletextright"/>
            </w:pPr>
            <w:r w:rsidRPr="00687A1C">
              <w:t>66.66</w:t>
            </w:r>
          </w:p>
        </w:tc>
        <w:tc>
          <w:tcPr>
            <w:tcW w:w="979" w:type="dxa"/>
            <w:shd w:val="clear" w:color="auto" w:fill="E0E0E0"/>
            <w:noWrap/>
          </w:tcPr>
          <w:p w:rsidR="00C65F2A" w:rsidRPr="00687A1C" w:rsidRDefault="00C65F2A" w:rsidP="00D57125">
            <w:pPr>
              <w:pStyle w:val="Tabletextright"/>
            </w:pPr>
            <w:r w:rsidRPr="00687A1C">
              <w:t>62</w:t>
            </w:r>
          </w:p>
        </w:tc>
        <w:tc>
          <w:tcPr>
            <w:tcW w:w="979" w:type="dxa"/>
            <w:shd w:val="clear" w:color="auto" w:fill="E0E0E0"/>
          </w:tcPr>
          <w:p w:rsidR="00C65F2A" w:rsidRPr="00687A1C" w:rsidRDefault="00C65F2A" w:rsidP="00D57125">
            <w:pPr>
              <w:pStyle w:val="Tabletextright"/>
            </w:pPr>
            <w:r w:rsidRPr="00687A1C">
              <w:t>6</w:t>
            </w:r>
          </w:p>
        </w:tc>
        <w:tc>
          <w:tcPr>
            <w:tcW w:w="778" w:type="dxa"/>
            <w:shd w:val="clear" w:color="auto" w:fill="E0E0E0"/>
          </w:tcPr>
          <w:p w:rsidR="00C65F2A" w:rsidRPr="00687A1C" w:rsidRDefault="00C65F2A" w:rsidP="00D57125">
            <w:pPr>
              <w:pStyle w:val="Tabletextright"/>
            </w:pPr>
            <w:r w:rsidRPr="00687A1C">
              <w:t>66.66</w:t>
            </w:r>
          </w:p>
        </w:tc>
        <w:tc>
          <w:tcPr>
            <w:tcW w:w="950" w:type="dxa"/>
          </w:tcPr>
          <w:p w:rsidR="00C65F2A" w:rsidRPr="00687A1C" w:rsidRDefault="00C65F2A" w:rsidP="00D57125">
            <w:pPr>
              <w:pStyle w:val="Tabletextright"/>
            </w:pPr>
            <w:r w:rsidRPr="00687A1C">
              <w:t>–</w:t>
            </w:r>
          </w:p>
        </w:tc>
        <w:tc>
          <w:tcPr>
            <w:tcW w:w="778" w:type="dxa"/>
          </w:tcPr>
          <w:p w:rsidR="00C65F2A" w:rsidRPr="00687A1C" w:rsidRDefault="00C65F2A" w:rsidP="00D57125">
            <w:pPr>
              <w:pStyle w:val="Tabletextright"/>
            </w:pPr>
            <w:r w:rsidRPr="00687A1C">
              <w:t>–</w:t>
            </w:r>
          </w:p>
        </w:tc>
      </w:tr>
      <w:tr w:rsidR="00C65F2A" w:rsidRPr="00687A1C" w:rsidTr="004145DE">
        <w:trPr>
          <w:cantSplit/>
          <w:trHeight w:hRule="exact" w:val="120"/>
        </w:trPr>
        <w:tc>
          <w:tcPr>
            <w:tcW w:w="1483" w:type="dxa"/>
            <w:shd w:val="clear" w:color="auto" w:fill="auto"/>
          </w:tcPr>
          <w:p w:rsidR="00C65F2A" w:rsidRPr="00687A1C" w:rsidRDefault="00C65F2A" w:rsidP="005A4319">
            <w:pPr>
              <w:pStyle w:val="Tabletext"/>
              <w:rPr>
                <w:sz w:val="6"/>
              </w:rPr>
            </w:pPr>
          </w:p>
        </w:tc>
        <w:tc>
          <w:tcPr>
            <w:tcW w:w="950" w:type="dxa"/>
            <w:shd w:val="clear" w:color="auto" w:fill="E0E0E0"/>
          </w:tcPr>
          <w:p w:rsidR="00C65F2A" w:rsidRPr="00687A1C" w:rsidRDefault="00C65F2A" w:rsidP="004145DE">
            <w:pPr>
              <w:pStyle w:val="Tabletextright"/>
            </w:pPr>
          </w:p>
        </w:tc>
        <w:tc>
          <w:tcPr>
            <w:tcW w:w="778" w:type="dxa"/>
            <w:shd w:val="clear" w:color="auto" w:fill="E0E0E0"/>
          </w:tcPr>
          <w:p w:rsidR="00C65F2A" w:rsidRPr="00687A1C" w:rsidRDefault="00C65F2A" w:rsidP="004145DE">
            <w:pPr>
              <w:pStyle w:val="Tabletextright"/>
            </w:pPr>
          </w:p>
        </w:tc>
        <w:tc>
          <w:tcPr>
            <w:tcW w:w="979" w:type="dxa"/>
            <w:shd w:val="clear" w:color="auto" w:fill="auto"/>
          </w:tcPr>
          <w:p w:rsidR="00C65F2A" w:rsidRPr="00687A1C" w:rsidRDefault="00C65F2A" w:rsidP="004145DE">
            <w:pPr>
              <w:pStyle w:val="Tabletextright"/>
            </w:pPr>
          </w:p>
        </w:tc>
        <w:tc>
          <w:tcPr>
            <w:tcW w:w="979" w:type="dxa"/>
            <w:shd w:val="clear" w:color="auto" w:fill="auto"/>
          </w:tcPr>
          <w:p w:rsidR="00C65F2A" w:rsidRPr="00687A1C" w:rsidRDefault="00C65F2A" w:rsidP="004145DE">
            <w:pPr>
              <w:pStyle w:val="Tabletextright"/>
            </w:pPr>
          </w:p>
        </w:tc>
        <w:tc>
          <w:tcPr>
            <w:tcW w:w="778" w:type="dxa"/>
            <w:shd w:val="clear" w:color="auto" w:fill="auto"/>
          </w:tcPr>
          <w:p w:rsidR="00C65F2A" w:rsidRPr="00687A1C" w:rsidRDefault="00C65F2A" w:rsidP="004145DE">
            <w:pPr>
              <w:pStyle w:val="Tabletextright"/>
            </w:pPr>
          </w:p>
        </w:tc>
        <w:tc>
          <w:tcPr>
            <w:tcW w:w="950" w:type="dxa"/>
            <w:shd w:val="clear" w:color="auto" w:fill="E0E0E0"/>
          </w:tcPr>
          <w:p w:rsidR="00C65F2A" w:rsidRPr="00687A1C" w:rsidRDefault="00C65F2A" w:rsidP="004145DE">
            <w:pPr>
              <w:pStyle w:val="Tabletextright"/>
            </w:pPr>
          </w:p>
        </w:tc>
        <w:tc>
          <w:tcPr>
            <w:tcW w:w="778" w:type="dxa"/>
            <w:shd w:val="clear" w:color="auto" w:fill="E0E0E0"/>
          </w:tcPr>
          <w:p w:rsidR="00C65F2A" w:rsidRPr="00687A1C" w:rsidRDefault="00C65F2A" w:rsidP="004145DE">
            <w:pPr>
              <w:pStyle w:val="Tabletextright"/>
            </w:pPr>
          </w:p>
        </w:tc>
        <w:tc>
          <w:tcPr>
            <w:tcW w:w="950" w:type="dxa"/>
            <w:shd w:val="clear" w:color="auto" w:fill="auto"/>
            <w:noWrap/>
          </w:tcPr>
          <w:p w:rsidR="00C65F2A" w:rsidRPr="00687A1C" w:rsidRDefault="00C65F2A" w:rsidP="00D57125">
            <w:pPr>
              <w:pStyle w:val="Tabletextright"/>
              <w:rPr>
                <w:rFonts w:cstheme="minorHAnsi"/>
                <w:sz w:val="6"/>
              </w:rPr>
            </w:pPr>
          </w:p>
        </w:tc>
        <w:tc>
          <w:tcPr>
            <w:tcW w:w="778" w:type="dxa"/>
            <w:shd w:val="clear" w:color="auto" w:fill="auto"/>
          </w:tcPr>
          <w:p w:rsidR="00C65F2A" w:rsidRPr="00687A1C" w:rsidRDefault="00C65F2A" w:rsidP="00D57125">
            <w:pPr>
              <w:pStyle w:val="Tabletextright"/>
              <w:rPr>
                <w:rFonts w:cstheme="minorHAnsi"/>
                <w:sz w:val="6"/>
              </w:rPr>
            </w:pPr>
          </w:p>
        </w:tc>
        <w:tc>
          <w:tcPr>
            <w:tcW w:w="979" w:type="dxa"/>
            <w:shd w:val="clear" w:color="auto" w:fill="E0E0E0"/>
            <w:noWrap/>
          </w:tcPr>
          <w:p w:rsidR="00C65F2A" w:rsidRPr="00687A1C" w:rsidRDefault="00C65F2A" w:rsidP="00D57125">
            <w:pPr>
              <w:pStyle w:val="Tabletextright"/>
              <w:rPr>
                <w:rFonts w:cstheme="minorHAnsi"/>
                <w:sz w:val="6"/>
              </w:rPr>
            </w:pPr>
          </w:p>
        </w:tc>
        <w:tc>
          <w:tcPr>
            <w:tcW w:w="979" w:type="dxa"/>
            <w:shd w:val="clear" w:color="auto" w:fill="E0E0E0"/>
          </w:tcPr>
          <w:p w:rsidR="00C65F2A" w:rsidRPr="00687A1C" w:rsidRDefault="00C65F2A" w:rsidP="00D57125">
            <w:pPr>
              <w:pStyle w:val="Tabletextright"/>
              <w:rPr>
                <w:sz w:val="6"/>
              </w:rPr>
            </w:pPr>
          </w:p>
        </w:tc>
        <w:tc>
          <w:tcPr>
            <w:tcW w:w="778" w:type="dxa"/>
            <w:shd w:val="clear" w:color="auto" w:fill="E0E0E0"/>
          </w:tcPr>
          <w:p w:rsidR="00C65F2A" w:rsidRPr="00687A1C" w:rsidRDefault="00C65F2A" w:rsidP="00D57125">
            <w:pPr>
              <w:pStyle w:val="Tabletextright"/>
              <w:rPr>
                <w:sz w:val="6"/>
              </w:rPr>
            </w:pPr>
          </w:p>
        </w:tc>
        <w:tc>
          <w:tcPr>
            <w:tcW w:w="950" w:type="dxa"/>
          </w:tcPr>
          <w:p w:rsidR="00C65F2A" w:rsidRPr="00687A1C" w:rsidRDefault="00C65F2A" w:rsidP="00D57125">
            <w:pPr>
              <w:pStyle w:val="Tabletextright"/>
              <w:rPr>
                <w:sz w:val="6"/>
              </w:rPr>
            </w:pPr>
          </w:p>
        </w:tc>
        <w:tc>
          <w:tcPr>
            <w:tcW w:w="778" w:type="dxa"/>
          </w:tcPr>
          <w:p w:rsidR="00C65F2A" w:rsidRPr="00687A1C" w:rsidRDefault="00C65F2A" w:rsidP="00D57125">
            <w:pPr>
              <w:pStyle w:val="Tabletextright"/>
              <w:rPr>
                <w:sz w:val="6"/>
              </w:rPr>
            </w:pPr>
          </w:p>
        </w:tc>
      </w:tr>
      <w:tr w:rsidR="00C65F2A" w:rsidRPr="00687A1C" w:rsidTr="00D00B76">
        <w:trPr>
          <w:cantSplit/>
        </w:trPr>
        <w:tc>
          <w:tcPr>
            <w:tcW w:w="1483" w:type="dxa"/>
            <w:shd w:val="clear" w:color="auto" w:fill="auto"/>
          </w:tcPr>
          <w:p w:rsidR="00C65F2A" w:rsidRPr="00687A1C" w:rsidRDefault="00C65F2A" w:rsidP="00722E5C">
            <w:pPr>
              <w:pStyle w:val="Tabletextbold"/>
            </w:pPr>
            <w:r w:rsidRPr="00687A1C">
              <w:t>Other</w:t>
            </w:r>
          </w:p>
        </w:tc>
        <w:tc>
          <w:tcPr>
            <w:tcW w:w="950" w:type="dxa"/>
            <w:shd w:val="clear" w:color="auto" w:fill="E0E0E0"/>
            <w:vAlign w:val="bottom"/>
          </w:tcPr>
          <w:p w:rsidR="00C65F2A" w:rsidRPr="00687A1C" w:rsidRDefault="00C65F2A" w:rsidP="004145DE">
            <w:pPr>
              <w:pStyle w:val="Tabletextright"/>
              <w:rPr>
                <w:b/>
              </w:rPr>
            </w:pPr>
            <w:r w:rsidRPr="00687A1C">
              <w:rPr>
                <w:b/>
              </w:rPr>
              <w:t>2</w:t>
            </w:r>
          </w:p>
        </w:tc>
        <w:tc>
          <w:tcPr>
            <w:tcW w:w="778" w:type="dxa"/>
            <w:shd w:val="clear" w:color="auto" w:fill="E0E0E0"/>
            <w:vAlign w:val="bottom"/>
          </w:tcPr>
          <w:p w:rsidR="00C65F2A" w:rsidRPr="00687A1C" w:rsidRDefault="00C65F2A" w:rsidP="004145DE">
            <w:pPr>
              <w:pStyle w:val="Tabletextright"/>
              <w:rPr>
                <w:b/>
              </w:rPr>
            </w:pPr>
            <w:r w:rsidRPr="00687A1C">
              <w:rPr>
                <w:b/>
              </w:rPr>
              <w:t>1.37</w:t>
            </w:r>
          </w:p>
        </w:tc>
        <w:tc>
          <w:tcPr>
            <w:tcW w:w="979" w:type="dxa"/>
            <w:shd w:val="clear" w:color="auto" w:fill="auto"/>
            <w:vAlign w:val="bottom"/>
          </w:tcPr>
          <w:p w:rsidR="00C65F2A" w:rsidRPr="00687A1C" w:rsidRDefault="00C65F2A" w:rsidP="00C65F2A">
            <w:pPr>
              <w:pStyle w:val="Tabletextrightbold"/>
            </w:pPr>
            <w:r w:rsidRPr="00687A1C">
              <w:t>1</w:t>
            </w:r>
          </w:p>
        </w:tc>
        <w:tc>
          <w:tcPr>
            <w:tcW w:w="979" w:type="dxa"/>
            <w:shd w:val="clear" w:color="auto" w:fill="auto"/>
            <w:vAlign w:val="bottom"/>
          </w:tcPr>
          <w:p w:rsidR="00C65F2A" w:rsidRPr="00687A1C" w:rsidRDefault="00C65F2A" w:rsidP="00C65F2A">
            <w:pPr>
              <w:pStyle w:val="Tabletextrightbold"/>
            </w:pPr>
            <w:r w:rsidRPr="00687A1C">
              <w:t>–</w:t>
            </w:r>
          </w:p>
        </w:tc>
        <w:tc>
          <w:tcPr>
            <w:tcW w:w="778" w:type="dxa"/>
            <w:shd w:val="clear" w:color="auto" w:fill="auto"/>
            <w:vAlign w:val="bottom"/>
          </w:tcPr>
          <w:p w:rsidR="00C65F2A" w:rsidRPr="00687A1C" w:rsidRDefault="00C65F2A" w:rsidP="00C65F2A">
            <w:pPr>
              <w:pStyle w:val="Tabletextrightbold"/>
            </w:pPr>
            <w:r w:rsidRPr="00687A1C">
              <w:t>1.00</w:t>
            </w:r>
          </w:p>
        </w:tc>
        <w:tc>
          <w:tcPr>
            <w:tcW w:w="950" w:type="dxa"/>
            <w:shd w:val="clear" w:color="auto" w:fill="E0E0E0"/>
            <w:vAlign w:val="bottom"/>
          </w:tcPr>
          <w:p w:rsidR="00C65F2A" w:rsidRPr="00687A1C" w:rsidRDefault="00C65F2A" w:rsidP="004145DE">
            <w:pPr>
              <w:pStyle w:val="Tabletextright"/>
              <w:rPr>
                <w:b/>
              </w:rPr>
            </w:pPr>
            <w:r w:rsidRPr="00687A1C">
              <w:rPr>
                <w:b/>
              </w:rPr>
              <w:t>1</w:t>
            </w:r>
          </w:p>
        </w:tc>
        <w:tc>
          <w:tcPr>
            <w:tcW w:w="778" w:type="dxa"/>
            <w:shd w:val="clear" w:color="auto" w:fill="E0E0E0"/>
            <w:vAlign w:val="bottom"/>
          </w:tcPr>
          <w:p w:rsidR="00C65F2A" w:rsidRPr="00687A1C" w:rsidRDefault="00C65F2A" w:rsidP="004145DE">
            <w:pPr>
              <w:pStyle w:val="Tabletextright"/>
              <w:rPr>
                <w:b/>
              </w:rPr>
            </w:pPr>
            <w:r w:rsidRPr="00687A1C">
              <w:rPr>
                <w:b/>
              </w:rPr>
              <w:t>0.37</w:t>
            </w:r>
          </w:p>
        </w:tc>
        <w:tc>
          <w:tcPr>
            <w:tcW w:w="950" w:type="dxa"/>
            <w:shd w:val="clear" w:color="auto" w:fill="auto"/>
            <w:noWrap/>
          </w:tcPr>
          <w:p w:rsidR="00C65F2A" w:rsidRPr="00687A1C" w:rsidRDefault="00C65F2A" w:rsidP="00D57125">
            <w:pPr>
              <w:pStyle w:val="Tabletextrightbold"/>
            </w:pPr>
            <w:r w:rsidRPr="00687A1C">
              <w:t>1</w:t>
            </w:r>
          </w:p>
        </w:tc>
        <w:tc>
          <w:tcPr>
            <w:tcW w:w="778" w:type="dxa"/>
            <w:shd w:val="clear" w:color="auto" w:fill="auto"/>
          </w:tcPr>
          <w:p w:rsidR="00C65F2A" w:rsidRPr="00687A1C" w:rsidRDefault="00C65F2A" w:rsidP="00D57125">
            <w:pPr>
              <w:pStyle w:val="Tabletextrightbold"/>
            </w:pPr>
            <w:r w:rsidRPr="00687A1C">
              <w:t>1.00</w:t>
            </w:r>
          </w:p>
        </w:tc>
        <w:tc>
          <w:tcPr>
            <w:tcW w:w="979" w:type="dxa"/>
            <w:shd w:val="clear" w:color="auto" w:fill="E0E0E0"/>
            <w:noWrap/>
          </w:tcPr>
          <w:p w:rsidR="00C65F2A" w:rsidRPr="00687A1C" w:rsidRDefault="00C65F2A" w:rsidP="00D57125">
            <w:pPr>
              <w:pStyle w:val="Tabletextrightbold"/>
            </w:pPr>
            <w:r w:rsidRPr="00687A1C">
              <w:t>1</w:t>
            </w:r>
          </w:p>
        </w:tc>
        <w:tc>
          <w:tcPr>
            <w:tcW w:w="979" w:type="dxa"/>
            <w:shd w:val="clear" w:color="auto" w:fill="E0E0E0"/>
          </w:tcPr>
          <w:p w:rsidR="00C65F2A" w:rsidRPr="00687A1C" w:rsidRDefault="00C65F2A" w:rsidP="00D57125">
            <w:pPr>
              <w:pStyle w:val="Tabletextrightbold"/>
            </w:pPr>
            <w:r w:rsidRPr="00687A1C">
              <w:t>–</w:t>
            </w:r>
          </w:p>
        </w:tc>
        <w:tc>
          <w:tcPr>
            <w:tcW w:w="778" w:type="dxa"/>
            <w:shd w:val="clear" w:color="auto" w:fill="E0E0E0"/>
          </w:tcPr>
          <w:p w:rsidR="00C65F2A" w:rsidRPr="00687A1C" w:rsidRDefault="00C65F2A" w:rsidP="00D57125">
            <w:pPr>
              <w:pStyle w:val="Tabletextrightbold"/>
            </w:pPr>
            <w:r w:rsidRPr="00687A1C">
              <w:t>1.00</w:t>
            </w:r>
          </w:p>
        </w:tc>
        <w:tc>
          <w:tcPr>
            <w:tcW w:w="950" w:type="dxa"/>
          </w:tcPr>
          <w:p w:rsidR="00C65F2A" w:rsidRPr="00687A1C" w:rsidRDefault="00C65F2A" w:rsidP="00D57125">
            <w:pPr>
              <w:pStyle w:val="Tabletextrightbold"/>
            </w:pPr>
            <w:r w:rsidRPr="00687A1C">
              <w:t>–</w:t>
            </w:r>
          </w:p>
        </w:tc>
        <w:tc>
          <w:tcPr>
            <w:tcW w:w="778" w:type="dxa"/>
          </w:tcPr>
          <w:p w:rsidR="00C65F2A" w:rsidRPr="00687A1C" w:rsidRDefault="00E728A1" w:rsidP="00D57125">
            <w:pPr>
              <w:pStyle w:val="Tabletextrightbold"/>
            </w:pPr>
            <w:r w:rsidRPr="00687A1C">
              <w:t>–</w:t>
            </w:r>
          </w:p>
        </w:tc>
      </w:tr>
      <w:tr w:rsidR="00C65F2A" w:rsidRPr="00687A1C" w:rsidTr="00D00B76">
        <w:trPr>
          <w:cantSplit/>
        </w:trPr>
        <w:tc>
          <w:tcPr>
            <w:tcW w:w="1483" w:type="dxa"/>
            <w:shd w:val="clear" w:color="auto" w:fill="auto"/>
            <w:vAlign w:val="bottom"/>
          </w:tcPr>
          <w:p w:rsidR="00C65F2A" w:rsidRPr="00687A1C" w:rsidRDefault="00C65F2A" w:rsidP="00E67247">
            <w:pPr>
              <w:pStyle w:val="Tabletext"/>
            </w:pPr>
            <w:r w:rsidRPr="00687A1C">
              <w:rPr>
                <w:rFonts w:cstheme="minorHAnsi"/>
                <w:b/>
              </w:rPr>
              <w:t>Total employees</w:t>
            </w:r>
          </w:p>
        </w:tc>
        <w:tc>
          <w:tcPr>
            <w:tcW w:w="950" w:type="dxa"/>
            <w:shd w:val="clear" w:color="auto" w:fill="E0E0E0"/>
            <w:vAlign w:val="bottom"/>
          </w:tcPr>
          <w:p w:rsidR="00C65F2A" w:rsidRPr="00687A1C" w:rsidRDefault="00C65F2A" w:rsidP="004145DE">
            <w:pPr>
              <w:pStyle w:val="Tabletextright"/>
              <w:rPr>
                <w:b/>
              </w:rPr>
            </w:pPr>
            <w:r w:rsidRPr="00687A1C">
              <w:rPr>
                <w:b/>
              </w:rPr>
              <w:t>620</w:t>
            </w:r>
          </w:p>
        </w:tc>
        <w:tc>
          <w:tcPr>
            <w:tcW w:w="778" w:type="dxa"/>
            <w:shd w:val="clear" w:color="auto" w:fill="E0E0E0"/>
            <w:vAlign w:val="bottom"/>
          </w:tcPr>
          <w:p w:rsidR="00C65F2A" w:rsidRPr="00687A1C" w:rsidRDefault="00C65F2A" w:rsidP="004145DE">
            <w:pPr>
              <w:pStyle w:val="Tabletextright"/>
              <w:rPr>
                <w:b/>
              </w:rPr>
            </w:pPr>
            <w:r w:rsidRPr="00687A1C">
              <w:rPr>
                <w:b/>
              </w:rPr>
              <w:t>591.89</w:t>
            </w:r>
          </w:p>
        </w:tc>
        <w:tc>
          <w:tcPr>
            <w:tcW w:w="979" w:type="dxa"/>
            <w:shd w:val="clear" w:color="auto" w:fill="auto"/>
            <w:vAlign w:val="bottom"/>
          </w:tcPr>
          <w:p w:rsidR="00C65F2A" w:rsidRPr="00687A1C" w:rsidRDefault="00C65F2A" w:rsidP="00C65F2A">
            <w:pPr>
              <w:pStyle w:val="Tabletextrightbold"/>
            </w:pPr>
            <w:r w:rsidRPr="00687A1C">
              <w:t>487</w:t>
            </w:r>
          </w:p>
        </w:tc>
        <w:tc>
          <w:tcPr>
            <w:tcW w:w="979" w:type="dxa"/>
            <w:shd w:val="clear" w:color="auto" w:fill="auto"/>
            <w:vAlign w:val="bottom"/>
          </w:tcPr>
          <w:p w:rsidR="00C65F2A" w:rsidRPr="00687A1C" w:rsidRDefault="00C65F2A" w:rsidP="00C65F2A">
            <w:pPr>
              <w:pStyle w:val="Tabletextrightbold"/>
            </w:pPr>
            <w:r w:rsidRPr="00687A1C">
              <w:t>97</w:t>
            </w:r>
          </w:p>
        </w:tc>
        <w:tc>
          <w:tcPr>
            <w:tcW w:w="778" w:type="dxa"/>
            <w:shd w:val="clear" w:color="auto" w:fill="auto"/>
            <w:vAlign w:val="bottom"/>
          </w:tcPr>
          <w:p w:rsidR="00C65F2A" w:rsidRPr="00687A1C" w:rsidRDefault="00C65F2A" w:rsidP="00C65F2A">
            <w:pPr>
              <w:pStyle w:val="Tabletextrightbold"/>
            </w:pPr>
            <w:r w:rsidRPr="00687A1C">
              <w:t>557.33</w:t>
            </w:r>
          </w:p>
        </w:tc>
        <w:tc>
          <w:tcPr>
            <w:tcW w:w="950" w:type="dxa"/>
            <w:shd w:val="clear" w:color="auto" w:fill="E0E0E0"/>
            <w:vAlign w:val="bottom"/>
          </w:tcPr>
          <w:p w:rsidR="00C65F2A" w:rsidRPr="00687A1C" w:rsidRDefault="00212645" w:rsidP="004145DE">
            <w:pPr>
              <w:pStyle w:val="Tabletextright"/>
              <w:rPr>
                <w:b/>
              </w:rPr>
            </w:pPr>
            <w:r w:rsidRPr="00687A1C">
              <w:rPr>
                <w:b/>
              </w:rPr>
              <w:t>37</w:t>
            </w:r>
          </w:p>
        </w:tc>
        <w:tc>
          <w:tcPr>
            <w:tcW w:w="778" w:type="dxa"/>
            <w:shd w:val="clear" w:color="auto" w:fill="E0E0E0"/>
            <w:vAlign w:val="bottom"/>
          </w:tcPr>
          <w:p w:rsidR="00C65F2A" w:rsidRPr="00687A1C" w:rsidRDefault="00212645" w:rsidP="004145DE">
            <w:pPr>
              <w:pStyle w:val="Tabletextright"/>
              <w:rPr>
                <w:b/>
              </w:rPr>
            </w:pPr>
            <w:r w:rsidRPr="00687A1C">
              <w:rPr>
                <w:b/>
              </w:rPr>
              <w:t>34.57</w:t>
            </w:r>
          </w:p>
        </w:tc>
        <w:tc>
          <w:tcPr>
            <w:tcW w:w="950" w:type="dxa"/>
            <w:shd w:val="clear" w:color="auto" w:fill="auto"/>
            <w:noWrap/>
          </w:tcPr>
          <w:p w:rsidR="00C65F2A" w:rsidRPr="00687A1C" w:rsidRDefault="00C65F2A" w:rsidP="00D57125">
            <w:pPr>
              <w:pStyle w:val="Tabletextrightbold"/>
            </w:pPr>
            <w:r w:rsidRPr="00687A1C">
              <w:t>609</w:t>
            </w:r>
          </w:p>
        </w:tc>
        <w:tc>
          <w:tcPr>
            <w:tcW w:w="778" w:type="dxa"/>
            <w:shd w:val="clear" w:color="auto" w:fill="auto"/>
          </w:tcPr>
          <w:p w:rsidR="00C65F2A" w:rsidRPr="00687A1C" w:rsidRDefault="00C65F2A" w:rsidP="00D57125">
            <w:pPr>
              <w:pStyle w:val="Tabletextrightbold"/>
            </w:pPr>
            <w:r w:rsidRPr="00687A1C">
              <w:t>582.12</w:t>
            </w:r>
          </w:p>
        </w:tc>
        <w:tc>
          <w:tcPr>
            <w:tcW w:w="979" w:type="dxa"/>
            <w:shd w:val="clear" w:color="auto" w:fill="E0E0E0"/>
            <w:noWrap/>
          </w:tcPr>
          <w:p w:rsidR="00C65F2A" w:rsidRPr="00687A1C" w:rsidRDefault="00C65F2A" w:rsidP="00D57125">
            <w:pPr>
              <w:pStyle w:val="Tabletextrightbold"/>
            </w:pPr>
            <w:r w:rsidRPr="00687A1C">
              <w:t>487</w:t>
            </w:r>
          </w:p>
        </w:tc>
        <w:tc>
          <w:tcPr>
            <w:tcW w:w="979" w:type="dxa"/>
            <w:shd w:val="clear" w:color="auto" w:fill="E0E0E0"/>
          </w:tcPr>
          <w:p w:rsidR="00C65F2A" w:rsidRPr="00687A1C" w:rsidRDefault="00C65F2A" w:rsidP="00D57125">
            <w:pPr>
              <w:pStyle w:val="Tabletextrightbold"/>
            </w:pPr>
            <w:r w:rsidRPr="00687A1C">
              <w:t>95</w:t>
            </w:r>
          </w:p>
        </w:tc>
        <w:tc>
          <w:tcPr>
            <w:tcW w:w="778" w:type="dxa"/>
            <w:shd w:val="clear" w:color="auto" w:fill="E0E0E0"/>
          </w:tcPr>
          <w:p w:rsidR="00C65F2A" w:rsidRPr="00687A1C" w:rsidRDefault="00C65F2A" w:rsidP="00D57125">
            <w:pPr>
              <w:pStyle w:val="Tabletextrightbold"/>
            </w:pPr>
            <w:r w:rsidRPr="00687A1C">
              <w:t>555.92</w:t>
            </w:r>
          </w:p>
        </w:tc>
        <w:tc>
          <w:tcPr>
            <w:tcW w:w="950" w:type="dxa"/>
          </w:tcPr>
          <w:p w:rsidR="00C65F2A" w:rsidRPr="00687A1C" w:rsidRDefault="00C65F2A" w:rsidP="00D57125">
            <w:pPr>
              <w:pStyle w:val="Tabletextrightbold"/>
            </w:pPr>
            <w:r w:rsidRPr="00687A1C">
              <w:t>27</w:t>
            </w:r>
          </w:p>
        </w:tc>
        <w:tc>
          <w:tcPr>
            <w:tcW w:w="778" w:type="dxa"/>
          </w:tcPr>
          <w:p w:rsidR="00C65F2A" w:rsidRPr="00687A1C" w:rsidRDefault="00C65F2A" w:rsidP="00D57125">
            <w:pPr>
              <w:pStyle w:val="Tabletextrightbold"/>
            </w:pPr>
            <w:r w:rsidRPr="00687A1C">
              <w:t>26.20</w:t>
            </w:r>
          </w:p>
        </w:tc>
      </w:tr>
    </w:tbl>
    <w:p w:rsidR="00E80B5F" w:rsidRPr="00687A1C" w:rsidRDefault="00525A0B" w:rsidP="00E31CED">
      <w:pPr>
        <w:pStyle w:val="Notes"/>
      </w:pPr>
      <w:r w:rsidRPr="00687A1C">
        <w:t>Note:</w:t>
      </w:r>
    </w:p>
    <w:p w:rsidR="00525A0B" w:rsidRPr="00687A1C" w:rsidRDefault="00525A0B" w:rsidP="00E31CED">
      <w:pPr>
        <w:pStyle w:val="Notes"/>
      </w:pPr>
      <w:r w:rsidRPr="00687A1C">
        <w:t>(a) Executive headcount includes five executives on secondment to other agencies, representing five FTE.</w:t>
      </w:r>
    </w:p>
    <w:p w:rsidR="00525A0B" w:rsidRPr="00687A1C" w:rsidRDefault="00525A0B" w:rsidP="00E31CED">
      <w:pPr>
        <w:pStyle w:val="Notes"/>
      </w:pPr>
    </w:p>
    <w:p w:rsidR="00E31CED" w:rsidRPr="00687A1C" w:rsidRDefault="00E31CED" w:rsidP="00A5358C">
      <w:pPr>
        <w:pStyle w:val="Tableheading"/>
        <w:sectPr w:rsidR="00E31CED" w:rsidRPr="00687A1C" w:rsidSect="00A5358C">
          <w:headerReference w:type="even" r:id="rId104"/>
          <w:headerReference w:type="default" r:id="rId105"/>
          <w:footerReference w:type="even" r:id="rId106"/>
          <w:footerReference w:type="default" r:id="rId107"/>
          <w:pgSz w:w="16834" w:h="11909" w:orient="landscape" w:code="9"/>
          <w:pgMar w:top="1152" w:right="1440" w:bottom="990" w:left="1728" w:header="720" w:footer="288" w:gutter="0"/>
          <w:cols w:space="720"/>
          <w:noEndnote/>
        </w:sectPr>
      </w:pPr>
    </w:p>
    <w:p w:rsidR="005D199C" w:rsidRPr="00687A1C" w:rsidRDefault="005D199C" w:rsidP="005D199C">
      <w:r w:rsidRPr="00687A1C">
        <w:lastRenderedPageBreak/>
        <w:t>The following table discloses the annualised total salary for senior employees of the Department, categorised by classification. The salary amount is reported as the full</w:t>
      </w:r>
      <w:r w:rsidR="00B336DF" w:rsidRPr="00687A1C">
        <w:noBreakHyphen/>
      </w:r>
      <w:r w:rsidRPr="00687A1C">
        <w:t>time annualised salary.</w:t>
      </w:r>
    </w:p>
    <w:p w:rsidR="005D199C" w:rsidRPr="00687A1C" w:rsidRDefault="005D199C" w:rsidP="005D199C">
      <w:pPr>
        <w:pStyle w:val="Tableheading"/>
      </w:pPr>
      <w:r w:rsidRPr="00687A1C">
        <w:t>Annualised total salary, by $20</w:t>
      </w:r>
      <w:r w:rsidRPr="00687A1C">
        <w:rPr>
          <w:rFonts w:ascii="Calibri" w:hAnsi="Calibri" w:cs="Calibri"/>
        </w:rPr>
        <w:t> </w:t>
      </w:r>
      <w:r w:rsidRPr="00687A1C">
        <w:t>000 bands, for executives and other senior non</w:t>
      </w:r>
      <w:r w:rsidR="00B336DF" w:rsidRPr="00687A1C">
        <w:noBreakHyphen/>
      </w:r>
      <w:r w:rsidRPr="00687A1C">
        <w:t>executive staff</w:t>
      </w:r>
      <w:r w:rsidR="000A7CE4" w:rsidRPr="00687A1C">
        <w:t xml:space="preserve"> </w:t>
      </w:r>
      <w:r w:rsidR="00E83046" w:rsidRPr="00687A1C">
        <w:t>–</w:t>
      </w:r>
      <w:r w:rsidR="000A7CE4" w:rsidRPr="00687A1C">
        <w:t xml:space="preserve"> DTF</w:t>
      </w:r>
    </w:p>
    <w:tbl>
      <w:tblPr>
        <w:tblW w:w="0" w:type="auto"/>
        <w:tblInd w:w="108" w:type="dxa"/>
        <w:tblLayout w:type="fixed"/>
        <w:tblLook w:val="0000" w:firstRow="0" w:lastRow="0" w:firstColumn="0" w:lastColumn="0" w:noHBand="0" w:noVBand="0"/>
      </w:tblPr>
      <w:tblGrid>
        <w:gridCol w:w="2700"/>
        <w:gridCol w:w="1080"/>
        <w:gridCol w:w="1080"/>
        <w:gridCol w:w="1080"/>
        <w:gridCol w:w="1080"/>
        <w:gridCol w:w="1080"/>
        <w:gridCol w:w="1080"/>
      </w:tblGrid>
      <w:tr w:rsidR="005D199C" w:rsidRPr="00687A1C" w:rsidTr="00D51AAB">
        <w:tc>
          <w:tcPr>
            <w:tcW w:w="2700" w:type="dxa"/>
            <w:shd w:val="clear" w:color="auto" w:fill="FFFFFF" w:themeFill="background1"/>
          </w:tcPr>
          <w:p w:rsidR="005D199C" w:rsidRPr="00687A1C" w:rsidRDefault="005D199C" w:rsidP="0021241E">
            <w:pPr>
              <w:pStyle w:val="Tabletextheadingleft"/>
            </w:pPr>
            <w:r w:rsidRPr="00687A1C">
              <w:t>Income band (salary)</w:t>
            </w:r>
          </w:p>
        </w:tc>
        <w:tc>
          <w:tcPr>
            <w:tcW w:w="1080" w:type="dxa"/>
            <w:shd w:val="clear" w:color="auto" w:fill="FFFFFF" w:themeFill="background1"/>
          </w:tcPr>
          <w:p w:rsidR="005D199C" w:rsidRPr="00687A1C" w:rsidRDefault="005D199C" w:rsidP="00130D48">
            <w:pPr>
              <w:pStyle w:val="Tabletextheadingcentred"/>
              <w:jc w:val="right"/>
            </w:pPr>
            <w:r w:rsidRPr="00687A1C">
              <w:t>Executives</w:t>
            </w:r>
          </w:p>
        </w:tc>
        <w:tc>
          <w:tcPr>
            <w:tcW w:w="1080" w:type="dxa"/>
            <w:shd w:val="clear" w:color="auto" w:fill="FFFFFF" w:themeFill="background1"/>
          </w:tcPr>
          <w:p w:rsidR="005D199C" w:rsidRPr="00687A1C" w:rsidRDefault="005D199C" w:rsidP="00130D48">
            <w:pPr>
              <w:pStyle w:val="Tabletextheadingcentred"/>
              <w:jc w:val="right"/>
            </w:pPr>
            <w:r w:rsidRPr="00687A1C">
              <w:t>STS</w:t>
            </w:r>
          </w:p>
        </w:tc>
        <w:tc>
          <w:tcPr>
            <w:tcW w:w="1080" w:type="dxa"/>
            <w:shd w:val="clear" w:color="auto" w:fill="FFFFFF" w:themeFill="background1"/>
          </w:tcPr>
          <w:p w:rsidR="005D199C" w:rsidRPr="00687A1C" w:rsidRDefault="005D199C" w:rsidP="00130D48">
            <w:pPr>
              <w:pStyle w:val="Tabletextheadingcentred"/>
              <w:jc w:val="right"/>
            </w:pPr>
            <w:r w:rsidRPr="00687A1C">
              <w:t>PS</w:t>
            </w:r>
          </w:p>
        </w:tc>
        <w:tc>
          <w:tcPr>
            <w:tcW w:w="1080" w:type="dxa"/>
            <w:shd w:val="clear" w:color="auto" w:fill="FFFFFF" w:themeFill="background1"/>
          </w:tcPr>
          <w:p w:rsidR="005D199C" w:rsidRPr="00687A1C" w:rsidRDefault="005D199C" w:rsidP="00130D48">
            <w:pPr>
              <w:pStyle w:val="Tabletextheadingcentred"/>
              <w:jc w:val="right"/>
            </w:pPr>
            <w:r w:rsidRPr="00687A1C">
              <w:t>SMA</w:t>
            </w:r>
          </w:p>
        </w:tc>
        <w:tc>
          <w:tcPr>
            <w:tcW w:w="1080" w:type="dxa"/>
            <w:shd w:val="clear" w:color="auto" w:fill="FFFFFF" w:themeFill="background1"/>
          </w:tcPr>
          <w:p w:rsidR="005D199C" w:rsidRPr="00687A1C" w:rsidRDefault="005D199C" w:rsidP="00130D48">
            <w:pPr>
              <w:pStyle w:val="Tabletextheadingcentred"/>
              <w:jc w:val="right"/>
            </w:pPr>
            <w:r w:rsidRPr="00687A1C">
              <w:t>SRA</w:t>
            </w:r>
          </w:p>
        </w:tc>
        <w:tc>
          <w:tcPr>
            <w:tcW w:w="1080" w:type="dxa"/>
            <w:shd w:val="clear" w:color="auto" w:fill="FFFFFF" w:themeFill="background1"/>
          </w:tcPr>
          <w:p w:rsidR="005D199C" w:rsidRPr="00687A1C" w:rsidRDefault="005D199C" w:rsidP="00130D48">
            <w:pPr>
              <w:pStyle w:val="Tabletextheadingcentred"/>
              <w:jc w:val="right"/>
            </w:pPr>
            <w:r w:rsidRPr="00687A1C">
              <w:t>Other</w:t>
            </w:r>
          </w:p>
        </w:tc>
      </w:tr>
      <w:tr w:rsidR="009D1CCF" w:rsidRPr="00687A1C" w:rsidTr="0021241E">
        <w:tc>
          <w:tcPr>
            <w:tcW w:w="2700" w:type="dxa"/>
            <w:vAlign w:val="bottom"/>
          </w:tcPr>
          <w:p w:rsidR="009D1CCF" w:rsidRPr="00687A1C" w:rsidRDefault="009D1CCF" w:rsidP="0021241E">
            <w:pPr>
              <w:pStyle w:val="Tabletext"/>
            </w:pPr>
            <w:r w:rsidRPr="00687A1C">
              <w:t>&lt;$160</w:t>
            </w:r>
            <w:r w:rsidRPr="00687A1C">
              <w:rPr>
                <w:rFonts w:ascii="Calibri" w:hAnsi="Calibri" w:cs="Calibri"/>
              </w:rPr>
              <w:t> </w:t>
            </w:r>
            <w:r w:rsidRPr="00687A1C">
              <w:t>000</w:t>
            </w:r>
          </w:p>
        </w:tc>
        <w:tc>
          <w:tcPr>
            <w:tcW w:w="1080" w:type="dxa"/>
            <w:shd w:val="clear" w:color="auto" w:fill="E0E0E0"/>
            <w:vAlign w:val="bottom"/>
          </w:tcPr>
          <w:p w:rsidR="009D1CCF" w:rsidRPr="00687A1C" w:rsidRDefault="009D1CCF" w:rsidP="0038487C">
            <w:pPr>
              <w:pStyle w:val="Tabletextright"/>
            </w:pPr>
            <w:r w:rsidRPr="00687A1C">
              <w:t>2</w:t>
            </w:r>
            <w:r w:rsidRPr="00687A1C">
              <w:rPr>
                <w:vertAlign w:val="superscript"/>
              </w:rPr>
              <w:t>(a)</w:t>
            </w:r>
          </w:p>
        </w:tc>
        <w:tc>
          <w:tcPr>
            <w:tcW w:w="1080" w:type="dxa"/>
            <w:shd w:val="clear" w:color="auto" w:fill="auto"/>
            <w:vAlign w:val="bottom"/>
          </w:tcPr>
          <w:p w:rsidR="009D1CCF" w:rsidRPr="00687A1C" w:rsidRDefault="009D1CCF" w:rsidP="0038487C">
            <w:pPr>
              <w:pStyle w:val="Tabletextright"/>
            </w:pPr>
            <w:r w:rsidRPr="00687A1C">
              <w:t>3</w:t>
            </w:r>
            <w:r w:rsidR="002D6FCA" w:rsidRPr="00687A1C">
              <w:rPr>
                <w:vertAlign w:val="superscript"/>
              </w:rPr>
              <w:t>(b)</w:t>
            </w: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$160</w:t>
            </w:r>
            <w:r w:rsidRPr="00687A1C">
              <w:rPr>
                <w:rFonts w:ascii="Calibri" w:hAnsi="Calibri" w:cs="Calibri"/>
              </w:rPr>
              <w:t> </w:t>
            </w:r>
            <w:r w:rsidRPr="00687A1C">
              <w:t>000–$179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2D6FCA">
            <w:pPr>
              <w:pStyle w:val="Tabletextright"/>
            </w:pPr>
            <w:r w:rsidRPr="00687A1C">
              <w:t>6</w:t>
            </w:r>
            <w:r w:rsidR="002D6FCA" w:rsidRPr="00687A1C">
              <w:rPr>
                <w:vertAlign w:val="superscript"/>
              </w:rPr>
              <w:t>(c)</w:t>
            </w:r>
          </w:p>
        </w:tc>
        <w:tc>
          <w:tcPr>
            <w:tcW w:w="1080" w:type="dxa"/>
            <w:shd w:val="clear" w:color="auto" w:fill="auto"/>
            <w:vAlign w:val="bottom"/>
          </w:tcPr>
          <w:p w:rsidR="009D1CCF" w:rsidRPr="00687A1C" w:rsidRDefault="009D1CCF" w:rsidP="002D6FCA">
            <w:pPr>
              <w:pStyle w:val="Tabletextright"/>
            </w:pPr>
            <w:r w:rsidRPr="00687A1C">
              <w:t>4</w:t>
            </w:r>
            <w:r w:rsidR="002D6FCA" w:rsidRPr="00687A1C">
              <w:rPr>
                <w:vertAlign w:val="superscript"/>
              </w:rPr>
              <w:t>(d)</w:t>
            </w: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$180</w:t>
            </w:r>
            <w:r w:rsidRPr="00687A1C">
              <w:rPr>
                <w:rFonts w:ascii="Calibri" w:hAnsi="Calibri" w:cs="Calibri"/>
              </w:rPr>
              <w:t> </w:t>
            </w:r>
            <w:r w:rsidRPr="00687A1C">
              <w:t>000–$199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21</w:t>
            </w:r>
            <w:r w:rsidR="002D6FCA" w:rsidRPr="00687A1C">
              <w:rPr>
                <w:vertAlign w:val="superscript"/>
              </w:rPr>
              <w:t>(e)</w:t>
            </w:r>
          </w:p>
        </w:tc>
        <w:tc>
          <w:tcPr>
            <w:tcW w:w="1080" w:type="dxa"/>
            <w:shd w:val="clear" w:color="auto" w:fill="auto"/>
            <w:vAlign w:val="bottom"/>
          </w:tcPr>
          <w:p w:rsidR="009D1CCF" w:rsidRPr="00687A1C" w:rsidRDefault="009D1CCF" w:rsidP="0038487C">
            <w:pPr>
              <w:pStyle w:val="Tabletextright"/>
            </w:pPr>
            <w:r w:rsidRPr="00687A1C">
              <w:t>2</w:t>
            </w: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$200</w:t>
            </w:r>
            <w:r w:rsidRPr="00687A1C">
              <w:rPr>
                <w:rFonts w:ascii="Calibri" w:hAnsi="Calibri" w:cs="Calibri"/>
              </w:rPr>
              <w:t> </w:t>
            </w:r>
            <w:r w:rsidRPr="00687A1C">
              <w:t>000–$219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23</w:t>
            </w:r>
            <w:r w:rsidR="002D6FCA" w:rsidRPr="00687A1C">
              <w:rPr>
                <w:vertAlign w:val="superscript"/>
              </w:rPr>
              <w:t>(f)</w:t>
            </w:r>
          </w:p>
        </w:tc>
        <w:tc>
          <w:tcPr>
            <w:tcW w:w="1080" w:type="dxa"/>
            <w:shd w:val="clear" w:color="auto" w:fill="auto"/>
            <w:vAlign w:val="bottom"/>
          </w:tcPr>
          <w:p w:rsidR="009D1CCF" w:rsidRPr="00687A1C" w:rsidRDefault="009D1CCF" w:rsidP="0038487C">
            <w:pPr>
              <w:pStyle w:val="Tabletextright"/>
            </w:pPr>
            <w:r w:rsidRPr="00687A1C">
              <w:t>1</w:t>
            </w: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$220</w:t>
            </w:r>
            <w:r w:rsidRPr="00687A1C">
              <w:rPr>
                <w:rFonts w:ascii="Calibri" w:hAnsi="Calibri" w:cs="Calibri"/>
              </w:rPr>
              <w:t> </w:t>
            </w:r>
            <w:r w:rsidRPr="00687A1C">
              <w:t>000–$239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9</w:t>
            </w:r>
            <w:r w:rsidR="002D6FCA" w:rsidRPr="00687A1C">
              <w:rPr>
                <w:vertAlign w:val="superscript"/>
              </w:rPr>
              <w:t>(g)</w:t>
            </w: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$240</w:t>
            </w:r>
            <w:r w:rsidRPr="00687A1C">
              <w:rPr>
                <w:rFonts w:ascii="Calibri" w:hAnsi="Calibri" w:cs="Calibri"/>
              </w:rPr>
              <w:t> </w:t>
            </w:r>
            <w:r w:rsidRPr="00687A1C">
              <w:t>000–$259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5</w:t>
            </w:r>
            <w:r w:rsidR="00D62F24" w:rsidRPr="00687A1C">
              <w:rPr>
                <w:vertAlign w:val="superscript"/>
              </w:rPr>
              <w:t>(g</w:t>
            </w:r>
            <w:r w:rsidR="002D6FCA" w:rsidRPr="00687A1C">
              <w:rPr>
                <w:vertAlign w:val="superscript"/>
              </w:rPr>
              <w:t>)</w:t>
            </w: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$260</w:t>
            </w:r>
            <w:r w:rsidRPr="00687A1C">
              <w:rPr>
                <w:rFonts w:ascii="Calibri" w:hAnsi="Calibri" w:cs="Calibri"/>
              </w:rPr>
              <w:t> </w:t>
            </w:r>
            <w:r w:rsidRPr="00687A1C">
              <w:t>000–$279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7</w:t>
            </w:r>
            <w:r w:rsidR="00D62F24" w:rsidRPr="00687A1C">
              <w:rPr>
                <w:vertAlign w:val="superscript"/>
              </w:rPr>
              <w:t>(g</w:t>
            </w:r>
            <w:r w:rsidR="002D6FCA" w:rsidRPr="00687A1C">
              <w:rPr>
                <w:vertAlign w:val="superscript"/>
              </w:rPr>
              <w:t>)</w:t>
            </w: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$280</w:t>
            </w:r>
            <w:r w:rsidRPr="00687A1C">
              <w:rPr>
                <w:rFonts w:ascii="Calibri" w:hAnsi="Calibri" w:cs="Calibri"/>
              </w:rPr>
              <w:t> </w:t>
            </w:r>
            <w:r w:rsidRPr="00687A1C">
              <w:t>000–$299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1</w:t>
            </w: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$300</w:t>
            </w:r>
            <w:r w:rsidRPr="00687A1C">
              <w:rPr>
                <w:rFonts w:ascii="Calibri" w:hAnsi="Calibri" w:cs="Calibri"/>
              </w:rPr>
              <w:t> </w:t>
            </w:r>
            <w:r w:rsidRPr="00687A1C">
              <w:t>000–$319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3</w:t>
            </w: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c>
          <w:tcPr>
            <w:tcW w:w="1080" w:type="dxa"/>
            <w:shd w:val="clear" w:color="auto" w:fill="E0E0E0"/>
          </w:tcPr>
          <w:p w:rsidR="009D1CCF" w:rsidRPr="00687A1C" w:rsidRDefault="009D1CCF" w:rsidP="0021241E">
            <w:pPr>
              <w:pStyle w:val="Tabletextright"/>
            </w:pPr>
          </w:p>
        </w:tc>
        <w:tc>
          <w:tcPr>
            <w:tcW w:w="1080" w:type="dxa"/>
            <w:shd w:val="clear" w:color="auto" w:fill="auto"/>
          </w:tcPr>
          <w:p w:rsidR="009D1CCF" w:rsidRPr="00687A1C" w:rsidRDefault="009D1CCF" w:rsidP="0021241E">
            <w:pPr>
              <w:pStyle w:val="Tabletextright"/>
            </w:pPr>
          </w:p>
        </w:tc>
      </w:tr>
      <w:tr w:rsidR="009D1CCF" w:rsidRPr="00687A1C" w:rsidTr="0021241E">
        <w:tc>
          <w:tcPr>
            <w:tcW w:w="2700" w:type="dxa"/>
            <w:vAlign w:val="bottom"/>
          </w:tcPr>
          <w:p w:rsidR="009D1CCF" w:rsidRPr="00687A1C" w:rsidRDefault="009D1CCF" w:rsidP="0021241E">
            <w:pPr>
              <w:pStyle w:val="Tabletext"/>
            </w:pPr>
            <w:r w:rsidRPr="00687A1C">
              <w:t>$320</w:t>
            </w:r>
            <w:r w:rsidRPr="00687A1C">
              <w:rPr>
                <w:rFonts w:ascii="Calibri" w:hAnsi="Calibri" w:cs="Calibri"/>
              </w:rPr>
              <w:t> </w:t>
            </w:r>
            <w:r w:rsidRPr="00687A1C">
              <w:t>000–$339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1</w:t>
            </w: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$340</w:t>
            </w:r>
            <w:r w:rsidRPr="00687A1C">
              <w:rPr>
                <w:rFonts w:ascii="Calibri" w:hAnsi="Calibri" w:cs="Calibri"/>
              </w:rPr>
              <w:t> </w:t>
            </w:r>
            <w:r w:rsidRPr="00687A1C">
              <w:t>000–$359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$360</w:t>
            </w:r>
            <w:r w:rsidRPr="00687A1C">
              <w:rPr>
                <w:rFonts w:ascii="Calibri" w:hAnsi="Calibri" w:cs="Calibri"/>
              </w:rPr>
              <w:t> </w:t>
            </w:r>
            <w:r w:rsidRPr="00687A1C">
              <w:t>000–$379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$380</w:t>
            </w:r>
            <w:r w:rsidRPr="00687A1C">
              <w:rPr>
                <w:rFonts w:ascii="Calibri" w:hAnsi="Calibri" w:cs="Calibri"/>
              </w:rPr>
              <w:t> </w:t>
            </w:r>
            <w:r w:rsidRPr="00687A1C">
              <w:t>000–$399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r w:rsidRPr="00687A1C">
              <w:t>4</w:t>
            </w: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$400</w:t>
            </w:r>
            <w:r w:rsidRPr="00687A1C">
              <w:rPr>
                <w:rFonts w:ascii="Calibri" w:hAnsi="Calibri" w:cs="Calibri"/>
              </w:rPr>
              <w:t> </w:t>
            </w:r>
            <w:r w:rsidRPr="00687A1C">
              <w:t>000–$419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$420</w:t>
            </w:r>
            <w:r w:rsidRPr="00687A1C">
              <w:rPr>
                <w:rFonts w:ascii="Calibri" w:hAnsi="Calibri" w:cs="Calibri"/>
              </w:rPr>
              <w:t> </w:t>
            </w:r>
            <w:r w:rsidRPr="00687A1C">
              <w:t>000–$439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$440</w:t>
            </w:r>
            <w:r w:rsidRPr="00687A1C">
              <w:rPr>
                <w:rFonts w:ascii="Calibri" w:hAnsi="Calibri" w:cs="Calibri"/>
              </w:rPr>
              <w:t> </w:t>
            </w:r>
            <w:r w:rsidRPr="00687A1C">
              <w:t>000–$459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$460</w:t>
            </w:r>
            <w:r w:rsidRPr="00687A1C">
              <w:rPr>
                <w:rFonts w:ascii="Calibri" w:hAnsi="Calibri" w:cs="Calibri"/>
              </w:rPr>
              <w:t> </w:t>
            </w:r>
            <w:r w:rsidRPr="00687A1C">
              <w:t>000–$479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21241E">
            <w:pPr>
              <w:pStyle w:val="Tabletext"/>
            </w:pPr>
            <w:r w:rsidRPr="00687A1C">
              <w:t>$480</w:t>
            </w:r>
            <w:r w:rsidRPr="00687A1C">
              <w:rPr>
                <w:rFonts w:ascii="Calibri" w:hAnsi="Calibri" w:cs="Calibri"/>
              </w:rPr>
              <w:t> </w:t>
            </w:r>
            <w:r w:rsidRPr="00687A1C">
              <w:t>000–$499</w:t>
            </w:r>
            <w:r w:rsidRPr="00687A1C">
              <w:rPr>
                <w:rFonts w:ascii="Calibri" w:hAnsi="Calibri" w:cs="Calibri"/>
              </w:rPr>
              <w:t> </w:t>
            </w:r>
            <w:r w:rsidRPr="00687A1C">
              <w:t>999</w:t>
            </w:r>
          </w:p>
        </w:tc>
        <w:tc>
          <w:tcPr>
            <w:tcW w:w="1080" w:type="dxa"/>
            <w:shd w:val="clear" w:color="auto" w:fill="E0E0E0"/>
            <w:vAlign w:val="bottom"/>
          </w:tcPr>
          <w:p w:rsidR="009D1CCF" w:rsidRPr="00687A1C" w:rsidRDefault="009D1CCF" w:rsidP="0038487C">
            <w:pPr>
              <w:pStyle w:val="Tabletextright"/>
            </w:pPr>
          </w:p>
        </w:tc>
        <w:tc>
          <w:tcPr>
            <w:tcW w:w="1080" w:type="dxa"/>
            <w:shd w:val="clear" w:color="auto" w:fill="auto"/>
            <w:vAlign w:val="bottom"/>
          </w:tcPr>
          <w:p w:rsidR="009D1CCF" w:rsidRPr="00687A1C" w:rsidRDefault="009D1CCF" w:rsidP="0038487C">
            <w:pPr>
              <w:pStyle w:val="Tabletextright"/>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c>
          <w:tcPr>
            <w:tcW w:w="1080" w:type="dxa"/>
            <w:shd w:val="clear" w:color="auto" w:fill="E0E0E0"/>
          </w:tcPr>
          <w:p w:rsidR="009D1CCF" w:rsidRPr="00687A1C" w:rsidRDefault="009D1CCF" w:rsidP="0021241E">
            <w:pPr>
              <w:pStyle w:val="Tabletextright"/>
              <w:rPr>
                <w:bCs/>
              </w:rPr>
            </w:pPr>
          </w:p>
        </w:tc>
        <w:tc>
          <w:tcPr>
            <w:tcW w:w="1080" w:type="dxa"/>
            <w:shd w:val="clear" w:color="auto" w:fill="auto"/>
          </w:tcPr>
          <w:p w:rsidR="009D1CCF" w:rsidRPr="00687A1C" w:rsidRDefault="009D1CCF" w:rsidP="0021241E">
            <w:pPr>
              <w:pStyle w:val="Tabletextright"/>
              <w:rPr>
                <w:bCs/>
              </w:rPr>
            </w:pPr>
          </w:p>
        </w:tc>
      </w:tr>
      <w:tr w:rsidR="009D1CCF" w:rsidRPr="00687A1C" w:rsidTr="0021241E">
        <w:tc>
          <w:tcPr>
            <w:tcW w:w="2700" w:type="dxa"/>
          </w:tcPr>
          <w:p w:rsidR="009D1CCF" w:rsidRPr="00687A1C" w:rsidRDefault="009D1CCF" w:rsidP="009F63EE">
            <w:pPr>
              <w:pStyle w:val="Tabletextbold"/>
            </w:pPr>
            <w:r w:rsidRPr="00687A1C">
              <w:t>Total</w:t>
            </w:r>
          </w:p>
        </w:tc>
        <w:tc>
          <w:tcPr>
            <w:tcW w:w="1080" w:type="dxa"/>
            <w:shd w:val="clear" w:color="auto" w:fill="E0E0E0"/>
            <w:vAlign w:val="bottom"/>
          </w:tcPr>
          <w:p w:rsidR="009D1CCF" w:rsidRPr="00687A1C" w:rsidRDefault="009D1CCF" w:rsidP="0038487C">
            <w:pPr>
              <w:pStyle w:val="Tabletextrightbold"/>
            </w:pPr>
            <w:r w:rsidRPr="00687A1C">
              <w:t>82</w:t>
            </w:r>
          </w:p>
        </w:tc>
        <w:tc>
          <w:tcPr>
            <w:tcW w:w="1080" w:type="dxa"/>
            <w:shd w:val="clear" w:color="auto" w:fill="auto"/>
            <w:vAlign w:val="bottom"/>
          </w:tcPr>
          <w:p w:rsidR="009D1CCF" w:rsidRPr="00687A1C" w:rsidRDefault="009D1CCF" w:rsidP="0038487C">
            <w:pPr>
              <w:pStyle w:val="Tabletextrightbold"/>
            </w:pPr>
            <w:r w:rsidRPr="00687A1C">
              <w:t>10</w:t>
            </w:r>
          </w:p>
        </w:tc>
        <w:tc>
          <w:tcPr>
            <w:tcW w:w="1080" w:type="dxa"/>
            <w:shd w:val="clear" w:color="auto" w:fill="E0E0E0"/>
          </w:tcPr>
          <w:p w:rsidR="009D1CCF" w:rsidRPr="00687A1C" w:rsidRDefault="009D1CCF" w:rsidP="009F63EE">
            <w:pPr>
              <w:pStyle w:val="Tabletextrightbold"/>
            </w:pPr>
          </w:p>
        </w:tc>
        <w:tc>
          <w:tcPr>
            <w:tcW w:w="1080" w:type="dxa"/>
            <w:shd w:val="clear" w:color="auto" w:fill="auto"/>
          </w:tcPr>
          <w:p w:rsidR="009D1CCF" w:rsidRPr="00687A1C" w:rsidRDefault="009D1CCF" w:rsidP="009F63EE">
            <w:pPr>
              <w:pStyle w:val="Tabletextrightbold"/>
            </w:pPr>
          </w:p>
        </w:tc>
        <w:tc>
          <w:tcPr>
            <w:tcW w:w="1080" w:type="dxa"/>
            <w:shd w:val="clear" w:color="auto" w:fill="E0E0E0"/>
          </w:tcPr>
          <w:p w:rsidR="009D1CCF" w:rsidRPr="00687A1C" w:rsidRDefault="009D1CCF" w:rsidP="009F63EE">
            <w:pPr>
              <w:pStyle w:val="Tabletextrightbold"/>
            </w:pPr>
          </w:p>
        </w:tc>
        <w:tc>
          <w:tcPr>
            <w:tcW w:w="1080" w:type="dxa"/>
            <w:shd w:val="clear" w:color="auto" w:fill="auto"/>
          </w:tcPr>
          <w:p w:rsidR="009D1CCF" w:rsidRPr="00687A1C" w:rsidRDefault="009D1CCF" w:rsidP="009F63EE">
            <w:pPr>
              <w:pStyle w:val="Tabletextrightbold"/>
            </w:pPr>
          </w:p>
        </w:tc>
      </w:tr>
    </w:tbl>
    <w:p w:rsidR="005D199C" w:rsidRPr="00687A1C" w:rsidRDefault="005D199C" w:rsidP="005D199C">
      <w:pPr>
        <w:pStyle w:val="Notes"/>
      </w:pPr>
      <w:r w:rsidRPr="00687A1C">
        <w:t>Notes:</w:t>
      </w:r>
    </w:p>
    <w:p w:rsidR="009D1CCF" w:rsidRPr="00687A1C" w:rsidRDefault="009D1CCF" w:rsidP="009D1CCF">
      <w:pPr>
        <w:pStyle w:val="Notes"/>
      </w:pPr>
      <w:r w:rsidRPr="00687A1C">
        <w:t>(a) There are two employees on a part time basis at a 0.8 and 0.4 FTE rate respectively.</w:t>
      </w:r>
    </w:p>
    <w:p w:rsidR="002D6FCA" w:rsidRPr="00687A1C" w:rsidRDefault="002D6FCA" w:rsidP="002D6FCA">
      <w:pPr>
        <w:pStyle w:val="Notes"/>
      </w:pPr>
      <w:r w:rsidRPr="00687A1C">
        <w:t>(b) There are two employees on a part time basis at a 0.80 and 0.90 FTE rate respectively.</w:t>
      </w:r>
    </w:p>
    <w:p w:rsidR="009D1CCF" w:rsidRPr="00687A1C" w:rsidRDefault="009D1CCF" w:rsidP="002D6FCA">
      <w:pPr>
        <w:pStyle w:val="Notes"/>
      </w:pPr>
      <w:r w:rsidRPr="00687A1C">
        <w:t>(</w:t>
      </w:r>
      <w:r w:rsidR="002D6FCA" w:rsidRPr="00687A1C">
        <w:t>c</w:t>
      </w:r>
      <w:r w:rsidRPr="00687A1C">
        <w:t>) There are six employees employed on a part time basis, four at 0.8, one at 0.86 and one at 0.90 FTE rate.</w:t>
      </w:r>
    </w:p>
    <w:p w:rsidR="002D6FCA" w:rsidRPr="00687A1C" w:rsidRDefault="002D6FCA" w:rsidP="002D6FCA">
      <w:pPr>
        <w:pStyle w:val="Notes"/>
      </w:pPr>
      <w:r w:rsidRPr="00687A1C">
        <w:t>(d) There is one employee employed on a part time basis at a 0.8 FTE rate.</w:t>
      </w:r>
    </w:p>
    <w:p w:rsidR="002D6FCA" w:rsidRPr="00687A1C" w:rsidRDefault="002D6FCA" w:rsidP="002D6FCA">
      <w:pPr>
        <w:pStyle w:val="Notes"/>
      </w:pPr>
      <w:r w:rsidRPr="00687A1C">
        <w:t>(e) There is one employee employed on a part time basis at a 0.8 FTE rate. This band includes one employee seconded to another agency.</w:t>
      </w:r>
    </w:p>
    <w:p w:rsidR="009D1CCF" w:rsidRPr="00687A1C" w:rsidRDefault="009D1CCF" w:rsidP="009D1CCF">
      <w:pPr>
        <w:pStyle w:val="Notes"/>
      </w:pPr>
      <w:r w:rsidRPr="00687A1C">
        <w:t>(</w:t>
      </w:r>
      <w:r w:rsidR="002D6FCA" w:rsidRPr="00687A1C">
        <w:t>f</w:t>
      </w:r>
      <w:r w:rsidRPr="00687A1C">
        <w:t>) There is one employee employed on a part time basis at a 0.9 FTE rate. This band includes one employee seconded to another agency.</w:t>
      </w:r>
    </w:p>
    <w:p w:rsidR="009D1CCF" w:rsidRPr="00687A1C" w:rsidRDefault="002D6FCA" w:rsidP="009D1CCF">
      <w:pPr>
        <w:pStyle w:val="Notes"/>
      </w:pPr>
      <w:r w:rsidRPr="00687A1C">
        <w:t>(g</w:t>
      </w:r>
      <w:r w:rsidR="009D1CCF" w:rsidRPr="00687A1C">
        <w:t>) This band includes one employee seconded to another agency.</w:t>
      </w:r>
    </w:p>
    <w:p w:rsidR="00E80B5F" w:rsidRPr="00687A1C" w:rsidRDefault="00E80B5F" w:rsidP="00E80B5F"/>
    <w:p w:rsidR="00E80B5F" w:rsidRPr="00687A1C" w:rsidRDefault="00E80B5F" w:rsidP="00E80B5F"/>
    <w:p w:rsidR="00E80B5F" w:rsidRPr="00687A1C" w:rsidRDefault="00E80B5F" w:rsidP="00A5358C">
      <w:pPr>
        <w:pStyle w:val="Tableheading"/>
        <w:sectPr w:rsidR="00E80B5F" w:rsidRPr="00687A1C" w:rsidSect="005D199C">
          <w:headerReference w:type="even" r:id="rId108"/>
          <w:footerReference w:type="even" r:id="rId109"/>
          <w:footerReference w:type="default" r:id="rId110"/>
          <w:pgSz w:w="11909" w:h="16834" w:code="9"/>
          <w:pgMar w:top="1728" w:right="1152" w:bottom="1267" w:left="1152" w:header="720" w:footer="288" w:gutter="0"/>
          <w:cols w:space="720"/>
          <w:noEndnote/>
          <w:docGrid w:linePitch="231"/>
        </w:sectPr>
      </w:pPr>
    </w:p>
    <w:p w:rsidR="00A5358C" w:rsidRPr="00687A1C" w:rsidRDefault="00A5358C" w:rsidP="0021241E">
      <w:pPr>
        <w:pStyle w:val="Heading4"/>
      </w:pPr>
      <w:r w:rsidRPr="00687A1C">
        <w:lastRenderedPageBreak/>
        <w:t>Profile of State Revenue Office</w:t>
      </w:r>
      <w:r w:rsidR="009469FE" w:rsidRPr="00687A1C">
        <w:t>’</w:t>
      </w:r>
      <w:r w:rsidRPr="00687A1C">
        <w:t>s workforce: June 201</w:t>
      </w:r>
      <w:r w:rsidR="00352A50" w:rsidRPr="00687A1C">
        <w:t>8</w:t>
      </w:r>
    </w:p>
    <w:tbl>
      <w:tblPr>
        <w:tblW w:w="13867" w:type="dxa"/>
        <w:tblLayout w:type="fixed"/>
        <w:tblCellMar>
          <w:left w:w="43" w:type="dxa"/>
          <w:right w:w="43" w:type="dxa"/>
        </w:tblCellMar>
        <w:tblLook w:val="0000" w:firstRow="0" w:lastRow="0" w:firstColumn="0" w:lastColumn="0" w:noHBand="0" w:noVBand="0"/>
      </w:tblPr>
      <w:tblGrid>
        <w:gridCol w:w="1483"/>
        <w:gridCol w:w="950"/>
        <w:gridCol w:w="778"/>
        <w:gridCol w:w="979"/>
        <w:gridCol w:w="979"/>
        <w:gridCol w:w="778"/>
        <w:gridCol w:w="950"/>
        <w:gridCol w:w="778"/>
        <w:gridCol w:w="950"/>
        <w:gridCol w:w="778"/>
        <w:gridCol w:w="979"/>
        <w:gridCol w:w="979"/>
        <w:gridCol w:w="778"/>
        <w:gridCol w:w="950"/>
        <w:gridCol w:w="778"/>
      </w:tblGrid>
      <w:tr w:rsidR="004630EB" w:rsidRPr="00687A1C" w:rsidTr="004630EB">
        <w:trPr>
          <w:cantSplit/>
        </w:trPr>
        <w:tc>
          <w:tcPr>
            <w:tcW w:w="1483" w:type="dxa"/>
            <w:shd w:val="clear" w:color="auto" w:fill="auto"/>
          </w:tcPr>
          <w:p w:rsidR="004630EB" w:rsidRPr="00687A1C" w:rsidRDefault="004630EB" w:rsidP="004630EB">
            <w:pPr>
              <w:pStyle w:val="Tabletext"/>
            </w:pPr>
          </w:p>
        </w:tc>
        <w:tc>
          <w:tcPr>
            <w:tcW w:w="6192" w:type="dxa"/>
            <w:gridSpan w:val="7"/>
            <w:shd w:val="clear" w:color="auto" w:fill="E0E0E0"/>
            <w:vAlign w:val="bottom"/>
          </w:tcPr>
          <w:p w:rsidR="004630EB" w:rsidRPr="00687A1C" w:rsidRDefault="004630EB" w:rsidP="004630EB">
            <w:pPr>
              <w:pStyle w:val="Tabletextheadingcentred"/>
            </w:pPr>
            <w:r w:rsidRPr="00687A1C">
              <w:t>June 2018</w:t>
            </w:r>
          </w:p>
        </w:tc>
        <w:tc>
          <w:tcPr>
            <w:tcW w:w="6192" w:type="dxa"/>
            <w:gridSpan w:val="7"/>
            <w:shd w:val="clear" w:color="auto" w:fill="auto"/>
            <w:noWrap/>
            <w:vAlign w:val="bottom"/>
          </w:tcPr>
          <w:p w:rsidR="004630EB" w:rsidRPr="00687A1C" w:rsidRDefault="004630EB" w:rsidP="004630EB">
            <w:pPr>
              <w:pStyle w:val="Tabletextheadingcentred"/>
            </w:pPr>
            <w:r w:rsidRPr="00687A1C">
              <w:t>June 2017</w:t>
            </w:r>
          </w:p>
        </w:tc>
      </w:tr>
      <w:tr w:rsidR="004630EB" w:rsidRPr="00687A1C" w:rsidTr="004630EB">
        <w:trPr>
          <w:cantSplit/>
        </w:trPr>
        <w:tc>
          <w:tcPr>
            <w:tcW w:w="1483" w:type="dxa"/>
            <w:shd w:val="clear" w:color="auto" w:fill="auto"/>
          </w:tcPr>
          <w:p w:rsidR="004630EB" w:rsidRPr="00687A1C" w:rsidRDefault="004630EB" w:rsidP="004630EB">
            <w:pPr>
              <w:pStyle w:val="Tabletext"/>
            </w:pPr>
          </w:p>
        </w:tc>
        <w:tc>
          <w:tcPr>
            <w:tcW w:w="1728" w:type="dxa"/>
            <w:gridSpan w:val="2"/>
            <w:shd w:val="clear" w:color="auto" w:fill="auto"/>
            <w:vAlign w:val="bottom"/>
          </w:tcPr>
          <w:p w:rsidR="004630EB" w:rsidRPr="00687A1C" w:rsidRDefault="004630EB" w:rsidP="004630EB">
            <w:pPr>
              <w:pStyle w:val="Tabletextheadingcentred"/>
              <w:spacing w:after="20"/>
            </w:pPr>
            <w:r w:rsidRPr="00687A1C">
              <w:t>All employees</w:t>
            </w:r>
          </w:p>
        </w:tc>
        <w:tc>
          <w:tcPr>
            <w:tcW w:w="2736" w:type="dxa"/>
            <w:gridSpan w:val="3"/>
            <w:shd w:val="clear" w:color="auto" w:fill="auto"/>
            <w:vAlign w:val="bottom"/>
          </w:tcPr>
          <w:p w:rsidR="004630EB" w:rsidRPr="00687A1C" w:rsidRDefault="004630EB" w:rsidP="004630EB">
            <w:pPr>
              <w:pStyle w:val="Tabletextheadingcentred"/>
              <w:spacing w:after="20"/>
            </w:pPr>
            <w:r w:rsidRPr="00687A1C">
              <w:t>Ongoing</w:t>
            </w:r>
          </w:p>
        </w:tc>
        <w:tc>
          <w:tcPr>
            <w:tcW w:w="1728" w:type="dxa"/>
            <w:gridSpan w:val="2"/>
            <w:shd w:val="clear" w:color="auto" w:fill="auto"/>
          </w:tcPr>
          <w:p w:rsidR="004630EB" w:rsidRPr="00687A1C" w:rsidRDefault="004630EB" w:rsidP="004630EB">
            <w:pPr>
              <w:pStyle w:val="Tabletextheadingcentred"/>
              <w:spacing w:after="20"/>
              <w:rPr>
                <w:rFonts w:cstheme="minorHAnsi"/>
              </w:rPr>
            </w:pPr>
            <w:r w:rsidRPr="00687A1C">
              <w:t>Fixed term</w:t>
            </w:r>
            <w:r w:rsidRPr="00687A1C">
              <w:br/>
              <w:t>and casual</w:t>
            </w:r>
          </w:p>
        </w:tc>
        <w:tc>
          <w:tcPr>
            <w:tcW w:w="1728" w:type="dxa"/>
            <w:gridSpan w:val="2"/>
            <w:shd w:val="clear" w:color="auto" w:fill="auto"/>
            <w:noWrap/>
            <w:vAlign w:val="bottom"/>
          </w:tcPr>
          <w:p w:rsidR="004630EB" w:rsidRPr="00687A1C" w:rsidRDefault="004630EB" w:rsidP="004630EB">
            <w:pPr>
              <w:pStyle w:val="Tabletextheadingcentred"/>
              <w:spacing w:after="20"/>
            </w:pPr>
            <w:r w:rsidRPr="00687A1C">
              <w:t>All employees</w:t>
            </w:r>
          </w:p>
        </w:tc>
        <w:tc>
          <w:tcPr>
            <w:tcW w:w="2736" w:type="dxa"/>
            <w:gridSpan w:val="3"/>
            <w:shd w:val="clear" w:color="auto" w:fill="auto"/>
            <w:noWrap/>
            <w:vAlign w:val="bottom"/>
          </w:tcPr>
          <w:p w:rsidR="004630EB" w:rsidRPr="00687A1C" w:rsidRDefault="004630EB" w:rsidP="004630EB">
            <w:pPr>
              <w:pStyle w:val="Tabletextheadingcentred"/>
              <w:spacing w:after="20"/>
            </w:pPr>
            <w:r w:rsidRPr="00687A1C">
              <w:t>Ongoing</w:t>
            </w:r>
          </w:p>
        </w:tc>
        <w:tc>
          <w:tcPr>
            <w:tcW w:w="1728" w:type="dxa"/>
            <w:gridSpan w:val="2"/>
          </w:tcPr>
          <w:p w:rsidR="004630EB" w:rsidRPr="00687A1C" w:rsidRDefault="004630EB" w:rsidP="004630EB">
            <w:pPr>
              <w:pStyle w:val="Tabletextheadingcentred"/>
              <w:spacing w:after="20"/>
              <w:rPr>
                <w:rFonts w:cstheme="minorHAnsi"/>
              </w:rPr>
            </w:pPr>
            <w:r w:rsidRPr="00687A1C">
              <w:t>Fixed term</w:t>
            </w:r>
            <w:r w:rsidRPr="00687A1C">
              <w:br/>
              <w:t>and casual</w:t>
            </w:r>
          </w:p>
        </w:tc>
      </w:tr>
      <w:tr w:rsidR="004630EB" w:rsidRPr="00687A1C" w:rsidTr="004630EB">
        <w:trPr>
          <w:cantSplit/>
        </w:trPr>
        <w:tc>
          <w:tcPr>
            <w:tcW w:w="1483" w:type="dxa"/>
            <w:shd w:val="clear" w:color="auto" w:fill="auto"/>
          </w:tcPr>
          <w:p w:rsidR="004630EB" w:rsidRPr="00687A1C" w:rsidRDefault="004630EB" w:rsidP="004630EB">
            <w:pPr>
              <w:pStyle w:val="Tabletext"/>
            </w:pPr>
          </w:p>
        </w:tc>
        <w:tc>
          <w:tcPr>
            <w:tcW w:w="950"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FTE</w:t>
            </w:r>
          </w:p>
        </w:tc>
        <w:tc>
          <w:tcPr>
            <w:tcW w:w="979"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4630EB" w:rsidRPr="00687A1C" w:rsidRDefault="004630EB" w:rsidP="004630EB">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shd w:val="clear" w:color="auto" w:fill="auto"/>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shd w:val="clear" w:color="auto" w:fill="auto"/>
            <w:noWrap/>
            <w:vAlign w:val="bottom"/>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FTE</w:t>
            </w:r>
          </w:p>
        </w:tc>
        <w:tc>
          <w:tcPr>
            <w:tcW w:w="979" w:type="dxa"/>
            <w:shd w:val="clear" w:color="auto" w:fill="auto"/>
            <w:noWrap/>
            <w:vAlign w:val="bottom"/>
          </w:tcPr>
          <w:p w:rsidR="004630EB" w:rsidRPr="00687A1C" w:rsidRDefault="004630EB" w:rsidP="004630EB">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4630EB" w:rsidRPr="00687A1C" w:rsidRDefault="004630EB" w:rsidP="004630EB">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tcPr>
          <w:p w:rsidR="004630EB" w:rsidRPr="00687A1C" w:rsidRDefault="004630EB" w:rsidP="004630EB">
            <w:pPr>
              <w:pStyle w:val="Tabletextheadingright"/>
              <w:rPr>
                <w:rFonts w:cstheme="minorHAnsi"/>
              </w:rPr>
            </w:pPr>
            <w:r w:rsidRPr="00687A1C">
              <w:rPr>
                <w:rFonts w:cstheme="minorHAnsi"/>
              </w:rPr>
              <w:t>FTE</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rPr>
              <w:t>Gender</w:t>
            </w:r>
          </w:p>
        </w:tc>
        <w:tc>
          <w:tcPr>
            <w:tcW w:w="950" w:type="dxa"/>
            <w:shd w:val="clear" w:color="auto" w:fill="E0E0E0"/>
            <w:vAlign w:val="bottom"/>
          </w:tcPr>
          <w:p w:rsidR="004630EB" w:rsidRPr="00687A1C" w:rsidRDefault="004630EB" w:rsidP="004630EB">
            <w:pPr>
              <w:pStyle w:val="Tabletextright"/>
              <w:rPr>
                <w:rFonts w:cstheme="minorHAnsi"/>
              </w:rPr>
            </w:pPr>
          </w:p>
        </w:tc>
        <w:tc>
          <w:tcPr>
            <w:tcW w:w="778" w:type="dxa"/>
            <w:shd w:val="clear" w:color="auto" w:fill="E0E0E0"/>
            <w:vAlign w:val="bottom"/>
          </w:tcPr>
          <w:p w:rsidR="004630EB" w:rsidRPr="00687A1C" w:rsidRDefault="004630EB" w:rsidP="004630EB">
            <w:pPr>
              <w:pStyle w:val="Tabletextright"/>
              <w:rPr>
                <w:rFonts w:cstheme="minorHAnsi"/>
              </w:rPr>
            </w:pPr>
          </w:p>
        </w:tc>
        <w:tc>
          <w:tcPr>
            <w:tcW w:w="979" w:type="dxa"/>
            <w:shd w:val="clear" w:color="auto" w:fill="auto"/>
            <w:vAlign w:val="bottom"/>
          </w:tcPr>
          <w:p w:rsidR="004630EB" w:rsidRPr="00687A1C" w:rsidRDefault="004630EB" w:rsidP="004630EB">
            <w:pPr>
              <w:pStyle w:val="Tabletextright"/>
              <w:rPr>
                <w:rFonts w:cstheme="minorHAnsi"/>
              </w:rPr>
            </w:pPr>
          </w:p>
        </w:tc>
        <w:tc>
          <w:tcPr>
            <w:tcW w:w="979" w:type="dxa"/>
            <w:shd w:val="clear" w:color="auto" w:fill="auto"/>
          </w:tcPr>
          <w:p w:rsidR="004630EB" w:rsidRPr="00687A1C" w:rsidRDefault="004630EB" w:rsidP="004630EB">
            <w:pPr>
              <w:pStyle w:val="Tabletextright"/>
            </w:pPr>
          </w:p>
        </w:tc>
        <w:tc>
          <w:tcPr>
            <w:tcW w:w="778" w:type="dxa"/>
            <w:shd w:val="clear" w:color="auto" w:fill="auto"/>
          </w:tcPr>
          <w:p w:rsidR="004630EB" w:rsidRPr="00687A1C" w:rsidRDefault="004630EB" w:rsidP="004630EB">
            <w:pPr>
              <w:pStyle w:val="Tabletextright"/>
            </w:pPr>
          </w:p>
        </w:tc>
        <w:tc>
          <w:tcPr>
            <w:tcW w:w="950"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shd w:val="clear" w:color="auto" w:fill="auto"/>
            <w:noWrap/>
            <w:vAlign w:val="bottom"/>
          </w:tcPr>
          <w:p w:rsidR="004630EB" w:rsidRPr="00687A1C" w:rsidRDefault="004630EB" w:rsidP="004630EB">
            <w:pPr>
              <w:pStyle w:val="Tabletextright"/>
              <w:rPr>
                <w:rFonts w:cstheme="minorHAnsi"/>
              </w:rPr>
            </w:pPr>
          </w:p>
        </w:tc>
        <w:tc>
          <w:tcPr>
            <w:tcW w:w="778" w:type="dxa"/>
            <w:shd w:val="clear" w:color="auto" w:fill="auto"/>
            <w:vAlign w:val="bottom"/>
          </w:tcPr>
          <w:p w:rsidR="004630EB" w:rsidRPr="00687A1C" w:rsidRDefault="004630EB" w:rsidP="004630EB">
            <w:pPr>
              <w:pStyle w:val="Tabletextright"/>
              <w:rPr>
                <w:rFonts w:cstheme="minorHAnsi"/>
              </w:rPr>
            </w:pPr>
          </w:p>
        </w:tc>
        <w:tc>
          <w:tcPr>
            <w:tcW w:w="979" w:type="dxa"/>
            <w:shd w:val="clear" w:color="auto" w:fill="E0E0E0"/>
            <w:noWrap/>
            <w:vAlign w:val="bottom"/>
          </w:tcPr>
          <w:p w:rsidR="004630EB" w:rsidRPr="00687A1C" w:rsidRDefault="004630EB" w:rsidP="004630EB">
            <w:pPr>
              <w:pStyle w:val="Tabletextright"/>
              <w:rPr>
                <w:rFonts w:cstheme="minorHAnsi"/>
              </w:rPr>
            </w:pPr>
          </w:p>
        </w:tc>
        <w:tc>
          <w:tcPr>
            <w:tcW w:w="979"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tcPr>
          <w:p w:rsidR="004630EB" w:rsidRPr="00687A1C" w:rsidRDefault="004630EB" w:rsidP="004630EB">
            <w:pPr>
              <w:pStyle w:val="Tabletextright"/>
            </w:pPr>
          </w:p>
        </w:tc>
        <w:tc>
          <w:tcPr>
            <w:tcW w:w="778" w:type="dxa"/>
          </w:tcPr>
          <w:p w:rsidR="004630EB" w:rsidRPr="00687A1C" w:rsidRDefault="004630EB" w:rsidP="004630EB">
            <w:pPr>
              <w:pStyle w:val="Tabletextright"/>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Male</w:t>
            </w:r>
          </w:p>
        </w:tc>
        <w:tc>
          <w:tcPr>
            <w:tcW w:w="950" w:type="dxa"/>
            <w:shd w:val="clear" w:color="auto" w:fill="E0E0E0"/>
            <w:vAlign w:val="bottom"/>
          </w:tcPr>
          <w:p w:rsidR="004630EB" w:rsidRPr="00687A1C" w:rsidRDefault="004630EB" w:rsidP="004630EB">
            <w:pPr>
              <w:pStyle w:val="Tabletextright"/>
            </w:pPr>
            <w:r w:rsidRPr="00687A1C">
              <w:t>278</w:t>
            </w:r>
          </w:p>
        </w:tc>
        <w:tc>
          <w:tcPr>
            <w:tcW w:w="778" w:type="dxa"/>
            <w:shd w:val="clear" w:color="auto" w:fill="E0E0E0"/>
            <w:vAlign w:val="bottom"/>
          </w:tcPr>
          <w:p w:rsidR="004630EB" w:rsidRPr="00687A1C" w:rsidRDefault="004630EB" w:rsidP="004630EB">
            <w:pPr>
              <w:pStyle w:val="Tabletextright"/>
            </w:pPr>
            <w:r w:rsidRPr="00687A1C">
              <w:t>272.93</w:t>
            </w:r>
          </w:p>
        </w:tc>
        <w:tc>
          <w:tcPr>
            <w:tcW w:w="979" w:type="dxa"/>
            <w:shd w:val="clear" w:color="auto" w:fill="auto"/>
            <w:vAlign w:val="bottom"/>
          </w:tcPr>
          <w:p w:rsidR="004630EB" w:rsidRPr="00687A1C" w:rsidRDefault="004630EB" w:rsidP="004630EB">
            <w:pPr>
              <w:pStyle w:val="Tabletextright"/>
            </w:pPr>
            <w:r w:rsidRPr="00687A1C">
              <w:t>214</w:t>
            </w:r>
          </w:p>
        </w:tc>
        <w:tc>
          <w:tcPr>
            <w:tcW w:w="979" w:type="dxa"/>
            <w:shd w:val="clear" w:color="auto" w:fill="auto"/>
            <w:vAlign w:val="bottom"/>
          </w:tcPr>
          <w:p w:rsidR="004630EB" w:rsidRPr="00687A1C" w:rsidRDefault="004630EB" w:rsidP="004630EB">
            <w:pPr>
              <w:pStyle w:val="Tabletextright"/>
            </w:pPr>
            <w:r w:rsidRPr="00687A1C">
              <w:t>18</w:t>
            </w:r>
          </w:p>
        </w:tc>
        <w:tc>
          <w:tcPr>
            <w:tcW w:w="778" w:type="dxa"/>
            <w:shd w:val="clear" w:color="auto" w:fill="auto"/>
            <w:vAlign w:val="bottom"/>
          </w:tcPr>
          <w:p w:rsidR="004630EB" w:rsidRPr="00687A1C" w:rsidRDefault="004630EB" w:rsidP="004630EB">
            <w:pPr>
              <w:pStyle w:val="Tabletextright"/>
            </w:pPr>
            <w:r w:rsidRPr="00687A1C">
              <w:t>227.43</w:t>
            </w:r>
          </w:p>
        </w:tc>
        <w:tc>
          <w:tcPr>
            <w:tcW w:w="950" w:type="dxa"/>
            <w:shd w:val="clear" w:color="auto" w:fill="E0E0E0"/>
            <w:vAlign w:val="bottom"/>
          </w:tcPr>
          <w:p w:rsidR="004630EB" w:rsidRPr="00687A1C" w:rsidRDefault="004630EB" w:rsidP="004630EB">
            <w:pPr>
              <w:pStyle w:val="Tabletextright"/>
            </w:pPr>
            <w:r w:rsidRPr="00687A1C">
              <w:t>46</w:t>
            </w:r>
          </w:p>
        </w:tc>
        <w:tc>
          <w:tcPr>
            <w:tcW w:w="778" w:type="dxa"/>
            <w:shd w:val="clear" w:color="auto" w:fill="E0E0E0"/>
            <w:vAlign w:val="bottom"/>
          </w:tcPr>
          <w:p w:rsidR="004630EB" w:rsidRPr="00687A1C" w:rsidRDefault="004630EB" w:rsidP="004630EB">
            <w:pPr>
              <w:pStyle w:val="Tabletextright"/>
            </w:pPr>
            <w:r w:rsidRPr="00687A1C">
              <w:t>45.50</w:t>
            </w:r>
          </w:p>
        </w:tc>
        <w:tc>
          <w:tcPr>
            <w:tcW w:w="950" w:type="dxa"/>
            <w:shd w:val="clear" w:color="auto" w:fill="auto"/>
            <w:noWrap/>
            <w:vAlign w:val="bottom"/>
          </w:tcPr>
          <w:p w:rsidR="004630EB" w:rsidRPr="00687A1C" w:rsidRDefault="004630EB" w:rsidP="004630EB">
            <w:pPr>
              <w:pStyle w:val="Tabletextright"/>
            </w:pPr>
            <w:r w:rsidRPr="00687A1C">
              <w:t>278</w:t>
            </w:r>
          </w:p>
        </w:tc>
        <w:tc>
          <w:tcPr>
            <w:tcW w:w="778" w:type="dxa"/>
            <w:shd w:val="clear" w:color="auto" w:fill="auto"/>
            <w:vAlign w:val="bottom"/>
          </w:tcPr>
          <w:p w:rsidR="004630EB" w:rsidRPr="00687A1C" w:rsidRDefault="004630EB" w:rsidP="004630EB">
            <w:pPr>
              <w:pStyle w:val="Tabletextright"/>
            </w:pPr>
            <w:r w:rsidRPr="00687A1C">
              <w:t>275.00</w:t>
            </w:r>
          </w:p>
        </w:tc>
        <w:tc>
          <w:tcPr>
            <w:tcW w:w="979" w:type="dxa"/>
            <w:shd w:val="clear" w:color="auto" w:fill="E0E0E0"/>
            <w:noWrap/>
            <w:vAlign w:val="bottom"/>
          </w:tcPr>
          <w:p w:rsidR="004630EB" w:rsidRPr="00687A1C" w:rsidRDefault="004630EB" w:rsidP="004630EB">
            <w:pPr>
              <w:pStyle w:val="Tabletextright"/>
            </w:pPr>
            <w:r w:rsidRPr="00687A1C">
              <w:t>212</w:t>
            </w:r>
          </w:p>
        </w:tc>
        <w:tc>
          <w:tcPr>
            <w:tcW w:w="979" w:type="dxa"/>
            <w:shd w:val="clear" w:color="auto" w:fill="E0E0E0"/>
            <w:vAlign w:val="bottom"/>
          </w:tcPr>
          <w:p w:rsidR="004630EB" w:rsidRPr="00687A1C" w:rsidRDefault="004630EB" w:rsidP="004630EB">
            <w:pPr>
              <w:pStyle w:val="Tabletextright"/>
            </w:pPr>
            <w:r w:rsidRPr="00687A1C">
              <w:t>15</w:t>
            </w:r>
          </w:p>
        </w:tc>
        <w:tc>
          <w:tcPr>
            <w:tcW w:w="778" w:type="dxa"/>
            <w:shd w:val="clear" w:color="auto" w:fill="E0E0E0"/>
            <w:vAlign w:val="bottom"/>
          </w:tcPr>
          <w:p w:rsidR="004630EB" w:rsidRPr="00687A1C" w:rsidRDefault="004630EB" w:rsidP="004630EB">
            <w:pPr>
              <w:pStyle w:val="Tabletextright"/>
            </w:pPr>
            <w:r w:rsidRPr="00687A1C">
              <w:t>224.00</w:t>
            </w:r>
          </w:p>
        </w:tc>
        <w:tc>
          <w:tcPr>
            <w:tcW w:w="950" w:type="dxa"/>
            <w:vAlign w:val="bottom"/>
          </w:tcPr>
          <w:p w:rsidR="004630EB" w:rsidRPr="00687A1C" w:rsidRDefault="004630EB" w:rsidP="004630EB">
            <w:pPr>
              <w:pStyle w:val="Tabletextright"/>
            </w:pPr>
            <w:r w:rsidRPr="00687A1C">
              <w:t>51</w:t>
            </w:r>
          </w:p>
        </w:tc>
        <w:tc>
          <w:tcPr>
            <w:tcW w:w="778" w:type="dxa"/>
            <w:vAlign w:val="bottom"/>
          </w:tcPr>
          <w:p w:rsidR="004630EB" w:rsidRPr="00687A1C" w:rsidRDefault="004630EB" w:rsidP="004630EB">
            <w:pPr>
              <w:pStyle w:val="Tabletextright"/>
            </w:pPr>
            <w:r w:rsidRPr="00687A1C">
              <w:t>51.00</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Female</w:t>
            </w:r>
          </w:p>
        </w:tc>
        <w:tc>
          <w:tcPr>
            <w:tcW w:w="950" w:type="dxa"/>
            <w:shd w:val="clear" w:color="auto" w:fill="E0E0E0"/>
            <w:vAlign w:val="bottom"/>
          </w:tcPr>
          <w:p w:rsidR="004630EB" w:rsidRPr="00687A1C" w:rsidRDefault="004630EB" w:rsidP="004630EB">
            <w:pPr>
              <w:pStyle w:val="Tabletextright"/>
            </w:pPr>
            <w:r w:rsidRPr="00687A1C">
              <w:t>296</w:t>
            </w:r>
          </w:p>
        </w:tc>
        <w:tc>
          <w:tcPr>
            <w:tcW w:w="778" w:type="dxa"/>
            <w:shd w:val="clear" w:color="auto" w:fill="E0E0E0"/>
            <w:vAlign w:val="bottom"/>
          </w:tcPr>
          <w:p w:rsidR="004630EB" w:rsidRPr="00687A1C" w:rsidRDefault="004630EB" w:rsidP="004630EB">
            <w:pPr>
              <w:pStyle w:val="Tabletextright"/>
            </w:pPr>
            <w:r w:rsidRPr="00687A1C">
              <w:t>275.07</w:t>
            </w:r>
          </w:p>
        </w:tc>
        <w:tc>
          <w:tcPr>
            <w:tcW w:w="979" w:type="dxa"/>
            <w:shd w:val="clear" w:color="auto" w:fill="auto"/>
            <w:vAlign w:val="bottom"/>
          </w:tcPr>
          <w:p w:rsidR="004630EB" w:rsidRPr="00687A1C" w:rsidRDefault="004630EB" w:rsidP="004630EB">
            <w:pPr>
              <w:pStyle w:val="Tabletextright"/>
            </w:pPr>
            <w:r w:rsidRPr="00687A1C">
              <w:t>173</w:t>
            </w:r>
          </w:p>
        </w:tc>
        <w:tc>
          <w:tcPr>
            <w:tcW w:w="979" w:type="dxa"/>
            <w:shd w:val="clear" w:color="auto" w:fill="auto"/>
            <w:vAlign w:val="bottom"/>
          </w:tcPr>
          <w:p w:rsidR="004630EB" w:rsidRPr="00687A1C" w:rsidRDefault="004630EB" w:rsidP="004630EB">
            <w:pPr>
              <w:pStyle w:val="Tabletextright"/>
            </w:pPr>
            <w:r w:rsidRPr="00687A1C">
              <w:t>62</w:t>
            </w:r>
          </w:p>
        </w:tc>
        <w:tc>
          <w:tcPr>
            <w:tcW w:w="778" w:type="dxa"/>
            <w:shd w:val="clear" w:color="auto" w:fill="auto"/>
            <w:vAlign w:val="bottom"/>
          </w:tcPr>
          <w:p w:rsidR="004630EB" w:rsidRPr="00687A1C" w:rsidRDefault="004630EB" w:rsidP="004630EB">
            <w:pPr>
              <w:pStyle w:val="Tabletextright"/>
            </w:pPr>
            <w:r w:rsidRPr="00687A1C">
              <w:t>215.07</w:t>
            </w:r>
          </w:p>
        </w:tc>
        <w:tc>
          <w:tcPr>
            <w:tcW w:w="950" w:type="dxa"/>
            <w:shd w:val="clear" w:color="auto" w:fill="E0E0E0"/>
            <w:vAlign w:val="bottom"/>
          </w:tcPr>
          <w:p w:rsidR="004630EB" w:rsidRPr="00687A1C" w:rsidRDefault="004630EB" w:rsidP="004630EB">
            <w:pPr>
              <w:pStyle w:val="Tabletextright"/>
            </w:pPr>
            <w:r w:rsidRPr="00687A1C">
              <w:t>61</w:t>
            </w:r>
          </w:p>
        </w:tc>
        <w:tc>
          <w:tcPr>
            <w:tcW w:w="778" w:type="dxa"/>
            <w:shd w:val="clear" w:color="auto" w:fill="E0E0E0"/>
            <w:vAlign w:val="bottom"/>
          </w:tcPr>
          <w:p w:rsidR="004630EB" w:rsidRPr="00687A1C" w:rsidRDefault="004630EB" w:rsidP="004630EB">
            <w:pPr>
              <w:pStyle w:val="Tabletextright"/>
            </w:pPr>
            <w:r w:rsidRPr="00687A1C">
              <w:t>60.00</w:t>
            </w:r>
          </w:p>
        </w:tc>
        <w:tc>
          <w:tcPr>
            <w:tcW w:w="950" w:type="dxa"/>
            <w:shd w:val="clear" w:color="auto" w:fill="auto"/>
            <w:noWrap/>
            <w:vAlign w:val="bottom"/>
          </w:tcPr>
          <w:p w:rsidR="004630EB" w:rsidRPr="00687A1C" w:rsidRDefault="004630EB" w:rsidP="004630EB">
            <w:pPr>
              <w:pStyle w:val="Tabletextright"/>
            </w:pPr>
            <w:r w:rsidRPr="00687A1C">
              <w:t>299</w:t>
            </w:r>
          </w:p>
        </w:tc>
        <w:tc>
          <w:tcPr>
            <w:tcW w:w="778" w:type="dxa"/>
            <w:shd w:val="clear" w:color="auto" w:fill="auto"/>
            <w:vAlign w:val="bottom"/>
          </w:tcPr>
          <w:p w:rsidR="004630EB" w:rsidRPr="00687A1C" w:rsidRDefault="004630EB" w:rsidP="004630EB">
            <w:pPr>
              <w:pStyle w:val="Tabletextright"/>
            </w:pPr>
            <w:r w:rsidRPr="00687A1C">
              <w:t>277.00</w:t>
            </w:r>
          </w:p>
        </w:tc>
        <w:tc>
          <w:tcPr>
            <w:tcW w:w="979" w:type="dxa"/>
            <w:shd w:val="clear" w:color="auto" w:fill="E0E0E0"/>
            <w:noWrap/>
            <w:vAlign w:val="bottom"/>
          </w:tcPr>
          <w:p w:rsidR="004630EB" w:rsidRPr="00687A1C" w:rsidRDefault="004630EB" w:rsidP="004630EB">
            <w:pPr>
              <w:pStyle w:val="Tabletextright"/>
            </w:pPr>
            <w:r w:rsidRPr="00687A1C">
              <w:t>171</w:t>
            </w:r>
          </w:p>
        </w:tc>
        <w:tc>
          <w:tcPr>
            <w:tcW w:w="979" w:type="dxa"/>
            <w:shd w:val="clear" w:color="auto" w:fill="E0E0E0"/>
            <w:vAlign w:val="bottom"/>
          </w:tcPr>
          <w:p w:rsidR="004630EB" w:rsidRPr="00687A1C" w:rsidRDefault="004630EB" w:rsidP="004630EB">
            <w:pPr>
              <w:pStyle w:val="Tabletextright"/>
            </w:pPr>
            <w:r w:rsidRPr="00687A1C">
              <w:t>58</w:t>
            </w:r>
          </w:p>
        </w:tc>
        <w:tc>
          <w:tcPr>
            <w:tcW w:w="778" w:type="dxa"/>
            <w:shd w:val="clear" w:color="auto" w:fill="E0E0E0"/>
            <w:vAlign w:val="bottom"/>
          </w:tcPr>
          <w:p w:rsidR="004630EB" w:rsidRPr="00687A1C" w:rsidRDefault="004630EB" w:rsidP="004630EB">
            <w:pPr>
              <w:pStyle w:val="Tabletextright"/>
            </w:pPr>
            <w:r w:rsidRPr="00687A1C">
              <w:t>209.00</w:t>
            </w:r>
          </w:p>
        </w:tc>
        <w:tc>
          <w:tcPr>
            <w:tcW w:w="950" w:type="dxa"/>
            <w:vAlign w:val="bottom"/>
          </w:tcPr>
          <w:p w:rsidR="004630EB" w:rsidRPr="00687A1C" w:rsidRDefault="004630EB" w:rsidP="004630EB">
            <w:pPr>
              <w:pStyle w:val="Tabletextright"/>
            </w:pPr>
            <w:r w:rsidRPr="00687A1C">
              <w:t>70</w:t>
            </w:r>
          </w:p>
        </w:tc>
        <w:tc>
          <w:tcPr>
            <w:tcW w:w="778" w:type="dxa"/>
            <w:vAlign w:val="bottom"/>
          </w:tcPr>
          <w:p w:rsidR="004630EB" w:rsidRPr="00687A1C" w:rsidRDefault="004630EB" w:rsidP="004630EB">
            <w:pPr>
              <w:pStyle w:val="Tabletextright"/>
            </w:pPr>
            <w:r w:rsidRPr="00687A1C">
              <w:t>68.00</w:t>
            </w:r>
          </w:p>
        </w:tc>
      </w:tr>
      <w:tr w:rsidR="004630EB" w:rsidRPr="00687A1C" w:rsidTr="004630EB">
        <w:trPr>
          <w:cantSplit/>
        </w:trPr>
        <w:tc>
          <w:tcPr>
            <w:tcW w:w="1483" w:type="dxa"/>
            <w:shd w:val="clear" w:color="auto" w:fill="auto"/>
          </w:tcPr>
          <w:p w:rsidR="004630EB" w:rsidRPr="00687A1C" w:rsidRDefault="004630EB" w:rsidP="004630EB">
            <w:pPr>
              <w:pStyle w:val="Tabletext"/>
              <w:rPr>
                <w:rFonts w:cstheme="minorHAnsi"/>
              </w:rPr>
            </w:pPr>
            <w:r w:rsidRPr="00687A1C">
              <w:rPr>
                <w:rFonts w:cstheme="minorHAnsi"/>
              </w:rPr>
              <w:t>Self-described</w:t>
            </w:r>
          </w:p>
        </w:tc>
        <w:tc>
          <w:tcPr>
            <w:tcW w:w="950" w:type="dxa"/>
            <w:shd w:val="clear" w:color="auto" w:fill="E0E0E0"/>
            <w:vAlign w:val="bottom"/>
          </w:tcPr>
          <w:p w:rsidR="004630EB" w:rsidRPr="00687A1C" w:rsidRDefault="007B0CEF" w:rsidP="004630EB">
            <w:pPr>
              <w:pStyle w:val="Tabletextright"/>
            </w:pPr>
            <w:r w:rsidRPr="00687A1C">
              <w:t>–</w:t>
            </w:r>
          </w:p>
        </w:tc>
        <w:tc>
          <w:tcPr>
            <w:tcW w:w="778" w:type="dxa"/>
            <w:shd w:val="clear" w:color="auto" w:fill="E0E0E0"/>
            <w:vAlign w:val="bottom"/>
          </w:tcPr>
          <w:p w:rsidR="004630EB" w:rsidRPr="00687A1C" w:rsidRDefault="007B0CEF" w:rsidP="004630EB">
            <w:pPr>
              <w:pStyle w:val="Tabletextright"/>
            </w:pPr>
            <w:r w:rsidRPr="00687A1C">
              <w:t>–</w:t>
            </w:r>
          </w:p>
        </w:tc>
        <w:tc>
          <w:tcPr>
            <w:tcW w:w="979" w:type="dxa"/>
            <w:shd w:val="clear" w:color="auto" w:fill="auto"/>
            <w:vAlign w:val="bottom"/>
          </w:tcPr>
          <w:p w:rsidR="004630EB" w:rsidRPr="00687A1C" w:rsidRDefault="007B0CEF" w:rsidP="004630EB">
            <w:pPr>
              <w:pStyle w:val="Tabletextright"/>
            </w:pPr>
            <w:r w:rsidRPr="00687A1C">
              <w:t>–</w:t>
            </w:r>
          </w:p>
        </w:tc>
        <w:tc>
          <w:tcPr>
            <w:tcW w:w="979" w:type="dxa"/>
            <w:shd w:val="clear" w:color="auto" w:fill="auto"/>
            <w:vAlign w:val="bottom"/>
          </w:tcPr>
          <w:p w:rsidR="004630EB" w:rsidRPr="00687A1C" w:rsidRDefault="007B0CEF" w:rsidP="004630EB">
            <w:pPr>
              <w:pStyle w:val="Tabletextright"/>
            </w:pPr>
            <w:r w:rsidRPr="00687A1C">
              <w:t>–</w:t>
            </w:r>
          </w:p>
        </w:tc>
        <w:tc>
          <w:tcPr>
            <w:tcW w:w="778" w:type="dxa"/>
            <w:shd w:val="clear" w:color="auto" w:fill="auto"/>
            <w:vAlign w:val="bottom"/>
          </w:tcPr>
          <w:p w:rsidR="004630EB" w:rsidRPr="00687A1C" w:rsidRDefault="007B0CEF" w:rsidP="004630EB">
            <w:pPr>
              <w:pStyle w:val="Tabletextright"/>
            </w:pPr>
            <w:r w:rsidRPr="00687A1C">
              <w:t>–</w:t>
            </w:r>
          </w:p>
        </w:tc>
        <w:tc>
          <w:tcPr>
            <w:tcW w:w="950" w:type="dxa"/>
            <w:shd w:val="clear" w:color="auto" w:fill="E0E0E0"/>
            <w:vAlign w:val="bottom"/>
          </w:tcPr>
          <w:p w:rsidR="004630EB" w:rsidRPr="00687A1C" w:rsidRDefault="007B0CEF" w:rsidP="004630EB">
            <w:pPr>
              <w:pStyle w:val="Tabletextright"/>
            </w:pPr>
            <w:r w:rsidRPr="00687A1C">
              <w:t>–</w:t>
            </w:r>
          </w:p>
        </w:tc>
        <w:tc>
          <w:tcPr>
            <w:tcW w:w="778" w:type="dxa"/>
            <w:shd w:val="clear" w:color="auto" w:fill="E0E0E0"/>
            <w:vAlign w:val="bottom"/>
          </w:tcPr>
          <w:p w:rsidR="004630EB" w:rsidRPr="00687A1C" w:rsidRDefault="007B0CEF" w:rsidP="004630EB">
            <w:pPr>
              <w:pStyle w:val="Tabletextright"/>
            </w:pPr>
            <w:r w:rsidRPr="00687A1C">
              <w:t>–</w:t>
            </w:r>
          </w:p>
        </w:tc>
        <w:tc>
          <w:tcPr>
            <w:tcW w:w="950" w:type="dxa"/>
            <w:shd w:val="clear" w:color="auto" w:fill="auto"/>
            <w:noWrap/>
            <w:vAlign w:val="bottom"/>
          </w:tcPr>
          <w:p w:rsidR="004630EB" w:rsidRPr="00687A1C" w:rsidRDefault="004630EB"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w:t>
            </w:r>
          </w:p>
        </w:tc>
        <w:tc>
          <w:tcPr>
            <w:tcW w:w="979" w:type="dxa"/>
            <w:shd w:val="clear" w:color="auto" w:fill="E0E0E0"/>
            <w:noWrap/>
            <w:vAlign w:val="bottom"/>
          </w:tcPr>
          <w:p w:rsidR="004630EB" w:rsidRPr="00687A1C" w:rsidRDefault="004630EB" w:rsidP="004630EB">
            <w:pPr>
              <w:pStyle w:val="Tabletextright"/>
            </w:pPr>
            <w:r w:rsidRPr="00687A1C">
              <w:t>–</w:t>
            </w:r>
          </w:p>
        </w:tc>
        <w:tc>
          <w:tcPr>
            <w:tcW w:w="979"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w:t>
            </w:r>
          </w:p>
        </w:tc>
        <w:tc>
          <w:tcPr>
            <w:tcW w:w="950" w:type="dxa"/>
            <w:vAlign w:val="bottom"/>
          </w:tcPr>
          <w:p w:rsidR="004630EB" w:rsidRPr="00687A1C" w:rsidRDefault="004630EB" w:rsidP="004630EB">
            <w:pPr>
              <w:pStyle w:val="Tabletextright"/>
            </w:pPr>
            <w:r w:rsidRPr="00687A1C">
              <w:t>–</w:t>
            </w:r>
          </w:p>
        </w:tc>
        <w:tc>
          <w:tcPr>
            <w:tcW w:w="778" w:type="dxa"/>
            <w:vAlign w:val="bottom"/>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rPr>
              <w:t>Age</w:t>
            </w:r>
          </w:p>
        </w:tc>
        <w:tc>
          <w:tcPr>
            <w:tcW w:w="950" w:type="dxa"/>
            <w:shd w:val="clear" w:color="auto" w:fill="E0E0E0"/>
          </w:tcPr>
          <w:p w:rsidR="004630EB" w:rsidRPr="00687A1C" w:rsidRDefault="004630EB" w:rsidP="004630EB">
            <w:pPr>
              <w:pStyle w:val="Tabletextright"/>
              <w:rPr>
                <w:rFonts w:cstheme="minorHAnsi"/>
              </w:rPr>
            </w:pPr>
          </w:p>
        </w:tc>
        <w:tc>
          <w:tcPr>
            <w:tcW w:w="778" w:type="dxa"/>
            <w:shd w:val="clear" w:color="auto" w:fill="E0E0E0"/>
          </w:tcPr>
          <w:p w:rsidR="004630EB" w:rsidRPr="00687A1C" w:rsidRDefault="004630EB" w:rsidP="004630EB">
            <w:pPr>
              <w:pStyle w:val="Tabletextright"/>
              <w:rPr>
                <w:rFonts w:cstheme="minorHAnsi"/>
              </w:rPr>
            </w:pPr>
          </w:p>
        </w:tc>
        <w:tc>
          <w:tcPr>
            <w:tcW w:w="979" w:type="dxa"/>
            <w:shd w:val="clear" w:color="auto" w:fill="auto"/>
          </w:tcPr>
          <w:p w:rsidR="004630EB" w:rsidRPr="00687A1C" w:rsidRDefault="004630EB" w:rsidP="004630EB">
            <w:pPr>
              <w:pStyle w:val="Tabletextright"/>
              <w:rPr>
                <w:rFonts w:cstheme="minorHAnsi"/>
              </w:rPr>
            </w:pPr>
          </w:p>
        </w:tc>
        <w:tc>
          <w:tcPr>
            <w:tcW w:w="979" w:type="dxa"/>
            <w:shd w:val="clear" w:color="auto" w:fill="auto"/>
          </w:tcPr>
          <w:p w:rsidR="004630EB" w:rsidRPr="00687A1C" w:rsidRDefault="004630EB" w:rsidP="004630EB">
            <w:pPr>
              <w:pStyle w:val="Tabletextright"/>
            </w:pPr>
          </w:p>
        </w:tc>
        <w:tc>
          <w:tcPr>
            <w:tcW w:w="778" w:type="dxa"/>
            <w:shd w:val="clear" w:color="auto" w:fill="auto"/>
          </w:tcPr>
          <w:p w:rsidR="004630EB" w:rsidRPr="00687A1C" w:rsidRDefault="004630EB" w:rsidP="004630EB">
            <w:pPr>
              <w:pStyle w:val="Tabletextright"/>
            </w:pPr>
          </w:p>
        </w:tc>
        <w:tc>
          <w:tcPr>
            <w:tcW w:w="950"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shd w:val="clear" w:color="auto" w:fill="auto"/>
            <w:noWrap/>
          </w:tcPr>
          <w:p w:rsidR="004630EB" w:rsidRPr="00687A1C" w:rsidRDefault="004630EB" w:rsidP="004630EB">
            <w:pPr>
              <w:pStyle w:val="Tabletextright"/>
              <w:rPr>
                <w:rFonts w:cstheme="minorHAnsi"/>
              </w:rPr>
            </w:pPr>
          </w:p>
        </w:tc>
        <w:tc>
          <w:tcPr>
            <w:tcW w:w="778" w:type="dxa"/>
            <w:shd w:val="clear" w:color="auto" w:fill="auto"/>
          </w:tcPr>
          <w:p w:rsidR="004630EB" w:rsidRPr="00687A1C" w:rsidRDefault="004630EB" w:rsidP="004630EB">
            <w:pPr>
              <w:pStyle w:val="Tabletextright"/>
              <w:rPr>
                <w:rFonts w:cstheme="minorHAnsi"/>
              </w:rPr>
            </w:pPr>
          </w:p>
        </w:tc>
        <w:tc>
          <w:tcPr>
            <w:tcW w:w="979" w:type="dxa"/>
            <w:shd w:val="clear" w:color="auto" w:fill="E0E0E0"/>
            <w:noWrap/>
          </w:tcPr>
          <w:p w:rsidR="004630EB" w:rsidRPr="00687A1C" w:rsidRDefault="004630EB" w:rsidP="004630EB">
            <w:pPr>
              <w:pStyle w:val="Tabletextright"/>
              <w:rPr>
                <w:rFonts w:cstheme="minorHAnsi"/>
              </w:rPr>
            </w:pPr>
          </w:p>
        </w:tc>
        <w:tc>
          <w:tcPr>
            <w:tcW w:w="979"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tcPr>
          <w:p w:rsidR="004630EB" w:rsidRPr="00687A1C" w:rsidRDefault="004630EB" w:rsidP="004630EB">
            <w:pPr>
              <w:pStyle w:val="Tabletextright"/>
            </w:pPr>
          </w:p>
        </w:tc>
        <w:tc>
          <w:tcPr>
            <w:tcW w:w="778" w:type="dxa"/>
          </w:tcPr>
          <w:p w:rsidR="004630EB" w:rsidRPr="00687A1C" w:rsidRDefault="004630EB" w:rsidP="004630EB">
            <w:pPr>
              <w:pStyle w:val="Tabletextright"/>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15–24</w:t>
            </w:r>
          </w:p>
        </w:tc>
        <w:tc>
          <w:tcPr>
            <w:tcW w:w="950" w:type="dxa"/>
            <w:shd w:val="clear" w:color="auto" w:fill="E0E0E0"/>
            <w:vAlign w:val="bottom"/>
          </w:tcPr>
          <w:p w:rsidR="004630EB" w:rsidRPr="00687A1C" w:rsidRDefault="004630EB" w:rsidP="004630EB">
            <w:pPr>
              <w:pStyle w:val="Tabletextright"/>
            </w:pPr>
            <w:r w:rsidRPr="00687A1C">
              <w:t>20</w:t>
            </w:r>
          </w:p>
        </w:tc>
        <w:tc>
          <w:tcPr>
            <w:tcW w:w="778" w:type="dxa"/>
            <w:shd w:val="clear" w:color="auto" w:fill="E0E0E0"/>
            <w:vAlign w:val="bottom"/>
          </w:tcPr>
          <w:p w:rsidR="004630EB" w:rsidRPr="00687A1C" w:rsidRDefault="004630EB" w:rsidP="004630EB">
            <w:pPr>
              <w:pStyle w:val="Tabletextright"/>
            </w:pPr>
            <w:r w:rsidRPr="00687A1C">
              <w:t>20.00</w:t>
            </w:r>
          </w:p>
        </w:tc>
        <w:tc>
          <w:tcPr>
            <w:tcW w:w="979" w:type="dxa"/>
            <w:shd w:val="clear" w:color="auto" w:fill="auto"/>
            <w:vAlign w:val="bottom"/>
          </w:tcPr>
          <w:p w:rsidR="004630EB" w:rsidRPr="00687A1C" w:rsidRDefault="004630EB" w:rsidP="004630EB">
            <w:pPr>
              <w:pStyle w:val="Tabletextright"/>
            </w:pPr>
            <w:r w:rsidRPr="00687A1C">
              <w:t>4</w:t>
            </w:r>
          </w:p>
        </w:tc>
        <w:tc>
          <w:tcPr>
            <w:tcW w:w="979" w:type="dxa"/>
            <w:shd w:val="clear" w:color="auto" w:fill="auto"/>
            <w:vAlign w:val="bottom"/>
          </w:tcPr>
          <w:p w:rsidR="004630EB" w:rsidRPr="00687A1C" w:rsidRDefault="007B0CEF"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4.00</w:t>
            </w:r>
          </w:p>
        </w:tc>
        <w:tc>
          <w:tcPr>
            <w:tcW w:w="950" w:type="dxa"/>
            <w:shd w:val="clear" w:color="auto" w:fill="E0E0E0"/>
            <w:vAlign w:val="bottom"/>
          </w:tcPr>
          <w:p w:rsidR="004630EB" w:rsidRPr="00687A1C" w:rsidRDefault="004630EB" w:rsidP="004630EB">
            <w:pPr>
              <w:pStyle w:val="Tabletextright"/>
            </w:pPr>
            <w:r w:rsidRPr="00687A1C">
              <w:t>16</w:t>
            </w:r>
          </w:p>
        </w:tc>
        <w:tc>
          <w:tcPr>
            <w:tcW w:w="778" w:type="dxa"/>
            <w:shd w:val="clear" w:color="auto" w:fill="E0E0E0"/>
            <w:vAlign w:val="bottom"/>
          </w:tcPr>
          <w:p w:rsidR="004630EB" w:rsidRPr="00687A1C" w:rsidRDefault="004630EB" w:rsidP="004630EB">
            <w:pPr>
              <w:pStyle w:val="Tabletextright"/>
            </w:pPr>
            <w:r w:rsidRPr="00687A1C">
              <w:t>16.00</w:t>
            </w:r>
          </w:p>
        </w:tc>
        <w:tc>
          <w:tcPr>
            <w:tcW w:w="950" w:type="dxa"/>
            <w:shd w:val="clear" w:color="auto" w:fill="auto"/>
            <w:noWrap/>
            <w:vAlign w:val="bottom"/>
          </w:tcPr>
          <w:p w:rsidR="004630EB" w:rsidRPr="00687A1C" w:rsidRDefault="004630EB" w:rsidP="004630EB">
            <w:pPr>
              <w:pStyle w:val="Tabletextright"/>
            </w:pPr>
            <w:r w:rsidRPr="00687A1C">
              <w:t>25</w:t>
            </w:r>
          </w:p>
        </w:tc>
        <w:tc>
          <w:tcPr>
            <w:tcW w:w="778" w:type="dxa"/>
            <w:shd w:val="clear" w:color="auto" w:fill="auto"/>
            <w:vAlign w:val="bottom"/>
          </w:tcPr>
          <w:p w:rsidR="004630EB" w:rsidRPr="00687A1C" w:rsidRDefault="004630EB" w:rsidP="004630EB">
            <w:pPr>
              <w:pStyle w:val="Tabletextright"/>
            </w:pPr>
            <w:r w:rsidRPr="00687A1C">
              <w:t>24.00</w:t>
            </w:r>
          </w:p>
        </w:tc>
        <w:tc>
          <w:tcPr>
            <w:tcW w:w="979" w:type="dxa"/>
            <w:shd w:val="clear" w:color="auto" w:fill="E0E0E0"/>
            <w:noWrap/>
            <w:vAlign w:val="bottom"/>
          </w:tcPr>
          <w:p w:rsidR="004630EB" w:rsidRPr="00687A1C" w:rsidRDefault="004630EB" w:rsidP="004630EB">
            <w:pPr>
              <w:pStyle w:val="Tabletextright"/>
            </w:pPr>
            <w:r w:rsidRPr="00687A1C">
              <w:t>3</w:t>
            </w:r>
          </w:p>
        </w:tc>
        <w:tc>
          <w:tcPr>
            <w:tcW w:w="979"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3.00</w:t>
            </w:r>
          </w:p>
        </w:tc>
        <w:tc>
          <w:tcPr>
            <w:tcW w:w="950" w:type="dxa"/>
            <w:vAlign w:val="bottom"/>
          </w:tcPr>
          <w:p w:rsidR="004630EB" w:rsidRPr="00687A1C" w:rsidRDefault="004630EB" w:rsidP="004630EB">
            <w:pPr>
              <w:pStyle w:val="Tabletextright"/>
            </w:pPr>
            <w:r w:rsidRPr="00687A1C">
              <w:t>22</w:t>
            </w:r>
          </w:p>
        </w:tc>
        <w:tc>
          <w:tcPr>
            <w:tcW w:w="778" w:type="dxa"/>
            <w:vAlign w:val="bottom"/>
          </w:tcPr>
          <w:p w:rsidR="004630EB" w:rsidRPr="00687A1C" w:rsidRDefault="004630EB" w:rsidP="004630EB">
            <w:pPr>
              <w:pStyle w:val="Tabletextright"/>
            </w:pPr>
            <w:r w:rsidRPr="00687A1C">
              <w:t>21.00</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25</w:t>
            </w:r>
            <w:r w:rsidRPr="00687A1C">
              <w:rPr>
                <w:rFonts w:cstheme="minorHAnsi"/>
              </w:rPr>
              <w:noBreakHyphen/>
              <w:t>34</w:t>
            </w:r>
          </w:p>
        </w:tc>
        <w:tc>
          <w:tcPr>
            <w:tcW w:w="950" w:type="dxa"/>
            <w:shd w:val="clear" w:color="auto" w:fill="E0E0E0"/>
            <w:vAlign w:val="bottom"/>
          </w:tcPr>
          <w:p w:rsidR="004630EB" w:rsidRPr="00687A1C" w:rsidRDefault="004630EB" w:rsidP="004630EB">
            <w:pPr>
              <w:pStyle w:val="Tabletextright"/>
            </w:pPr>
            <w:r w:rsidRPr="00687A1C">
              <w:t>146</w:t>
            </w:r>
          </w:p>
        </w:tc>
        <w:tc>
          <w:tcPr>
            <w:tcW w:w="778" w:type="dxa"/>
            <w:shd w:val="clear" w:color="auto" w:fill="E0E0E0"/>
            <w:vAlign w:val="bottom"/>
          </w:tcPr>
          <w:p w:rsidR="004630EB" w:rsidRPr="00687A1C" w:rsidRDefault="004630EB" w:rsidP="004630EB">
            <w:pPr>
              <w:pStyle w:val="Tabletextright"/>
            </w:pPr>
            <w:r w:rsidRPr="00687A1C">
              <w:t>141.84</w:t>
            </w:r>
          </w:p>
        </w:tc>
        <w:tc>
          <w:tcPr>
            <w:tcW w:w="979" w:type="dxa"/>
            <w:shd w:val="clear" w:color="auto" w:fill="auto"/>
            <w:vAlign w:val="bottom"/>
          </w:tcPr>
          <w:p w:rsidR="004630EB" w:rsidRPr="00687A1C" w:rsidRDefault="004630EB" w:rsidP="004630EB">
            <w:pPr>
              <w:pStyle w:val="Tabletextright"/>
            </w:pPr>
            <w:r w:rsidRPr="00687A1C">
              <w:t>77</w:t>
            </w:r>
          </w:p>
        </w:tc>
        <w:tc>
          <w:tcPr>
            <w:tcW w:w="979" w:type="dxa"/>
            <w:shd w:val="clear" w:color="auto" w:fill="auto"/>
            <w:vAlign w:val="bottom"/>
          </w:tcPr>
          <w:p w:rsidR="004630EB" w:rsidRPr="00687A1C" w:rsidRDefault="004630EB" w:rsidP="004630EB">
            <w:pPr>
              <w:pStyle w:val="Tabletextright"/>
            </w:pPr>
            <w:r w:rsidRPr="00687A1C">
              <w:t>12</w:t>
            </w:r>
          </w:p>
        </w:tc>
        <w:tc>
          <w:tcPr>
            <w:tcW w:w="778" w:type="dxa"/>
            <w:shd w:val="clear" w:color="auto" w:fill="auto"/>
            <w:vAlign w:val="bottom"/>
          </w:tcPr>
          <w:p w:rsidR="004630EB" w:rsidRPr="00687A1C" w:rsidRDefault="004630EB" w:rsidP="004630EB">
            <w:pPr>
              <w:pStyle w:val="Tabletextright"/>
            </w:pPr>
            <w:r w:rsidRPr="00687A1C">
              <w:t>85.24</w:t>
            </w:r>
          </w:p>
        </w:tc>
        <w:tc>
          <w:tcPr>
            <w:tcW w:w="950" w:type="dxa"/>
            <w:shd w:val="clear" w:color="auto" w:fill="E0E0E0"/>
            <w:vAlign w:val="bottom"/>
          </w:tcPr>
          <w:p w:rsidR="004630EB" w:rsidRPr="00687A1C" w:rsidRDefault="004630EB" w:rsidP="004630EB">
            <w:pPr>
              <w:pStyle w:val="Tabletextright"/>
            </w:pPr>
            <w:r w:rsidRPr="00687A1C">
              <w:t>57</w:t>
            </w:r>
          </w:p>
        </w:tc>
        <w:tc>
          <w:tcPr>
            <w:tcW w:w="778" w:type="dxa"/>
            <w:shd w:val="clear" w:color="auto" w:fill="E0E0E0"/>
            <w:vAlign w:val="bottom"/>
          </w:tcPr>
          <w:p w:rsidR="004630EB" w:rsidRPr="00687A1C" w:rsidRDefault="004630EB" w:rsidP="004630EB">
            <w:pPr>
              <w:pStyle w:val="Tabletextright"/>
            </w:pPr>
            <w:r w:rsidRPr="00687A1C">
              <w:t>56.60</w:t>
            </w:r>
          </w:p>
        </w:tc>
        <w:tc>
          <w:tcPr>
            <w:tcW w:w="950" w:type="dxa"/>
            <w:shd w:val="clear" w:color="auto" w:fill="auto"/>
            <w:noWrap/>
            <w:vAlign w:val="bottom"/>
          </w:tcPr>
          <w:p w:rsidR="004630EB" w:rsidRPr="00687A1C" w:rsidRDefault="004630EB" w:rsidP="004630EB">
            <w:pPr>
              <w:pStyle w:val="Tabletextright"/>
            </w:pPr>
            <w:r w:rsidRPr="00687A1C">
              <w:t>155</w:t>
            </w:r>
          </w:p>
        </w:tc>
        <w:tc>
          <w:tcPr>
            <w:tcW w:w="778" w:type="dxa"/>
            <w:shd w:val="clear" w:color="auto" w:fill="auto"/>
            <w:vAlign w:val="bottom"/>
          </w:tcPr>
          <w:p w:rsidR="004630EB" w:rsidRPr="00687A1C" w:rsidRDefault="004630EB" w:rsidP="004630EB">
            <w:pPr>
              <w:pStyle w:val="Tabletextright"/>
            </w:pPr>
            <w:r w:rsidRPr="00687A1C">
              <w:t>151.00</w:t>
            </w:r>
          </w:p>
        </w:tc>
        <w:tc>
          <w:tcPr>
            <w:tcW w:w="979" w:type="dxa"/>
            <w:shd w:val="clear" w:color="auto" w:fill="E0E0E0"/>
            <w:noWrap/>
            <w:vAlign w:val="bottom"/>
          </w:tcPr>
          <w:p w:rsidR="004630EB" w:rsidRPr="00687A1C" w:rsidRDefault="004630EB" w:rsidP="004630EB">
            <w:pPr>
              <w:pStyle w:val="Tabletextright"/>
            </w:pPr>
            <w:r w:rsidRPr="00687A1C">
              <w:t>81</w:t>
            </w:r>
          </w:p>
        </w:tc>
        <w:tc>
          <w:tcPr>
            <w:tcW w:w="979" w:type="dxa"/>
            <w:shd w:val="clear" w:color="auto" w:fill="E0E0E0"/>
            <w:vAlign w:val="bottom"/>
          </w:tcPr>
          <w:p w:rsidR="004630EB" w:rsidRPr="00687A1C" w:rsidRDefault="004630EB" w:rsidP="004630EB">
            <w:pPr>
              <w:pStyle w:val="Tabletextright"/>
            </w:pPr>
            <w:r w:rsidRPr="00687A1C">
              <w:t>12</w:t>
            </w:r>
          </w:p>
        </w:tc>
        <w:tc>
          <w:tcPr>
            <w:tcW w:w="778" w:type="dxa"/>
            <w:shd w:val="clear" w:color="auto" w:fill="E0E0E0"/>
            <w:vAlign w:val="bottom"/>
          </w:tcPr>
          <w:p w:rsidR="004630EB" w:rsidRPr="00687A1C" w:rsidRDefault="004630EB" w:rsidP="004630EB">
            <w:pPr>
              <w:pStyle w:val="Tabletextright"/>
            </w:pPr>
            <w:r w:rsidRPr="00687A1C">
              <w:t>89.00</w:t>
            </w:r>
          </w:p>
        </w:tc>
        <w:tc>
          <w:tcPr>
            <w:tcW w:w="950" w:type="dxa"/>
            <w:vAlign w:val="bottom"/>
          </w:tcPr>
          <w:p w:rsidR="004630EB" w:rsidRPr="00687A1C" w:rsidRDefault="004630EB" w:rsidP="004630EB">
            <w:pPr>
              <w:pStyle w:val="Tabletextright"/>
            </w:pPr>
            <w:r w:rsidRPr="00687A1C">
              <w:t>62</w:t>
            </w:r>
          </w:p>
        </w:tc>
        <w:tc>
          <w:tcPr>
            <w:tcW w:w="778" w:type="dxa"/>
            <w:vAlign w:val="bottom"/>
          </w:tcPr>
          <w:p w:rsidR="004630EB" w:rsidRPr="00687A1C" w:rsidRDefault="004630EB" w:rsidP="004630EB">
            <w:pPr>
              <w:pStyle w:val="Tabletextright"/>
            </w:pPr>
            <w:r w:rsidRPr="00687A1C">
              <w:t>62.00</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35</w:t>
            </w:r>
            <w:r w:rsidRPr="00687A1C">
              <w:rPr>
                <w:rFonts w:cstheme="minorHAnsi"/>
              </w:rPr>
              <w:noBreakHyphen/>
              <w:t>44</w:t>
            </w:r>
          </w:p>
        </w:tc>
        <w:tc>
          <w:tcPr>
            <w:tcW w:w="950" w:type="dxa"/>
            <w:shd w:val="clear" w:color="auto" w:fill="E0E0E0"/>
            <w:vAlign w:val="bottom"/>
          </w:tcPr>
          <w:p w:rsidR="004630EB" w:rsidRPr="00687A1C" w:rsidRDefault="004630EB" w:rsidP="004630EB">
            <w:pPr>
              <w:pStyle w:val="Tabletextright"/>
            </w:pPr>
            <w:r w:rsidRPr="00687A1C">
              <w:t>154</w:t>
            </w:r>
          </w:p>
        </w:tc>
        <w:tc>
          <w:tcPr>
            <w:tcW w:w="778" w:type="dxa"/>
            <w:shd w:val="clear" w:color="auto" w:fill="E0E0E0"/>
            <w:vAlign w:val="bottom"/>
          </w:tcPr>
          <w:p w:rsidR="004630EB" w:rsidRPr="00687A1C" w:rsidRDefault="004630EB" w:rsidP="004630EB">
            <w:pPr>
              <w:pStyle w:val="Tabletextright"/>
            </w:pPr>
            <w:r w:rsidRPr="00687A1C">
              <w:t>142.00</w:t>
            </w:r>
          </w:p>
        </w:tc>
        <w:tc>
          <w:tcPr>
            <w:tcW w:w="979" w:type="dxa"/>
            <w:shd w:val="clear" w:color="auto" w:fill="auto"/>
            <w:vAlign w:val="bottom"/>
          </w:tcPr>
          <w:p w:rsidR="004630EB" w:rsidRPr="00687A1C" w:rsidRDefault="004630EB" w:rsidP="004630EB">
            <w:pPr>
              <w:pStyle w:val="Tabletextright"/>
            </w:pPr>
            <w:r w:rsidRPr="00687A1C">
              <w:t>108</w:t>
            </w:r>
          </w:p>
        </w:tc>
        <w:tc>
          <w:tcPr>
            <w:tcW w:w="979" w:type="dxa"/>
            <w:shd w:val="clear" w:color="auto" w:fill="auto"/>
            <w:vAlign w:val="bottom"/>
          </w:tcPr>
          <w:p w:rsidR="004630EB" w:rsidRPr="00687A1C" w:rsidRDefault="004630EB" w:rsidP="004630EB">
            <w:pPr>
              <w:pStyle w:val="Tabletextright"/>
            </w:pPr>
            <w:r w:rsidRPr="00687A1C">
              <w:t>32</w:t>
            </w:r>
          </w:p>
        </w:tc>
        <w:tc>
          <w:tcPr>
            <w:tcW w:w="778" w:type="dxa"/>
            <w:shd w:val="clear" w:color="auto" w:fill="auto"/>
            <w:vAlign w:val="bottom"/>
          </w:tcPr>
          <w:p w:rsidR="004630EB" w:rsidRPr="00687A1C" w:rsidRDefault="004630EB" w:rsidP="004630EB">
            <w:pPr>
              <w:pStyle w:val="Tabletextright"/>
            </w:pPr>
            <w:r w:rsidRPr="00687A1C">
              <w:t>128.30</w:t>
            </w:r>
          </w:p>
        </w:tc>
        <w:tc>
          <w:tcPr>
            <w:tcW w:w="950" w:type="dxa"/>
            <w:shd w:val="clear" w:color="auto" w:fill="E0E0E0"/>
            <w:vAlign w:val="bottom"/>
          </w:tcPr>
          <w:p w:rsidR="004630EB" w:rsidRPr="00687A1C" w:rsidRDefault="004630EB" w:rsidP="004630EB">
            <w:pPr>
              <w:pStyle w:val="Tabletextright"/>
            </w:pPr>
            <w:r w:rsidRPr="00687A1C">
              <w:t>14</w:t>
            </w:r>
          </w:p>
        </w:tc>
        <w:tc>
          <w:tcPr>
            <w:tcW w:w="778" w:type="dxa"/>
            <w:shd w:val="clear" w:color="auto" w:fill="E0E0E0"/>
            <w:vAlign w:val="bottom"/>
          </w:tcPr>
          <w:p w:rsidR="004630EB" w:rsidRPr="00687A1C" w:rsidRDefault="004630EB" w:rsidP="004630EB">
            <w:pPr>
              <w:pStyle w:val="Tabletextright"/>
            </w:pPr>
            <w:r w:rsidRPr="00687A1C">
              <w:t>13.70</w:t>
            </w:r>
          </w:p>
        </w:tc>
        <w:tc>
          <w:tcPr>
            <w:tcW w:w="950" w:type="dxa"/>
            <w:shd w:val="clear" w:color="auto" w:fill="auto"/>
            <w:noWrap/>
            <w:vAlign w:val="bottom"/>
          </w:tcPr>
          <w:p w:rsidR="004630EB" w:rsidRPr="00687A1C" w:rsidRDefault="004630EB" w:rsidP="004630EB">
            <w:pPr>
              <w:pStyle w:val="Tabletextright"/>
            </w:pPr>
            <w:r w:rsidRPr="00687A1C">
              <w:t>161</w:t>
            </w:r>
          </w:p>
        </w:tc>
        <w:tc>
          <w:tcPr>
            <w:tcW w:w="778" w:type="dxa"/>
            <w:shd w:val="clear" w:color="auto" w:fill="auto"/>
            <w:vAlign w:val="bottom"/>
          </w:tcPr>
          <w:p w:rsidR="004630EB" w:rsidRPr="00687A1C" w:rsidRDefault="004630EB" w:rsidP="004630EB">
            <w:pPr>
              <w:pStyle w:val="Tabletextright"/>
            </w:pPr>
            <w:r w:rsidRPr="00687A1C">
              <w:t>148.00</w:t>
            </w:r>
          </w:p>
        </w:tc>
        <w:tc>
          <w:tcPr>
            <w:tcW w:w="979" w:type="dxa"/>
            <w:shd w:val="clear" w:color="auto" w:fill="E0E0E0"/>
            <w:noWrap/>
            <w:vAlign w:val="bottom"/>
          </w:tcPr>
          <w:p w:rsidR="004630EB" w:rsidRPr="00687A1C" w:rsidRDefault="004630EB" w:rsidP="004630EB">
            <w:pPr>
              <w:pStyle w:val="Tabletextright"/>
            </w:pPr>
            <w:r w:rsidRPr="00687A1C">
              <w:t>107</w:t>
            </w:r>
          </w:p>
        </w:tc>
        <w:tc>
          <w:tcPr>
            <w:tcW w:w="979" w:type="dxa"/>
            <w:shd w:val="clear" w:color="auto" w:fill="E0E0E0"/>
            <w:vAlign w:val="bottom"/>
          </w:tcPr>
          <w:p w:rsidR="004630EB" w:rsidRPr="00687A1C" w:rsidRDefault="004630EB" w:rsidP="004630EB">
            <w:pPr>
              <w:pStyle w:val="Tabletextright"/>
            </w:pPr>
            <w:r w:rsidRPr="00687A1C">
              <w:t>31</w:t>
            </w:r>
          </w:p>
        </w:tc>
        <w:tc>
          <w:tcPr>
            <w:tcW w:w="778" w:type="dxa"/>
            <w:shd w:val="clear" w:color="auto" w:fill="E0E0E0"/>
            <w:vAlign w:val="bottom"/>
          </w:tcPr>
          <w:p w:rsidR="004630EB" w:rsidRPr="00687A1C" w:rsidRDefault="004630EB" w:rsidP="004630EB">
            <w:pPr>
              <w:pStyle w:val="Tabletextright"/>
            </w:pPr>
            <w:r w:rsidRPr="00687A1C">
              <w:t>126.00</w:t>
            </w:r>
          </w:p>
        </w:tc>
        <w:tc>
          <w:tcPr>
            <w:tcW w:w="950" w:type="dxa"/>
            <w:vAlign w:val="bottom"/>
          </w:tcPr>
          <w:p w:rsidR="004630EB" w:rsidRPr="00687A1C" w:rsidRDefault="004630EB" w:rsidP="004630EB">
            <w:pPr>
              <w:pStyle w:val="Tabletextright"/>
            </w:pPr>
            <w:r w:rsidRPr="00687A1C">
              <w:t>23</w:t>
            </w:r>
          </w:p>
        </w:tc>
        <w:tc>
          <w:tcPr>
            <w:tcW w:w="778" w:type="dxa"/>
            <w:vAlign w:val="bottom"/>
          </w:tcPr>
          <w:p w:rsidR="004630EB" w:rsidRPr="00687A1C" w:rsidRDefault="004630EB" w:rsidP="004630EB">
            <w:pPr>
              <w:pStyle w:val="Tabletextright"/>
            </w:pPr>
            <w:r w:rsidRPr="00687A1C">
              <w:t>22.00</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45</w:t>
            </w:r>
            <w:r w:rsidRPr="00687A1C">
              <w:rPr>
                <w:rFonts w:cstheme="minorHAnsi"/>
              </w:rPr>
              <w:noBreakHyphen/>
              <w:t>54</w:t>
            </w:r>
          </w:p>
        </w:tc>
        <w:tc>
          <w:tcPr>
            <w:tcW w:w="950" w:type="dxa"/>
            <w:shd w:val="clear" w:color="auto" w:fill="E0E0E0"/>
            <w:vAlign w:val="bottom"/>
          </w:tcPr>
          <w:p w:rsidR="004630EB" w:rsidRPr="00687A1C" w:rsidRDefault="004630EB" w:rsidP="004630EB">
            <w:pPr>
              <w:pStyle w:val="Tabletextright"/>
            </w:pPr>
            <w:r w:rsidRPr="00687A1C">
              <w:t>138</w:t>
            </w:r>
          </w:p>
        </w:tc>
        <w:tc>
          <w:tcPr>
            <w:tcW w:w="778" w:type="dxa"/>
            <w:shd w:val="clear" w:color="auto" w:fill="E0E0E0"/>
            <w:vAlign w:val="bottom"/>
          </w:tcPr>
          <w:p w:rsidR="004630EB" w:rsidRPr="00687A1C" w:rsidRDefault="004630EB" w:rsidP="004630EB">
            <w:pPr>
              <w:pStyle w:val="Tabletextright"/>
            </w:pPr>
            <w:r w:rsidRPr="00687A1C">
              <w:t>132.11</w:t>
            </w:r>
          </w:p>
        </w:tc>
        <w:tc>
          <w:tcPr>
            <w:tcW w:w="979" w:type="dxa"/>
            <w:shd w:val="clear" w:color="auto" w:fill="auto"/>
            <w:vAlign w:val="bottom"/>
          </w:tcPr>
          <w:p w:rsidR="004630EB" w:rsidRPr="00687A1C" w:rsidRDefault="004630EB" w:rsidP="004630EB">
            <w:pPr>
              <w:pStyle w:val="Tabletextright"/>
            </w:pPr>
            <w:r w:rsidRPr="00687A1C">
              <w:t>105</w:t>
            </w:r>
          </w:p>
        </w:tc>
        <w:tc>
          <w:tcPr>
            <w:tcW w:w="979" w:type="dxa"/>
            <w:shd w:val="clear" w:color="auto" w:fill="auto"/>
            <w:vAlign w:val="bottom"/>
          </w:tcPr>
          <w:p w:rsidR="004630EB" w:rsidRPr="00687A1C" w:rsidRDefault="004630EB" w:rsidP="004630EB">
            <w:pPr>
              <w:pStyle w:val="Tabletextright"/>
            </w:pPr>
            <w:r w:rsidRPr="00687A1C">
              <w:t>19</w:t>
            </w:r>
          </w:p>
        </w:tc>
        <w:tc>
          <w:tcPr>
            <w:tcW w:w="778" w:type="dxa"/>
            <w:shd w:val="clear" w:color="auto" w:fill="auto"/>
            <w:vAlign w:val="bottom"/>
          </w:tcPr>
          <w:p w:rsidR="004630EB" w:rsidRPr="00687A1C" w:rsidRDefault="004630EB" w:rsidP="004630EB">
            <w:pPr>
              <w:pStyle w:val="Tabletextright"/>
            </w:pPr>
            <w:r w:rsidRPr="00687A1C">
              <w:t>118.51</w:t>
            </w:r>
          </w:p>
        </w:tc>
        <w:tc>
          <w:tcPr>
            <w:tcW w:w="950" w:type="dxa"/>
            <w:shd w:val="clear" w:color="auto" w:fill="E0E0E0"/>
            <w:vAlign w:val="bottom"/>
          </w:tcPr>
          <w:p w:rsidR="004630EB" w:rsidRPr="00687A1C" w:rsidRDefault="004630EB" w:rsidP="004630EB">
            <w:pPr>
              <w:pStyle w:val="Tabletextright"/>
            </w:pPr>
            <w:r w:rsidRPr="00687A1C">
              <w:t>14</w:t>
            </w:r>
          </w:p>
        </w:tc>
        <w:tc>
          <w:tcPr>
            <w:tcW w:w="778" w:type="dxa"/>
            <w:shd w:val="clear" w:color="auto" w:fill="E0E0E0"/>
            <w:vAlign w:val="bottom"/>
          </w:tcPr>
          <w:p w:rsidR="004630EB" w:rsidRPr="00687A1C" w:rsidRDefault="004630EB" w:rsidP="004630EB">
            <w:pPr>
              <w:pStyle w:val="Tabletextright"/>
            </w:pPr>
            <w:r w:rsidRPr="00687A1C">
              <w:t>13.60</w:t>
            </w:r>
          </w:p>
        </w:tc>
        <w:tc>
          <w:tcPr>
            <w:tcW w:w="950" w:type="dxa"/>
            <w:shd w:val="clear" w:color="auto" w:fill="auto"/>
            <w:noWrap/>
            <w:vAlign w:val="bottom"/>
          </w:tcPr>
          <w:p w:rsidR="004630EB" w:rsidRPr="00687A1C" w:rsidRDefault="004630EB" w:rsidP="004630EB">
            <w:pPr>
              <w:pStyle w:val="Tabletextright"/>
            </w:pPr>
            <w:r w:rsidRPr="00687A1C">
              <w:t>126</w:t>
            </w:r>
          </w:p>
        </w:tc>
        <w:tc>
          <w:tcPr>
            <w:tcW w:w="778" w:type="dxa"/>
            <w:shd w:val="clear" w:color="auto" w:fill="auto"/>
            <w:vAlign w:val="bottom"/>
          </w:tcPr>
          <w:p w:rsidR="004630EB" w:rsidRPr="00687A1C" w:rsidRDefault="004630EB" w:rsidP="004630EB">
            <w:pPr>
              <w:pStyle w:val="Tabletextright"/>
            </w:pPr>
            <w:r w:rsidRPr="00687A1C">
              <w:t>121.00</w:t>
            </w:r>
          </w:p>
        </w:tc>
        <w:tc>
          <w:tcPr>
            <w:tcW w:w="979" w:type="dxa"/>
            <w:shd w:val="clear" w:color="auto" w:fill="E0E0E0"/>
            <w:noWrap/>
            <w:vAlign w:val="bottom"/>
          </w:tcPr>
          <w:p w:rsidR="004630EB" w:rsidRPr="00687A1C" w:rsidRDefault="004630EB" w:rsidP="004630EB">
            <w:pPr>
              <w:pStyle w:val="Tabletextright"/>
            </w:pPr>
            <w:r w:rsidRPr="00687A1C">
              <w:t>97</w:t>
            </w:r>
          </w:p>
        </w:tc>
        <w:tc>
          <w:tcPr>
            <w:tcW w:w="979" w:type="dxa"/>
            <w:shd w:val="clear" w:color="auto" w:fill="E0E0E0"/>
            <w:vAlign w:val="bottom"/>
          </w:tcPr>
          <w:p w:rsidR="004630EB" w:rsidRPr="00687A1C" w:rsidRDefault="004630EB" w:rsidP="004630EB">
            <w:pPr>
              <w:pStyle w:val="Tabletextright"/>
            </w:pPr>
            <w:r w:rsidRPr="00687A1C">
              <w:t>16</w:t>
            </w:r>
          </w:p>
        </w:tc>
        <w:tc>
          <w:tcPr>
            <w:tcW w:w="778" w:type="dxa"/>
            <w:shd w:val="clear" w:color="auto" w:fill="E0E0E0"/>
            <w:vAlign w:val="bottom"/>
          </w:tcPr>
          <w:p w:rsidR="004630EB" w:rsidRPr="00687A1C" w:rsidRDefault="004630EB" w:rsidP="004630EB">
            <w:pPr>
              <w:pStyle w:val="Tabletextright"/>
            </w:pPr>
            <w:r w:rsidRPr="00687A1C">
              <w:t>109.00</w:t>
            </w:r>
          </w:p>
        </w:tc>
        <w:tc>
          <w:tcPr>
            <w:tcW w:w="950" w:type="dxa"/>
            <w:vAlign w:val="bottom"/>
          </w:tcPr>
          <w:p w:rsidR="004630EB" w:rsidRPr="00687A1C" w:rsidRDefault="004630EB" w:rsidP="004630EB">
            <w:pPr>
              <w:pStyle w:val="Tabletextright"/>
            </w:pPr>
            <w:r w:rsidRPr="00687A1C">
              <w:t>13</w:t>
            </w:r>
          </w:p>
        </w:tc>
        <w:tc>
          <w:tcPr>
            <w:tcW w:w="778" w:type="dxa"/>
            <w:vAlign w:val="bottom"/>
          </w:tcPr>
          <w:p w:rsidR="004630EB" w:rsidRPr="00687A1C" w:rsidRDefault="004630EB" w:rsidP="004630EB">
            <w:pPr>
              <w:pStyle w:val="Tabletextright"/>
            </w:pPr>
            <w:r w:rsidRPr="00687A1C">
              <w:t>13.00</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55</w:t>
            </w:r>
            <w:r w:rsidRPr="00687A1C">
              <w:rPr>
                <w:rFonts w:cstheme="minorHAnsi"/>
              </w:rPr>
              <w:noBreakHyphen/>
              <w:t>64</w:t>
            </w:r>
          </w:p>
        </w:tc>
        <w:tc>
          <w:tcPr>
            <w:tcW w:w="950" w:type="dxa"/>
            <w:shd w:val="clear" w:color="auto" w:fill="E0E0E0"/>
            <w:vAlign w:val="bottom"/>
          </w:tcPr>
          <w:p w:rsidR="004630EB" w:rsidRPr="00687A1C" w:rsidRDefault="004630EB" w:rsidP="004630EB">
            <w:pPr>
              <w:pStyle w:val="Tabletextright"/>
            </w:pPr>
            <w:r w:rsidRPr="00687A1C">
              <w:t>96</w:t>
            </w:r>
          </w:p>
        </w:tc>
        <w:tc>
          <w:tcPr>
            <w:tcW w:w="778" w:type="dxa"/>
            <w:shd w:val="clear" w:color="auto" w:fill="E0E0E0"/>
            <w:vAlign w:val="bottom"/>
          </w:tcPr>
          <w:p w:rsidR="004630EB" w:rsidRPr="00687A1C" w:rsidRDefault="004630EB" w:rsidP="004630EB">
            <w:pPr>
              <w:pStyle w:val="Tabletextright"/>
            </w:pPr>
            <w:r w:rsidRPr="00687A1C">
              <w:t>92.66</w:t>
            </w:r>
          </w:p>
        </w:tc>
        <w:tc>
          <w:tcPr>
            <w:tcW w:w="979" w:type="dxa"/>
            <w:shd w:val="clear" w:color="auto" w:fill="auto"/>
            <w:vAlign w:val="bottom"/>
          </w:tcPr>
          <w:p w:rsidR="004630EB" w:rsidRPr="00687A1C" w:rsidRDefault="004630EB" w:rsidP="004630EB">
            <w:pPr>
              <w:pStyle w:val="Tabletextright"/>
            </w:pPr>
            <w:r w:rsidRPr="00687A1C">
              <w:t>75</w:t>
            </w:r>
          </w:p>
        </w:tc>
        <w:tc>
          <w:tcPr>
            <w:tcW w:w="979" w:type="dxa"/>
            <w:shd w:val="clear" w:color="auto" w:fill="auto"/>
            <w:vAlign w:val="bottom"/>
          </w:tcPr>
          <w:p w:rsidR="004630EB" w:rsidRPr="00687A1C" w:rsidRDefault="004630EB" w:rsidP="004630EB">
            <w:pPr>
              <w:pStyle w:val="Tabletextright"/>
            </w:pPr>
            <w:r w:rsidRPr="00687A1C">
              <w:t>15</w:t>
            </w:r>
          </w:p>
        </w:tc>
        <w:tc>
          <w:tcPr>
            <w:tcW w:w="778" w:type="dxa"/>
            <w:shd w:val="clear" w:color="auto" w:fill="auto"/>
            <w:vAlign w:val="bottom"/>
          </w:tcPr>
          <w:p w:rsidR="004630EB" w:rsidRPr="00687A1C" w:rsidRDefault="004630EB" w:rsidP="004630EB">
            <w:pPr>
              <w:pStyle w:val="Tabletextright"/>
            </w:pPr>
            <w:r w:rsidRPr="00687A1C">
              <w:t>87.06</w:t>
            </w:r>
          </w:p>
        </w:tc>
        <w:tc>
          <w:tcPr>
            <w:tcW w:w="950" w:type="dxa"/>
            <w:shd w:val="clear" w:color="auto" w:fill="E0E0E0"/>
            <w:vAlign w:val="bottom"/>
          </w:tcPr>
          <w:p w:rsidR="004630EB" w:rsidRPr="00687A1C" w:rsidRDefault="004630EB" w:rsidP="004630EB">
            <w:pPr>
              <w:pStyle w:val="Tabletextright"/>
            </w:pPr>
            <w:r w:rsidRPr="00687A1C">
              <w:t>6</w:t>
            </w:r>
          </w:p>
        </w:tc>
        <w:tc>
          <w:tcPr>
            <w:tcW w:w="778" w:type="dxa"/>
            <w:shd w:val="clear" w:color="auto" w:fill="E0E0E0"/>
            <w:vAlign w:val="bottom"/>
          </w:tcPr>
          <w:p w:rsidR="004630EB" w:rsidRPr="00687A1C" w:rsidRDefault="004630EB" w:rsidP="004630EB">
            <w:pPr>
              <w:pStyle w:val="Tabletextright"/>
            </w:pPr>
            <w:r w:rsidRPr="00687A1C">
              <w:t>5.60</w:t>
            </w:r>
          </w:p>
        </w:tc>
        <w:tc>
          <w:tcPr>
            <w:tcW w:w="950" w:type="dxa"/>
            <w:shd w:val="clear" w:color="auto" w:fill="auto"/>
            <w:noWrap/>
            <w:vAlign w:val="bottom"/>
          </w:tcPr>
          <w:p w:rsidR="004630EB" w:rsidRPr="00687A1C" w:rsidRDefault="004630EB" w:rsidP="004630EB">
            <w:pPr>
              <w:pStyle w:val="Tabletextright"/>
            </w:pPr>
            <w:r w:rsidRPr="00687A1C">
              <w:t>99</w:t>
            </w:r>
          </w:p>
        </w:tc>
        <w:tc>
          <w:tcPr>
            <w:tcW w:w="778" w:type="dxa"/>
            <w:shd w:val="clear" w:color="auto" w:fill="auto"/>
            <w:vAlign w:val="bottom"/>
          </w:tcPr>
          <w:p w:rsidR="004630EB" w:rsidRPr="00687A1C" w:rsidRDefault="004630EB" w:rsidP="004630EB">
            <w:pPr>
              <w:pStyle w:val="Tabletextright"/>
            </w:pPr>
            <w:r w:rsidRPr="00687A1C">
              <w:t>97.00</w:t>
            </w:r>
          </w:p>
        </w:tc>
        <w:tc>
          <w:tcPr>
            <w:tcW w:w="979" w:type="dxa"/>
            <w:shd w:val="clear" w:color="auto" w:fill="E0E0E0"/>
            <w:noWrap/>
            <w:vAlign w:val="bottom"/>
          </w:tcPr>
          <w:p w:rsidR="004630EB" w:rsidRPr="00687A1C" w:rsidRDefault="004630EB" w:rsidP="004630EB">
            <w:pPr>
              <w:pStyle w:val="Tabletextright"/>
            </w:pPr>
            <w:r w:rsidRPr="00687A1C">
              <w:t>84</w:t>
            </w:r>
          </w:p>
        </w:tc>
        <w:tc>
          <w:tcPr>
            <w:tcW w:w="979" w:type="dxa"/>
            <w:shd w:val="clear" w:color="auto" w:fill="E0E0E0"/>
            <w:vAlign w:val="bottom"/>
          </w:tcPr>
          <w:p w:rsidR="004630EB" w:rsidRPr="00687A1C" w:rsidRDefault="004630EB" w:rsidP="004630EB">
            <w:pPr>
              <w:pStyle w:val="Tabletextright"/>
            </w:pPr>
            <w:r w:rsidRPr="00687A1C">
              <w:t>14</w:t>
            </w:r>
          </w:p>
        </w:tc>
        <w:tc>
          <w:tcPr>
            <w:tcW w:w="778" w:type="dxa"/>
            <w:shd w:val="clear" w:color="auto" w:fill="E0E0E0"/>
            <w:vAlign w:val="bottom"/>
          </w:tcPr>
          <w:p w:rsidR="004630EB" w:rsidRPr="00687A1C" w:rsidRDefault="004630EB" w:rsidP="004630EB">
            <w:pPr>
              <w:pStyle w:val="Tabletextright"/>
            </w:pPr>
            <w:r w:rsidRPr="00687A1C">
              <w:t>95.00</w:t>
            </w:r>
          </w:p>
        </w:tc>
        <w:tc>
          <w:tcPr>
            <w:tcW w:w="950" w:type="dxa"/>
            <w:vAlign w:val="bottom"/>
          </w:tcPr>
          <w:p w:rsidR="004630EB" w:rsidRPr="00687A1C" w:rsidRDefault="004630EB" w:rsidP="004630EB">
            <w:pPr>
              <w:pStyle w:val="Tabletextright"/>
            </w:pPr>
            <w:r w:rsidRPr="00687A1C">
              <w:t>1</w:t>
            </w:r>
          </w:p>
        </w:tc>
        <w:tc>
          <w:tcPr>
            <w:tcW w:w="778" w:type="dxa"/>
            <w:vAlign w:val="bottom"/>
          </w:tcPr>
          <w:p w:rsidR="004630EB" w:rsidRPr="00687A1C" w:rsidRDefault="004630EB" w:rsidP="004630EB">
            <w:pPr>
              <w:pStyle w:val="Tabletextright"/>
            </w:pPr>
            <w:r w:rsidRPr="00687A1C">
              <w:t>1.00</w:t>
            </w:r>
          </w:p>
        </w:tc>
      </w:tr>
      <w:tr w:rsidR="004630EB" w:rsidRPr="00687A1C" w:rsidTr="004630EB">
        <w:trPr>
          <w:cantSplit/>
        </w:trPr>
        <w:tc>
          <w:tcPr>
            <w:tcW w:w="1483" w:type="dxa"/>
            <w:shd w:val="clear" w:color="auto" w:fill="auto"/>
          </w:tcPr>
          <w:p w:rsidR="004630EB" w:rsidRPr="00687A1C" w:rsidRDefault="007B0CEF" w:rsidP="004630EB">
            <w:pPr>
              <w:pStyle w:val="Tabletext"/>
            </w:pPr>
            <w:r w:rsidRPr="00687A1C">
              <w:rPr>
                <w:rFonts w:cstheme="minorHAnsi"/>
              </w:rPr>
              <w:t>65+</w:t>
            </w:r>
          </w:p>
        </w:tc>
        <w:tc>
          <w:tcPr>
            <w:tcW w:w="950" w:type="dxa"/>
            <w:shd w:val="clear" w:color="auto" w:fill="E0E0E0"/>
            <w:vAlign w:val="bottom"/>
          </w:tcPr>
          <w:p w:rsidR="004630EB" w:rsidRPr="00687A1C" w:rsidRDefault="004630EB" w:rsidP="004630EB">
            <w:pPr>
              <w:pStyle w:val="Tabletextright"/>
            </w:pPr>
            <w:r w:rsidRPr="00687A1C">
              <w:t>20</w:t>
            </w:r>
          </w:p>
        </w:tc>
        <w:tc>
          <w:tcPr>
            <w:tcW w:w="778" w:type="dxa"/>
            <w:shd w:val="clear" w:color="auto" w:fill="E0E0E0"/>
            <w:vAlign w:val="bottom"/>
          </w:tcPr>
          <w:p w:rsidR="004630EB" w:rsidRPr="00687A1C" w:rsidRDefault="004630EB" w:rsidP="004630EB">
            <w:pPr>
              <w:pStyle w:val="Tabletextright"/>
            </w:pPr>
            <w:r w:rsidRPr="00687A1C">
              <w:t>19.39</w:t>
            </w:r>
          </w:p>
        </w:tc>
        <w:tc>
          <w:tcPr>
            <w:tcW w:w="979" w:type="dxa"/>
            <w:shd w:val="clear" w:color="auto" w:fill="auto"/>
            <w:vAlign w:val="bottom"/>
          </w:tcPr>
          <w:p w:rsidR="004630EB" w:rsidRPr="00687A1C" w:rsidRDefault="004630EB" w:rsidP="004630EB">
            <w:pPr>
              <w:pStyle w:val="Tabletextright"/>
            </w:pPr>
            <w:r w:rsidRPr="00687A1C">
              <w:t>18</w:t>
            </w:r>
          </w:p>
        </w:tc>
        <w:tc>
          <w:tcPr>
            <w:tcW w:w="979" w:type="dxa"/>
            <w:shd w:val="clear" w:color="auto" w:fill="auto"/>
            <w:vAlign w:val="bottom"/>
          </w:tcPr>
          <w:p w:rsidR="004630EB" w:rsidRPr="00687A1C" w:rsidRDefault="004630EB" w:rsidP="004630EB">
            <w:pPr>
              <w:pStyle w:val="Tabletextright"/>
            </w:pPr>
            <w:r w:rsidRPr="00687A1C">
              <w:t>2</w:t>
            </w:r>
          </w:p>
        </w:tc>
        <w:tc>
          <w:tcPr>
            <w:tcW w:w="778" w:type="dxa"/>
            <w:shd w:val="clear" w:color="auto" w:fill="auto"/>
            <w:vAlign w:val="bottom"/>
          </w:tcPr>
          <w:p w:rsidR="004630EB" w:rsidRPr="00687A1C" w:rsidRDefault="004630EB" w:rsidP="004630EB">
            <w:pPr>
              <w:pStyle w:val="Tabletextright"/>
            </w:pPr>
            <w:r w:rsidRPr="00687A1C">
              <w:t>19.39</w:t>
            </w:r>
          </w:p>
        </w:tc>
        <w:tc>
          <w:tcPr>
            <w:tcW w:w="950" w:type="dxa"/>
            <w:shd w:val="clear" w:color="auto" w:fill="E0E0E0"/>
            <w:vAlign w:val="bottom"/>
          </w:tcPr>
          <w:p w:rsidR="004630EB" w:rsidRPr="00687A1C" w:rsidRDefault="007B0CEF" w:rsidP="004630EB">
            <w:pPr>
              <w:pStyle w:val="Tabletextright"/>
            </w:pPr>
            <w:r w:rsidRPr="00687A1C">
              <w:t>–</w:t>
            </w:r>
          </w:p>
        </w:tc>
        <w:tc>
          <w:tcPr>
            <w:tcW w:w="778" w:type="dxa"/>
            <w:shd w:val="clear" w:color="auto" w:fill="E0E0E0"/>
            <w:vAlign w:val="bottom"/>
          </w:tcPr>
          <w:p w:rsidR="004630EB" w:rsidRPr="00687A1C" w:rsidRDefault="007B0CEF" w:rsidP="004630EB">
            <w:pPr>
              <w:pStyle w:val="Tabletextright"/>
            </w:pPr>
            <w:r w:rsidRPr="00687A1C">
              <w:t>–</w:t>
            </w:r>
          </w:p>
        </w:tc>
        <w:tc>
          <w:tcPr>
            <w:tcW w:w="950" w:type="dxa"/>
            <w:shd w:val="clear" w:color="auto" w:fill="auto"/>
            <w:noWrap/>
            <w:vAlign w:val="bottom"/>
          </w:tcPr>
          <w:p w:rsidR="004630EB" w:rsidRPr="00687A1C" w:rsidRDefault="004630EB" w:rsidP="004630EB">
            <w:pPr>
              <w:pStyle w:val="Tabletextright"/>
            </w:pPr>
            <w:r w:rsidRPr="00687A1C">
              <w:t>11</w:t>
            </w:r>
          </w:p>
        </w:tc>
        <w:tc>
          <w:tcPr>
            <w:tcW w:w="778" w:type="dxa"/>
            <w:shd w:val="clear" w:color="auto" w:fill="auto"/>
            <w:vAlign w:val="bottom"/>
          </w:tcPr>
          <w:p w:rsidR="004630EB" w:rsidRPr="00687A1C" w:rsidRDefault="004630EB" w:rsidP="004630EB">
            <w:pPr>
              <w:pStyle w:val="Tabletextright"/>
            </w:pPr>
            <w:r w:rsidRPr="00687A1C">
              <w:t>11.00</w:t>
            </w:r>
          </w:p>
        </w:tc>
        <w:tc>
          <w:tcPr>
            <w:tcW w:w="979" w:type="dxa"/>
            <w:shd w:val="clear" w:color="auto" w:fill="E0E0E0"/>
            <w:noWrap/>
            <w:vAlign w:val="bottom"/>
          </w:tcPr>
          <w:p w:rsidR="004630EB" w:rsidRPr="00687A1C" w:rsidRDefault="004630EB" w:rsidP="004630EB">
            <w:pPr>
              <w:pStyle w:val="Tabletextright"/>
            </w:pPr>
            <w:r w:rsidRPr="00687A1C">
              <w:t>11</w:t>
            </w:r>
          </w:p>
        </w:tc>
        <w:tc>
          <w:tcPr>
            <w:tcW w:w="979"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11.00</w:t>
            </w:r>
          </w:p>
        </w:tc>
        <w:tc>
          <w:tcPr>
            <w:tcW w:w="950" w:type="dxa"/>
            <w:vAlign w:val="bottom"/>
          </w:tcPr>
          <w:p w:rsidR="004630EB" w:rsidRPr="00687A1C" w:rsidRDefault="004630EB" w:rsidP="004630EB">
            <w:pPr>
              <w:pStyle w:val="Tabletextright"/>
            </w:pPr>
            <w:r w:rsidRPr="00687A1C">
              <w:t>–</w:t>
            </w:r>
          </w:p>
        </w:tc>
        <w:tc>
          <w:tcPr>
            <w:tcW w:w="778" w:type="dxa"/>
            <w:vAlign w:val="bottom"/>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szCs w:val="18"/>
              </w:rPr>
              <w:t>VPS1–6 Grade</w:t>
            </w:r>
          </w:p>
        </w:tc>
        <w:tc>
          <w:tcPr>
            <w:tcW w:w="950" w:type="dxa"/>
            <w:shd w:val="clear" w:color="auto" w:fill="E0E0E0"/>
            <w:vAlign w:val="bottom"/>
          </w:tcPr>
          <w:p w:rsidR="004630EB" w:rsidRPr="00687A1C" w:rsidRDefault="004630EB" w:rsidP="004630EB">
            <w:pPr>
              <w:pStyle w:val="Tabletextrightbold"/>
            </w:pPr>
            <w:r w:rsidRPr="00687A1C">
              <w:t>574</w:t>
            </w:r>
          </w:p>
        </w:tc>
        <w:tc>
          <w:tcPr>
            <w:tcW w:w="778" w:type="dxa"/>
            <w:shd w:val="clear" w:color="auto" w:fill="E0E0E0"/>
            <w:vAlign w:val="bottom"/>
          </w:tcPr>
          <w:p w:rsidR="004630EB" w:rsidRPr="00687A1C" w:rsidRDefault="004630EB" w:rsidP="004630EB">
            <w:pPr>
              <w:pStyle w:val="Tabletextrightbold"/>
            </w:pPr>
            <w:r w:rsidRPr="00687A1C">
              <w:t>548</w:t>
            </w:r>
          </w:p>
        </w:tc>
        <w:tc>
          <w:tcPr>
            <w:tcW w:w="979" w:type="dxa"/>
            <w:shd w:val="clear" w:color="auto" w:fill="auto"/>
            <w:vAlign w:val="bottom"/>
          </w:tcPr>
          <w:p w:rsidR="004630EB" w:rsidRPr="00687A1C" w:rsidRDefault="004630EB" w:rsidP="004630EB">
            <w:pPr>
              <w:pStyle w:val="Tabletextrightbold"/>
            </w:pPr>
            <w:r w:rsidRPr="00687A1C">
              <w:t>387</w:t>
            </w:r>
          </w:p>
        </w:tc>
        <w:tc>
          <w:tcPr>
            <w:tcW w:w="979" w:type="dxa"/>
            <w:shd w:val="clear" w:color="auto" w:fill="auto"/>
            <w:vAlign w:val="bottom"/>
          </w:tcPr>
          <w:p w:rsidR="004630EB" w:rsidRPr="00687A1C" w:rsidRDefault="004630EB" w:rsidP="004630EB">
            <w:pPr>
              <w:pStyle w:val="Tabletextrightbold"/>
            </w:pPr>
            <w:r w:rsidRPr="00687A1C">
              <w:t>80.00</w:t>
            </w:r>
          </w:p>
        </w:tc>
        <w:tc>
          <w:tcPr>
            <w:tcW w:w="778" w:type="dxa"/>
            <w:shd w:val="clear" w:color="auto" w:fill="auto"/>
            <w:vAlign w:val="bottom"/>
          </w:tcPr>
          <w:p w:rsidR="004630EB" w:rsidRPr="00687A1C" w:rsidRDefault="004630EB" w:rsidP="004630EB">
            <w:pPr>
              <w:pStyle w:val="Tabletextrightbold"/>
            </w:pPr>
            <w:r w:rsidRPr="00687A1C">
              <w:t>442.5</w:t>
            </w:r>
          </w:p>
        </w:tc>
        <w:tc>
          <w:tcPr>
            <w:tcW w:w="950" w:type="dxa"/>
            <w:shd w:val="clear" w:color="auto" w:fill="E0E0E0"/>
            <w:vAlign w:val="bottom"/>
          </w:tcPr>
          <w:p w:rsidR="004630EB" w:rsidRPr="00687A1C" w:rsidRDefault="004630EB" w:rsidP="004630EB">
            <w:pPr>
              <w:pStyle w:val="Tabletextrightbold"/>
            </w:pPr>
            <w:r w:rsidRPr="00687A1C">
              <w:t>107.00</w:t>
            </w:r>
          </w:p>
        </w:tc>
        <w:tc>
          <w:tcPr>
            <w:tcW w:w="778" w:type="dxa"/>
            <w:shd w:val="clear" w:color="auto" w:fill="E0E0E0"/>
            <w:vAlign w:val="bottom"/>
          </w:tcPr>
          <w:p w:rsidR="004630EB" w:rsidRPr="00687A1C" w:rsidRDefault="004630EB" w:rsidP="004630EB">
            <w:pPr>
              <w:pStyle w:val="Tabletextrightbold"/>
            </w:pPr>
            <w:r w:rsidRPr="00687A1C">
              <w:t>105.5</w:t>
            </w:r>
          </w:p>
        </w:tc>
        <w:tc>
          <w:tcPr>
            <w:tcW w:w="950" w:type="dxa"/>
            <w:shd w:val="clear" w:color="auto" w:fill="auto"/>
            <w:noWrap/>
          </w:tcPr>
          <w:p w:rsidR="004630EB" w:rsidRPr="00687A1C" w:rsidRDefault="004630EB" w:rsidP="004630EB">
            <w:pPr>
              <w:pStyle w:val="Tabletextrightbold"/>
            </w:pPr>
            <w:r w:rsidRPr="00687A1C">
              <w:t>544</w:t>
            </w:r>
          </w:p>
        </w:tc>
        <w:tc>
          <w:tcPr>
            <w:tcW w:w="778" w:type="dxa"/>
            <w:shd w:val="clear" w:color="auto" w:fill="auto"/>
          </w:tcPr>
          <w:p w:rsidR="004630EB" w:rsidRPr="00687A1C" w:rsidRDefault="004630EB" w:rsidP="004630EB">
            <w:pPr>
              <w:pStyle w:val="Tabletextrightbold"/>
            </w:pPr>
            <w:r w:rsidRPr="00687A1C">
              <w:t>520.0</w:t>
            </w:r>
          </w:p>
        </w:tc>
        <w:tc>
          <w:tcPr>
            <w:tcW w:w="979" w:type="dxa"/>
            <w:shd w:val="clear" w:color="auto" w:fill="E0E0E0"/>
            <w:noWrap/>
          </w:tcPr>
          <w:p w:rsidR="004630EB" w:rsidRPr="00687A1C" w:rsidRDefault="004630EB" w:rsidP="004630EB">
            <w:pPr>
              <w:pStyle w:val="Tabletextrightbold"/>
            </w:pPr>
            <w:r w:rsidRPr="00687A1C">
              <w:t>361</w:t>
            </w:r>
          </w:p>
        </w:tc>
        <w:tc>
          <w:tcPr>
            <w:tcW w:w="979" w:type="dxa"/>
            <w:shd w:val="clear" w:color="auto" w:fill="E0E0E0"/>
          </w:tcPr>
          <w:p w:rsidR="004630EB" w:rsidRPr="00687A1C" w:rsidRDefault="004630EB" w:rsidP="004630EB">
            <w:pPr>
              <w:pStyle w:val="Tabletextrightbold"/>
            </w:pPr>
            <w:r w:rsidRPr="00687A1C">
              <w:t>69</w:t>
            </w:r>
          </w:p>
        </w:tc>
        <w:tc>
          <w:tcPr>
            <w:tcW w:w="778" w:type="dxa"/>
            <w:shd w:val="clear" w:color="auto" w:fill="E0E0E0"/>
          </w:tcPr>
          <w:p w:rsidR="004630EB" w:rsidRPr="00687A1C" w:rsidRDefault="004630EB" w:rsidP="004630EB">
            <w:pPr>
              <w:pStyle w:val="Tabletextrightbold"/>
            </w:pPr>
            <w:r w:rsidRPr="00687A1C">
              <w:t>408.00</w:t>
            </w:r>
          </w:p>
        </w:tc>
        <w:tc>
          <w:tcPr>
            <w:tcW w:w="950" w:type="dxa"/>
          </w:tcPr>
          <w:p w:rsidR="004630EB" w:rsidRPr="00687A1C" w:rsidRDefault="004630EB" w:rsidP="004630EB">
            <w:pPr>
              <w:pStyle w:val="Tabletextrightbold"/>
            </w:pPr>
            <w:r w:rsidRPr="00687A1C">
              <w:t>113.6</w:t>
            </w:r>
          </w:p>
        </w:tc>
        <w:tc>
          <w:tcPr>
            <w:tcW w:w="778" w:type="dxa"/>
          </w:tcPr>
          <w:p w:rsidR="004630EB" w:rsidRPr="00687A1C" w:rsidRDefault="004630EB" w:rsidP="004630EB">
            <w:pPr>
              <w:pStyle w:val="Tabletextrightbold"/>
            </w:pPr>
            <w:r w:rsidRPr="00687A1C">
              <w:t>112.00</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Grade 1</w:t>
            </w:r>
          </w:p>
        </w:tc>
        <w:tc>
          <w:tcPr>
            <w:tcW w:w="950"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w:t>
            </w:r>
          </w:p>
        </w:tc>
        <w:tc>
          <w:tcPr>
            <w:tcW w:w="979" w:type="dxa"/>
            <w:shd w:val="clear" w:color="auto" w:fill="auto"/>
            <w:vAlign w:val="bottom"/>
          </w:tcPr>
          <w:p w:rsidR="004630EB" w:rsidRPr="00687A1C" w:rsidRDefault="004630EB" w:rsidP="004630EB">
            <w:pPr>
              <w:pStyle w:val="Tabletextright"/>
            </w:pPr>
            <w:r w:rsidRPr="00687A1C">
              <w:t>–</w:t>
            </w:r>
          </w:p>
        </w:tc>
        <w:tc>
          <w:tcPr>
            <w:tcW w:w="979" w:type="dxa"/>
            <w:shd w:val="clear" w:color="auto" w:fill="auto"/>
            <w:vAlign w:val="bottom"/>
          </w:tcPr>
          <w:p w:rsidR="004630EB" w:rsidRPr="00687A1C" w:rsidRDefault="004630EB"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w:t>
            </w:r>
          </w:p>
        </w:tc>
        <w:tc>
          <w:tcPr>
            <w:tcW w:w="950"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w:t>
            </w:r>
          </w:p>
        </w:tc>
        <w:tc>
          <w:tcPr>
            <w:tcW w:w="950" w:type="dxa"/>
            <w:shd w:val="clear" w:color="auto" w:fill="auto"/>
            <w:noWrap/>
            <w:vAlign w:val="bottom"/>
          </w:tcPr>
          <w:p w:rsidR="004630EB" w:rsidRPr="00687A1C" w:rsidRDefault="004630EB"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w:t>
            </w:r>
          </w:p>
        </w:tc>
        <w:tc>
          <w:tcPr>
            <w:tcW w:w="979" w:type="dxa"/>
            <w:shd w:val="clear" w:color="auto" w:fill="E0E0E0"/>
            <w:noWrap/>
            <w:vAlign w:val="bottom"/>
          </w:tcPr>
          <w:p w:rsidR="004630EB" w:rsidRPr="00687A1C" w:rsidRDefault="004630EB" w:rsidP="004630EB">
            <w:pPr>
              <w:pStyle w:val="Tabletextright"/>
            </w:pPr>
            <w:r w:rsidRPr="00687A1C">
              <w:t>–</w:t>
            </w:r>
          </w:p>
        </w:tc>
        <w:tc>
          <w:tcPr>
            <w:tcW w:w="979"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w:t>
            </w:r>
          </w:p>
        </w:tc>
        <w:tc>
          <w:tcPr>
            <w:tcW w:w="950" w:type="dxa"/>
            <w:vAlign w:val="bottom"/>
          </w:tcPr>
          <w:p w:rsidR="004630EB" w:rsidRPr="00687A1C" w:rsidRDefault="004630EB" w:rsidP="004630EB">
            <w:pPr>
              <w:pStyle w:val="Tabletextright"/>
            </w:pPr>
            <w:r w:rsidRPr="00687A1C">
              <w:t>–</w:t>
            </w:r>
          </w:p>
        </w:tc>
        <w:tc>
          <w:tcPr>
            <w:tcW w:w="778" w:type="dxa"/>
            <w:vAlign w:val="bottom"/>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Grade 2</w:t>
            </w:r>
          </w:p>
        </w:tc>
        <w:tc>
          <w:tcPr>
            <w:tcW w:w="950" w:type="dxa"/>
            <w:shd w:val="clear" w:color="auto" w:fill="E0E0E0"/>
            <w:vAlign w:val="bottom"/>
          </w:tcPr>
          <w:p w:rsidR="004630EB" w:rsidRPr="00687A1C" w:rsidRDefault="004630EB" w:rsidP="004630EB">
            <w:pPr>
              <w:pStyle w:val="Tabletextright"/>
            </w:pPr>
            <w:r w:rsidRPr="00687A1C">
              <w:t>70</w:t>
            </w:r>
          </w:p>
        </w:tc>
        <w:tc>
          <w:tcPr>
            <w:tcW w:w="778" w:type="dxa"/>
            <w:shd w:val="clear" w:color="auto" w:fill="E0E0E0"/>
            <w:vAlign w:val="bottom"/>
          </w:tcPr>
          <w:p w:rsidR="004630EB" w:rsidRPr="00687A1C" w:rsidRDefault="004630EB" w:rsidP="004630EB">
            <w:pPr>
              <w:pStyle w:val="Tabletextright"/>
            </w:pPr>
            <w:r w:rsidRPr="00687A1C">
              <w:t>65.00</w:t>
            </w:r>
          </w:p>
        </w:tc>
        <w:tc>
          <w:tcPr>
            <w:tcW w:w="979" w:type="dxa"/>
            <w:shd w:val="clear" w:color="auto" w:fill="auto"/>
            <w:vAlign w:val="bottom"/>
          </w:tcPr>
          <w:p w:rsidR="004630EB" w:rsidRPr="00687A1C" w:rsidRDefault="004630EB" w:rsidP="004630EB">
            <w:pPr>
              <w:pStyle w:val="Tabletextright"/>
            </w:pPr>
            <w:r w:rsidRPr="00687A1C">
              <w:t>24</w:t>
            </w:r>
          </w:p>
        </w:tc>
        <w:tc>
          <w:tcPr>
            <w:tcW w:w="979" w:type="dxa"/>
            <w:shd w:val="clear" w:color="auto" w:fill="auto"/>
            <w:vAlign w:val="bottom"/>
          </w:tcPr>
          <w:p w:rsidR="004630EB" w:rsidRPr="00687A1C" w:rsidRDefault="004630EB" w:rsidP="004630EB">
            <w:pPr>
              <w:pStyle w:val="Tabletextright"/>
            </w:pPr>
            <w:r w:rsidRPr="00687A1C">
              <w:t>15</w:t>
            </w:r>
          </w:p>
        </w:tc>
        <w:tc>
          <w:tcPr>
            <w:tcW w:w="778" w:type="dxa"/>
            <w:shd w:val="clear" w:color="auto" w:fill="auto"/>
            <w:vAlign w:val="bottom"/>
          </w:tcPr>
          <w:p w:rsidR="004630EB" w:rsidRPr="00687A1C" w:rsidRDefault="004630EB" w:rsidP="004630EB">
            <w:pPr>
              <w:pStyle w:val="Tabletextright"/>
            </w:pPr>
            <w:r w:rsidRPr="00687A1C">
              <w:t>34.00</w:t>
            </w:r>
          </w:p>
        </w:tc>
        <w:tc>
          <w:tcPr>
            <w:tcW w:w="950" w:type="dxa"/>
            <w:shd w:val="clear" w:color="auto" w:fill="E0E0E0"/>
            <w:vAlign w:val="bottom"/>
          </w:tcPr>
          <w:p w:rsidR="004630EB" w:rsidRPr="00687A1C" w:rsidRDefault="004630EB" w:rsidP="004630EB">
            <w:pPr>
              <w:pStyle w:val="Tabletextright"/>
            </w:pPr>
            <w:r w:rsidRPr="00687A1C">
              <w:t>31</w:t>
            </w:r>
          </w:p>
        </w:tc>
        <w:tc>
          <w:tcPr>
            <w:tcW w:w="778" w:type="dxa"/>
            <w:shd w:val="clear" w:color="auto" w:fill="E0E0E0"/>
            <w:vAlign w:val="bottom"/>
          </w:tcPr>
          <w:p w:rsidR="004630EB" w:rsidRPr="00687A1C" w:rsidRDefault="004630EB" w:rsidP="004630EB">
            <w:pPr>
              <w:pStyle w:val="Tabletextright"/>
            </w:pPr>
            <w:r w:rsidRPr="00687A1C">
              <w:t>31.00</w:t>
            </w:r>
          </w:p>
        </w:tc>
        <w:tc>
          <w:tcPr>
            <w:tcW w:w="950" w:type="dxa"/>
            <w:shd w:val="clear" w:color="auto" w:fill="auto"/>
            <w:noWrap/>
            <w:vAlign w:val="bottom"/>
          </w:tcPr>
          <w:p w:rsidR="004630EB" w:rsidRPr="00687A1C" w:rsidRDefault="004630EB" w:rsidP="004630EB">
            <w:pPr>
              <w:pStyle w:val="Tabletextright"/>
            </w:pPr>
            <w:r w:rsidRPr="00687A1C">
              <w:t>63</w:t>
            </w:r>
          </w:p>
        </w:tc>
        <w:tc>
          <w:tcPr>
            <w:tcW w:w="778" w:type="dxa"/>
            <w:shd w:val="clear" w:color="auto" w:fill="auto"/>
            <w:vAlign w:val="bottom"/>
          </w:tcPr>
          <w:p w:rsidR="004630EB" w:rsidRPr="00687A1C" w:rsidRDefault="004630EB" w:rsidP="004630EB">
            <w:pPr>
              <w:pStyle w:val="Tabletextright"/>
            </w:pPr>
            <w:r w:rsidRPr="00687A1C">
              <w:t>58.00</w:t>
            </w:r>
          </w:p>
        </w:tc>
        <w:tc>
          <w:tcPr>
            <w:tcW w:w="979" w:type="dxa"/>
            <w:shd w:val="clear" w:color="auto" w:fill="E0E0E0"/>
            <w:noWrap/>
            <w:vAlign w:val="bottom"/>
          </w:tcPr>
          <w:p w:rsidR="004630EB" w:rsidRPr="00687A1C" w:rsidRDefault="004630EB" w:rsidP="004630EB">
            <w:pPr>
              <w:pStyle w:val="Tabletextright"/>
            </w:pPr>
            <w:r w:rsidRPr="00687A1C">
              <w:t>16</w:t>
            </w:r>
          </w:p>
        </w:tc>
        <w:tc>
          <w:tcPr>
            <w:tcW w:w="979" w:type="dxa"/>
            <w:shd w:val="clear" w:color="auto" w:fill="E0E0E0"/>
            <w:vAlign w:val="bottom"/>
          </w:tcPr>
          <w:p w:rsidR="004630EB" w:rsidRPr="00687A1C" w:rsidRDefault="004630EB" w:rsidP="004630EB">
            <w:pPr>
              <w:pStyle w:val="Tabletextright"/>
            </w:pPr>
            <w:r w:rsidRPr="00687A1C">
              <w:t>11</w:t>
            </w:r>
          </w:p>
        </w:tc>
        <w:tc>
          <w:tcPr>
            <w:tcW w:w="778" w:type="dxa"/>
            <w:shd w:val="clear" w:color="auto" w:fill="E0E0E0"/>
            <w:vAlign w:val="bottom"/>
          </w:tcPr>
          <w:p w:rsidR="004630EB" w:rsidRPr="00687A1C" w:rsidRDefault="004630EB" w:rsidP="004630EB">
            <w:pPr>
              <w:pStyle w:val="Tabletextright"/>
            </w:pPr>
            <w:r w:rsidRPr="00687A1C">
              <w:t>23.00</w:t>
            </w:r>
          </w:p>
        </w:tc>
        <w:tc>
          <w:tcPr>
            <w:tcW w:w="950" w:type="dxa"/>
            <w:vAlign w:val="bottom"/>
          </w:tcPr>
          <w:p w:rsidR="004630EB" w:rsidRPr="00687A1C" w:rsidRDefault="004630EB" w:rsidP="004630EB">
            <w:pPr>
              <w:pStyle w:val="Tabletextright"/>
            </w:pPr>
            <w:r w:rsidRPr="00687A1C">
              <w:t>36</w:t>
            </w:r>
          </w:p>
        </w:tc>
        <w:tc>
          <w:tcPr>
            <w:tcW w:w="778" w:type="dxa"/>
            <w:vAlign w:val="bottom"/>
          </w:tcPr>
          <w:p w:rsidR="004630EB" w:rsidRPr="00687A1C" w:rsidRDefault="004630EB" w:rsidP="004630EB">
            <w:pPr>
              <w:pStyle w:val="Tabletextright"/>
            </w:pPr>
            <w:r w:rsidRPr="00687A1C">
              <w:t>35.00</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Grade 3</w:t>
            </w:r>
          </w:p>
        </w:tc>
        <w:tc>
          <w:tcPr>
            <w:tcW w:w="950" w:type="dxa"/>
            <w:shd w:val="clear" w:color="auto" w:fill="E0E0E0"/>
            <w:vAlign w:val="bottom"/>
          </w:tcPr>
          <w:p w:rsidR="004630EB" w:rsidRPr="00687A1C" w:rsidRDefault="004630EB" w:rsidP="004630EB">
            <w:pPr>
              <w:pStyle w:val="Tabletextright"/>
            </w:pPr>
            <w:r w:rsidRPr="00687A1C">
              <w:t>207</w:t>
            </w:r>
          </w:p>
        </w:tc>
        <w:tc>
          <w:tcPr>
            <w:tcW w:w="778" w:type="dxa"/>
            <w:shd w:val="clear" w:color="auto" w:fill="E0E0E0"/>
            <w:vAlign w:val="bottom"/>
          </w:tcPr>
          <w:p w:rsidR="004630EB" w:rsidRPr="00687A1C" w:rsidRDefault="004630EB" w:rsidP="004630EB">
            <w:pPr>
              <w:pStyle w:val="Tabletextright"/>
            </w:pPr>
            <w:r w:rsidRPr="00687A1C">
              <w:t>197.83</w:t>
            </w:r>
          </w:p>
        </w:tc>
        <w:tc>
          <w:tcPr>
            <w:tcW w:w="979" w:type="dxa"/>
            <w:shd w:val="clear" w:color="auto" w:fill="auto"/>
            <w:vAlign w:val="bottom"/>
          </w:tcPr>
          <w:p w:rsidR="004630EB" w:rsidRPr="00687A1C" w:rsidRDefault="004630EB" w:rsidP="004630EB">
            <w:pPr>
              <w:pStyle w:val="Tabletextright"/>
            </w:pPr>
            <w:r w:rsidRPr="00687A1C">
              <w:t>121</w:t>
            </w:r>
          </w:p>
        </w:tc>
        <w:tc>
          <w:tcPr>
            <w:tcW w:w="979" w:type="dxa"/>
            <w:shd w:val="clear" w:color="auto" w:fill="auto"/>
            <w:vAlign w:val="bottom"/>
          </w:tcPr>
          <w:p w:rsidR="004630EB" w:rsidRPr="00687A1C" w:rsidRDefault="004630EB" w:rsidP="004630EB">
            <w:pPr>
              <w:pStyle w:val="Tabletextright"/>
            </w:pPr>
            <w:r w:rsidRPr="00687A1C">
              <w:t>29</w:t>
            </w:r>
          </w:p>
        </w:tc>
        <w:tc>
          <w:tcPr>
            <w:tcW w:w="778" w:type="dxa"/>
            <w:shd w:val="clear" w:color="auto" w:fill="auto"/>
            <w:vAlign w:val="bottom"/>
          </w:tcPr>
          <w:p w:rsidR="004630EB" w:rsidRPr="00687A1C" w:rsidRDefault="004630EB" w:rsidP="004630EB">
            <w:pPr>
              <w:pStyle w:val="Tabletextright"/>
            </w:pPr>
            <w:r w:rsidRPr="00687A1C">
              <w:t>141.53</w:t>
            </w:r>
          </w:p>
        </w:tc>
        <w:tc>
          <w:tcPr>
            <w:tcW w:w="950" w:type="dxa"/>
            <w:shd w:val="clear" w:color="auto" w:fill="E0E0E0"/>
            <w:vAlign w:val="bottom"/>
          </w:tcPr>
          <w:p w:rsidR="004630EB" w:rsidRPr="00687A1C" w:rsidRDefault="004630EB" w:rsidP="004630EB">
            <w:pPr>
              <w:pStyle w:val="Tabletextright"/>
            </w:pPr>
            <w:r w:rsidRPr="00687A1C">
              <w:t>57</w:t>
            </w:r>
          </w:p>
        </w:tc>
        <w:tc>
          <w:tcPr>
            <w:tcW w:w="778" w:type="dxa"/>
            <w:shd w:val="clear" w:color="auto" w:fill="E0E0E0"/>
            <w:vAlign w:val="bottom"/>
          </w:tcPr>
          <w:p w:rsidR="004630EB" w:rsidRPr="00687A1C" w:rsidRDefault="004630EB" w:rsidP="004630EB">
            <w:pPr>
              <w:pStyle w:val="Tabletextright"/>
            </w:pPr>
            <w:r w:rsidRPr="00687A1C">
              <w:t>56.30</w:t>
            </w:r>
          </w:p>
        </w:tc>
        <w:tc>
          <w:tcPr>
            <w:tcW w:w="950" w:type="dxa"/>
            <w:shd w:val="clear" w:color="auto" w:fill="auto"/>
            <w:noWrap/>
            <w:vAlign w:val="bottom"/>
          </w:tcPr>
          <w:p w:rsidR="004630EB" w:rsidRPr="00687A1C" w:rsidRDefault="004630EB" w:rsidP="004630EB">
            <w:pPr>
              <w:pStyle w:val="Tabletextright"/>
            </w:pPr>
            <w:r w:rsidRPr="00687A1C">
              <w:t>189</w:t>
            </w:r>
          </w:p>
        </w:tc>
        <w:tc>
          <w:tcPr>
            <w:tcW w:w="778" w:type="dxa"/>
            <w:shd w:val="clear" w:color="auto" w:fill="auto"/>
            <w:vAlign w:val="bottom"/>
          </w:tcPr>
          <w:p w:rsidR="004630EB" w:rsidRPr="00687A1C" w:rsidRDefault="004630EB" w:rsidP="004630EB">
            <w:pPr>
              <w:pStyle w:val="Tabletextright"/>
            </w:pPr>
            <w:r w:rsidRPr="00687A1C">
              <w:t>180.00</w:t>
            </w:r>
          </w:p>
        </w:tc>
        <w:tc>
          <w:tcPr>
            <w:tcW w:w="979" w:type="dxa"/>
            <w:shd w:val="clear" w:color="auto" w:fill="E0E0E0"/>
            <w:noWrap/>
            <w:vAlign w:val="bottom"/>
          </w:tcPr>
          <w:p w:rsidR="004630EB" w:rsidRPr="00687A1C" w:rsidRDefault="004630EB" w:rsidP="004630EB">
            <w:pPr>
              <w:pStyle w:val="Tabletextright"/>
            </w:pPr>
            <w:r w:rsidRPr="00687A1C">
              <w:t>103</w:t>
            </w:r>
          </w:p>
        </w:tc>
        <w:tc>
          <w:tcPr>
            <w:tcW w:w="979" w:type="dxa"/>
            <w:shd w:val="clear" w:color="auto" w:fill="E0E0E0"/>
            <w:vAlign w:val="bottom"/>
          </w:tcPr>
          <w:p w:rsidR="004630EB" w:rsidRPr="00687A1C" w:rsidRDefault="004630EB" w:rsidP="004630EB">
            <w:pPr>
              <w:pStyle w:val="Tabletextright"/>
            </w:pPr>
            <w:r w:rsidRPr="00687A1C">
              <w:t>29</w:t>
            </w:r>
          </w:p>
        </w:tc>
        <w:tc>
          <w:tcPr>
            <w:tcW w:w="778" w:type="dxa"/>
            <w:shd w:val="clear" w:color="auto" w:fill="E0E0E0"/>
            <w:vAlign w:val="bottom"/>
          </w:tcPr>
          <w:p w:rsidR="004630EB" w:rsidRPr="00687A1C" w:rsidRDefault="004630EB" w:rsidP="004630EB">
            <w:pPr>
              <w:pStyle w:val="Tabletextright"/>
            </w:pPr>
            <w:r w:rsidRPr="00687A1C">
              <w:t>124.00</w:t>
            </w:r>
          </w:p>
        </w:tc>
        <w:tc>
          <w:tcPr>
            <w:tcW w:w="950" w:type="dxa"/>
            <w:vAlign w:val="bottom"/>
          </w:tcPr>
          <w:p w:rsidR="004630EB" w:rsidRPr="00687A1C" w:rsidRDefault="004630EB" w:rsidP="004630EB">
            <w:pPr>
              <w:pStyle w:val="Tabletextright"/>
            </w:pPr>
            <w:r w:rsidRPr="00687A1C">
              <w:t>57</w:t>
            </w:r>
          </w:p>
        </w:tc>
        <w:tc>
          <w:tcPr>
            <w:tcW w:w="778" w:type="dxa"/>
            <w:vAlign w:val="bottom"/>
          </w:tcPr>
          <w:p w:rsidR="004630EB" w:rsidRPr="00687A1C" w:rsidRDefault="004630EB" w:rsidP="004630EB">
            <w:pPr>
              <w:pStyle w:val="Tabletextright"/>
            </w:pPr>
            <w:r w:rsidRPr="00687A1C">
              <w:t>56.00</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Grade 4</w:t>
            </w:r>
          </w:p>
        </w:tc>
        <w:tc>
          <w:tcPr>
            <w:tcW w:w="950" w:type="dxa"/>
            <w:shd w:val="clear" w:color="auto" w:fill="E0E0E0"/>
            <w:vAlign w:val="bottom"/>
          </w:tcPr>
          <w:p w:rsidR="004630EB" w:rsidRPr="00687A1C" w:rsidRDefault="004630EB" w:rsidP="004630EB">
            <w:pPr>
              <w:pStyle w:val="Tabletextright"/>
            </w:pPr>
            <w:r w:rsidRPr="00687A1C">
              <w:t>112</w:t>
            </w:r>
          </w:p>
        </w:tc>
        <w:tc>
          <w:tcPr>
            <w:tcW w:w="778" w:type="dxa"/>
            <w:shd w:val="clear" w:color="auto" w:fill="E0E0E0"/>
            <w:vAlign w:val="bottom"/>
          </w:tcPr>
          <w:p w:rsidR="004630EB" w:rsidRPr="00687A1C" w:rsidRDefault="004630EB" w:rsidP="004630EB">
            <w:pPr>
              <w:pStyle w:val="Tabletextright"/>
            </w:pPr>
            <w:r w:rsidRPr="00687A1C">
              <w:t>106.03</w:t>
            </w:r>
          </w:p>
        </w:tc>
        <w:tc>
          <w:tcPr>
            <w:tcW w:w="979" w:type="dxa"/>
            <w:shd w:val="clear" w:color="auto" w:fill="auto"/>
            <w:vAlign w:val="bottom"/>
          </w:tcPr>
          <w:p w:rsidR="004630EB" w:rsidRPr="00687A1C" w:rsidRDefault="004630EB" w:rsidP="004630EB">
            <w:pPr>
              <w:pStyle w:val="Tabletextright"/>
            </w:pPr>
            <w:r w:rsidRPr="00687A1C">
              <w:t>89</w:t>
            </w:r>
          </w:p>
        </w:tc>
        <w:tc>
          <w:tcPr>
            <w:tcW w:w="979" w:type="dxa"/>
            <w:shd w:val="clear" w:color="auto" w:fill="auto"/>
            <w:vAlign w:val="bottom"/>
          </w:tcPr>
          <w:p w:rsidR="004630EB" w:rsidRPr="00687A1C" w:rsidRDefault="004630EB" w:rsidP="004630EB">
            <w:pPr>
              <w:pStyle w:val="Tabletextright"/>
            </w:pPr>
            <w:r w:rsidRPr="00687A1C">
              <w:t>17</w:t>
            </w:r>
          </w:p>
        </w:tc>
        <w:tc>
          <w:tcPr>
            <w:tcW w:w="778" w:type="dxa"/>
            <w:shd w:val="clear" w:color="auto" w:fill="auto"/>
            <w:vAlign w:val="bottom"/>
          </w:tcPr>
          <w:p w:rsidR="004630EB" w:rsidRPr="00687A1C" w:rsidRDefault="004630EB" w:rsidP="004630EB">
            <w:pPr>
              <w:pStyle w:val="Tabletextright"/>
            </w:pPr>
            <w:r w:rsidRPr="00687A1C">
              <w:t>100.83</w:t>
            </w:r>
          </w:p>
        </w:tc>
        <w:tc>
          <w:tcPr>
            <w:tcW w:w="950" w:type="dxa"/>
            <w:shd w:val="clear" w:color="auto" w:fill="E0E0E0"/>
            <w:vAlign w:val="bottom"/>
          </w:tcPr>
          <w:p w:rsidR="004630EB" w:rsidRPr="00687A1C" w:rsidRDefault="004630EB" w:rsidP="004630EB">
            <w:pPr>
              <w:pStyle w:val="Tabletextright"/>
            </w:pPr>
            <w:r w:rsidRPr="00687A1C">
              <w:t>6</w:t>
            </w:r>
          </w:p>
        </w:tc>
        <w:tc>
          <w:tcPr>
            <w:tcW w:w="778" w:type="dxa"/>
            <w:shd w:val="clear" w:color="auto" w:fill="E0E0E0"/>
            <w:vAlign w:val="bottom"/>
          </w:tcPr>
          <w:p w:rsidR="004630EB" w:rsidRPr="00687A1C" w:rsidRDefault="004630EB" w:rsidP="004630EB">
            <w:pPr>
              <w:pStyle w:val="Tabletextright"/>
            </w:pPr>
            <w:r w:rsidRPr="00687A1C">
              <w:t>5.20</w:t>
            </w:r>
          </w:p>
        </w:tc>
        <w:tc>
          <w:tcPr>
            <w:tcW w:w="950" w:type="dxa"/>
            <w:shd w:val="clear" w:color="auto" w:fill="auto"/>
            <w:noWrap/>
            <w:vAlign w:val="bottom"/>
          </w:tcPr>
          <w:p w:rsidR="004630EB" w:rsidRPr="00687A1C" w:rsidRDefault="004630EB" w:rsidP="004630EB">
            <w:pPr>
              <w:pStyle w:val="Tabletextright"/>
            </w:pPr>
            <w:r w:rsidRPr="00687A1C">
              <w:t>132</w:t>
            </w:r>
          </w:p>
        </w:tc>
        <w:tc>
          <w:tcPr>
            <w:tcW w:w="778" w:type="dxa"/>
            <w:shd w:val="clear" w:color="auto" w:fill="auto"/>
            <w:vAlign w:val="bottom"/>
          </w:tcPr>
          <w:p w:rsidR="004630EB" w:rsidRPr="00687A1C" w:rsidRDefault="004630EB" w:rsidP="004630EB">
            <w:pPr>
              <w:pStyle w:val="Tabletextright"/>
            </w:pPr>
            <w:r w:rsidRPr="00687A1C">
              <w:t>127.00</w:t>
            </w:r>
          </w:p>
        </w:tc>
        <w:tc>
          <w:tcPr>
            <w:tcW w:w="979" w:type="dxa"/>
            <w:shd w:val="clear" w:color="auto" w:fill="E0E0E0"/>
            <w:noWrap/>
            <w:vAlign w:val="bottom"/>
          </w:tcPr>
          <w:p w:rsidR="004630EB" w:rsidRPr="00687A1C" w:rsidRDefault="004630EB" w:rsidP="004630EB">
            <w:pPr>
              <w:pStyle w:val="Tabletextright"/>
            </w:pPr>
            <w:r w:rsidRPr="00687A1C">
              <w:t>104</w:t>
            </w:r>
          </w:p>
        </w:tc>
        <w:tc>
          <w:tcPr>
            <w:tcW w:w="979" w:type="dxa"/>
            <w:shd w:val="clear" w:color="auto" w:fill="E0E0E0"/>
            <w:vAlign w:val="bottom"/>
          </w:tcPr>
          <w:p w:rsidR="004630EB" w:rsidRPr="00687A1C" w:rsidRDefault="004630EB" w:rsidP="004630EB">
            <w:pPr>
              <w:pStyle w:val="Tabletextright"/>
            </w:pPr>
            <w:r w:rsidRPr="00687A1C">
              <w:t>16</w:t>
            </w:r>
          </w:p>
        </w:tc>
        <w:tc>
          <w:tcPr>
            <w:tcW w:w="778" w:type="dxa"/>
            <w:shd w:val="clear" w:color="auto" w:fill="E0E0E0"/>
            <w:vAlign w:val="bottom"/>
          </w:tcPr>
          <w:p w:rsidR="004630EB" w:rsidRPr="00687A1C" w:rsidRDefault="004630EB" w:rsidP="004630EB">
            <w:pPr>
              <w:pStyle w:val="Tabletextright"/>
            </w:pPr>
            <w:r w:rsidRPr="00687A1C">
              <w:t>115.00</w:t>
            </w:r>
          </w:p>
        </w:tc>
        <w:tc>
          <w:tcPr>
            <w:tcW w:w="950" w:type="dxa"/>
            <w:vAlign w:val="bottom"/>
          </w:tcPr>
          <w:p w:rsidR="004630EB" w:rsidRPr="00687A1C" w:rsidRDefault="004630EB" w:rsidP="004630EB">
            <w:pPr>
              <w:pStyle w:val="Tabletextright"/>
            </w:pPr>
            <w:r w:rsidRPr="00687A1C">
              <w:t>11.6</w:t>
            </w:r>
          </w:p>
        </w:tc>
        <w:tc>
          <w:tcPr>
            <w:tcW w:w="778" w:type="dxa"/>
            <w:vAlign w:val="bottom"/>
          </w:tcPr>
          <w:p w:rsidR="004630EB" w:rsidRPr="00687A1C" w:rsidRDefault="004630EB" w:rsidP="004630EB">
            <w:pPr>
              <w:pStyle w:val="Tabletextright"/>
            </w:pPr>
            <w:r w:rsidRPr="00687A1C">
              <w:t>12.00</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Grade 5</w:t>
            </w:r>
          </w:p>
        </w:tc>
        <w:tc>
          <w:tcPr>
            <w:tcW w:w="950" w:type="dxa"/>
            <w:shd w:val="clear" w:color="auto" w:fill="E0E0E0"/>
            <w:vAlign w:val="bottom"/>
          </w:tcPr>
          <w:p w:rsidR="004630EB" w:rsidRPr="00687A1C" w:rsidRDefault="004630EB" w:rsidP="004630EB">
            <w:pPr>
              <w:pStyle w:val="Tabletextright"/>
            </w:pPr>
            <w:r w:rsidRPr="00687A1C">
              <w:t>110</w:t>
            </w:r>
          </w:p>
        </w:tc>
        <w:tc>
          <w:tcPr>
            <w:tcW w:w="778" w:type="dxa"/>
            <w:shd w:val="clear" w:color="auto" w:fill="E0E0E0"/>
            <w:vAlign w:val="bottom"/>
          </w:tcPr>
          <w:p w:rsidR="004630EB" w:rsidRPr="00687A1C" w:rsidRDefault="004630EB" w:rsidP="004630EB">
            <w:pPr>
              <w:pStyle w:val="Tabletextright"/>
            </w:pPr>
            <w:r w:rsidRPr="00687A1C">
              <w:t>107.14</w:t>
            </w:r>
          </w:p>
        </w:tc>
        <w:tc>
          <w:tcPr>
            <w:tcW w:w="979" w:type="dxa"/>
            <w:shd w:val="clear" w:color="auto" w:fill="auto"/>
            <w:vAlign w:val="bottom"/>
          </w:tcPr>
          <w:p w:rsidR="004630EB" w:rsidRPr="00687A1C" w:rsidRDefault="004630EB" w:rsidP="004630EB">
            <w:pPr>
              <w:pStyle w:val="Tabletextright"/>
            </w:pPr>
            <w:r w:rsidRPr="00687A1C">
              <w:t>92</w:t>
            </w:r>
          </w:p>
        </w:tc>
        <w:tc>
          <w:tcPr>
            <w:tcW w:w="979" w:type="dxa"/>
            <w:shd w:val="clear" w:color="auto" w:fill="auto"/>
            <w:vAlign w:val="bottom"/>
          </w:tcPr>
          <w:p w:rsidR="004630EB" w:rsidRPr="00687A1C" w:rsidRDefault="004630EB" w:rsidP="004630EB">
            <w:pPr>
              <w:pStyle w:val="Tabletextright"/>
            </w:pPr>
            <w:r w:rsidRPr="00687A1C">
              <w:t>9</w:t>
            </w:r>
          </w:p>
        </w:tc>
        <w:tc>
          <w:tcPr>
            <w:tcW w:w="778" w:type="dxa"/>
            <w:shd w:val="clear" w:color="auto" w:fill="auto"/>
            <w:vAlign w:val="bottom"/>
          </w:tcPr>
          <w:p w:rsidR="004630EB" w:rsidRPr="00687A1C" w:rsidRDefault="004630EB" w:rsidP="004630EB">
            <w:pPr>
              <w:pStyle w:val="Tabletextright"/>
            </w:pPr>
            <w:r w:rsidRPr="00687A1C">
              <w:t>98.14</w:t>
            </w:r>
          </w:p>
        </w:tc>
        <w:tc>
          <w:tcPr>
            <w:tcW w:w="950" w:type="dxa"/>
            <w:shd w:val="clear" w:color="auto" w:fill="E0E0E0"/>
            <w:vAlign w:val="bottom"/>
          </w:tcPr>
          <w:p w:rsidR="004630EB" w:rsidRPr="00687A1C" w:rsidRDefault="004630EB" w:rsidP="004630EB">
            <w:pPr>
              <w:pStyle w:val="Tabletextright"/>
            </w:pPr>
            <w:r w:rsidRPr="00687A1C">
              <w:t>9</w:t>
            </w:r>
          </w:p>
        </w:tc>
        <w:tc>
          <w:tcPr>
            <w:tcW w:w="778" w:type="dxa"/>
            <w:shd w:val="clear" w:color="auto" w:fill="E0E0E0"/>
            <w:vAlign w:val="bottom"/>
          </w:tcPr>
          <w:p w:rsidR="004630EB" w:rsidRPr="00687A1C" w:rsidRDefault="004630EB" w:rsidP="004630EB">
            <w:pPr>
              <w:pStyle w:val="Tabletextright"/>
            </w:pPr>
            <w:r w:rsidRPr="00687A1C">
              <w:t>9.00</w:t>
            </w:r>
          </w:p>
        </w:tc>
        <w:tc>
          <w:tcPr>
            <w:tcW w:w="950" w:type="dxa"/>
            <w:shd w:val="clear" w:color="auto" w:fill="auto"/>
            <w:noWrap/>
            <w:vAlign w:val="bottom"/>
          </w:tcPr>
          <w:p w:rsidR="004630EB" w:rsidRPr="00687A1C" w:rsidRDefault="004630EB" w:rsidP="004630EB">
            <w:pPr>
              <w:pStyle w:val="Tabletextright"/>
            </w:pPr>
            <w:r w:rsidRPr="00687A1C">
              <w:t>111</w:t>
            </w:r>
          </w:p>
        </w:tc>
        <w:tc>
          <w:tcPr>
            <w:tcW w:w="778" w:type="dxa"/>
            <w:shd w:val="clear" w:color="auto" w:fill="auto"/>
            <w:vAlign w:val="bottom"/>
          </w:tcPr>
          <w:p w:rsidR="004630EB" w:rsidRPr="00687A1C" w:rsidRDefault="004630EB" w:rsidP="004630EB">
            <w:pPr>
              <w:pStyle w:val="Tabletextright"/>
            </w:pPr>
            <w:r w:rsidRPr="00687A1C">
              <w:t>108.00</w:t>
            </w:r>
          </w:p>
        </w:tc>
        <w:tc>
          <w:tcPr>
            <w:tcW w:w="979" w:type="dxa"/>
            <w:shd w:val="clear" w:color="auto" w:fill="E0E0E0"/>
            <w:noWrap/>
            <w:vAlign w:val="bottom"/>
          </w:tcPr>
          <w:p w:rsidR="004630EB" w:rsidRPr="00687A1C" w:rsidRDefault="004630EB" w:rsidP="004630EB">
            <w:pPr>
              <w:pStyle w:val="Tabletextright"/>
            </w:pPr>
            <w:r w:rsidRPr="00687A1C">
              <w:t>95</w:t>
            </w:r>
          </w:p>
        </w:tc>
        <w:tc>
          <w:tcPr>
            <w:tcW w:w="979" w:type="dxa"/>
            <w:shd w:val="clear" w:color="auto" w:fill="E0E0E0"/>
            <w:vAlign w:val="bottom"/>
          </w:tcPr>
          <w:p w:rsidR="004630EB" w:rsidRPr="00687A1C" w:rsidRDefault="004630EB" w:rsidP="004630EB">
            <w:pPr>
              <w:pStyle w:val="Tabletextright"/>
            </w:pPr>
            <w:r w:rsidRPr="00687A1C">
              <w:t>8</w:t>
            </w:r>
          </w:p>
        </w:tc>
        <w:tc>
          <w:tcPr>
            <w:tcW w:w="778" w:type="dxa"/>
            <w:shd w:val="clear" w:color="auto" w:fill="E0E0E0"/>
            <w:vAlign w:val="bottom"/>
          </w:tcPr>
          <w:p w:rsidR="004630EB" w:rsidRPr="00687A1C" w:rsidRDefault="004630EB" w:rsidP="004630EB">
            <w:pPr>
              <w:pStyle w:val="Tabletextright"/>
            </w:pPr>
            <w:r w:rsidRPr="00687A1C">
              <w:t>100.00</w:t>
            </w:r>
          </w:p>
        </w:tc>
        <w:tc>
          <w:tcPr>
            <w:tcW w:w="950" w:type="dxa"/>
            <w:vAlign w:val="bottom"/>
          </w:tcPr>
          <w:p w:rsidR="004630EB" w:rsidRPr="00687A1C" w:rsidRDefault="004630EB" w:rsidP="004630EB">
            <w:pPr>
              <w:pStyle w:val="Tabletextright"/>
            </w:pPr>
            <w:r w:rsidRPr="00687A1C">
              <w:t>8</w:t>
            </w:r>
          </w:p>
        </w:tc>
        <w:tc>
          <w:tcPr>
            <w:tcW w:w="778" w:type="dxa"/>
            <w:vAlign w:val="bottom"/>
          </w:tcPr>
          <w:p w:rsidR="004630EB" w:rsidRPr="00687A1C" w:rsidRDefault="004630EB" w:rsidP="004630EB">
            <w:pPr>
              <w:pStyle w:val="Tabletextright"/>
            </w:pPr>
            <w:r w:rsidRPr="00687A1C">
              <w:t>8.00</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Grade 6</w:t>
            </w:r>
          </w:p>
        </w:tc>
        <w:tc>
          <w:tcPr>
            <w:tcW w:w="950" w:type="dxa"/>
            <w:shd w:val="clear" w:color="auto" w:fill="E0E0E0"/>
            <w:vAlign w:val="bottom"/>
          </w:tcPr>
          <w:p w:rsidR="004630EB" w:rsidRPr="00687A1C" w:rsidRDefault="004630EB" w:rsidP="004630EB">
            <w:pPr>
              <w:pStyle w:val="Tabletextright"/>
            </w:pPr>
            <w:r w:rsidRPr="00687A1C">
              <w:t>46</w:t>
            </w:r>
          </w:p>
        </w:tc>
        <w:tc>
          <w:tcPr>
            <w:tcW w:w="778" w:type="dxa"/>
            <w:shd w:val="clear" w:color="auto" w:fill="E0E0E0"/>
            <w:vAlign w:val="bottom"/>
          </w:tcPr>
          <w:p w:rsidR="004630EB" w:rsidRPr="00687A1C" w:rsidRDefault="004630EB" w:rsidP="004630EB">
            <w:pPr>
              <w:pStyle w:val="Tabletextright"/>
            </w:pPr>
            <w:r w:rsidRPr="00687A1C">
              <w:t>44.50</w:t>
            </w:r>
          </w:p>
        </w:tc>
        <w:tc>
          <w:tcPr>
            <w:tcW w:w="979" w:type="dxa"/>
            <w:shd w:val="clear" w:color="auto" w:fill="auto"/>
            <w:vAlign w:val="bottom"/>
          </w:tcPr>
          <w:p w:rsidR="004630EB" w:rsidRPr="00687A1C" w:rsidRDefault="004630EB" w:rsidP="004630EB">
            <w:pPr>
              <w:pStyle w:val="Tabletextright"/>
            </w:pPr>
            <w:r w:rsidRPr="00687A1C">
              <w:t>40</w:t>
            </w:r>
          </w:p>
        </w:tc>
        <w:tc>
          <w:tcPr>
            <w:tcW w:w="979" w:type="dxa"/>
            <w:shd w:val="clear" w:color="auto" w:fill="auto"/>
            <w:vAlign w:val="bottom"/>
          </w:tcPr>
          <w:p w:rsidR="004630EB" w:rsidRPr="00687A1C" w:rsidRDefault="004630EB" w:rsidP="004630EB">
            <w:pPr>
              <w:pStyle w:val="Tabletextright"/>
            </w:pPr>
            <w:r w:rsidRPr="00687A1C">
              <w:t>5</w:t>
            </w:r>
          </w:p>
        </w:tc>
        <w:tc>
          <w:tcPr>
            <w:tcW w:w="778" w:type="dxa"/>
            <w:shd w:val="clear" w:color="auto" w:fill="auto"/>
            <w:vAlign w:val="bottom"/>
          </w:tcPr>
          <w:p w:rsidR="004630EB" w:rsidRPr="00687A1C" w:rsidRDefault="004630EB" w:rsidP="004630EB">
            <w:pPr>
              <w:pStyle w:val="Tabletextright"/>
            </w:pPr>
            <w:r w:rsidRPr="00687A1C">
              <w:t>43.50</w:t>
            </w:r>
          </w:p>
        </w:tc>
        <w:tc>
          <w:tcPr>
            <w:tcW w:w="950" w:type="dxa"/>
            <w:shd w:val="clear" w:color="auto" w:fill="E0E0E0"/>
            <w:vAlign w:val="bottom"/>
          </w:tcPr>
          <w:p w:rsidR="004630EB" w:rsidRPr="00687A1C" w:rsidRDefault="004630EB" w:rsidP="004630EB">
            <w:pPr>
              <w:pStyle w:val="Tabletextright"/>
            </w:pPr>
            <w:r w:rsidRPr="00687A1C">
              <w:t>1</w:t>
            </w:r>
          </w:p>
        </w:tc>
        <w:tc>
          <w:tcPr>
            <w:tcW w:w="778" w:type="dxa"/>
            <w:shd w:val="clear" w:color="auto" w:fill="E0E0E0"/>
            <w:vAlign w:val="bottom"/>
          </w:tcPr>
          <w:p w:rsidR="004630EB" w:rsidRPr="00687A1C" w:rsidRDefault="004630EB" w:rsidP="004630EB">
            <w:pPr>
              <w:pStyle w:val="Tabletextright"/>
            </w:pPr>
            <w:r w:rsidRPr="00687A1C">
              <w:t>1.00</w:t>
            </w:r>
          </w:p>
        </w:tc>
        <w:tc>
          <w:tcPr>
            <w:tcW w:w="950" w:type="dxa"/>
            <w:shd w:val="clear" w:color="auto" w:fill="auto"/>
            <w:noWrap/>
            <w:vAlign w:val="bottom"/>
          </w:tcPr>
          <w:p w:rsidR="004630EB" w:rsidRPr="00687A1C" w:rsidRDefault="004630EB" w:rsidP="004630EB">
            <w:pPr>
              <w:pStyle w:val="Tabletextright"/>
            </w:pPr>
            <w:r w:rsidRPr="00687A1C">
              <w:t>49</w:t>
            </w:r>
          </w:p>
        </w:tc>
        <w:tc>
          <w:tcPr>
            <w:tcW w:w="778" w:type="dxa"/>
            <w:shd w:val="clear" w:color="auto" w:fill="auto"/>
            <w:vAlign w:val="bottom"/>
          </w:tcPr>
          <w:p w:rsidR="004630EB" w:rsidRPr="00687A1C" w:rsidRDefault="004630EB" w:rsidP="004630EB">
            <w:pPr>
              <w:pStyle w:val="Tabletextright"/>
            </w:pPr>
            <w:r w:rsidRPr="00687A1C">
              <w:t>47.00</w:t>
            </w:r>
          </w:p>
        </w:tc>
        <w:tc>
          <w:tcPr>
            <w:tcW w:w="979" w:type="dxa"/>
            <w:shd w:val="clear" w:color="auto" w:fill="E0E0E0"/>
            <w:noWrap/>
            <w:vAlign w:val="bottom"/>
          </w:tcPr>
          <w:p w:rsidR="004630EB" w:rsidRPr="00687A1C" w:rsidRDefault="004630EB" w:rsidP="004630EB">
            <w:pPr>
              <w:pStyle w:val="Tabletextright"/>
            </w:pPr>
            <w:r w:rsidRPr="00687A1C">
              <w:t>43</w:t>
            </w:r>
          </w:p>
        </w:tc>
        <w:tc>
          <w:tcPr>
            <w:tcW w:w="979" w:type="dxa"/>
            <w:shd w:val="clear" w:color="auto" w:fill="E0E0E0"/>
            <w:vAlign w:val="bottom"/>
          </w:tcPr>
          <w:p w:rsidR="004630EB" w:rsidRPr="00687A1C" w:rsidRDefault="004630EB" w:rsidP="004630EB">
            <w:pPr>
              <w:pStyle w:val="Tabletextright"/>
            </w:pPr>
            <w:r w:rsidRPr="00687A1C">
              <w:t>5</w:t>
            </w:r>
          </w:p>
        </w:tc>
        <w:tc>
          <w:tcPr>
            <w:tcW w:w="778" w:type="dxa"/>
            <w:shd w:val="clear" w:color="auto" w:fill="E0E0E0"/>
            <w:vAlign w:val="bottom"/>
          </w:tcPr>
          <w:p w:rsidR="004630EB" w:rsidRPr="00687A1C" w:rsidRDefault="004630EB" w:rsidP="004630EB">
            <w:pPr>
              <w:pStyle w:val="Tabletextright"/>
            </w:pPr>
            <w:r w:rsidRPr="00687A1C">
              <w:t>46.00</w:t>
            </w:r>
          </w:p>
        </w:tc>
        <w:tc>
          <w:tcPr>
            <w:tcW w:w="950" w:type="dxa"/>
            <w:vAlign w:val="bottom"/>
          </w:tcPr>
          <w:p w:rsidR="004630EB" w:rsidRPr="00687A1C" w:rsidRDefault="004630EB" w:rsidP="004630EB">
            <w:pPr>
              <w:pStyle w:val="Tabletextright"/>
            </w:pPr>
            <w:r w:rsidRPr="00687A1C">
              <w:t>1</w:t>
            </w:r>
          </w:p>
        </w:tc>
        <w:tc>
          <w:tcPr>
            <w:tcW w:w="778" w:type="dxa"/>
            <w:vAlign w:val="bottom"/>
          </w:tcPr>
          <w:p w:rsidR="004630EB" w:rsidRPr="00687A1C" w:rsidRDefault="004630EB" w:rsidP="004630EB">
            <w:pPr>
              <w:pStyle w:val="Tabletextright"/>
            </w:pPr>
            <w:r w:rsidRPr="00687A1C">
              <w:t>1.00</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szCs w:val="18"/>
              </w:rPr>
              <w:t>Senior employees</w:t>
            </w:r>
          </w:p>
        </w:tc>
        <w:tc>
          <w:tcPr>
            <w:tcW w:w="950" w:type="dxa"/>
            <w:shd w:val="clear" w:color="auto" w:fill="E0E0E0"/>
            <w:vAlign w:val="bottom"/>
          </w:tcPr>
          <w:p w:rsidR="004630EB" w:rsidRPr="00687A1C" w:rsidRDefault="004630EB" w:rsidP="004630EB">
            <w:pPr>
              <w:pStyle w:val="Tabletextrightbold"/>
            </w:pPr>
            <w:r w:rsidRPr="00687A1C">
              <w:t>8</w:t>
            </w:r>
          </w:p>
        </w:tc>
        <w:tc>
          <w:tcPr>
            <w:tcW w:w="778" w:type="dxa"/>
            <w:shd w:val="clear" w:color="auto" w:fill="E0E0E0"/>
            <w:vAlign w:val="bottom"/>
          </w:tcPr>
          <w:p w:rsidR="004630EB" w:rsidRPr="00687A1C" w:rsidRDefault="004630EB" w:rsidP="004630EB">
            <w:pPr>
              <w:pStyle w:val="Tabletextrightbold"/>
            </w:pPr>
            <w:r w:rsidRPr="00687A1C">
              <w:t>7.7</w:t>
            </w:r>
            <w:r w:rsidR="007B0CEF" w:rsidRPr="00687A1C">
              <w:t>0</w:t>
            </w:r>
          </w:p>
        </w:tc>
        <w:tc>
          <w:tcPr>
            <w:tcW w:w="979" w:type="dxa"/>
            <w:shd w:val="clear" w:color="auto" w:fill="auto"/>
            <w:vAlign w:val="bottom"/>
          </w:tcPr>
          <w:p w:rsidR="004630EB" w:rsidRPr="00687A1C" w:rsidRDefault="004630EB" w:rsidP="004630EB">
            <w:pPr>
              <w:pStyle w:val="Tabletextrightbold"/>
            </w:pPr>
            <w:r w:rsidRPr="00687A1C">
              <w:t>6</w:t>
            </w:r>
          </w:p>
        </w:tc>
        <w:tc>
          <w:tcPr>
            <w:tcW w:w="979" w:type="dxa"/>
            <w:shd w:val="clear" w:color="auto" w:fill="auto"/>
            <w:vAlign w:val="bottom"/>
          </w:tcPr>
          <w:p w:rsidR="004630EB" w:rsidRPr="00687A1C" w:rsidRDefault="004630EB" w:rsidP="004630EB">
            <w:pPr>
              <w:pStyle w:val="Tabletextrightbold"/>
            </w:pPr>
            <w:r w:rsidRPr="00687A1C">
              <w:t>2.00</w:t>
            </w:r>
          </w:p>
        </w:tc>
        <w:tc>
          <w:tcPr>
            <w:tcW w:w="778" w:type="dxa"/>
            <w:shd w:val="clear" w:color="auto" w:fill="auto"/>
            <w:vAlign w:val="bottom"/>
          </w:tcPr>
          <w:p w:rsidR="004630EB" w:rsidRPr="00687A1C" w:rsidRDefault="004630EB" w:rsidP="004630EB">
            <w:pPr>
              <w:pStyle w:val="Tabletextrightbold"/>
            </w:pPr>
            <w:r w:rsidRPr="00687A1C">
              <w:t>7.7</w:t>
            </w:r>
          </w:p>
        </w:tc>
        <w:tc>
          <w:tcPr>
            <w:tcW w:w="950" w:type="dxa"/>
            <w:shd w:val="clear" w:color="auto" w:fill="E0E0E0"/>
            <w:vAlign w:val="bottom"/>
          </w:tcPr>
          <w:p w:rsidR="004630EB" w:rsidRPr="00687A1C" w:rsidRDefault="004630EB" w:rsidP="004630EB">
            <w:pPr>
              <w:pStyle w:val="Tabletextrightbold"/>
            </w:pPr>
            <w:r w:rsidRPr="00687A1C">
              <w:t>–</w:t>
            </w:r>
          </w:p>
        </w:tc>
        <w:tc>
          <w:tcPr>
            <w:tcW w:w="778" w:type="dxa"/>
            <w:shd w:val="clear" w:color="auto" w:fill="E0E0E0"/>
            <w:vAlign w:val="bottom"/>
          </w:tcPr>
          <w:p w:rsidR="004630EB" w:rsidRPr="00687A1C" w:rsidRDefault="004630EB" w:rsidP="004630EB">
            <w:pPr>
              <w:pStyle w:val="Tabletextrightbold"/>
            </w:pPr>
            <w:r w:rsidRPr="00687A1C">
              <w:t>–</w:t>
            </w:r>
          </w:p>
        </w:tc>
        <w:tc>
          <w:tcPr>
            <w:tcW w:w="950" w:type="dxa"/>
            <w:shd w:val="clear" w:color="auto" w:fill="auto"/>
            <w:noWrap/>
          </w:tcPr>
          <w:p w:rsidR="004630EB" w:rsidRPr="00687A1C" w:rsidRDefault="004630EB" w:rsidP="004630EB">
            <w:pPr>
              <w:pStyle w:val="Tabletextrightbold"/>
            </w:pPr>
            <w:r w:rsidRPr="00687A1C">
              <w:t>8</w:t>
            </w:r>
          </w:p>
        </w:tc>
        <w:tc>
          <w:tcPr>
            <w:tcW w:w="778" w:type="dxa"/>
            <w:shd w:val="clear" w:color="auto" w:fill="auto"/>
          </w:tcPr>
          <w:p w:rsidR="004630EB" w:rsidRPr="00687A1C" w:rsidRDefault="004630EB" w:rsidP="004630EB">
            <w:pPr>
              <w:pStyle w:val="Tabletextrightbold"/>
            </w:pPr>
            <w:r w:rsidRPr="00687A1C">
              <w:t>8.00</w:t>
            </w:r>
          </w:p>
        </w:tc>
        <w:tc>
          <w:tcPr>
            <w:tcW w:w="979" w:type="dxa"/>
            <w:shd w:val="clear" w:color="auto" w:fill="E0E0E0"/>
            <w:noWrap/>
          </w:tcPr>
          <w:p w:rsidR="004630EB" w:rsidRPr="00687A1C" w:rsidRDefault="004630EB" w:rsidP="004630EB">
            <w:pPr>
              <w:pStyle w:val="Tabletextrightbold"/>
            </w:pPr>
            <w:r w:rsidRPr="00687A1C">
              <w:t>6</w:t>
            </w:r>
          </w:p>
        </w:tc>
        <w:tc>
          <w:tcPr>
            <w:tcW w:w="979" w:type="dxa"/>
            <w:shd w:val="clear" w:color="auto" w:fill="E0E0E0"/>
          </w:tcPr>
          <w:p w:rsidR="004630EB" w:rsidRPr="00687A1C" w:rsidRDefault="004630EB" w:rsidP="004630EB">
            <w:pPr>
              <w:pStyle w:val="Tabletextrightbold"/>
            </w:pPr>
            <w:r w:rsidRPr="00687A1C">
              <w:t>2</w:t>
            </w:r>
          </w:p>
        </w:tc>
        <w:tc>
          <w:tcPr>
            <w:tcW w:w="778" w:type="dxa"/>
            <w:shd w:val="clear" w:color="auto" w:fill="E0E0E0"/>
          </w:tcPr>
          <w:p w:rsidR="004630EB" w:rsidRPr="00687A1C" w:rsidRDefault="004630EB" w:rsidP="004630EB">
            <w:pPr>
              <w:pStyle w:val="Tabletextrightbold"/>
            </w:pPr>
            <w:r w:rsidRPr="00687A1C">
              <w:t>7.6</w:t>
            </w:r>
          </w:p>
        </w:tc>
        <w:tc>
          <w:tcPr>
            <w:tcW w:w="950" w:type="dxa"/>
          </w:tcPr>
          <w:p w:rsidR="004630EB" w:rsidRPr="00687A1C" w:rsidRDefault="004630EB" w:rsidP="004630EB">
            <w:pPr>
              <w:pStyle w:val="Tabletextrightbold"/>
            </w:pPr>
            <w:r w:rsidRPr="00687A1C">
              <w:t>–</w:t>
            </w:r>
          </w:p>
        </w:tc>
        <w:tc>
          <w:tcPr>
            <w:tcW w:w="778" w:type="dxa"/>
          </w:tcPr>
          <w:p w:rsidR="004630EB" w:rsidRPr="00687A1C" w:rsidRDefault="004630EB" w:rsidP="004630EB">
            <w:pPr>
              <w:pStyle w:val="Tabletextrightbold"/>
            </w:pPr>
            <w:r w:rsidRPr="00687A1C">
              <w:t>–</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STS</w:t>
            </w:r>
          </w:p>
        </w:tc>
        <w:tc>
          <w:tcPr>
            <w:tcW w:w="950" w:type="dxa"/>
            <w:shd w:val="clear" w:color="auto" w:fill="E0E0E0"/>
            <w:vAlign w:val="bottom"/>
          </w:tcPr>
          <w:p w:rsidR="004630EB" w:rsidRPr="00687A1C" w:rsidRDefault="004630EB" w:rsidP="004630EB">
            <w:pPr>
              <w:pStyle w:val="Tabletextright"/>
            </w:pPr>
            <w:r w:rsidRPr="00687A1C">
              <w:t>1</w:t>
            </w:r>
          </w:p>
        </w:tc>
        <w:tc>
          <w:tcPr>
            <w:tcW w:w="778" w:type="dxa"/>
            <w:shd w:val="clear" w:color="auto" w:fill="E0E0E0"/>
            <w:vAlign w:val="bottom"/>
          </w:tcPr>
          <w:p w:rsidR="004630EB" w:rsidRPr="00687A1C" w:rsidRDefault="004630EB" w:rsidP="004630EB">
            <w:pPr>
              <w:pStyle w:val="Tabletextright"/>
            </w:pPr>
            <w:r w:rsidRPr="00687A1C">
              <w:t>1.00</w:t>
            </w:r>
          </w:p>
        </w:tc>
        <w:tc>
          <w:tcPr>
            <w:tcW w:w="979" w:type="dxa"/>
            <w:shd w:val="clear" w:color="auto" w:fill="auto"/>
            <w:vAlign w:val="bottom"/>
          </w:tcPr>
          <w:p w:rsidR="004630EB" w:rsidRPr="00687A1C" w:rsidRDefault="004630EB" w:rsidP="004630EB">
            <w:pPr>
              <w:pStyle w:val="Tabletextright"/>
            </w:pPr>
            <w:r w:rsidRPr="00687A1C">
              <w:t>1</w:t>
            </w:r>
          </w:p>
        </w:tc>
        <w:tc>
          <w:tcPr>
            <w:tcW w:w="979" w:type="dxa"/>
            <w:shd w:val="clear" w:color="auto" w:fill="auto"/>
            <w:vAlign w:val="bottom"/>
          </w:tcPr>
          <w:p w:rsidR="004630EB" w:rsidRPr="00687A1C" w:rsidRDefault="004630EB"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1.00</w:t>
            </w:r>
          </w:p>
        </w:tc>
        <w:tc>
          <w:tcPr>
            <w:tcW w:w="950"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w:t>
            </w:r>
          </w:p>
        </w:tc>
        <w:tc>
          <w:tcPr>
            <w:tcW w:w="950" w:type="dxa"/>
            <w:shd w:val="clear" w:color="auto" w:fill="auto"/>
            <w:noWrap/>
            <w:vAlign w:val="bottom"/>
          </w:tcPr>
          <w:p w:rsidR="004630EB" w:rsidRPr="00687A1C" w:rsidRDefault="004630EB" w:rsidP="004630EB">
            <w:pPr>
              <w:pStyle w:val="Tabletextright"/>
            </w:pPr>
            <w:r w:rsidRPr="00687A1C">
              <w:t>1</w:t>
            </w:r>
          </w:p>
        </w:tc>
        <w:tc>
          <w:tcPr>
            <w:tcW w:w="778" w:type="dxa"/>
            <w:shd w:val="clear" w:color="auto" w:fill="auto"/>
            <w:vAlign w:val="bottom"/>
          </w:tcPr>
          <w:p w:rsidR="004630EB" w:rsidRPr="00687A1C" w:rsidRDefault="004630EB" w:rsidP="004630EB">
            <w:pPr>
              <w:pStyle w:val="Tabletextright"/>
            </w:pPr>
            <w:r w:rsidRPr="00687A1C">
              <w:t>1.00</w:t>
            </w:r>
          </w:p>
        </w:tc>
        <w:tc>
          <w:tcPr>
            <w:tcW w:w="979" w:type="dxa"/>
            <w:shd w:val="clear" w:color="auto" w:fill="E0E0E0"/>
            <w:noWrap/>
            <w:vAlign w:val="bottom"/>
          </w:tcPr>
          <w:p w:rsidR="004630EB" w:rsidRPr="00687A1C" w:rsidRDefault="004630EB" w:rsidP="004630EB">
            <w:pPr>
              <w:pStyle w:val="Tabletextright"/>
            </w:pPr>
            <w:r w:rsidRPr="00687A1C">
              <w:t>1</w:t>
            </w:r>
          </w:p>
        </w:tc>
        <w:tc>
          <w:tcPr>
            <w:tcW w:w="979"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1.00</w:t>
            </w:r>
          </w:p>
        </w:tc>
        <w:tc>
          <w:tcPr>
            <w:tcW w:w="950" w:type="dxa"/>
            <w:vAlign w:val="bottom"/>
          </w:tcPr>
          <w:p w:rsidR="004630EB" w:rsidRPr="00687A1C" w:rsidRDefault="004630EB" w:rsidP="004630EB">
            <w:pPr>
              <w:pStyle w:val="Tabletextright"/>
            </w:pPr>
            <w:r w:rsidRPr="00687A1C">
              <w:t>–</w:t>
            </w:r>
          </w:p>
        </w:tc>
        <w:tc>
          <w:tcPr>
            <w:tcW w:w="778" w:type="dxa"/>
            <w:vAlign w:val="bottom"/>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Executives</w:t>
            </w:r>
          </w:p>
        </w:tc>
        <w:tc>
          <w:tcPr>
            <w:tcW w:w="950" w:type="dxa"/>
            <w:shd w:val="clear" w:color="auto" w:fill="E0E0E0"/>
            <w:vAlign w:val="bottom"/>
          </w:tcPr>
          <w:p w:rsidR="004630EB" w:rsidRPr="00687A1C" w:rsidRDefault="007B0CEF" w:rsidP="004630EB">
            <w:pPr>
              <w:pStyle w:val="Tabletextrightbold"/>
            </w:pPr>
            <w:r w:rsidRPr="00687A1C">
              <w:t>7</w:t>
            </w:r>
          </w:p>
        </w:tc>
        <w:tc>
          <w:tcPr>
            <w:tcW w:w="778" w:type="dxa"/>
            <w:shd w:val="clear" w:color="auto" w:fill="E0E0E0"/>
            <w:vAlign w:val="bottom"/>
          </w:tcPr>
          <w:p w:rsidR="004630EB" w:rsidRPr="00687A1C" w:rsidRDefault="007B0CEF" w:rsidP="007B0CEF">
            <w:pPr>
              <w:pStyle w:val="Tabletextrightbold"/>
            </w:pPr>
            <w:r w:rsidRPr="00687A1C">
              <w:t>6.70</w:t>
            </w:r>
          </w:p>
        </w:tc>
        <w:tc>
          <w:tcPr>
            <w:tcW w:w="979" w:type="dxa"/>
            <w:shd w:val="clear" w:color="auto" w:fill="auto"/>
            <w:vAlign w:val="bottom"/>
          </w:tcPr>
          <w:p w:rsidR="004630EB" w:rsidRPr="00687A1C" w:rsidRDefault="007B0CEF" w:rsidP="004630EB">
            <w:pPr>
              <w:pStyle w:val="Tabletextrightbold"/>
            </w:pPr>
            <w:r w:rsidRPr="00687A1C">
              <w:t>5</w:t>
            </w:r>
          </w:p>
        </w:tc>
        <w:tc>
          <w:tcPr>
            <w:tcW w:w="979" w:type="dxa"/>
            <w:shd w:val="clear" w:color="auto" w:fill="auto"/>
            <w:vAlign w:val="bottom"/>
          </w:tcPr>
          <w:p w:rsidR="004630EB" w:rsidRPr="00687A1C" w:rsidRDefault="004630EB" w:rsidP="004630EB">
            <w:pPr>
              <w:pStyle w:val="Tabletextrightbold"/>
            </w:pPr>
            <w:r w:rsidRPr="00687A1C">
              <w:t>2.00</w:t>
            </w:r>
          </w:p>
        </w:tc>
        <w:tc>
          <w:tcPr>
            <w:tcW w:w="778" w:type="dxa"/>
            <w:shd w:val="clear" w:color="auto" w:fill="auto"/>
            <w:vAlign w:val="bottom"/>
          </w:tcPr>
          <w:p w:rsidR="004630EB" w:rsidRPr="00687A1C" w:rsidRDefault="007B0CEF" w:rsidP="004630EB">
            <w:pPr>
              <w:pStyle w:val="Tabletextrightbold"/>
            </w:pPr>
            <w:r w:rsidRPr="00687A1C">
              <w:t>6.7</w:t>
            </w:r>
          </w:p>
        </w:tc>
        <w:tc>
          <w:tcPr>
            <w:tcW w:w="950" w:type="dxa"/>
            <w:shd w:val="clear" w:color="auto" w:fill="E0E0E0"/>
            <w:vAlign w:val="bottom"/>
          </w:tcPr>
          <w:p w:rsidR="004630EB" w:rsidRPr="00687A1C" w:rsidRDefault="004630EB" w:rsidP="004630EB">
            <w:pPr>
              <w:pStyle w:val="Tabletextrightbold"/>
            </w:pPr>
            <w:r w:rsidRPr="00687A1C">
              <w:t>–</w:t>
            </w:r>
          </w:p>
        </w:tc>
        <w:tc>
          <w:tcPr>
            <w:tcW w:w="778" w:type="dxa"/>
            <w:shd w:val="clear" w:color="auto" w:fill="E0E0E0"/>
            <w:vAlign w:val="bottom"/>
          </w:tcPr>
          <w:p w:rsidR="004630EB" w:rsidRPr="00687A1C" w:rsidRDefault="004630EB" w:rsidP="004630EB">
            <w:pPr>
              <w:pStyle w:val="Tabletextrightbold"/>
            </w:pPr>
            <w:r w:rsidRPr="00687A1C">
              <w:t>–</w:t>
            </w:r>
          </w:p>
        </w:tc>
        <w:tc>
          <w:tcPr>
            <w:tcW w:w="950" w:type="dxa"/>
            <w:shd w:val="clear" w:color="auto" w:fill="auto"/>
            <w:noWrap/>
            <w:vAlign w:val="bottom"/>
          </w:tcPr>
          <w:p w:rsidR="004630EB" w:rsidRPr="00687A1C" w:rsidRDefault="004630EB" w:rsidP="004630EB">
            <w:pPr>
              <w:pStyle w:val="Tabletextright"/>
            </w:pPr>
            <w:r w:rsidRPr="00687A1C">
              <w:t>7</w:t>
            </w:r>
          </w:p>
        </w:tc>
        <w:tc>
          <w:tcPr>
            <w:tcW w:w="778" w:type="dxa"/>
            <w:shd w:val="clear" w:color="auto" w:fill="auto"/>
            <w:vAlign w:val="bottom"/>
          </w:tcPr>
          <w:p w:rsidR="004630EB" w:rsidRPr="00687A1C" w:rsidRDefault="004630EB" w:rsidP="004630EB">
            <w:pPr>
              <w:pStyle w:val="Tabletextright"/>
            </w:pPr>
            <w:r w:rsidRPr="00687A1C">
              <w:t>7.00</w:t>
            </w:r>
          </w:p>
        </w:tc>
        <w:tc>
          <w:tcPr>
            <w:tcW w:w="979" w:type="dxa"/>
            <w:shd w:val="clear" w:color="auto" w:fill="E0E0E0"/>
            <w:noWrap/>
            <w:vAlign w:val="bottom"/>
          </w:tcPr>
          <w:p w:rsidR="004630EB" w:rsidRPr="00687A1C" w:rsidRDefault="004630EB" w:rsidP="004630EB">
            <w:pPr>
              <w:pStyle w:val="Tabletextright"/>
            </w:pPr>
            <w:r w:rsidRPr="00687A1C">
              <w:t>5</w:t>
            </w:r>
          </w:p>
        </w:tc>
        <w:tc>
          <w:tcPr>
            <w:tcW w:w="979" w:type="dxa"/>
            <w:shd w:val="clear" w:color="auto" w:fill="E0E0E0"/>
            <w:vAlign w:val="bottom"/>
          </w:tcPr>
          <w:p w:rsidR="004630EB" w:rsidRPr="00687A1C" w:rsidRDefault="004630EB" w:rsidP="004630EB">
            <w:pPr>
              <w:pStyle w:val="Tabletextright"/>
            </w:pPr>
            <w:r w:rsidRPr="00687A1C">
              <w:t>2</w:t>
            </w:r>
          </w:p>
        </w:tc>
        <w:tc>
          <w:tcPr>
            <w:tcW w:w="778" w:type="dxa"/>
            <w:shd w:val="clear" w:color="auto" w:fill="E0E0E0"/>
            <w:vAlign w:val="bottom"/>
          </w:tcPr>
          <w:p w:rsidR="004630EB" w:rsidRPr="00687A1C" w:rsidRDefault="004630EB" w:rsidP="004630EB">
            <w:pPr>
              <w:pStyle w:val="Tabletextright"/>
            </w:pPr>
            <w:r w:rsidRPr="00687A1C">
              <w:t>6.60</w:t>
            </w:r>
          </w:p>
        </w:tc>
        <w:tc>
          <w:tcPr>
            <w:tcW w:w="950" w:type="dxa"/>
            <w:vAlign w:val="bottom"/>
          </w:tcPr>
          <w:p w:rsidR="004630EB" w:rsidRPr="00687A1C" w:rsidRDefault="004630EB" w:rsidP="004630EB">
            <w:pPr>
              <w:pStyle w:val="Tabletextright"/>
            </w:pPr>
            <w:r w:rsidRPr="00687A1C">
              <w:t>–</w:t>
            </w:r>
          </w:p>
        </w:tc>
        <w:tc>
          <w:tcPr>
            <w:tcW w:w="778" w:type="dxa"/>
            <w:vAlign w:val="bottom"/>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tcPr>
          <w:p w:rsidR="004630EB" w:rsidRPr="00687A1C" w:rsidRDefault="004630EB" w:rsidP="004630EB">
            <w:pPr>
              <w:pStyle w:val="Tabletextbold"/>
            </w:pPr>
            <w:r w:rsidRPr="00687A1C">
              <w:t>Other</w:t>
            </w:r>
          </w:p>
        </w:tc>
        <w:tc>
          <w:tcPr>
            <w:tcW w:w="950" w:type="dxa"/>
            <w:shd w:val="clear" w:color="auto" w:fill="E0E0E0"/>
            <w:vAlign w:val="bottom"/>
          </w:tcPr>
          <w:p w:rsidR="004630EB" w:rsidRPr="00687A1C" w:rsidRDefault="004630EB" w:rsidP="007B0CEF">
            <w:pPr>
              <w:pStyle w:val="Tabletextrightbold"/>
            </w:pPr>
            <w:r w:rsidRPr="00687A1C">
              <w:t>21</w:t>
            </w:r>
          </w:p>
        </w:tc>
        <w:tc>
          <w:tcPr>
            <w:tcW w:w="778" w:type="dxa"/>
            <w:shd w:val="clear" w:color="auto" w:fill="E0E0E0"/>
            <w:vAlign w:val="bottom"/>
          </w:tcPr>
          <w:p w:rsidR="004630EB" w:rsidRPr="00687A1C" w:rsidRDefault="004630EB" w:rsidP="007B0CEF">
            <w:pPr>
              <w:pStyle w:val="Tabletextrightbold"/>
            </w:pPr>
            <w:r w:rsidRPr="00687A1C">
              <w:t>19.8</w:t>
            </w:r>
          </w:p>
        </w:tc>
        <w:tc>
          <w:tcPr>
            <w:tcW w:w="979" w:type="dxa"/>
            <w:shd w:val="clear" w:color="auto" w:fill="auto"/>
            <w:vAlign w:val="bottom"/>
          </w:tcPr>
          <w:p w:rsidR="004630EB" w:rsidRPr="00687A1C" w:rsidRDefault="004630EB" w:rsidP="007B0CEF">
            <w:pPr>
              <w:pStyle w:val="Tabletextrightbold"/>
            </w:pPr>
            <w:r w:rsidRPr="00687A1C">
              <w:t>15</w:t>
            </w:r>
          </w:p>
        </w:tc>
        <w:tc>
          <w:tcPr>
            <w:tcW w:w="979" w:type="dxa"/>
            <w:shd w:val="clear" w:color="auto" w:fill="auto"/>
            <w:vAlign w:val="bottom"/>
          </w:tcPr>
          <w:p w:rsidR="004630EB" w:rsidRPr="00687A1C" w:rsidRDefault="004630EB" w:rsidP="007B0CEF">
            <w:pPr>
              <w:pStyle w:val="Tabletextrightbold"/>
            </w:pPr>
            <w:r w:rsidRPr="00687A1C">
              <w:t>3.00</w:t>
            </w:r>
          </w:p>
        </w:tc>
        <w:tc>
          <w:tcPr>
            <w:tcW w:w="778" w:type="dxa"/>
            <w:shd w:val="clear" w:color="auto" w:fill="auto"/>
            <w:vAlign w:val="bottom"/>
          </w:tcPr>
          <w:p w:rsidR="004630EB" w:rsidRPr="00687A1C" w:rsidRDefault="004630EB" w:rsidP="007B0CEF">
            <w:pPr>
              <w:pStyle w:val="Tabletextrightbold"/>
            </w:pPr>
            <w:r w:rsidRPr="00687A1C">
              <w:t>16.8</w:t>
            </w:r>
          </w:p>
        </w:tc>
        <w:tc>
          <w:tcPr>
            <w:tcW w:w="950" w:type="dxa"/>
            <w:shd w:val="clear" w:color="auto" w:fill="E0E0E0"/>
            <w:vAlign w:val="bottom"/>
          </w:tcPr>
          <w:p w:rsidR="004630EB" w:rsidRPr="00687A1C" w:rsidRDefault="004630EB" w:rsidP="007B0CEF">
            <w:pPr>
              <w:pStyle w:val="Tabletextrightbold"/>
            </w:pPr>
            <w:r w:rsidRPr="00687A1C">
              <w:t>3.00</w:t>
            </w:r>
          </w:p>
        </w:tc>
        <w:tc>
          <w:tcPr>
            <w:tcW w:w="778" w:type="dxa"/>
            <w:shd w:val="clear" w:color="auto" w:fill="E0E0E0"/>
            <w:vAlign w:val="bottom"/>
          </w:tcPr>
          <w:p w:rsidR="004630EB" w:rsidRPr="00687A1C" w:rsidRDefault="004630EB" w:rsidP="007B0CEF">
            <w:pPr>
              <w:pStyle w:val="Tabletextrightbold"/>
            </w:pPr>
            <w:r w:rsidRPr="00687A1C">
              <w:t>3</w:t>
            </w:r>
          </w:p>
        </w:tc>
        <w:tc>
          <w:tcPr>
            <w:tcW w:w="950" w:type="dxa"/>
            <w:shd w:val="clear" w:color="auto" w:fill="auto"/>
            <w:noWrap/>
            <w:vAlign w:val="bottom"/>
          </w:tcPr>
          <w:p w:rsidR="004630EB" w:rsidRPr="00687A1C" w:rsidRDefault="004630EB" w:rsidP="007B0CEF">
            <w:pPr>
              <w:pStyle w:val="Tabletextrightbold"/>
            </w:pPr>
            <w:r w:rsidRPr="00687A1C">
              <w:t>25</w:t>
            </w:r>
          </w:p>
        </w:tc>
        <w:tc>
          <w:tcPr>
            <w:tcW w:w="778" w:type="dxa"/>
            <w:shd w:val="clear" w:color="auto" w:fill="auto"/>
            <w:vAlign w:val="bottom"/>
          </w:tcPr>
          <w:p w:rsidR="004630EB" w:rsidRPr="00687A1C" w:rsidRDefault="004630EB" w:rsidP="007B0CEF">
            <w:pPr>
              <w:pStyle w:val="Tabletextrightbold"/>
            </w:pPr>
            <w:r w:rsidRPr="00687A1C">
              <w:t>24.00</w:t>
            </w:r>
          </w:p>
        </w:tc>
        <w:tc>
          <w:tcPr>
            <w:tcW w:w="979" w:type="dxa"/>
            <w:shd w:val="clear" w:color="auto" w:fill="E0E0E0"/>
            <w:noWrap/>
            <w:vAlign w:val="bottom"/>
          </w:tcPr>
          <w:p w:rsidR="004630EB" w:rsidRPr="00687A1C" w:rsidRDefault="004630EB" w:rsidP="007B0CEF">
            <w:pPr>
              <w:pStyle w:val="Tabletextrightbold"/>
            </w:pPr>
            <w:r w:rsidRPr="00687A1C">
              <w:t>16</w:t>
            </w:r>
          </w:p>
        </w:tc>
        <w:tc>
          <w:tcPr>
            <w:tcW w:w="979" w:type="dxa"/>
            <w:shd w:val="clear" w:color="auto" w:fill="E0E0E0"/>
            <w:vAlign w:val="bottom"/>
          </w:tcPr>
          <w:p w:rsidR="004630EB" w:rsidRPr="00687A1C" w:rsidRDefault="004630EB" w:rsidP="007B0CEF">
            <w:pPr>
              <w:pStyle w:val="Tabletextrightbold"/>
            </w:pPr>
            <w:r w:rsidRPr="00687A1C">
              <w:t>2</w:t>
            </w:r>
          </w:p>
        </w:tc>
        <w:tc>
          <w:tcPr>
            <w:tcW w:w="778" w:type="dxa"/>
            <w:shd w:val="clear" w:color="auto" w:fill="E0E0E0"/>
            <w:vAlign w:val="bottom"/>
          </w:tcPr>
          <w:p w:rsidR="004630EB" w:rsidRPr="00687A1C" w:rsidRDefault="004630EB" w:rsidP="007B0CEF">
            <w:pPr>
              <w:pStyle w:val="Tabletextrightbold"/>
            </w:pPr>
            <w:r w:rsidRPr="00687A1C">
              <w:t>17.20</w:t>
            </w:r>
          </w:p>
        </w:tc>
        <w:tc>
          <w:tcPr>
            <w:tcW w:w="950" w:type="dxa"/>
            <w:vAlign w:val="bottom"/>
          </w:tcPr>
          <w:p w:rsidR="004630EB" w:rsidRPr="00687A1C" w:rsidRDefault="004630EB" w:rsidP="007B0CEF">
            <w:pPr>
              <w:pStyle w:val="Tabletextrightbold"/>
            </w:pPr>
            <w:r w:rsidRPr="00687A1C">
              <w:t>7</w:t>
            </w:r>
          </w:p>
        </w:tc>
        <w:tc>
          <w:tcPr>
            <w:tcW w:w="778" w:type="dxa"/>
            <w:vAlign w:val="bottom"/>
          </w:tcPr>
          <w:p w:rsidR="004630EB" w:rsidRPr="00687A1C" w:rsidRDefault="004630EB" w:rsidP="007B0CEF">
            <w:pPr>
              <w:pStyle w:val="Tabletextrightbold"/>
            </w:pPr>
            <w:r w:rsidRPr="00687A1C">
              <w:t>7.00</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rPr>
                <w:rFonts w:cstheme="minorHAnsi"/>
                <w:b/>
              </w:rPr>
              <w:t>Total employees</w:t>
            </w:r>
          </w:p>
        </w:tc>
        <w:tc>
          <w:tcPr>
            <w:tcW w:w="950" w:type="dxa"/>
            <w:shd w:val="clear" w:color="auto" w:fill="E0E0E0"/>
            <w:vAlign w:val="bottom"/>
          </w:tcPr>
          <w:p w:rsidR="004630EB" w:rsidRPr="00687A1C" w:rsidRDefault="004630EB" w:rsidP="004630EB">
            <w:pPr>
              <w:pStyle w:val="Tabletextrightbold"/>
            </w:pPr>
            <w:r w:rsidRPr="00687A1C">
              <w:t>574</w:t>
            </w:r>
          </w:p>
        </w:tc>
        <w:tc>
          <w:tcPr>
            <w:tcW w:w="778" w:type="dxa"/>
            <w:shd w:val="clear" w:color="auto" w:fill="E0E0E0"/>
            <w:vAlign w:val="bottom"/>
          </w:tcPr>
          <w:p w:rsidR="004630EB" w:rsidRPr="00687A1C" w:rsidRDefault="004630EB" w:rsidP="004630EB">
            <w:pPr>
              <w:pStyle w:val="Tabletextrightbold"/>
            </w:pPr>
            <w:r w:rsidRPr="00687A1C">
              <w:t>548.00</w:t>
            </w:r>
          </w:p>
        </w:tc>
        <w:tc>
          <w:tcPr>
            <w:tcW w:w="979" w:type="dxa"/>
            <w:shd w:val="clear" w:color="auto" w:fill="auto"/>
            <w:vAlign w:val="bottom"/>
          </w:tcPr>
          <w:p w:rsidR="004630EB" w:rsidRPr="00687A1C" w:rsidRDefault="004630EB" w:rsidP="004630EB">
            <w:pPr>
              <w:pStyle w:val="Tabletextrightbold"/>
            </w:pPr>
            <w:r w:rsidRPr="00687A1C">
              <w:t>387</w:t>
            </w:r>
          </w:p>
        </w:tc>
        <w:tc>
          <w:tcPr>
            <w:tcW w:w="979" w:type="dxa"/>
            <w:shd w:val="clear" w:color="auto" w:fill="auto"/>
            <w:vAlign w:val="bottom"/>
          </w:tcPr>
          <w:p w:rsidR="004630EB" w:rsidRPr="00687A1C" w:rsidRDefault="004630EB" w:rsidP="004630EB">
            <w:pPr>
              <w:pStyle w:val="Tabletextrightbold"/>
            </w:pPr>
            <w:r w:rsidRPr="00687A1C">
              <w:t>80</w:t>
            </w:r>
          </w:p>
        </w:tc>
        <w:tc>
          <w:tcPr>
            <w:tcW w:w="778" w:type="dxa"/>
            <w:shd w:val="clear" w:color="auto" w:fill="auto"/>
            <w:vAlign w:val="bottom"/>
          </w:tcPr>
          <w:p w:rsidR="004630EB" w:rsidRPr="00687A1C" w:rsidRDefault="004630EB" w:rsidP="004630EB">
            <w:pPr>
              <w:pStyle w:val="Tabletextrightbold"/>
            </w:pPr>
            <w:r w:rsidRPr="00687A1C">
              <w:t>442.50</w:t>
            </w:r>
          </w:p>
        </w:tc>
        <w:tc>
          <w:tcPr>
            <w:tcW w:w="950" w:type="dxa"/>
            <w:shd w:val="clear" w:color="auto" w:fill="E0E0E0"/>
            <w:vAlign w:val="bottom"/>
          </w:tcPr>
          <w:p w:rsidR="004630EB" w:rsidRPr="00687A1C" w:rsidRDefault="004630EB" w:rsidP="004630EB">
            <w:pPr>
              <w:pStyle w:val="Tabletextrightbold"/>
            </w:pPr>
            <w:r w:rsidRPr="00687A1C">
              <w:t>107</w:t>
            </w:r>
          </w:p>
        </w:tc>
        <w:tc>
          <w:tcPr>
            <w:tcW w:w="778" w:type="dxa"/>
            <w:shd w:val="clear" w:color="auto" w:fill="E0E0E0"/>
            <w:vAlign w:val="bottom"/>
          </w:tcPr>
          <w:p w:rsidR="004630EB" w:rsidRPr="00687A1C" w:rsidRDefault="004630EB" w:rsidP="004630EB">
            <w:pPr>
              <w:pStyle w:val="Tabletextrightbold"/>
            </w:pPr>
            <w:r w:rsidRPr="00687A1C">
              <w:t>105.50</w:t>
            </w:r>
          </w:p>
        </w:tc>
        <w:tc>
          <w:tcPr>
            <w:tcW w:w="950" w:type="dxa"/>
            <w:shd w:val="clear" w:color="auto" w:fill="auto"/>
            <w:noWrap/>
            <w:vAlign w:val="bottom"/>
          </w:tcPr>
          <w:p w:rsidR="004630EB" w:rsidRPr="00687A1C" w:rsidRDefault="004630EB" w:rsidP="004630EB">
            <w:pPr>
              <w:pStyle w:val="Tabletextrightbold"/>
            </w:pPr>
            <w:r w:rsidRPr="00687A1C">
              <w:t>577</w:t>
            </w:r>
          </w:p>
        </w:tc>
        <w:tc>
          <w:tcPr>
            <w:tcW w:w="778" w:type="dxa"/>
            <w:shd w:val="clear" w:color="auto" w:fill="auto"/>
            <w:vAlign w:val="bottom"/>
          </w:tcPr>
          <w:p w:rsidR="004630EB" w:rsidRPr="00687A1C" w:rsidRDefault="004630EB" w:rsidP="004630EB">
            <w:pPr>
              <w:pStyle w:val="Tabletextrightbold"/>
            </w:pPr>
            <w:r w:rsidRPr="00687A1C">
              <w:t>552.00</w:t>
            </w:r>
          </w:p>
        </w:tc>
        <w:tc>
          <w:tcPr>
            <w:tcW w:w="979" w:type="dxa"/>
            <w:shd w:val="clear" w:color="auto" w:fill="E0E0E0"/>
            <w:noWrap/>
            <w:vAlign w:val="bottom"/>
          </w:tcPr>
          <w:p w:rsidR="004630EB" w:rsidRPr="00687A1C" w:rsidRDefault="004630EB" w:rsidP="004630EB">
            <w:pPr>
              <w:pStyle w:val="Tabletextrightbold"/>
            </w:pPr>
            <w:r w:rsidRPr="00687A1C">
              <w:t>383</w:t>
            </w:r>
          </w:p>
        </w:tc>
        <w:tc>
          <w:tcPr>
            <w:tcW w:w="979" w:type="dxa"/>
            <w:shd w:val="clear" w:color="auto" w:fill="E0E0E0"/>
            <w:vAlign w:val="bottom"/>
          </w:tcPr>
          <w:p w:rsidR="004630EB" w:rsidRPr="00687A1C" w:rsidRDefault="004630EB" w:rsidP="004630EB">
            <w:pPr>
              <w:pStyle w:val="Tabletextrightbold"/>
            </w:pPr>
            <w:r w:rsidRPr="00687A1C">
              <w:t>73</w:t>
            </w:r>
          </w:p>
        </w:tc>
        <w:tc>
          <w:tcPr>
            <w:tcW w:w="778" w:type="dxa"/>
            <w:shd w:val="clear" w:color="auto" w:fill="E0E0E0"/>
            <w:vAlign w:val="bottom"/>
          </w:tcPr>
          <w:p w:rsidR="004630EB" w:rsidRPr="00687A1C" w:rsidRDefault="004630EB" w:rsidP="004630EB">
            <w:pPr>
              <w:pStyle w:val="Tabletextrightbold"/>
            </w:pPr>
            <w:r w:rsidRPr="00687A1C">
              <w:t>433.20</w:t>
            </w:r>
          </w:p>
        </w:tc>
        <w:tc>
          <w:tcPr>
            <w:tcW w:w="950" w:type="dxa"/>
            <w:vAlign w:val="bottom"/>
          </w:tcPr>
          <w:p w:rsidR="004630EB" w:rsidRPr="00687A1C" w:rsidRDefault="004630EB" w:rsidP="004630EB">
            <w:pPr>
              <w:pStyle w:val="Tabletextrightbold"/>
            </w:pPr>
            <w:r w:rsidRPr="00687A1C">
              <w:t>120.6</w:t>
            </w:r>
          </w:p>
        </w:tc>
        <w:tc>
          <w:tcPr>
            <w:tcW w:w="778" w:type="dxa"/>
            <w:vAlign w:val="bottom"/>
          </w:tcPr>
          <w:p w:rsidR="004630EB" w:rsidRPr="00687A1C" w:rsidRDefault="004630EB" w:rsidP="007B0CEF">
            <w:pPr>
              <w:pStyle w:val="Tabletextrightbold"/>
            </w:pPr>
            <w:r w:rsidRPr="00687A1C">
              <w:t>119.00</w:t>
            </w:r>
          </w:p>
        </w:tc>
      </w:tr>
    </w:tbl>
    <w:p w:rsidR="00A5358C" w:rsidRPr="00687A1C" w:rsidRDefault="00A5358C" w:rsidP="00154E75"/>
    <w:p w:rsidR="005A4319" w:rsidRPr="00687A1C" w:rsidRDefault="005A4319" w:rsidP="00154E75"/>
    <w:p w:rsidR="00154E75" w:rsidRPr="00687A1C" w:rsidRDefault="00154E75" w:rsidP="00154E75">
      <w:pPr>
        <w:sectPr w:rsidR="00154E75" w:rsidRPr="00687A1C" w:rsidSect="00A5358C">
          <w:headerReference w:type="default" r:id="rId111"/>
          <w:footerReference w:type="even" r:id="rId112"/>
          <w:footerReference w:type="default" r:id="rId113"/>
          <w:pgSz w:w="16834" w:h="11909" w:orient="landscape" w:code="9"/>
          <w:pgMar w:top="1152" w:right="1440" w:bottom="990" w:left="1728" w:header="720" w:footer="288" w:gutter="0"/>
          <w:cols w:space="720"/>
          <w:noEndnote/>
        </w:sectPr>
      </w:pPr>
    </w:p>
    <w:p w:rsidR="005D199C" w:rsidRPr="00687A1C" w:rsidRDefault="005D199C" w:rsidP="005D199C">
      <w:pPr>
        <w:pStyle w:val="Tableheading"/>
      </w:pPr>
      <w:r w:rsidRPr="00687A1C">
        <w:lastRenderedPageBreak/>
        <w:t>Annualised total salary, by $20</w:t>
      </w:r>
      <w:r w:rsidRPr="00687A1C">
        <w:rPr>
          <w:rFonts w:ascii="Calibri" w:hAnsi="Calibri" w:cs="Calibri"/>
        </w:rPr>
        <w:t> </w:t>
      </w:r>
      <w:r w:rsidRPr="00687A1C">
        <w:t>000 bands, for executives and other senior non</w:t>
      </w:r>
      <w:r w:rsidR="00B336DF" w:rsidRPr="00687A1C">
        <w:noBreakHyphen/>
      </w:r>
      <w:r w:rsidRPr="00687A1C">
        <w:t>executive staff</w:t>
      </w:r>
      <w:r w:rsidR="000A7CE4" w:rsidRPr="00687A1C">
        <w:t xml:space="preserve"> – State Revenue</w:t>
      </w:r>
      <w:r w:rsidR="000A7CE4" w:rsidRPr="00687A1C">
        <w:rPr>
          <w:rFonts w:ascii="Calibri" w:hAnsi="Calibri" w:cs="Calibri"/>
        </w:rPr>
        <w:t> </w:t>
      </w:r>
      <w:r w:rsidR="000A7CE4" w:rsidRPr="00687A1C">
        <w:t>Office</w:t>
      </w:r>
    </w:p>
    <w:tbl>
      <w:tblPr>
        <w:tblW w:w="0" w:type="auto"/>
        <w:tblInd w:w="108" w:type="dxa"/>
        <w:tblLayout w:type="fixed"/>
        <w:tblLook w:val="0000" w:firstRow="0" w:lastRow="0" w:firstColumn="0" w:lastColumn="0" w:noHBand="0" w:noVBand="0"/>
      </w:tblPr>
      <w:tblGrid>
        <w:gridCol w:w="2700"/>
        <w:gridCol w:w="1080"/>
        <w:gridCol w:w="1080"/>
        <w:gridCol w:w="1080"/>
        <w:gridCol w:w="1080"/>
        <w:gridCol w:w="1080"/>
        <w:gridCol w:w="1080"/>
      </w:tblGrid>
      <w:tr w:rsidR="005D199C" w:rsidRPr="00687A1C" w:rsidTr="00D51AAB">
        <w:tc>
          <w:tcPr>
            <w:tcW w:w="2700" w:type="dxa"/>
            <w:shd w:val="clear" w:color="auto" w:fill="FFFFFF" w:themeFill="background1"/>
          </w:tcPr>
          <w:p w:rsidR="005D199C" w:rsidRPr="00687A1C" w:rsidRDefault="005D199C" w:rsidP="0021241E">
            <w:pPr>
              <w:pStyle w:val="Tabletextheadingleft"/>
            </w:pPr>
            <w:r w:rsidRPr="00687A1C">
              <w:t>Income band (salary)</w:t>
            </w:r>
          </w:p>
        </w:tc>
        <w:tc>
          <w:tcPr>
            <w:tcW w:w="1080" w:type="dxa"/>
            <w:shd w:val="clear" w:color="auto" w:fill="FFFFFF" w:themeFill="background1"/>
          </w:tcPr>
          <w:p w:rsidR="005D199C" w:rsidRPr="00687A1C" w:rsidRDefault="005D199C" w:rsidP="0021241E">
            <w:pPr>
              <w:pStyle w:val="Tabletextheadingcentred"/>
            </w:pPr>
            <w:r w:rsidRPr="00687A1C">
              <w:t>Executives</w:t>
            </w:r>
          </w:p>
        </w:tc>
        <w:tc>
          <w:tcPr>
            <w:tcW w:w="1080" w:type="dxa"/>
            <w:shd w:val="clear" w:color="auto" w:fill="FFFFFF" w:themeFill="background1"/>
          </w:tcPr>
          <w:p w:rsidR="005D199C" w:rsidRPr="00687A1C" w:rsidRDefault="005D199C" w:rsidP="0021241E">
            <w:pPr>
              <w:pStyle w:val="Tabletextheadingcentred"/>
            </w:pPr>
            <w:r w:rsidRPr="00687A1C">
              <w:t>STS</w:t>
            </w:r>
          </w:p>
        </w:tc>
        <w:tc>
          <w:tcPr>
            <w:tcW w:w="1080" w:type="dxa"/>
            <w:shd w:val="clear" w:color="auto" w:fill="FFFFFF" w:themeFill="background1"/>
          </w:tcPr>
          <w:p w:rsidR="005D199C" w:rsidRPr="00687A1C" w:rsidRDefault="005D199C" w:rsidP="0021241E">
            <w:pPr>
              <w:pStyle w:val="Tabletextheadingcentred"/>
            </w:pPr>
            <w:r w:rsidRPr="00687A1C">
              <w:t>PS</w:t>
            </w:r>
          </w:p>
        </w:tc>
        <w:tc>
          <w:tcPr>
            <w:tcW w:w="1080" w:type="dxa"/>
            <w:shd w:val="clear" w:color="auto" w:fill="FFFFFF" w:themeFill="background1"/>
          </w:tcPr>
          <w:p w:rsidR="005D199C" w:rsidRPr="00687A1C" w:rsidRDefault="005D199C" w:rsidP="0021241E">
            <w:pPr>
              <w:pStyle w:val="Tabletextheadingcentred"/>
            </w:pPr>
            <w:r w:rsidRPr="00687A1C">
              <w:t>SMA</w:t>
            </w:r>
          </w:p>
        </w:tc>
        <w:tc>
          <w:tcPr>
            <w:tcW w:w="1080" w:type="dxa"/>
            <w:shd w:val="clear" w:color="auto" w:fill="FFFFFF" w:themeFill="background1"/>
          </w:tcPr>
          <w:p w:rsidR="005D199C" w:rsidRPr="00687A1C" w:rsidRDefault="005D199C" w:rsidP="0021241E">
            <w:pPr>
              <w:pStyle w:val="Tabletextheadingcentred"/>
            </w:pPr>
            <w:r w:rsidRPr="00687A1C">
              <w:t>SRA</w:t>
            </w:r>
          </w:p>
        </w:tc>
        <w:tc>
          <w:tcPr>
            <w:tcW w:w="1080" w:type="dxa"/>
            <w:shd w:val="clear" w:color="auto" w:fill="FFFFFF" w:themeFill="background1"/>
          </w:tcPr>
          <w:p w:rsidR="005D199C" w:rsidRPr="00687A1C" w:rsidRDefault="005D199C" w:rsidP="0021241E">
            <w:pPr>
              <w:pStyle w:val="Tabletextheadingcentred"/>
            </w:pPr>
            <w:r w:rsidRPr="00687A1C">
              <w:t>Other</w:t>
            </w:r>
          </w:p>
        </w:tc>
      </w:tr>
      <w:tr w:rsidR="00794668" w:rsidRPr="00687A1C" w:rsidTr="0021241E">
        <w:tc>
          <w:tcPr>
            <w:tcW w:w="2700" w:type="dxa"/>
            <w:vAlign w:val="bottom"/>
          </w:tcPr>
          <w:p w:rsidR="00794668" w:rsidRPr="00687A1C" w:rsidRDefault="00794668" w:rsidP="0021241E">
            <w:pPr>
              <w:pStyle w:val="Tabletext"/>
            </w:pPr>
            <w:r w:rsidRPr="00687A1C">
              <w:t>&lt;$160</w:t>
            </w:r>
            <w:r w:rsidRPr="00687A1C">
              <w:rPr>
                <w:rFonts w:ascii="Calibri" w:hAnsi="Calibri" w:cs="Calibri"/>
              </w:rPr>
              <w:t> </w:t>
            </w:r>
            <w:r w:rsidRPr="00687A1C">
              <w:t>000</w:t>
            </w:r>
          </w:p>
        </w:tc>
        <w:tc>
          <w:tcPr>
            <w:tcW w:w="1080" w:type="dxa"/>
            <w:shd w:val="clear" w:color="auto" w:fill="E0E0E0"/>
            <w:vAlign w:val="bottom"/>
          </w:tcPr>
          <w:p w:rsidR="00794668" w:rsidRPr="00687A1C" w:rsidRDefault="00794668" w:rsidP="00EB2016">
            <w:pPr>
              <w:pStyle w:val="Tabletextright"/>
            </w:pPr>
            <w:r w:rsidRPr="00687A1C">
              <w:t>1</w:t>
            </w:r>
            <w:r w:rsidRPr="00687A1C">
              <w:rPr>
                <w:vertAlign w:val="superscript"/>
              </w:rPr>
              <w:t>(a)</w:t>
            </w: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$160</w:t>
            </w:r>
            <w:r w:rsidRPr="00687A1C">
              <w:rPr>
                <w:rFonts w:ascii="Calibri" w:hAnsi="Calibri" w:cs="Calibri"/>
              </w:rPr>
              <w:t> </w:t>
            </w:r>
            <w:r w:rsidRPr="00687A1C">
              <w:t>000–$179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r w:rsidRPr="00687A1C">
              <w:t>2</w:t>
            </w:r>
            <w:r w:rsidRPr="00687A1C">
              <w:rPr>
                <w:vertAlign w:val="superscript"/>
              </w:rPr>
              <w:t>(a)</w:t>
            </w: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$180</w:t>
            </w:r>
            <w:r w:rsidRPr="00687A1C">
              <w:rPr>
                <w:rFonts w:ascii="Calibri" w:hAnsi="Calibri" w:cs="Calibri"/>
              </w:rPr>
              <w:t> </w:t>
            </w:r>
            <w:r w:rsidRPr="00687A1C">
              <w:t>000–$199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r w:rsidRPr="00687A1C">
              <w:t>2</w:t>
            </w: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$200</w:t>
            </w:r>
            <w:r w:rsidRPr="00687A1C">
              <w:rPr>
                <w:rFonts w:ascii="Calibri" w:hAnsi="Calibri" w:cs="Calibri"/>
              </w:rPr>
              <w:t> </w:t>
            </w:r>
            <w:r w:rsidRPr="00687A1C">
              <w:t>000–$219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r w:rsidRPr="00687A1C">
              <w:t>1</w:t>
            </w:r>
          </w:p>
        </w:tc>
        <w:tc>
          <w:tcPr>
            <w:tcW w:w="1080" w:type="dxa"/>
            <w:shd w:val="clear" w:color="auto" w:fill="auto"/>
            <w:vAlign w:val="bottom"/>
          </w:tcPr>
          <w:p w:rsidR="00794668" w:rsidRPr="00687A1C" w:rsidRDefault="00794668" w:rsidP="00EB2016">
            <w:pPr>
              <w:pStyle w:val="Tabletextright"/>
            </w:pPr>
            <w:r w:rsidRPr="00687A1C">
              <w:t>1</w:t>
            </w: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$220</w:t>
            </w:r>
            <w:r w:rsidRPr="00687A1C">
              <w:rPr>
                <w:rFonts w:ascii="Calibri" w:hAnsi="Calibri" w:cs="Calibri"/>
              </w:rPr>
              <w:t> </w:t>
            </w:r>
            <w:r w:rsidRPr="00687A1C">
              <w:t>000–$239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$240</w:t>
            </w:r>
            <w:r w:rsidRPr="00687A1C">
              <w:rPr>
                <w:rFonts w:ascii="Calibri" w:hAnsi="Calibri" w:cs="Calibri"/>
              </w:rPr>
              <w:t> </w:t>
            </w:r>
            <w:r w:rsidRPr="00687A1C">
              <w:t>000–$259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$260</w:t>
            </w:r>
            <w:r w:rsidRPr="00687A1C">
              <w:rPr>
                <w:rFonts w:ascii="Calibri" w:hAnsi="Calibri" w:cs="Calibri"/>
              </w:rPr>
              <w:t> </w:t>
            </w:r>
            <w:r w:rsidRPr="00687A1C">
              <w:t>000–$279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$280</w:t>
            </w:r>
            <w:r w:rsidRPr="00687A1C">
              <w:rPr>
                <w:rFonts w:ascii="Calibri" w:hAnsi="Calibri" w:cs="Calibri"/>
              </w:rPr>
              <w:t> </w:t>
            </w:r>
            <w:r w:rsidRPr="00687A1C">
              <w:t>000–$299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$300</w:t>
            </w:r>
            <w:r w:rsidRPr="00687A1C">
              <w:rPr>
                <w:rFonts w:ascii="Calibri" w:hAnsi="Calibri" w:cs="Calibri"/>
              </w:rPr>
              <w:t> </w:t>
            </w:r>
            <w:r w:rsidRPr="00687A1C">
              <w:t>000–$319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r w:rsidRPr="00687A1C">
              <w:t>1</w:t>
            </w: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pPr>
          </w:p>
        </w:tc>
        <w:tc>
          <w:tcPr>
            <w:tcW w:w="1080" w:type="dxa"/>
            <w:shd w:val="clear" w:color="auto" w:fill="auto"/>
          </w:tcPr>
          <w:p w:rsidR="00794668" w:rsidRPr="00687A1C" w:rsidRDefault="00794668" w:rsidP="0021241E">
            <w:pPr>
              <w:pStyle w:val="Tabletextright"/>
            </w:pPr>
          </w:p>
        </w:tc>
      </w:tr>
      <w:tr w:rsidR="00794668" w:rsidRPr="00687A1C" w:rsidTr="0021241E">
        <w:tc>
          <w:tcPr>
            <w:tcW w:w="2700" w:type="dxa"/>
            <w:vAlign w:val="bottom"/>
          </w:tcPr>
          <w:p w:rsidR="00794668" w:rsidRPr="00687A1C" w:rsidRDefault="00794668" w:rsidP="0021241E">
            <w:pPr>
              <w:pStyle w:val="Tabletext"/>
            </w:pPr>
            <w:r w:rsidRPr="00687A1C">
              <w:t>$320</w:t>
            </w:r>
            <w:r w:rsidRPr="00687A1C">
              <w:rPr>
                <w:rFonts w:ascii="Calibri" w:hAnsi="Calibri" w:cs="Calibri"/>
              </w:rPr>
              <w:t> </w:t>
            </w:r>
            <w:r w:rsidRPr="00687A1C">
              <w:t>000–$339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EB2016">
            <w:pPr>
              <w:pStyle w:val="Tabletextright"/>
            </w:pPr>
          </w:p>
        </w:tc>
        <w:tc>
          <w:tcPr>
            <w:tcW w:w="1080" w:type="dxa"/>
            <w:shd w:val="clear" w:color="auto" w:fill="auto"/>
            <w:vAlign w:val="bottom"/>
          </w:tcPr>
          <w:p w:rsidR="00794668" w:rsidRPr="00687A1C" w:rsidRDefault="00794668" w:rsidP="00EB2016">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$340</w:t>
            </w:r>
            <w:r w:rsidRPr="00687A1C">
              <w:rPr>
                <w:rFonts w:ascii="Calibri" w:hAnsi="Calibri" w:cs="Calibri"/>
              </w:rPr>
              <w:t> </w:t>
            </w:r>
            <w:r w:rsidRPr="00687A1C">
              <w:t>000–$359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$360</w:t>
            </w:r>
            <w:r w:rsidRPr="00687A1C">
              <w:rPr>
                <w:rFonts w:ascii="Calibri" w:hAnsi="Calibri" w:cs="Calibri"/>
              </w:rPr>
              <w:t> </w:t>
            </w:r>
            <w:r w:rsidRPr="00687A1C">
              <w:t>000–$379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$380</w:t>
            </w:r>
            <w:r w:rsidRPr="00687A1C">
              <w:rPr>
                <w:rFonts w:ascii="Calibri" w:hAnsi="Calibri" w:cs="Calibri"/>
              </w:rPr>
              <w:t> </w:t>
            </w:r>
            <w:r w:rsidRPr="00687A1C">
              <w:t>000–$399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$400</w:t>
            </w:r>
            <w:r w:rsidRPr="00687A1C">
              <w:rPr>
                <w:rFonts w:ascii="Calibri" w:hAnsi="Calibri" w:cs="Calibri"/>
              </w:rPr>
              <w:t> </w:t>
            </w:r>
            <w:r w:rsidRPr="00687A1C">
              <w:t>000–$419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$420</w:t>
            </w:r>
            <w:r w:rsidRPr="00687A1C">
              <w:rPr>
                <w:rFonts w:ascii="Calibri" w:hAnsi="Calibri" w:cs="Calibri"/>
              </w:rPr>
              <w:t> </w:t>
            </w:r>
            <w:r w:rsidRPr="00687A1C">
              <w:t>000–$439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$440</w:t>
            </w:r>
            <w:r w:rsidRPr="00687A1C">
              <w:rPr>
                <w:rFonts w:ascii="Calibri" w:hAnsi="Calibri" w:cs="Calibri"/>
              </w:rPr>
              <w:t> </w:t>
            </w:r>
            <w:r w:rsidRPr="00687A1C">
              <w:t>000–$459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$460</w:t>
            </w:r>
            <w:r w:rsidRPr="00687A1C">
              <w:rPr>
                <w:rFonts w:ascii="Calibri" w:hAnsi="Calibri" w:cs="Calibri"/>
              </w:rPr>
              <w:t> </w:t>
            </w:r>
            <w:r w:rsidRPr="00687A1C">
              <w:t>000–$479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tcPr>
          <w:p w:rsidR="00794668" w:rsidRPr="00687A1C" w:rsidRDefault="00794668" w:rsidP="0021241E">
            <w:pPr>
              <w:pStyle w:val="Tabletext"/>
            </w:pPr>
            <w:r w:rsidRPr="00687A1C">
              <w:t>$480</w:t>
            </w:r>
            <w:r w:rsidRPr="00687A1C">
              <w:rPr>
                <w:rFonts w:ascii="Calibri" w:hAnsi="Calibri" w:cs="Calibri"/>
              </w:rPr>
              <w:t> </w:t>
            </w:r>
            <w:r w:rsidRPr="00687A1C">
              <w:t>000–$499</w:t>
            </w:r>
            <w:r w:rsidRPr="00687A1C">
              <w:rPr>
                <w:rFonts w:ascii="Calibri" w:hAnsi="Calibri" w:cs="Calibri"/>
              </w:rPr>
              <w:t> </w:t>
            </w:r>
            <w:r w:rsidRPr="00687A1C">
              <w:t>999</w:t>
            </w:r>
          </w:p>
        </w:tc>
        <w:tc>
          <w:tcPr>
            <w:tcW w:w="1080" w:type="dxa"/>
            <w:shd w:val="clear" w:color="auto" w:fill="E0E0E0"/>
            <w:vAlign w:val="bottom"/>
          </w:tcPr>
          <w:p w:rsidR="00794668" w:rsidRPr="00687A1C" w:rsidRDefault="00794668" w:rsidP="0021241E">
            <w:pPr>
              <w:pStyle w:val="Tabletextright"/>
            </w:pPr>
          </w:p>
        </w:tc>
        <w:tc>
          <w:tcPr>
            <w:tcW w:w="1080" w:type="dxa"/>
            <w:shd w:val="clear" w:color="auto" w:fill="auto"/>
            <w:vAlign w:val="bottom"/>
          </w:tcPr>
          <w:p w:rsidR="00794668" w:rsidRPr="00687A1C" w:rsidRDefault="00794668" w:rsidP="0021241E">
            <w:pPr>
              <w:pStyle w:val="Tabletextright"/>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c>
          <w:tcPr>
            <w:tcW w:w="1080" w:type="dxa"/>
            <w:shd w:val="clear" w:color="auto" w:fill="E0E0E0"/>
          </w:tcPr>
          <w:p w:rsidR="00794668" w:rsidRPr="00687A1C" w:rsidRDefault="00794668" w:rsidP="0021241E">
            <w:pPr>
              <w:pStyle w:val="Tabletextright"/>
              <w:rPr>
                <w:bCs/>
              </w:rPr>
            </w:pPr>
          </w:p>
        </w:tc>
        <w:tc>
          <w:tcPr>
            <w:tcW w:w="1080" w:type="dxa"/>
            <w:shd w:val="clear" w:color="auto" w:fill="auto"/>
          </w:tcPr>
          <w:p w:rsidR="00794668" w:rsidRPr="00687A1C" w:rsidRDefault="00794668" w:rsidP="0021241E">
            <w:pPr>
              <w:pStyle w:val="Tabletextright"/>
              <w:rPr>
                <w:bCs/>
              </w:rPr>
            </w:pPr>
          </w:p>
        </w:tc>
      </w:tr>
      <w:tr w:rsidR="00794668" w:rsidRPr="00687A1C" w:rsidTr="0021241E">
        <w:tc>
          <w:tcPr>
            <w:tcW w:w="2700" w:type="dxa"/>
            <w:vAlign w:val="bottom"/>
          </w:tcPr>
          <w:p w:rsidR="00794668" w:rsidRPr="00687A1C" w:rsidRDefault="00794668" w:rsidP="00722E5C">
            <w:pPr>
              <w:pStyle w:val="Tabletextbold"/>
            </w:pPr>
            <w:r w:rsidRPr="00687A1C">
              <w:t xml:space="preserve">Total </w:t>
            </w:r>
          </w:p>
        </w:tc>
        <w:tc>
          <w:tcPr>
            <w:tcW w:w="1080" w:type="dxa"/>
            <w:shd w:val="clear" w:color="auto" w:fill="E0E0E0"/>
            <w:vAlign w:val="bottom"/>
          </w:tcPr>
          <w:p w:rsidR="00794668" w:rsidRPr="00687A1C" w:rsidRDefault="00794668" w:rsidP="00794668">
            <w:pPr>
              <w:pStyle w:val="Tabletextrightbold"/>
            </w:pPr>
            <w:r w:rsidRPr="00687A1C">
              <w:t>7</w:t>
            </w:r>
          </w:p>
        </w:tc>
        <w:tc>
          <w:tcPr>
            <w:tcW w:w="1080" w:type="dxa"/>
            <w:shd w:val="clear" w:color="auto" w:fill="auto"/>
            <w:vAlign w:val="bottom"/>
          </w:tcPr>
          <w:p w:rsidR="00794668" w:rsidRPr="00687A1C" w:rsidRDefault="00794668" w:rsidP="00794668">
            <w:pPr>
              <w:pStyle w:val="Tabletextrightbold"/>
            </w:pPr>
            <w:r w:rsidRPr="00687A1C">
              <w:t>1</w:t>
            </w:r>
          </w:p>
        </w:tc>
        <w:tc>
          <w:tcPr>
            <w:tcW w:w="1080" w:type="dxa"/>
            <w:shd w:val="clear" w:color="auto" w:fill="E0E0E0"/>
          </w:tcPr>
          <w:p w:rsidR="00794668" w:rsidRPr="00687A1C" w:rsidRDefault="00794668" w:rsidP="00794668">
            <w:pPr>
              <w:pStyle w:val="Tabletextrightbold"/>
            </w:pPr>
          </w:p>
        </w:tc>
        <w:tc>
          <w:tcPr>
            <w:tcW w:w="1080" w:type="dxa"/>
            <w:shd w:val="clear" w:color="auto" w:fill="auto"/>
          </w:tcPr>
          <w:p w:rsidR="00794668" w:rsidRPr="00687A1C" w:rsidRDefault="00794668" w:rsidP="0021241E">
            <w:pPr>
              <w:pStyle w:val="Tabletextrightbold"/>
            </w:pPr>
          </w:p>
        </w:tc>
        <w:tc>
          <w:tcPr>
            <w:tcW w:w="1080" w:type="dxa"/>
            <w:shd w:val="clear" w:color="auto" w:fill="E0E0E0"/>
          </w:tcPr>
          <w:p w:rsidR="00794668" w:rsidRPr="00687A1C" w:rsidRDefault="00794668" w:rsidP="0021241E">
            <w:pPr>
              <w:pStyle w:val="Tabletextrightbold"/>
            </w:pPr>
          </w:p>
        </w:tc>
        <w:tc>
          <w:tcPr>
            <w:tcW w:w="1080" w:type="dxa"/>
            <w:shd w:val="clear" w:color="auto" w:fill="auto"/>
          </w:tcPr>
          <w:p w:rsidR="00794668" w:rsidRPr="00687A1C" w:rsidRDefault="00794668" w:rsidP="0021241E">
            <w:pPr>
              <w:pStyle w:val="Tabletextrightbold"/>
            </w:pPr>
          </w:p>
        </w:tc>
      </w:tr>
    </w:tbl>
    <w:p w:rsidR="005D199C" w:rsidRPr="00687A1C" w:rsidRDefault="005D199C" w:rsidP="005D199C">
      <w:pPr>
        <w:pStyle w:val="Notes"/>
      </w:pPr>
      <w:r w:rsidRPr="00687A1C">
        <w:t>Note:</w:t>
      </w:r>
    </w:p>
    <w:p w:rsidR="005D199C" w:rsidRPr="00687A1C" w:rsidRDefault="005D199C" w:rsidP="005D199C">
      <w:pPr>
        <w:pStyle w:val="Notes"/>
      </w:pPr>
      <w:r w:rsidRPr="00687A1C">
        <w:t xml:space="preserve">(a) </w:t>
      </w:r>
      <w:r w:rsidR="00794668" w:rsidRPr="00687A1C">
        <w:t>Two executives work part time at 0.8 and 0.9 FTE.</w:t>
      </w:r>
    </w:p>
    <w:p w:rsidR="0021241E" w:rsidRPr="00687A1C" w:rsidRDefault="0021241E" w:rsidP="0021241E"/>
    <w:p w:rsidR="0021241E" w:rsidRPr="00687A1C" w:rsidRDefault="0021241E" w:rsidP="0021241E"/>
    <w:p w:rsidR="0021241E" w:rsidRPr="00687A1C" w:rsidRDefault="0021241E" w:rsidP="0021241E">
      <w:pPr>
        <w:pStyle w:val="Tableheading"/>
        <w:sectPr w:rsidR="0021241E" w:rsidRPr="00687A1C" w:rsidSect="005D199C">
          <w:headerReference w:type="even" r:id="rId114"/>
          <w:footerReference w:type="even" r:id="rId115"/>
          <w:footerReference w:type="default" r:id="rId116"/>
          <w:pgSz w:w="11909" w:h="16834" w:code="9"/>
          <w:pgMar w:top="1728" w:right="1152" w:bottom="1267" w:left="1152" w:header="720" w:footer="288" w:gutter="0"/>
          <w:cols w:space="720"/>
          <w:noEndnote/>
          <w:docGrid w:linePitch="231"/>
        </w:sectPr>
      </w:pPr>
    </w:p>
    <w:p w:rsidR="0021241E" w:rsidRPr="00687A1C" w:rsidRDefault="0021241E" w:rsidP="0021241E">
      <w:pPr>
        <w:pStyle w:val="Heading4"/>
      </w:pPr>
      <w:r w:rsidRPr="00687A1C">
        <w:lastRenderedPageBreak/>
        <w:t>Profile of Essentia</w:t>
      </w:r>
      <w:r w:rsidR="00352A50" w:rsidRPr="00687A1C">
        <w:t>l Services Commission: June 2018</w:t>
      </w:r>
    </w:p>
    <w:tbl>
      <w:tblPr>
        <w:tblW w:w="13867" w:type="dxa"/>
        <w:tblLayout w:type="fixed"/>
        <w:tblCellMar>
          <w:left w:w="43" w:type="dxa"/>
          <w:right w:w="43" w:type="dxa"/>
        </w:tblCellMar>
        <w:tblLook w:val="0000" w:firstRow="0" w:lastRow="0" w:firstColumn="0" w:lastColumn="0" w:noHBand="0" w:noVBand="0"/>
      </w:tblPr>
      <w:tblGrid>
        <w:gridCol w:w="1483"/>
        <w:gridCol w:w="950"/>
        <w:gridCol w:w="778"/>
        <w:gridCol w:w="979"/>
        <w:gridCol w:w="979"/>
        <w:gridCol w:w="778"/>
        <w:gridCol w:w="950"/>
        <w:gridCol w:w="778"/>
        <w:gridCol w:w="950"/>
        <w:gridCol w:w="778"/>
        <w:gridCol w:w="979"/>
        <w:gridCol w:w="979"/>
        <w:gridCol w:w="778"/>
        <w:gridCol w:w="950"/>
        <w:gridCol w:w="778"/>
      </w:tblGrid>
      <w:tr w:rsidR="004630EB" w:rsidRPr="00687A1C" w:rsidTr="004630EB">
        <w:trPr>
          <w:cantSplit/>
        </w:trPr>
        <w:tc>
          <w:tcPr>
            <w:tcW w:w="1483" w:type="dxa"/>
            <w:shd w:val="clear" w:color="auto" w:fill="auto"/>
          </w:tcPr>
          <w:p w:rsidR="004630EB" w:rsidRPr="00687A1C" w:rsidRDefault="004630EB" w:rsidP="004630EB">
            <w:pPr>
              <w:pStyle w:val="Tabletext"/>
            </w:pPr>
          </w:p>
        </w:tc>
        <w:tc>
          <w:tcPr>
            <w:tcW w:w="6192" w:type="dxa"/>
            <w:gridSpan w:val="7"/>
            <w:shd w:val="clear" w:color="auto" w:fill="E0E0E0"/>
            <w:vAlign w:val="bottom"/>
          </w:tcPr>
          <w:p w:rsidR="004630EB" w:rsidRPr="00687A1C" w:rsidRDefault="004630EB" w:rsidP="004630EB">
            <w:pPr>
              <w:pStyle w:val="Tabletextheadingcentred"/>
            </w:pPr>
            <w:r w:rsidRPr="00687A1C">
              <w:t>June 2018</w:t>
            </w:r>
          </w:p>
        </w:tc>
        <w:tc>
          <w:tcPr>
            <w:tcW w:w="6192" w:type="dxa"/>
            <w:gridSpan w:val="7"/>
            <w:shd w:val="clear" w:color="auto" w:fill="auto"/>
            <w:noWrap/>
            <w:vAlign w:val="bottom"/>
          </w:tcPr>
          <w:p w:rsidR="004630EB" w:rsidRPr="00687A1C" w:rsidRDefault="004630EB" w:rsidP="004630EB">
            <w:pPr>
              <w:pStyle w:val="Tabletextheadingcentred"/>
            </w:pPr>
            <w:r w:rsidRPr="00687A1C">
              <w:t>June 2017</w:t>
            </w:r>
            <w:r w:rsidR="00010AA4" w:rsidRPr="00687A1C">
              <w:rPr>
                <w:vertAlign w:val="superscript"/>
              </w:rPr>
              <w:t>(a)</w:t>
            </w:r>
          </w:p>
        </w:tc>
      </w:tr>
      <w:tr w:rsidR="004630EB" w:rsidRPr="00687A1C" w:rsidTr="004630EB">
        <w:trPr>
          <w:cantSplit/>
        </w:trPr>
        <w:tc>
          <w:tcPr>
            <w:tcW w:w="1483" w:type="dxa"/>
            <w:shd w:val="clear" w:color="auto" w:fill="auto"/>
          </w:tcPr>
          <w:p w:rsidR="004630EB" w:rsidRPr="00687A1C" w:rsidRDefault="004630EB" w:rsidP="004630EB">
            <w:pPr>
              <w:pStyle w:val="Tabletext"/>
            </w:pPr>
          </w:p>
        </w:tc>
        <w:tc>
          <w:tcPr>
            <w:tcW w:w="1728" w:type="dxa"/>
            <w:gridSpan w:val="2"/>
            <w:shd w:val="clear" w:color="auto" w:fill="auto"/>
            <w:vAlign w:val="bottom"/>
          </w:tcPr>
          <w:p w:rsidR="004630EB" w:rsidRPr="00687A1C" w:rsidRDefault="004630EB" w:rsidP="004630EB">
            <w:pPr>
              <w:pStyle w:val="Tabletextheadingcentred"/>
              <w:spacing w:after="20"/>
            </w:pPr>
            <w:r w:rsidRPr="00687A1C">
              <w:t>All employees</w:t>
            </w:r>
          </w:p>
        </w:tc>
        <w:tc>
          <w:tcPr>
            <w:tcW w:w="2736" w:type="dxa"/>
            <w:gridSpan w:val="3"/>
            <w:shd w:val="clear" w:color="auto" w:fill="auto"/>
            <w:vAlign w:val="bottom"/>
          </w:tcPr>
          <w:p w:rsidR="004630EB" w:rsidRPr="00687A1C" w:rsidRDefault="004630EB" w:rsidP="004630EB">
            <w:pPr>
              <w:pStyle w:val="Tabletextheadingcentred"/>
              <w:spacing w:after="20"/>
            </w:pPr>
            <w:r w:rsidRPr="00687A1C">
              <w:t>Ongoing</w:t>
            </w:r>
          </w:p>
        </w:tc>
        <w:tc>
          <w:tcPr>
            <w:tcW w:w="1728" w:type="dxa"/>
            <w:gridSpan w:val="2"/>
            <w:shd w:val="clear" w:color="auto" w:fill="auto"/>
          </w:tcPr>
          <w:p w:rsidR="004630EB" w:rsidRPr="00687A1C" w:rsidRDefault="004630EB" w:rsidP="004630EB">
            <w:pPr>
              <w:pStyle w:val="Tabletextheadingcentred"/>
              <w:spacing w:after="20"/>
              <w:rPr>
                <w:rFonts w:cstheme="minorHAnsi"/>
              </w:rPr>
            </w:pPr>
            <w:r w:rsidRPr="00687A1C">
              <w:t>Fixed term</w:t>
            </w:r>
            <w:r w:rsidRPr="00687A1C">
              <w:br/>
              <w:t>and casual</w:t>
            </w:r>
          </w:p>
        </w:tc>
        <w:tc>
          <w:tcPr>
            <w:tcW w:w="1728" w:type="dxa"/>
            <w:gridSpan w:val="2"/>
            <w:shd w:val="clear" w:color="auto" w:fill="auto"/>
            <w:noWrap/>
            <w:vAlign w:val="bottom"/>
          </w:tcPr>
          <w:p w:rsidR="004630EB" w:rsidRPr="00687A1C" w:rsidRDefault="004630EB" w:rsidP="004630EB">
            <w:pPr>
              <w:pStyle w:val="Tabletextheadingcentred"/>
              <w:spacing w:after="20"/>
            </w:pPr>
            <w:r w:rsidRPr="00687A1C">
              <w:t>All employees</w:t>
            </w:r>
          </w:p>
        </w:tc>
        <w:tc>
          <w:tcPr>
            <w:tcW w:w="2736" w:type="dxa"/>
            <w:gridSpan w:val="3"/>
            <w:shd w:val="clear" w:color="auto" w:fill="auto"/>
            <w:noWrap/>
            <w:vAlign w:val="bottom"/>
          </w:tcPr>
          <w:p w:rsidR="004630EB" w:rsidRPr="00687A1C" w:rsidRDefault="004630EB" w:rsidP="004630EB">
            <w:pPr>
              <w:pStyle w:val="Tabletextheadingcentred"/>
              <w:spacing w:after="20"/>
            </w:pPr>
            <w:r w:rsidRPr="00687A1C">
              <w:t>Ongoing</w:t>
            </w:r>
          </w:p>
        </w:tc>
        <w:tc>
          <w:tcPr>
            <w:tcW w:w="1728" w:type="dxa"/>
            <w:gridSpan w:val="2"/>
          </w:tcPr>
          <w:p w:rsidR="004630EB" w:rsidRPr="00687A1C" w:rsidRDefault="004630EB" w:rsidP="004630EB">
            <w:pPr>
              <w:pStyle w:val="Tabletextheadingcentred"/>
              <w:spacing w:after="20"/>
              <w:rPr>
                <w:rFonts w:cstheme="minorHAnsi"/>
              </w:rPr>
            </w:pPr>
            <w:r w:rsidRPr="00687A1C">
              <w:t>Fixed term</w:t>
            </w:r>
            <w:r w:rsidRPr="00687A1C">
              <w:br/>
              <w:t>and casual</w:t>
            </w:r>
          </w:p>
        </w:tc>
      </w:tr>
      <w:tr w:rsidR="004630EB" w:rsidRPr="00687A1C" w:rsidTr="004630EB">
        <w:trPr>
          <w:cantSplit/>
        </w:trPr>
        <w:tc>
          <w:tcPr>
            <w:tcW w:w="1483" w:type="dxa"/>
            <w:shd w:val="clear" w:color="auto" w:fill="auto"/>
          </w:tcPr>
          <w:p w:rsidR="004630EB" w:rsidRPr="00687A1C" w:rsidRDefault="004630EB" w:rsidP="004630EB">
            <w:pPr>
              <w:pStyle w:val="Tabletext"/>
            </w:pPr>
          </w:p>
        </w:tc>
        <w:tc>
          <w:tcPr>
            <w:tcW w:w="950"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FTE</w:t>
            </w:r>
          </w:p>
        </w:tc>
        <w:tc>
          <w:tcPr>
            <w:tcW w:w="979"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4630EB" w:rsidRPr="00687A1C" w:rsidRDefault="004630EB" w:rsidP="004630EB">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shd w:val="clear" w:color="auto" w:fill="auto"/>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shd w:val="clear" w:color="auto" w:fill="auto"/>
            <w:noWrap/>
            <w:vAlign w:val="bottom"/>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FTE</w:t>
            </w:r>
          </w:p>
        </w:tc>
        <w:tc>
          <w:tcPr>
            <w:tcW w:w="979" w:type="dxa"/>
            <w:shd w:val="clear" w:color="auto" w:fill="auto"/>
            <w:noWrap/>
            <w:vAlign w:val="bottom"/>
          </w:tcPr>
          <w:p w:rsidR="004630EB" w:rsidRPr="00687A1C" w:rsidRDefault="004630EB" w:rsidP="004630EB">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4630EB" w:rsidRPr="00687A1C" w:rsidRDefault="004630EB" w:rsidP="004630EB">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tcPr>
          <w:p w:rsidR="004630EB" w:rsidRPr="00687A1C" w:rsidRDefault="004630EB" w:rsidP="004630EB">
            <w:pPr>
              <w:pStyle w:val="Tabletextheadingright"/>
              <w:rPr>
                <w:rFonts w:cstheme="minorHAnsi"/>
              </w:rPr>
            </w:pPr>
            <w:r w:rsidRPr="00687A1C">
              <w:rPr>
                <w:rFonts w:cstheme="minorHAnsi"/>
              </w:rPr>
              <w:t>FTE</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rPr>
              <w:t>Gender</w:t>
            </w:r>
          </w:p>
        </w:tc>
        <w:tc>
          <w:tcPr>
            <w:tcW w:w="950" w:type="dxa"/>
            <w:shd w:val="clear" w:color="auto" w:fill="E0E0E0"/>
            <w:vAlign w:val="bottom"/>
          </w:tcPr>
          <w:p w:rsidR="004630EB" w:rsidRPr="00687A1C" w:rsidRDefault="004630EB" w:rsidP="004630EB">
            <w:pPr>
              <w:pStyle w:val="Tabletextright"/>
            </w:pPr>
          </w:p>
        </w:tc>
        <w:tc>
          <w:tcPr>
            <w:tcW w:w="778" w:type="dxa"/>
            <w:shd w:val="clear" w:color="auto" w:fill="E0E0E0"/>
            <w:vAlign w:val="bottom"/>
          </w:tcPr>
          <w:p w:rsidR="004630EB" w:rsidRPr="00687A1C" w:rsidRDefault="004630EB" w:rsidP="004630EB">
            <w:pPr>
              <w:pStyle w:val="Tabletextright"/>
            </w:pPr>
          </w:p>
        </w:tc>
        <w:tc>
          <w:tcPr>
            <w:tcW w:w="979" w:type="dxa"/>
            <w:shd w:val="clear" w:color="auto" w:fill="auto"/>
            <w:vAlign w:val="bottom"/>
          </w:tcPr>
          <w:p w:rsidR="004630EB" w:rsidRPr="00687A1C" w:rsidRDefault="004630EB" w:rsidP="004630EB">
            <w:pPr>
              <w:pStyle w:val="Tabletextright"/>
            </w:pPr>
          </w:p>
        </w:tc>
        <w:tc>
          <w:tcPr>
            <w:tcW w:w="979" w:type="dxa"/>
            <w:shd w:val="clear" w:color="auto" w:fill="auto"/>
            <w:vAlign w:val="bottom"/>
          </w:tcPr>
          <w:p w:rsidR="004630EB" w:rsidRPr="00687A1C" w:rsidRDefault="004630EB" w:rsidP="004630EB">
            <w:pPr>
              <w:pStyle w:val="Tabletextright"/>
            </w:pPr>
          </w:p>
        </w:tc>
        <w:tc>
          <w:tcPr>
            <w:tcW w:w="778" w:type="dxa"/>
            <w:shd w:val="clear" w:color="auto" w:fill="auto"/>
            <w:vAlign w:val="bottom"/>
          </w:tcPr>
          <w:p w:rsidR="004630EB" w:rsidRPr="00687A1C" w:rsidRDefault="004630EB" w:rsidP="004630EB">
            <w:pPr>
              <w:pStyle w:val="Tabletextright"/>
            </w:pPr>
          </w:p>
        </w:tc>
        <w:tc>
          <w:tcPr>
            <w:tcW w:w="950" w:type="dxa"/>
            <w:shd w:val="clear" w:color="auto" w:fill="E0E0E0"/>
            <w:vAlign w:val="bottom"/>
          </w:tcPr>
          <w:p w:rsidR="004630EB" w:rsidRPr="00687A1C" w:rsidRDefault="004630EB" w:rsidP="004630EB">
            <w:pPr>
              <w:pStyle w:val="Tabletextright"/>
            </w:pPr>
          </w:p>
        </w:tc>
        <w:tc>
          <w:tcPr>
            <w:tcW w:w="778" w:type="dxa"/>
            <w:shd w:val="clear" w:color="auto" w:fill="E0E0E0"/>
            <w:vAlign w:val="bottom"/>
          </w:tcPr>
          <w:p w:rsidR="004630EB" w:rsidRPr="00687A1C" w:rsidRDefault="004630EB" w:rsidP="004630EB">
            <w:pPr>
              <w:pStyle w:val="Tabletextright"/>
            </w:pPr>
          </w:p>
        </w:tc>
        <w:tc>
          <w:tcPr>
            <w:tcW w:w="950" w:type="dxa"/>
            <w:shd w:val="clear" w:color="auto" w:fill="auto"/>
            <w:noWrap/>
            <w:vAlign w:val="bottom"/>
          </w:tcPr>
          <w:p w:rsidR="004630EB" w:rsidRPr="00687A1C" w:rsidRDefault="004630EB" w:rsidP="004630EB">
            <w:pPr>
              <w:pStyle w:val="Tabletextright"/>
            </w:pPr>
          </w:p>
        </w:tc>
        <w:tc>
          <w:tcPr>
            <w:tcW w:w="778" w:type="dxa"/>
            <w:shd w:val="clear" w:color="auto" w:fill="auto"/>
            <w:vAlign w:val="bottom"/>
          </w:tcPr>
          <w:p w:rsidR="004630EB" w:rsidRPr="00687A1C" w:rsidRDefault="004630EB" w:rsidP="004630EB">
            <w:pPr>
              <w:pStyle w:val="Tabletextright"/>
            </w:pPr>
          </w:p>
        </w:tc>
        <w:tc>
          <w:tcPr>
            <w:tcW w:w="979" w:type="dxa"/>
            <w:shd w:val="clear" w:color="auto" w:fill="E0E0E0"/>
            <w:noWrap/>
            <w:vAlign w:val="bottom"/>
          </w:tcPr>
          <w:p w:rsidR="004630EB" w:rsidRPr="00687A1C" w:rsidRDefault="004630EB" w:rsidP="004630EB">
            <w:pPr>
              <w:pStyle w:val="Tabletextright"/>
            </w:pPr>
          </w:p>
        </w:tc>
        <w:tc>
          <w:tcPr>
            <w:tcW w:w="979" w:type="dxa"/>
            <w:shd w:val="clear" w:color="auto" w:fill="E0E0E0"/>
            <w:vAlign w:val="bottom"/>
          </w:tcPr>
          <w:p w:rsidR="004630EB" w:rsidRPr="00687A1C" w:rsidRDefault="004630EB" w:rsidP="004630EB">
            <w:pPr>
              <w:pStyle w:val="Tabletextright"/>
            </w:pPr>
          </w:p>
        </w:tc>
        <w:tc>
          <w:tcPr>
            <w:tcW w:w="778" w:type="dxa"/>
            <w:shd w:val="clear" w:color="auto" w:fill="E0E0E0"/>
            <w:vAlign w:val="bottom"/>
          </w:tcPr>
          <w:p w:rsidR="004630EB" w:rsidRPr="00687A1C" w:rsidRDefault="004630EB" w:rsidP="004630EB">
            <w:pPr>
              <w:pStyle w:val="Tabletextright"/>
            </w:pPr>
          </w:p>
        </w:tc>
        <w:tc>
          <w:tcPr>
            <w:tcW w:w="950" w:type="dxa"/>
            <w:vAlign w:val="bottom"/>
          </w:tcPr>
          <w:p w:rsidR="004630EB" w:rsidRPr="00687A1C" w:rsidRDefault="004630EB" w:rsidP="004630EB">
            <w:pPr>
              <w:pStyle w:val="Tabletextright"/>
            </w:pPr>
          </w:p>
        </w:tc>
        <w:tc>
          <w:tcPr>
            <w:tcW w:w="778" w:type="dxa"/>
            <w:vAlign w:val="bottom"/>
          </w:tcPr>
          <w:p w:rsidR="004630EB" w:rsidRPr="00687A1C" w:rsidRDefault="004630EB" w:rsidP="004630EB">
            <w:pPr>
              <w:pStyle w:val="Tabletextright"/>
            </w:pP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Male</w:t>
            </w:r>
          </w:p>
        </w:tc>
        <w:tc>
          <w:tcPr>
            <w:tcW w:w="950" w:type="dxa"/>
            <w:shd w:val="clear" w:color="auto" w:fill="E0E0E0"/>
            <w:vAlign w:val="bottom"/>
          </w:tcPr>
          <w:p w:rsidR="003336BC" w:rsidRPr="00687A1C" w:rsidRDefault="003336BC" w:rsidP="00FD7161">
            <w:pPr>
              <w:pStyle w:val="Tabletextright"/>
            </w:pPr>
            <w:r w:rsidRPr="00687A1C">
              <w:t>63</w:t>
            </w:r>
          </w:p>
        </w:tc>
        <w:tc>
          <w:tcPr>
            <w:tcW w:w="778" w:type="dxa"/>
            <w:shd w:val="clear" w:color="auto" w:fill="E0E0E0"/>
            <w:vAlign w:val="bottom"/>
          </w:tcPr>
          <w:p w:rsidR="003336BC" w:rsidRPr="00687A1C" w:rsidRDefault="003336BC" w:rsidP="00FD7161">
            <w:pPr>
              <w:pStyle w:val="Tabletextright"/>
            </w:pPr>
            <w:r w:rsidRPr="00687A1C">
              <w:t>61.02</w:t>
            </w:r>
          </w:p>
        </w:tc>
        <w:tc>
          <w:tcPr>
            <w:tcW w:w="979" w:type="dxa"/>
            <w:shd w:val="clear" w:color="auto" w:fill="auto"/>
            <w:vAlign w:val="bottom"/>
          </w:tcPr>
          <w:p w:rsidR="003336BC" w:rsidRPr="00687A1C" w:rsidRDefault="003336BC" w:rsidP="00FD7161">
            <w:pPr>
              <w:pStyle w:val="Tabletextright"/>
            </w:pPr>
            <w:r w:rsidRPr="00687A1C">
              <w:t>51</w:t>
            </w:r>
          </w:p>
        </w:tc>
        <w:tc>
          <w:tcPr>
            <w:tcW w:w="979" w:type="dxa"/>
            <w:shd w:val="clear" w:color="auto" w:fill="auto"/>
            <w:vAlign w:val="bottom"/>
          </w:tcPr>
          <w:p w:rsidR="003336BC" w:rsidRPr="00687A1C" w:rsidRDefault="003336BC" w:rsidP="00FD7161">
            <w:pPr>
              <w:pStyle w:val="Tabletextright"/>
            </w:pPr>
            <w:r w:rsidRPr="00687A1C">
              <w:t>2</w:t>
            </w:r>
          </w:p>
        </w:tc>
        <w:tc>
          <w:tcPr>
            <w:tcW w:w="778" w:type="dxa"/>
            <w:shd w:val="clear" w:color="auto" w:fill="auto"/>
            <w:vAlign w:val="bottom"/>
          </w:tcPr>
          <w:p w:rsidR="003336BC" w:rsidRPr="00687A1C" w:rsidRDefault="003336BC" w:rsidP="00FD7161">
            <w:pPr>
              <w:pStyle w:val="Tabletextright"/>
            </w:pPr>
            <w:r w:rsidRPr="00687A1C">
              <w:t>52.76</w:t>
            </w:r>
          </w:p>
        </w:tc>
        <w:tc>
          <w:tcPr>
            <w:tcW w:w="950" w:type="dxa"/>
            <w:shd w:val="clear" w:color="auto" w:fill="E0E0E0"/>
            <w:vAlign w:val="bottom"/>
          </w:tcPr>
          <w:p w:rsidR="003336BC" w:rsidRPr="00687A1C" w:rsidRDefault="003336BC" w:rsidP="00FD7161">
            <w:pPr>
              <w:pStyle w:val="Tabletextright"/>
            </w:pPr>
            <w:r w:rsidRPr="00687A1C">
              <w:t>10</w:t>
            </w:r>
          </w:p>
        </w:tc>
        <w:tc>
          <w:tcPr>
            <w:tcW w:w="778" w:type="dxa"/>
            <w:shd w:val="clear" w:color="auto" w:fill="E0E0E0"/>
            <w:vAlign w:val="bottom"/>
          </w:tcPr>
          <w:p w:rsidR="003336BC" w:rsidRPr="00687A1C" w:rsidRDefault="003336BC" w:rsidP="00FD7161">
            <w:pPr>
              <w:pStyle w:val="Tabletextright"/>
            </w:pPr>
            <w:r w:rsidRPr="00687A1C">
              <w:t>8.26</w:t>
            </w:r>
          </w:p>
        </w:tc>
        <w:tc>
          <w:tcPr>
            <w:tcW w:w="950" w:type="dxa"/>
            <w:shd w:val="clear" w:color="auto" w:fill="auto"/>
            <w:noWrap/>
            <w:vAlign w:val="bottom"/>
          </w:tcPr>
          <w:p w:rsidR="003336BC" w:rsidRPr="00687A1C" w:rsidRDefault="003336BC" w:rsidP="00FD7161">
            <w:pPr>
              <w:pStyle w:val="Tabletextright"/>
            </w:pPr>
            <w:r w:rsidRPr="00687A1C">
              <w:t>56</w:t>
            </w:r>
          </w:p>
        </w:tc>
        <w:tc>
          <w:tcPr>
            <w:tcW w:w="778" w:type="dxa"/>
            <w:shd w:val="clear" w:color="auto" w:fill="auto"/>
            <w:vAlign w:val="bottom"/>
          </w:tcPr>
          <w:p w:rsidR="003336BC" w:rsidRPr="00687A1C" w:rsidRDefault="003336BC" w:rsidP="00FD7161">
            <w:pPr>
              <w:pStyle w:val="Tabletextright"/>
            </w:pPr>
            <w:r w:rsidRPr="00687A1C">
              <w:t>55.30</w:t>
            </w:r>
          </w:p>
        </w:tc>
        <w:tc>
          <w:tcPr>
            <w:tcW w:w="979" w:type="dxa"/>
            <w:shd w:val="clear" w:color="auto" w:fill="E0E0E0"/>
            <w:noWrap/>
            <w:vAlign w:val="bottom"/>
          </w:tcPr>
          <w:p w:rsidR="003336BC" w:rsidRPr="00687A1C" w:rsidRDefault="003336BC" w:rsidP="00FD7161">
            <w:pPr>
              <w:pStyle w:val="Tabletextright"/>
            </w:pPr>
            <w:r w:rsidRPr="00687A1C">
              <w:t>43</w:t>
            </w:r>
          </w:p>
        </w:tc>
        <w:tc>
          <w:tcPr>
            <w:tcW w:w="979" w:type="dxa"/>
            <w:shd w:val="clear" w:color="auto" w:fill="E0E0E0"/>
            <w:vAlign w:val="bottom"/>
          </w:tcPr>
          <w:p w:rsidR="003336BC" w:rsidRPr="00687A1C" w:rsidRDefault="003336BC" w:rsidP="00FD7161">
            <w:pPr>
              <w:pStyle w:val="Tabletextright"/>
            </w:pPr>
            <w:r w:rsidRPr="00687A1C">
              <w:t>3</w:t>
            </w:r>
          </w:p>
        </w:tc>
        <w:tc>
          <w:tcPr>
            <w:tcW w:w="778" w:type="dxa"/>
            <w:shd w:val="clear" w:color="auto" w:fill="E0E0E0"/>
            <w:vAlign w:val="bottom"/>
          </w:tcPr>
          <w:p w:rsidR="003336BC" w:rsidRPr="00687A1C" w:rsidRDefault="003336BC" w:rsidP="00FD7161">
            <w:pPr>
              <w:pStyle w:val="Tabletextright"/>
            </w:pPr>
            <w:r w:rsidRPr="00687A1C">
              <w:t>45.40</w:t>
            </w:r>
          </w:p>
        </w:tc>
        <w:tc>
          <w:tcPr>
            <w:tcW w:w="950" w:type="dxa"/>
            <w:vAlign w:val="bottom"/>
          </w:tcPr>
          <w:p w:rsidR="003336BC" w:rsidRPr="00687A1C" w:rsidRDefault="003336BC" w:rsidP="00FD7161">
            <w:pPr>
              <w:pStyle w:val="Tabletextright"/>
            </w:pPr>
            <w:r w:rsidRPr="00687A1C">
              <w:t>10</w:t>
            </w:r>
          </w:p>
        </w:tc>
        <w:tc>
          <w:tcPr>
            <w:tcW w:w="778" w:type="dxa"/>
            <w:vAlign w:val="bottom"/>
          </w:tcPr>
          <w:p w:rsidR="003336BC" w:rsidRPr="00687A1C" w:rsidRDefault="003336BC" w:rsidP="00FD7161">
            <w:pPr>
              <w:pStyle w:val="Tabletextright"/>
            </w:pPr>
            <w:r w:rsidRPr="00687A1C">
              <w:t>9.90</w:t>
            </w: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Female</w:t>
            </w:r>
          </w:p>
        </w:tc>
        <w:tc>
          <w:tcPr>
            <w:tcW w:w="950" w:type="dxa"/>
            <w:shd w:val="clear" w:color="auto" w:fill="E0E0E0"/>
            <w:vAlign w:val="bottom"/>
          </w:tcPr>
          <w:p w:rsidR="003336BC" w:rsidRPr="00687A1C" w:rsidRDefault="003336BC" w:rsidP="00FD7161">
            <w:pPr>
              <w:pStyle w:val="Tabletextright"/>
            </w:pPr>
            <w:r w:rsidRPr="00687A1C">
              <w:t>53</w:t>
            </w:r>
          </w:p>
        </w:tc>
        <w:tc>
          <w:tcPr>
            <w:tcW w:w="778" w:type="dxa"/>
            <w:shd w:val="clear" w:color="auto" w:fill="E0E0E0"/>
            <w:vAlign w:val="bottom"/>
          </w:tcPr>
          <w:p w:rsidR="003336BC" w:rsidRPr="00687A1C" w:rsidRDefault="003336BC" w:rsidP="00FD7161">
            <w:pPr>
              <w:pStyle w:val="Tabletextright"/>
            </w:pPr>
            <w:r w:rsidRPr="00687A1C">
              <w:t>50.90</w:t>
            </w:r>
          </w:p>
        </w:tc>
        <w:tc>
          <w:tcPr>
            <w:tcW w:w="979" w:type="dxa"/>
            <w:shd w:val="clear" w:color="auto" w:fill="auto"/>
            <w:vAlign w:val="bottom"/>
          </w:tcPr>
          <w:p w:rsidR="003336BC" w:rsidRPr="00687A1C" w:rsidRDefault="003336BC" w:rsidP="00FD7161">
            <w:pPr>
              <w:pStyle w:val="Tabletextright"/>
            </w:pPr>
            <w:r w:rsidRPr="00687A1C">
              <w:t>39</w:t>
            </w:r>
          </w:p>
        </w:tc>
        <w:tc>
          <w:tcPr>
            <w:tcW w:w="979" w:type="dxa"/>
            <w:shd w:val="clear" w:color="auto" w:fill="auto"/>
            <w:vAlign w:val="bottom"/>
          </w:tcPr>
          <w:p w:rsidR="003336BC" w:rsidRPr="00687A1C" w:rsidRDefault="003336BC" w:rsidP="00FD7161">
            <w:pPr>
              <w:pStyle w:val="Tabletextright"/>
            </w:pPr>
            <w:r w:rsidRPr="00687A1C">
              <w:t>8</w:t>
            </w:r>
          </w:p>
        </w:tc>
        <w:tc>
          <w:tcPr>
            <w:tcW w:w="778" w:type="dxa"/>
            <w:shd w:val="clear" w:color="auto" w:fill="auto"/>
            <w:vAlign w:val="bottom"/>
          </w:tcPr>
          <w:p w:rsidR="003336BC" w:rsidRPr="00687A1C" w:rsidRDefault="003336BC" w:rsidP="00FD7161">
            <w:pPr>
              <w:pStyle w:val="Tabletextright"/>
            </w:pPr>
            <w:r w:rsidRPr="00687A1C">
              <w:t>45.10</w:t>
            </w:r>
          </w:p>
        </w:tc>
        <w:tc>
          <w:tcPr>
            <w:tcW w:w="950" w:type="dxa"/>
            <w:shd w:val="clear" w:color="auto" w:fill="E0E0E0"/>
            <w:vAlign w:val="bottom"/>
          </w:tcPr>
          <w:p w:rsidR="003336BC" w:rsidRPr="00687A1C" w:rsidRDefault="003336BC" w:rsidP="00FD7161">
            <w:pPr>
              <w:pStyle w:val="Tabletextright"/>
            </w:pPr>
            <w:r w:rsidRPr="00687A1C">
              <w:t>6</w:t>
            </w:r>
          </w:p>
        </w:tc>
        <w:tc>
          <w:tcPr>
            <w:tcW w:w="778" w:type="dxa"/>
            <w:shd w:val="clear" w:color="auto" w:fill="E0E0E0"/>
            <w:vAlign w:val="bottom"/>
          </w:tcPr>
          <w:p w:rsidR="003336BC" w:rsidRPr="00687A1C" w:rsidRDefault="003336BC" w:rsidP="00FD7161">
            <w:pPr>
              <w:pStyle w:val="Tabletextright"/>
            </w:pPr>
            <w:r w:rsidRPr="00687A1C">
              <w:t>5.80</w:t>
            </w:r>
          </w:p>
        </w:tc>
        <w:tc>
          <w:tcPr>
            <w:tcW w:w="950" w:type="dxa"/>
            <w:shd w:val="clear" w:color="auto" w:fill="auto"/>
            <w:noWrap/>
            <w:vAlign w:val="bottom"/>
          </w:tcPr>
          <w:p w:rsidR="003336BC" w:rsidRPr="00687A1C" w:rsidRDefault="003336BC" w:rsidP="00FD7161">
            <w:pPr>
              <w:pStyle w:val="Tabletextright"/>
            </w:pPr>
            <w:r w:rsidRPr="00687A1C">
              <w:t>52</w:t>
            </w:r>
          </w:p>
        </w:tc>
        <w:tc>
          <w:tcPr>
            <w:tcW w:w="778" w:type="dxa"/>
            <w:shd w:val="clear" w:color="auto" w:fill="auto"/>
            <w:vAlign w:val="bottom"/>
          </w:tcPr>
          <w:p w:rsidR="003336BC" w:rsidRPr="00687A1C" w:rsidRDefault="003336BC" w:rsidP="00FD7161">
            <w:pPr>
              <w:pStyle w:val="Tabletextright"/>
            </w:pPr>
            <w:r w:rsidRPr="00687A1C">
              <w:t>48.39</w:t>
            </w:r>
          </w:p>
        </w:tc>
        <w:tc>
          <w:tcPr>
            <w:tcW w:w="979" w:type="dxa"/>
            <w:shd w:val="clear" w:color="auto" w:fill="E0E0E0"/>
            <w:noWrap/>
            <w:vAlign w:val="bottom"/>
          </w:tcPr>
          <w:p w:rsidR="003336BC" w:rsidRPr="00687A1C" w:rsidRDefault="003336BC" w:rsidP="00FD7161">
            <w:pPr>
              <w:pStyle w:val="Tabletextright"/>
            </w:pPr>
            <w:r w:rsidRPr="00687A1C">
              <w:t>37</w:t>
            </w:r>
          </w:p>
        </w:tc>
        <w:tc>
          <w:tcPr>
            <w:tcW w:w="979" w:type="dxa"/>
            <w:shd w:val="clear" w:color="auto" w:fill="E0E0E0"/>
            <w:vAlign w:val="bottom"/>
          </w:tcPr>
          <w:p w:rsidR="003336BC" w:rsidRPr="00687A1C" w:rsidRDefault="003336BC" w:rsidP="00FD7161">
            <w:pPr>
              <w:pStyle w:val="Tabletextright"/>
            </w:pPr>
            <w:r w:rsidRPr="00687A1C">
              <w:t>9</w:t>
            </w:r>
          </w:p>
        </w:tc>
        <w:tc>
          <w:tcPr>
            <w:tcW w:w="778" w:type="dxa"/>
            <w:shd w:val="clear" w:color="auto" w:fill="E0E0E0"/>
            <w:vAlign w:val="bottom"/>
          </w:tcPr>
          <w:p w:rsidR="003336BC" w:rsidRPr="00687A1C" w:rsidRDefault="003336BC" w:rsidP="00FD7161">
            <w:pPr>
              <w:pStyle w:val="Tabletextright"/>
            </w:pPr>
            <w:r w:rsidRPr="00687A1C">
              <w:t>43.35</w:t>
            </w:r>
          </w:p>
        </w:tc>
        <w:tc>
          <w:tcPr>
            <w:tcW w:w="950" w:type="dxa"/>
            <w:vAlign w:val="bottom"/>
          </w:tcPr>
          <w:p w:rsidR="003336BC" w:rsidRPr="00687A1C" w:rsidRDefault="003336BC" w:rsidP="00FD7161">
            <w:pPr>
              <w:pStyle w:val="Tabletextright"/>
            </w:pPr>
            <w:r w:rsidRPr="00687A1C">
              <w:t>6</w:t>
            </w:r>
          </w:p>
        </w:tc>
        <w:tc>
          <w:tcPr>
            <w:tcW w:w="778" w:type="dxa"/>
            <w:vAlign w:val="bottom"/>
          </w:tcPr>
          <w:p w:rsidR="003336BC" w:rsidRPr="00687A1C" w:rsidRDefault="003336BC" w:rsidP="00FD7161">
            <w:pPr>
              <w:pStyle w:val="Tabletextright"/>
            </w:pPr>
            <w:r w:rsidRPr="00687A1C">
              <w:t>5.04</w:t>
            </w:r>
          </w:p>
        </w:tc>
      </w:tr>
      <w:tr w:rsidR="003336BC" w:rsidRPr="00687A1C" w:rsidTr="004630EB">
        <w:trPr>
          <w:cantSplit/>
        </w:trPr>
        <w:tc>
          <w:tcPr>
            <w:tcW w:w="1483" w:type="dxa"/>
            <w:shd w:val="clear" w:color="auto" w:fill="auto"/>
          </w:tcPr>
          <w:p w:rsidR="003336BC" w:rsidRPr="00687A1C" w:rsidRDefault="003336BC" w:rsidP="004630EB">
            <w:pPr>
              <w:pStyle w:val="Tabletext"/>
              <w:rPr>
                <w:rFonts w:cstheme="minorHAnsi"/>
              </w:rPr>
            </w:pPr>
            <w:r w:rsidRPr="00687A1C">
              <w:rPr>
                <w:rFonts w:cstheme="minorHAnsi"/>
              </w:rPr>
              <w:t>Self-described</w:t>
            </w:r>
          </w:p>
        </w:tc>
        <w:tc>
          <w:tcPr>
            <w:tcW w:w="950"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w:t>
            </w:r>
          </w:p>
        </w:tc>
        <w:tc>
          <w:tcPr>
            <w:tcW w:w="979" w:type="dxa"/>
            <w:shd w:val="clear" w:color="auto" w:fill="auto"/>
            <w:vAlign w:val="bottom"/>
          </w:tcPr>
          <w:p w:rsidR="003336BC" w:rsidRPr="00687A1C" w:rsidRDefault="003336BC" w:rsidP="00FD7161">
            <w:pPr>
              <w:pStyle w:val="Tabletextright"/>
            </w:pPr>
            <w:r w:rsidRPr="00687A1C">
              <w:t>–</w:t>
            </w:r>
          </w:p>
        </w:tc>
        <w:tc>
          <w:tcPr>
            <w:tcW w:w="979" w:type="dxa"/>
            <w:shd w:val="clear" w:color="auto" w:fill="auto"/>
            <w:vAlign w:val="bottom"/>
          </w:tcPr>
          <w:p w:rsidR="003336BC" w:rsidRPr="00687A1C" w:rsidRDefault="003336BC" w:rsidP="00FD7161">
            <w:pPr>
              <w:pStyle w:val="Tabletextright"/>
            </w:pPr>
            <w:r w:rsidRPr="00687A1C">
              <w:t>–</w:t>
            </w:r>
          </w:p>
        </w:tc>
        <w:tc>
          <w:tcPr>
            <w:tcW w:w="778" w:type="dxa"/>
            <w:shd w:val="clear" w:color="auto" w:fill="auto"/>
            <w:vAlign w:val="bottom"/>
          </w:tcPr>
          <w:p w:rsidR="003336BC" w:rsidRPr="00687A1C" w:rsidRDefault="003336BC" w:rsidP="00FD7161">
            <w:pPr>
              <w:pStyle w:val="Tabletextright"/>
            </w:pPr>
            <w:r w:rsidRPr="00687A1C">
              <w:t>–</w:t>
            </w:r>
          </w:p>
        </w:tc>
        <w:tc>
          <w:tcPr>
            <w:tcW w:w="950"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w:t>
            </w:r>
          </w:p>
        </w:tc>
        <w:tc>
          <w:tcPr>
            <w:tcW w:w="950" w:type="dxa"/>
            <w:shd w:val="clear" w:color="auto" w:fill="auto"/>
            <w:noWrap/>
            <w:vAlign w:val="bottom"/>
          </w:tcPr>
          <w:p w:rsidR="003336BC" w:rsidRPr="00687A1C" w:rsidRDefault="003336BC" w:rsidP="00FD7161">
            <w:pPr>
              <w:pStyle w:val="Tabletextright"/>
            </w:pPr>
            <w:r w:rsidRPr="00687A1C">
              <w:t>–</w:t>
            </w:r>
          </w:p>
        </w:tc>
        <w:tc>
          <w:tcPr>
            <w:tcW w:w="778" w:type="dxa"/>
            <w:shd w:val="clear" w:color="auto" w:fill="auto"/>
            <w:vAlign w:val="bottom"/>
          </w:tcPr>
          <w:p w:rsidR="003336BC" w:rsidRPr="00687A1C" w:rsidRDefault="003336BC" w:rsidP="00FD7161">
            <w:pPr>
              <w:pStyle w:val="Tabletextright"/>
            </w:pPr>
            <w:r w:rsidRPr="00687A1C">
              <w:t>–</w:t>
            </w:r>
          </w:p>
        </w:tc>
        <w:tc>
          <w:tcPr>
            <w:tcW w:w="979" w:type="dxa"/>
            <w:shd w:val="clear" w:color="auto" w:fill="E0E0E0"/>
            <w:noWrap/>
            <w:vAlign w:val="bottom"/>
          </w:tcPr>
          <w:p w:rsidR="003336BC" w:rsidRPr="00687A1C" w:rsidRDefault="003336BC" w:rsidP="00FD7161">
            <w:pPr>
              <w:pStyle w:val="Tabletextright"/>
            </w:pPr>
            <w:r w:rsidRPr="00687A1C">
              <w:t>–</w:t>
            </w:r>
          </w:p>
        </w:tc>
        <w:tc>
          <w:tcPr>
            <w:tcW w:w="979"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w:t>
            </w:r>
          </w:p>
        </w:tc>
        <w:tc>
          <w:tcPr>
            <w:tcW w:w="950" w:type="dxa"/>
            <w:vAlign w:val="bottom"/>
          </w:tcPr>
          <w:p w:rsidR="003336BC" w:rsidRPr="00687A1C" w:rsidRDefault="003336BC" w:rsidP="00FD7161">
            <w:pPr>
              <w:pStyle w:val="Tabletextright"/>
            </w:pPr>
            <w:r w:rsidRPr="00687A1C">
              <w:t>–</w:t>
            </w:r>
          </w:p>
        </w:tc>
        <w:tc>
          <w:tcPr>
            <w:tcW w:w="778" w:type="dxa"/>
            <w:vAlign w:val="bottom"/>
          </w:tcPr>
          <w:p w:rsidR="003336BC" w:rsidRPr="00687A1C" w:rsidRDefault="003336BC" w:rsidP="00FD7161">
            <w:pPr>
              <w:pStyle w:val="Tabletextright"/>
            </w:pPr>
            <w:r w:rsidRPr="00687A1C">
              <w:t>–</w:t>
            </w:r>
          </w:p>
        </w:tc>
      </w:tr>
      <w:tr w:rsidR="003336BC" w:rsidRPr="00687A1C" w:rsidTr="004630EB">
        <w:trPr>
          <w:cantSplit/>
        </w:trPr>
        <w:tc>
          <w:tcPr>
            <w:tcW w:w="1483" w:type="dxa"/>
            <w:shd w:val="clear" w:color="auto" w:fill="auto"/>
          </w:tcPr>
          <w:p w:rsidR="003336BC" w:rsidRPr="00687A1C" w:rsidRDefault="003336BC" w:rsidP="004630EB">
            <w:pPr>
              <w:pStyle w:val="Tabletext"/>
              <w:rPr>
                <w:sz w:val="6"/>
              </w:rPr>
            </w:pPr>
          </w:p>
        </w:tc>
        <w:tc>
          <w:tcPr>
            <w:tcW w:w="950" w:type="dxa"/>
            <w:shd w:val="clear" w:color="auto" w:fill="E0E0E0"/>
          </w:tcPr>
          <w:p w:rsidR="003336BC" w:rsidRPr="00687A1C" w:rsidRDefault="003336BC" w:rsidP="004630EB">
            <w:pPr>
              <w:pStyle w:val="Tabletextright"/>
              <w:rPr>
                <w:rFonts w:cstheme="minorHAnsi"/>
                <w:sz w:val="6"/>
              </w:rPr>
            </w:pPr>
          </w:p>
        </w:tc>
        <w:tc>
          <w:tcPr>
            <w:tcW w:w="778" w:type="dxa"/>
            <w:shd w:val="clear" w:color="auto" w:fill="E0E0E0"/>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sz w:val="6"/>
              </w:rPr>
            </w:pPr>
          </w:p>
        </w:tc>
        <w:tc>
          <w:tcPr>
            <w:tcW w:w="778" w:type="dxa"/>
            <w:shd w:val="clear" w:color="auto" w:fill="auto"/>
          </w:tcPr>
          <w:p w:rsidR="003336BC" w:rsidRPr="00687A1C" w:rsidRDefault="003336BC" w:rsidP="004630EB">
            <w:pPr>
              <w:pStyle w:val="Tabletextright"/>
              <w:rPr>
                <w:sz w:val="6"/>
              </w:rPr>
            </w:pPr>
          </w:p>
        </w:tc>
        <w:tc>
          <w:tcPr>
            <w:tcW w:w="950"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shd w:val="clear" w:color="auto" w:fill="auto"/>
            <w:noWrap/>
          </w:tcPr>
          <w:p w:rsidR="003336BC" w:rsidRPr="00687A1C" w:rsidRDefault="003336BC" w:rsidP="004630EB">
            <w:pPr>
              <w:pStyle w:val="Tabletextright"/>
              <w:rPr>
                <w:rFonts w:cstheme="minorHAnsi"/>
                <w:sz w:val="6"/>
              </w:rPr>
            </w:pPr>
          </w:p>
        </w:tc>
        <w:tc>
          <w:tcPr>
            <w:tcW w:w="778" w:type="dxa"/>
            <w:shd w:val="clear" w:color="auto" w:fill="auto"/>
          </w:tcPr>
          <w:p w:rsidR="003336BC" w:rsidRPr="00687A1C" w:rsidRDefault="003336BC" w:rsidP="004630EB">
            <w:pPr>
              <w:pStyle w:val="Tabletextright"/>
              <w:rPr>
                <w:rFonts w:cstheme="minorHAnsi"/>
                <w:sz w:val="6"/>
              </w:rPr>
            </w:pPr>
          </w:p>
        </w:tc>
        <w:tc>
          <w:tcPr>
            <w:tcW w:w="979" w:type="dxa"/>
            <w:shd w:val="clear" w:color="auto" w:fill="E0E0E0"/>
            <w:noWrap/>
          </w:tcPr>
          <w:p w:rsidR="003336BC" w:rsidRPr="00687A1C" w:rsidRDefault="003336BC" w:rsidP="004630EB">
            <w:pPr>
              <w:pStyle w:val="Tabletextright"/>
              <w:rPr>
                <w:rFonts w:cstheme="minorHAnsi"/>
                <w:sz w:val="6"/>
              </w:rPr>
            </w:pPr>
          </w:p>
        </w:tc>
        <w:tc>
          <w:tcPr>
            <w:tcW w:w="979"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tcPr>
          <w:p w:rsidR="003336BC" w:rsidRPr="00687A1C" w:rsidRDefault="003336BC" w:rsidP="004630EB">
            <w:pPr>
              <w:pStyle w:val="Tabletextright"/>
              <w:rPr>
                <w:sz w:val="6"/>
              </w:rPr>
            </w:pPr>
          </w:p>
        </w:tc>
        <w:tc>
          <w:tcPr>
            <w:tcW w:w="778" w:type="dxa"/>
          </w:tcPr>
          <w:p w:rsidR="003336BC" w:rsidRPr="00687A1C" w:rsidRDefault="003336BC" w:rsidP="004630EB">
            <w:pPr>
              <w:pStyle w:val="Tabletextright"/>
              <w:rPr>
                <w:sz w:val="6"/>
              </w:rPr>
            </w:pP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b/>
              </w:rPr>
              <w:t>Age</w:t>
            </w:r>
          </w:p>
        </w:tc>
        <w:tc>
          <w:tcPr>
            <w:tcW w:w="950" w:type="dxa"/>
            <w:shd w:val="clear" w:color="auto" w:fill="E0E0E0"/>
            <w:vAlign w:val="bottom"/>
          </w:tcPr>
          <w:p w:rsidR="003336BC" w:rsidRPr="00687A1C" w:rsidRDefault="003336BC" w:rsidP="004630EB">
            <w:pPr>
              <w:pStyle w:val="Tabletextright"/>
            </w:pPr>
          </w:p>
        </w:tc>
        <w:tc>
          <w:tcPr>
            <w:tcW w:w="778" w:type="dxa"/>
            <w:shd w:val="clear" w:color="auto" w:fill="E0E0E0"/>
            <w:vAlign w:val="bottom"/>
          </w:tcPr>
          <w:p w:rsidR="003336BC" w:rsidRPr="00687A1C" w:rsidRDefault="003336BC" w:rsidP="004630EB">
            <w:pPr>
              <w:pStyle w:val="Tabletextright"/>
            </w:pPr>
          </w:p>
        </w:tc>
        <w:tc>
          <w:tcPr>
            <w:tcW w:w="979" w:type="dxa"/>
            <w:shd w:val="clear" w:color="auto" w:fill="auto"/>
            <w:vAlign w:val="bottom"/>
          </w:tcPr>
          <w:p w:rsidR="003336BC" w:rsidRPr="00687A1C" w:rsidRDefault="003336BC" w:rsidP="004630EB">
            <w:pPr>
              <w:pStyle w:val="Tabletextright"/>
            </w:pPr>
          </w:p>
        </w:tc>
        <w:tc>
          <w:tcPr>
            <w:tcW w:w="979" w:type="dxa"/>
            <w:shd w:val="clear" w:color="auto" w:fill="auto"/>
            <w:vAlign w:val="bottom"/>
          </w:tcPr>
          <w:p w:rsidR="003336BC" w:rsidRPr="00687A1C" w:rsidRDefault="003336BC" w:rsidP="004630EB">
            <w:pPr>
              <w:pStyle w:val="Tabletextright"/>
            </w:pPr>
          </w:p>
        </w:tc>
        <w:tc>
          <w:tcPr>
            <w:tcW w:w="778" w:type="dxa"/>
            <w:shd w:val="clear" w:color="auto" w:fill="auto"/>
            <w:vAlign w:val="bottom"/>
          </w:tcPr>
          <w:p w:rsidR="003336BC" w:rsidRPr="00687A1C" w:rsidRDefault="003336BC" w:rsidP="004630EB">
            <w:pPr>
              <w:pStyle w:val="Tabletextright"/>
            </w:pPr>
          </w:p>
        </w:tc>
        <w:tc>
          <w:tcPr>
            <w:tcW w:w="950" w:type="dxa"/>
            <w:shd w:val="clear" w:color="auto" w:fill="E0E0E0"/>
            <w:vAlign w:val="bottom"/>
          </w:tcPr>
          <w:p w:rsidR="003336BC" w:rsidRPr="00687A1C" w:rsidRDefault="003336BC" w:rsidP="004630EB">
            <w:pPr>
              <w:pStyle w:val="Tabletextright"/>
            </w:pPr>
          </w:p>
        </w:tc>
        <w:tc>
          <w:tcPr>
            <w:tcW w:w="778" w:type="dxa"/>
            <w:shd w:val="clear" w:color="auto" w:fill="E0E0E0"/>
            <w:vAlign w:val="bottom"/>
          </w:tcPr>
          <w:p w:rsidR="003336BC" w:rsidRPr="00687A1C" w:rsidRDefault="003336BC" w:rsidP="004630EB">
            <w:pPr>
              <w:pStyle w:val="Tabletextright"/>
            </w:pPr>
          </w:p>
        </w:tc>
        <w:tc>
          <w:tcPr>
            <w:tcW w:w="950" w:type="dxa"/>
            <w:shd w:val="clear" w:color="auto" w:fill="auto"/>
            <w:noWrap/>
            <w:vAlign w:val="bottom"/>
          </w:tcPr>
          <w:p w:rsidR="003336BC" w:rsidRPr="00687A1C" w:rsidRDefault="003336BC" w:rsidP="004630EB">
            <w:pPr>
              <w:pStyle w:val="Tabletextright"/>
            </w:pPr>
          </w:p>
        </w:tc>
        <w:tc>
          <w:tcPr>
            <w:tcW w:w="778" w:type="dxa"/>
            <w:shd w:val="clear" w:color="auto" w:fill="auto"/>
            <w:vAlign w:val="bottom"/>
          </w:tcPr>
          <w:p w:rsidR="003336BC" w:rsidRPr="00687A1C" w:rsidRDefault="003336BC" w:rsidP="004630EB">
            <w:pPr>
              <w:pStyle w:val="Tabletextright"/>
            </w:pPr>
          </w:p>
        </w:tc>
        <w:tc>
          <w:tcPr>
            <w:tcW w:w="979" w:type="dxa"/>
            <w:shd w:val="clear" w:color="auto" w:fill="E0E0E0"/>
            <w:noWrap/>
            <w:vAlign w:val="bottom"/>
          </w:tcPr>
          <w:p w:rsidR="003336BC" w:rsidRPr="00687A1C" w:rsidRDefault="003336BC" w:rsidP="004630EB">
            <w:pPr>
              <w:pStyle w:val="Tabletextright"/>
            </w:pPr>
          </w:p>
        </w:tc>
        <w:tc>
          <w:tcPr>
            <w:tcW w:w="979" w:type="dxa"/>
            <w:shd w:val="clear" w:color="auto" w:fill="E0E0E0"/>
            <w:vAlign w:val="bottom"/>
          </w:tcPr>
          <w:p w:rsidR="003336BC" w:rsidRPr="00687A1C" w:rsidRDefault="003336BC" w:rsidP="004630EB">
            <w:pPr>
              <w:pStyle w:val="Tabletextright"/>
            </w:pPr>
          </w:p>
        </w:tc>
        <w:tc>
          <w:tcPr>
            <w:tcW w:w="778" w:type="dxa"/>
            <w:shd w:val="clear" w:color="auto" w:fill="E0E0E0"/>
            <w:vAlign w:val="bottom"/>
          </w:tcPr>
          <w:p w:rsidR="003336BC" w:rsidRPr="00687A1C" w:rsidRDefault="003336BC" w:rsidP="004630EB">
            <w:pPr>
              <w:pStyle w:val="Tabletextright"/>
            </w:pPr>
          </w:p>
        </w:tc>
        <w:tc>
          <w:tcPr>
            <w:tcW w:w="950" w:type="dxa"/>
            <w:vAlign w:val="bottom"/>
          </w:tcPr>
          <w:p w:rsidR="003336BC" w:rsidRPr="00687A1C" w:rsidRDefault="003336BC" w:rsidP="004630EB">
            <w:pPr>
              <w:pStyle w:val="Tabletextright"/>
            </w:pPr>
          </w:p>
        </w:tc>
        <w:tc>
          <w:tcPr>
            <w:tcW w:w="778" w:type="dxa"/>
            <w:vAlign w:val="bottom"/>
          </w:tcPr>
          <w:p w:rsidR="003336BC" w:rsidRPr="00687A1C" w:rsidRDefault="003336BC" w:rsidP="004630EB">
            <w:pPr>
              <w:pStyle w:val="Tabletextright"/>
            </w:pP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15–24</w:t>
            </w:r>
          </w:p>
        </w:tc>
        <w:tc>
          <w:tcPr>
            <w:tcW w:w="950" w:type="dxa"/>
            <w:shd w:val="clear" w:color="auto" w:fill="E0E0E0"/>
            <w:vAlign w:val="bottom"/>
          </w:tcPr>
          <w:p w:rsidR="003336BC" w:rsidRPr="00687A1C" w:rsidRDefault="003336BC" w:rsidP="00FD7161">
            <w:pPr>
              <w:pStyle w:val="Tabletextright"/>
            </w:pPr>
            <w:r w:rsidRPr="00687A1C">
              <w:t>5</w:t>
            </w:r>
          </w:p>
        </w:tc>
        <w:tc>
          <w:tcPr>
            <w:tcW w:w="778" w:type="dxa"/>
            <w:shd w:val="clear" w:color="auto" w:fill="E0E0E0"/>
            <w:vAlign w:val="bottom"/>
          </w:tcPr>
          <w:p w:rsidR="003336BC" w:rsidRPr="00687A1C" w:rsidRDefault="003336BC" w:rsidP="00FD7161">
            <w:pPr>
              <w:pStyle w:val="Tabletextright"/>
            </w:pPr>
            <w:r w:rsidRPr="00687A1C">
              <w:t>4.16</w:t>
            </w:r>
          </w:p>
        </w:tc>
        <w:tc>
          <w:tcPr>
            <w:tcW w:w="979" w:type="dxa"/>
            <w:shd w:val="clear" w:color="auto" w:fill="auto"/>
            <w:vAlign w:val="bottom"/>
          </w:tcPr>
          <w:p w:rsidR="003336BC" w:rsidRPr="00687A1C" w:rsidRDefault="003336BC" w:rsidP="00FD7161">
            <w:pPr>
              <w:pStyle w:val="Tabletextright"/>
            </w:pPr>
            <w:r w:rsidRPr="00687A1C">
              <w:t>4</w:t>
            </w:r>
          </w:p>
        </w:tc>
        <w:tc>
          <w:tcPr>
            <w:tcW w:w="979" w:type="dxa"/>
            <w:shd w:val="clear" w:color="auto" w:fill="auto"/>
            <w:vAlign w:val="bottom"/>
          </w:tcPr>
          <w:p w:rsidR="003336BC" w:rsidRPr="00687A1C" w:rsidRDefault="003336BC" w:rsidP="00FD7161">
            <w:pPr>
              <w:pStyle w:val="Tabletextright"/>
            </w:pPr>
            <w:r w:rsidRPr="00687A1C">
              <w:t>–</w:t>
            </w:r>
          </w:p>
        </w:tc>
        <w:tc>
          <w:tcPr>
            <w:tcW w:w="778" w:type="dxa"/>
            <w:shd w:val="clear" w:color="auto" w:fill="auto"/>
            <w:vAlign w:val="bottom"/>
          </w:tcPr>
          <w:p w:rsidR="003336BC" w:rsidRPr="00687A1C" w:rsidRDefault="003336BC" w:rsidP="00FD7161">
            <w:pPr>
              <w:pStyle w:val="Tabletextright"/>
            </w:pPr>
            <w:r w:rsidRPr="00687A1C">
              <w:t>4.00</w:t>
            </w:r>
          </w:p>
        </w:tc>
        <w:tc>
          <w:tcPr>
            <w:tcW w:w="950" w:type="dxa"/>
            <w:shd w:val="clear" w:color="auto" w:fill="E0E0E0"/>
            <w:vAlign w:val="bottom"/>
          </w:tcPr>
          <w:p w:rsidR="003336BC" w:rsidRPr="00687A1C" w:rsidRDefault="003336BC" w:rsidP="00FD7161">
            <w:pPr>
              <w:pStyle w:val="Tabletextright"/>
            </w:pPr>
            <w:r w:rsidRPr="00687A1C">
              <w:t>1</w:t>
            </w:r>
          </w:p>
        </w:tc>
        <w:tc>
          <w:tcPr>
            <w:tcW w:w="778" w:type="dxa"/>
            <w:shd w:val="clear" w:color="auto" w:fill="E0E0E0"/>
            <w:vAlign w:val="bottom"/>
          </w:tcPr>
          <w:p w:rsidR="003336BC" w:rsidRPr="00687A1C" w:rsidRDefault="003336BC" w:rsidP="00FD7161">
            <w:pPr>
              <w:pStyle w:val="Tabletextright"/>
            </w:pPr>
            <w:r w:rsidRPr="00687A1C">
              <w:t>0.16</w:t>
            </w:r>
          </w:p>
        </w:tc>
        <w:tc>
          <w:tcPr>
            <w:tcW w:w="950" w:type="dxa"/>
            <w:shd w:val="clear" w:color="auto" w:fill="auto"/>
            <w:noWrap/>
            <w:vAlign w:val="bottom"/>
          </w:tcPr>
          <w:p w:rsidR="003336BC" w:rsidRPr="00687A1C" w:rsidRDefault="003336BC" w:rsidP="00FD7161">
            <w:pPr>
              <w:pStyle w:val="Tabletextright"/>
            </w:pPr>
            <w:r w:rsidRPr="00687A1C">
              <w:t>6</w:t>
            </w:r>
          </w:p>
        </w:tc>
        <w:tc>
          <w:tcPr>
            <w:tcW w:w="778" w:type="dxa"/>
            <w:shd w:val="clear" w:color="auto" w:fill="auto"/>
            <w:vAlign w:val="bottom"/>
          </w:tcPr>
          <w:p w:rsidR="003336BC" w:rsidRPr="00687A1C" w:rsidRDefault="003336BC" w:rsidP="00FD7161">
            <w:pPr>
              <w:pStyle w:val="Tabletextright"/>
            </w:pPr>
            <w:r w:rsidRPr="00687A1C">
              <w:t>5.04</w:t>
            </w:r>
          </w:p>
        </w:tc>
        <w:tc>
          <w:tcPr>
            <w:tcW w:w="979" w:type="dxa"/>
            <w:shd w:val="clear" w:color="auto" w:fill="E0E0E0"/>
            <w:noWrap/>
            <w:vAlign w:val="bottom"/>
          </w:tcPr>
          <w:p w:rsidR="003336BC" w:rsidRPr="00687A1C" w:rsidRDefault="003336BC" w:rsidP="00FD7161">
            <w:pPr>
              <w:pStyle w:val="Tabletextright"/>
            </w:pPr>
            <w:r w:rsidRPr="00687A1C">
              <w:t>3</w:t>
            </w:r>
          </w:p>
        </w:tc>
        <w:tc>
          <w:tcPr>
            <w:tcW w:w="979"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3.00</w:t>
            </w:r>
          </w:p>
        </w:tc>
        <w:tc>
          <w:tcPr>
            <w:tcW w:w="950" w:type="dxa"/>
            <w:vAlign w:val="bottom"/>
          </w:tcPr>
          <w:p w:rsidR="003336BC" w:rsidRPr="00687A1C" w:rsidRDefault="003336BC" w:rsidP="00FD7161">
            <w:pPr>
              <w:pStyle w:val="Tabletextright"/>
            </w:pPr>
            <w:r w:rsidRPr="00687A1C">
              <w:t>3</w:t>
            </w:r>
          </w:p>
        </w:tc>
        <w:tc>
          <w:tcPr>
            <w:tcW w:w="778" w:type="dxa"/>
            <w:vAlign w:val="bottom"/>
          </w:tcPr>
          <w:p w:rsidR="003336BC" w:rsidRPr="00687A1C" w:rsidRDefault="003336BC" w:rsidP="00FD7161">
            <w:pPr>
              <w:pStyle w:val="Tabletextright"/>
            </w:pPr>
            <w:r w:rsidRPr="00687A1C">
              <w:t>2.04</w:t>
            </w: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25</w:t>
            </w:r>
            <w:r w:rsidRPr="00687A1C">
              <w:rPr>
                <w:rFonts w:cstheme="minorHAnsi"/>
              </w:rPr>
              <w:noBreakHyphen/>
              <w:t>34</w:t>
            </w:r>
          </w:p>
        </w:tc>
        <w:tc>
          <w:tcPr>
            <w:tcW w:w="950" w:type="dxa"/>
            <w:shd w:val="clear" w:color="auto" w:fill="E0E0E0"/>
            <w:vAlign w:val="bottom"/>
          </w:tcPr>
          <w:p w:rsidR="003336BC" w:rsidRPr="00687A1C" w:rsidRDefault="003336BC" w:rsidP="00FD7161">
            <w:pPr>
              <w:pStyle w:val="Tabletextright"/>
            </w:pPr>
            <w:r w:rsidRPr="00687A1C">
              <w:t>41</w:t>
            </w:r>
          </w:p>
        </w:tc>
        <w:tc>
          <w:tcPr>
            <w:tcW w:w="778" w:type="dxa"/>
            <w:shd w:val="clear" w:color="auto" w:fill="E0E0E0"/>
            <w:vAlign w:val="bottom"/>
          </w:tcPr>
          <w:p w:rsidR="003336BC" w:rsidRPr="00687A1C" w:rsidRDefault="003336BC" w:rsidP="00FD7161">
            <w:pPr>
              <w:pStyle w:val="Tabletextright"/>
            </w:pPr>
            <w:r w:rsidRPr="00687A1C">
              <w:t>39.90</w:t>
            </w:r>
          </w:p>
        </w:tc>
        <w:tc>
          <w:tcPr>
            <w:tcW w:w="979" w:type="dxa"/>
            <w:shd w:val="clear" w:color="auto" w:fill="auto"/>
            <w:vAlign w:val="bottom"/>
          </w:tcPr>
          <w:p w:rsidR="003336BC" w:rsidRPr="00687A1C" w:rsidRDefault="003336BC" w:rsidP="00FD7161">
            <w:pPr>
              <w:pStyle w:val="Tabletextright"/>
            </w:pPr>
            <w:r w:rsidRPr="00687A1C">
              <w:t>33</w:t>
            </w:r>
          </w:p>
        </w:tc>
        <w:tc>
          <w:tcPr>
            <w:tcW w:w="979" w:type="dxa"/>
            <w:shd w:val="clear" w:color="auto" w:fill="auto"/>
            <w:vAlign w:val="bottom"/>
          </w:tcPr>
          <w:p w:rsidR="003336BC" w:rsidRPr="00687A1C" w:rsidRDefault="003336BC" w:rsidP="00FD7161">
            <w:pPr>
              <w:pStyle w:val="Tabletextright"/>
            </w:pPr>
            <w:r w:rsidRPr="00687A1C">
              <w:t>1</w:t>
            </w:r>
          </w:p>
        </w:tc>
        <w:tc>
          <w:tcPr>
            <w:tcW w:w="778" w:type="dxa"/>
            <w:shd w:val="clear" w:color="auto" w:fill="auto"/>
            <w:vAlign w:val="bottom"/>
          </w:tcPr>
          <w:p w:rsidR="003336BC" w:rsidRPr="00687A1C" w:rsidRDefault="003336BC" w:rsidP="00FD7161">
            <w:pPr>
              <w:pStyle w:val="Tabletextright"/>
            </w:pPr>
            <w:r w:rsidRPr="00687A1C">
              <w:t>33.80</w:t>
            </w:r>
          </w:p>
        </w:tc>
        <w:tc>
          <w:tcPr>
            <w:tcW w:w="950" w:type="dxa"/>
            <w:shd w:val="clear" w:color="auto" w:fill="E0E0E0"/>
            <w:vAlign w:val="bottom"/>
          </w:tcPr>
          <w:p w:rsidR="003336BC" w:rsidRPr="00687A1C" w:rsidRDefault="003336BC" w:rsidP="00FD7161">
            <w:pPr>
              <w:pStyle w:val="Tabletextright"/>
            </w:pPr>
            <w:r w:rsidRPr="00687A1C">
              <w:t>7</w:t>
            </w:r>
          </w:p>
        </w:tc>
        <w:tc>
          <w:tcPr>
            <w:tcW w:w="778" w:type="dxa"/>
            <w:shd w:val="clear" w:color="auto" w:fill="E0E0E0"/>
            <w:vAlign w:val="bottom"/>
          </w:tcPr>
          <w:p w:rsidR="003336BC" w:rsidRPr="00687A1C" w:rsidRDefault="003336BC" w:rsidP="00FD7161">
            <w:pPr>
              <w:pStyle w:val="Tabletextright"/>
            </w:pPr>
            <w:r w:rsidRPr="00687A1C">
              <w:t>6.10</w:t>
            </w:r>
          </w:p>
        </w:tc>
        <w:tc>
          <w:tcPr>
            <w:tcW w:w="950" w:type="dxa"/>
            <w:shd w:val="clear" w:color="auto" w:fill="auto"/>
            <w:noWrap/>
            <w:vAlign w:val="bottom"/>
          </w:tcPr>
          <w:p w:rsidR="003336BC" w:rsidRPr="00687A1C" w:rsidRDefault="003336BC" w:rsidP="00FD7161">
            <w:pPr>
              <w:pStyle w:val="Tabletextright"/>
            </w:pPr>
            <w:r w:rsidRPr="00687A1C">
              <w:t>41</w:t>
            </w:r>
          </w:p>
        </w:tc>
        <w:tc>
          <w:tcPr>
            <w:tcW w:w="778" w:type="dxa"/>
            <w:shd w:val="clear" w:color="auto" w:fill="auto"/>
            <w:vAlign w:val="bottom"/>
          </w:tcPr>
          <w:p w:rsidR="003336BC" w:rsidRPr="00687A1C" w:rsidRDefault="003336BC" w:rsidP="00FD7161">
            <w:pPr>
              <w:pStyle w:val="Tabletextright"/>
            </w:pPr>
            <w:r w:rsidRPr="00687A1C">
              <w:t>40.20</w:t>
            </w:r>
          </w:p>
        </w:tc>
        <w:tc>
          <w:tcPr>
            <w:tcW w:w="979" w:type="dxa"/>
            <w:shd w:val="clear" w:color="auto" w:fill="E0E0E0"/>
            <w:noWrap/>
            <w:vAlign w:val="bottom"/>
          </w:tcPr>
          <w:p w:rsidR="003336BC" w:rsidRPr="00687A1C" w:rsidRDefault="003336BC" w:rsidP="00FD7161">
            <w:pPr>
              <w:pStyle w:val="Tabletextright"/>
            </w:pPr>
            <w:r w:rsidRPr="00687A1C">
              <w:t>34</w:t>
            </w:r>
          </w:p>
        </w:tc>
        <w:tc>
          <w:tcPr>
            <w:tcW w:w="979" w:type="dxa"/>
            <w:shd w:val="clear" w:color="auto" w:fill="E0E0E0"/>
            <w:vAlign w:val="bottom"/>
          </w:tcPr>
          <w:p w:rsidR="003336BC" w:rsidRPr="00687A1C" w:rsidRDefault="003336BC" w:rsidP="00FD7161">
            <w:pPr>
              <w:pStyle w:val="Tabletextright"/>
            </w:pPr>
            <w:r w:rsidRPr="00687A1C">
              <w:t>3</w:t>
            </w:r>
          </w:p>
        </w:tc>
        <w:tc>
          <w:tcPr>
            <w:tcW w:w="778" w:type="dxa"/>
            <w:shd w:val="clear" w:color="auto" w:fill="E0E0E0"/>
            <w:vAlign w:val="bottom"/>
          </w:tcPr>
          <w:p w:rsidR="003336BC" w:rsidRPr="00687A1C" w:rsidRDefault="003336BC" w:rsidP="00FD7161">
            <w:pPr>
              <w:pStyle w:val="Tabletextright"/>
            </w:pPr>
            <w:r w:rsidRPr="00687A1C">
              <w:t>36.20</w:t>
            </w:r>
          </w:p>
        </w:tc>
        <w:tc>
          <w:tcPr>
            <w:tcW w:w="950" w:type="dxa"/>
            <w:vAlign w:val="bottom"/>
          </w:tcPr>
          <w:p w:rsidR="003336BC" w:rsidRPr="00687A1C" w:rsidRDefault="003336BC" w:rsidP="00FD7161">
            <w:pPr>
              <w:pStyle w:val="Tabletextright"/>
            </w:pPr>
            <w:r w:rsidRPr="00687A1C">
              <w:t>4</w:t>
            </w:r>
          </w:p>
        </w:tc>
        <w:tc>
          <w:tcPr>
            <w:tcW w:w="778" w:type="dxa"/>
            <w:vAlign w:val="bottom"/>
          </w:tcPr>
          <w:p w:rsidR="003336BC" w:rsidRPr="00687A1C" w:rsidRDefault="003336BC" w:rsidP="00FD7161">
            <w:pPr>
              <w:pStyle w:val="Tabletextright"/>
            </w:pPr>
            <w:r w:rsidRPr="00687A1C">
              <w:t>4.00</w:t>
            </w: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35</w:t>
            </w:r>
            <w:r w:rsidRPr="00687A1C">
              <w:rPr>
                <w:rFonts w:cstheme="minorHAnsi"/>
              </w:rPr>
              <w:noBreakHyphen/>
              <w:t>44</w:t>
            </w:r>
          </w:p>
        </w:tc>
        <w:tc>
          <w:tcPr>
            <w:tcW w:w="950" w:type="dxa"/>
            <w:shd w:val="clear" w:color="auto" w:fill="E0E0E0"/>
            <w:vAlign w:val="bottom"/>
          </w:tcPr>
          <w:p w:rsidR="003336BC" w:rsidRPr="00687A1C" w:rsidRDefault="003336BC" w:rsidP="00FD7161">
            <w:pPr>
              <w:pStyle w:val="Tabletextright"/>
            </w:pPr>
            <w:r w:rsidRPr="00687A1C">
              <w:t>41</w:t>
            </w:r>
          </w:p>
        </w:tc>
        <w:tc>
          <w:tcPr>
            <w:tcW w:w="778" w:type="dxa"/>
            <w:shd w:val="clear" w:color="auto" w:fill="E0E0E0"/>
            <w:vAlign w:val="bottom"/>
          </w:tcPr>
          <w:p w:rsidR="003336BC" w:rsidRPr="00687A1C" w:rsidRDefault="003336BC" w:rsidP="00FD7161">
            <w:pPr>
              <w:pStyle w:val="Tabletextright"/>
            </w:pPr>
            <w:r w:rsidRPr="00687A1C">
              <w:t>39.10</w:t>
            </w:r>
          </w:p>
        </w:tc>
        <w:tc>
          <w:tcPr>
            <w:tcW w:w="979" w:type="dxa"/>
            <w:shd w:val="clear" w:color="auto" w:fill="auto"/>
            <w:vAlign w:val="bottom"/>
          </w:tcPr>
          <w:p w:rsidR="003336BC" w:rsidRPr="00687A1C" w:rsidRDefault="003336BC" w:rsidP="00FD7161">
            <w:pPr>
              <w:pStyle w:val="Tabletextright"/>
            </w:pPr>
            <w:r w:rsidRPr="00687A1C">
              <w:t>28</w:t>
            </w:r>
          </w:p>
        </w:tc>
        <w:tc>
          <w:tcPr>
            <w:tcW w:w="979" w:type="dxa"/>
            <w:shd w:val="clear" w:color="auto" w:fill="auto"/>
            <w:vAlign w:val="bottom"/>
          </w:tcPr>
          <w:p w:rsidR="003336BC" w:rsidRPr="00687A1C" w:rsidRDefault="003336BC" w:rsidP="00FD7161">
            <w:pPr>
              <w:pStyle w:val="Tabletextright"/>
            </w:pPr>
            <w:r w:rsidRPr="00687A1C">
              <w:t>7</w:t>
            </w:r>
          </w:p>
        </w:tc>
        <w:tc>
          <w:tcPr>
            <w:tcW w:w="778" w:type="dxa"/>
            <w:shd w:val="clear" w:color="auto" w:fill="auto"/>
            <w:vAlign w:val="bottom"/>
          </w:tcPr>
          <w:p w:rsidR="003336BC" w:rsidRPr="00687A1C" w:rsidRDefault="003336BC" w:rsidP="00FD7161">
            <w:pPr>
              <w:pStyle w:val="Tabletextright"/>
            </w:pPr>
            <w:r w:rsidRPr="00687A1C">
              <w:t>33.30</w:t>
            </w:r>
          </w:p>
        </w:tc>
        <w:tc>
          <w:tcPr>
            <w:tcW w:w="950" w:type="dxa"/>
            <w:shd w:val="clear" w:color="auto" w:fill="E0E0E0"/>
            <w:vAlign w:val="bottom"/>
          </w:tcPr>
          <w:p w:rsidR="003336BC" w:rsidRPr="00687A1C" w:rsidRDefault="003336BC" w:rsidP="00FD7161">
            <w:pPr>
              <w:pStyle w:val="Tabletextright"/>
            </w:pPr>
            <w:r w:rsidRPr="00687A1C">
              <w:t>6</w:t>
            </w:r>
          </w:p>
        </w:tc>
        <w:tc>
          <w:tcPr>
            <w:tcW w:w="778" w:type="dxa"/>
            <w:shd w:val="clear" w:color="auto" w:fill="E0E0E0"/>
            <w:vAlign w:val="bottom"/>
          </w:tcPr>
          <w:p w:rsidR="003336BC" w:rsidRPr="00687A1C" w:rsidRDefault="003336BC" w:rsidP="00FD7161">
            <w:pPr>
              <w:pStyle w:val="Tabletextright"/>
            </w:pPr>
            <w:r w:rsidRPr="00687A1C">
              <w:t>5.80</w:t>
            </w:r>
          </w:p>
        </w:tc>
        <w:tc>
          <w:tcPr>
            <w:tcW w:w="950" w:type="dxa"/>
            <w:shd w:val="clear" w:color="auto" w:fill="auto"/>
            <w:noWrap/>
            <w:vAlign w:val="bottom"/>
          </w:tcPr>
          <w:p w:rsidR="003336BC" w:rsidRPr="00687A1C" w:rsidRDefault="003336BC" w:rsidP="00FD7161">
            <w:pPr>
              <w:pStyle w:val="Tabletextright"/>
            </w:pPr>
            <w:r w:rsidRPr="00687A1C">
              <w:t>35</w:t>
            </w:r>
          </w:p>
        </w:tc>
        <w:tc>
          <w:tcPr>
            <w:tcW w:w="778" w:type="dxa"/>
            <w:shd w:val="clear" w:color="auto" w:fill="auto"/>
            <w:vAlign w:val="bottom"/>
          </w:tcPr>
          <w:p w:rsidR="003336BC" w:rsidRPr="00687A1C" w:rsidRDefault="003336BC" w:rsidP="00FD7161">
            <w:pPr>
              <w:pStyle w:val="Tabletextright"/>
            </w:pPr>
            <w:r w:rsidRPr="00687A1C">
              <w:t>32.95</w:t>
            </w:r>
          </w:p>
        </w:tc>
        <w:tc>
          <w:tcPr>
            <w:tcW w:w="979" w:type="dxa"/>
            <w:shd w:val="clear" w:color="auto" w:fill="E0E0E0"/>
            <w:noWrap/>
            <w:vAlign w:val="bottom"/>
          </w:tcPr>
          <w:p w:rsidR="003336BC" w:rsidRPr="00687A1C" w:rsidRDefault="003336BC" w:rsidP="00FD7161">
            <w:pPr>
              <w:pStyle w:val="Tabletextright"/>
            </w:pPr>
            <w:r w:rsidRPr="00687A1C">
              <w:t>21</w:t>
            </w:r>
          </w:p>
        </w:tc>
        <w:tc>
          <w:tcPr>
            <w:tcW w:w="979" w:type="dxa"/>
            <w:shd w:val="clear" w:color="auto" w:fill="E0E0E0"/>
            <w:vAlign w:val="bottom"/>
          </w:tcPr>
          <w:p w:rsidR="003336BC" w:rsidRPr="00687A1C" w:rsidRDefault="003336BC" w:rsidP="00FD7161">
            <w:pPr>
              <w:pStyle w:val="Tabletextright"/>
            </w:pPr>
            <w:r w:rsidRPr="00687A1C">
              <w:t>7</w:t>
            </w:r>
          </w:p>
        </w:tc>
        <w:tc>
          <w:tcPr>
            <w:tcW w:w="778" w:type="dxa"/>
            <w:shd w:val="clear" w:color="auto" w:fill="E0E0E0"/>
            <w:vAlign w:val="bottom"/>
          </w:tcPr>
          <w:p w:rsidR="003336BC" w:rsidRPr="00687A1C" w:rsidRDefault="003336BC" w:rsidP="00FD7161">
            <w:pPr>
              <w:pStyle w:val="Tabletextright"/>
            </w:pPr>
            <w:r w:rsidRPr="00687A1C">
              <w:t>25.95</w:t>
            </w:r>
          </w:p>
        </w:tc>
        <w:tc>
          <w:tcPr>
            <w:tcW w:w="950" w:type="dxa"/>
            <w:vAlign w:val="bottom"/>
          </w:tcPr>
          <w:p w:rsidR="003336BC" w:rsidRPr="00687A1C" w:rsidRDefault="003336BC" w:rsidP="00FD7161">
            <w:pPr>
              <w:pStyle w:val="Tabletextright"/>
            </w:pPr>
            <w:r w:rsidRPr="00687A1C">
              <w:t>7</w:t>
            </w:r>
          </w:p>
        </w:tc>
        <w:tc>
          <w:tcPr>
            <w:tcW w:w="778" w:type="dxa"/>
            <w:vAlign w:val="bottom"/>
          </w:tcPr>
          <w:p w:rsidR="003336BC" w:rsidRPr="00687A1C" w:rsidRDefault="003336BC" w:rsidP="00FD7161">
            <w:pPr>
              <w:pStyle w:val="Tabletextright"/>
            </w:pPr>
            <w:r w:rsidRPr="00687A1C">
              <w:t>7.00</w:t>
            </w: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45</w:t>
            </w:r>
            <w:r w:rsidRPr="00687A1C">
              <w:rPr>
                <w:rFonts w:cstheme="minorHAnsi"/>
              </w:rPr>
              <w:noBreakHyphen/>
              <w:t>54</w:t>
            </w:r>
          </w:p>
        </w:tc>
        <w:tc>
          <w:tcPr>
            <w:tcW w:w="950" w:type="dxa"/>
            <w:shd w:val="clear" w:color="auto" w:fill="E0E0E0"/>
            <w:vAlign w:val="bottom"/>
          </w:tcPr>
          <w:p w:rsidR="003336BC" w:rsidRPr="00687A1C" w:rsidRDefault="003336BC" w:rsidP="00FD7161">
            <w:pPr>
              <w:pStyle w:val="Tabletextright"/>
            </w:pPr>
            <w:r w:rsidRPr="00687A1C">
              <w:t>21</w:t>
            </w:r>
          </w:p>
        </w:tc>
        <w:tc>
          <w:tcPr>
            <w:tcW w:w="778" w:type="dxa"/>
            <w:shd w:val="clear" w:color="auto" w:fill="E0E0E0"/>
            <w:vAlign w:val="bottom"/>
          </w:tcPr>
          <w:p w:rsidR="003336BC" w:rsidRPr="00687A1C" w:rsidRDefault="003336BC" w:rsidP="00FD7161">
            <w:pPr>
              <w:pStyle w:val="Tabletextright"/>
            </w:pPr>
            <w:r w:rsidRPr="00687A1C">
              <w:t>21.00</w:t>
            </w:r>
          </w:p>
        </w:tc>
        <w:tc>
          <w:tcPr>
            <w:tcW w:w="979" w:type="dxa"/>
            <w:shd w:val="clear" w:color="auto" w:fill="auto"/>
            <w:vAlign w:val="bottom"/>
          </w:tcPr>
          <w:p w:rsidR="003336BC" w:rsidRPr="00687A1C" w:rsidRDefault="003336BC" w:rsidP="00FD7161">
            <w:pPr>
              <w:pStyle w:val="Tabletextright"/>
            </w:pPr>
            <w:r w:rsidRPr="00687A1C">
              <w:t>19</w:t>
            </w:r>
          </w:p>
        </w:tc>
        <w:tc>
          <w:tcPr>
            <w:tcW w:w="979" w:type="dxa"/>
            <w:shd w:val="clear" w:color="auto" w:fill="auto"/>
            <w:vAlign w:val="bottom"/>
          </w:tcPr>
          <w:p w:rsidR="003336BC" w:rsidRPr="00687A1C" w:rsidRDefault="003336BC" w:rsidP="00FD7161">
            <w:pPr>
              <w:pStyle w:val="Tabletextright"/>
            </w:pPr>
            <w:r w:rsidRPr="00687A1C">
              <w:t>–</w:t>
            </w:r>
          </w:p>
        </w:tc>
        <w:tc>
          <w:tcPr>
            <w:tcW w:w="778" w:type="dxa"/>
            <w:shd w:val="clear" w:color="auto" w:fill="auto"/>
            <w:vAlign w:val="bottom"/>
          </w:tcPr>
          <w:p w:rsidR="003336BC" w:rsidRPr="00687A1C" w:rsidRDefault="003336BC" w:rsidP="00FD7161">
            <w:pPr>
              <w:pStyle w:val="Tabletextright"/>
            </w:pPr>
            <w:r w:rsidRPr="00687A1C">
              <w:t>19.00</w:t>
            </w:r>
          </w:p>
        </w:tc>
        <w:tc>
          <w:tcPr>
            <w:tcW w:w="950" w:type="dxa"/>
            <w:shd w:val="clear" w:color="auto" w:fill="E0E0E0"/>
            <w:vAlign w:val="bottom"/>
          </w:tcPr>
          <w:p w:rsidR="003336BC" w:rsidRPr="00687A1C" w:rsidRDefault="003336BC" w:rsidP="00FD7161">
            <w:pPr>
              <w:pStyle w:val="Tabletextright"/>
            </w:pPr>
            <w:r w:rsidRPr="00687A1C">
              <w:t>2</w:t>
            </w:r>
          </w:p>
        </w:tc>
        <w:tc>
          <w:tcPr>
            <w:tcW w:w="778" w:type="dxa"/>
            <w:shd w:val="clear" w:color="auto" w:fill="E0E0E0"/>
            <w:vAlign w:val="bottom"/>
          </w:tcPr>
          <w:p w:rsidR="003336BC" w:rsidRPr="00687A1C" w:rsidRDefault="003336BC" w:rsidP="00FD7161">
            <w:pPr>
              <w:pStyle w:val="Tabletextright"/>
            </w:pPr>
            <w:r w:rsidRPr="00687A1C">
              <w:t>2.00</w:t>
            </w:r>
          </w:p>
        </w:tc>
        <w:tc>
          <w:tcPr>
            <w:tcW w:w="950" w:type="dxa"/>
            <w:shd w:val="clear" w:color="auto" w:fill="auto"/>
            <w:noWrap/>
            <w:vAlign w:val="bottom"/>
          </w:tcPr>
          <w:p w:rsidR="003336BC" w:rsidRPr="00687A1C" w:rsidRDefault="003336BC" w:rsidP="00FD7161">
            <w:pPr>
              <w:pStyle w:val="Tabletextright"/>
            </w:pPr>
            <w:r w:rsidRPr="00687A1C">
              <w:t>21</w:t>
            </w:r>
          </w:p>
        </w:tc>
        <w:tc>
          <w:tcPr>
            <w:tcW w:w="778" w:type="dxa"/>
            <w:shd w:val="clear" w:color="auto" w:fill="auto"/>
            <w:vAlign w:val="bottom"/>
          </w:tcPr>
          <w:p w:rsidR="003336BC" w:rsidRPr="00687A1C" w:rsidRDefault="003336BC" w:rsidP="00FD7161">
            <w:pPr>
              <w:pStyle w:val="Tabletextright"/>
            </w:pPr>
            <w:r w:rsidRPr="00687A1C">
              <w:t>20.90</w:t>
            </w:r>
          </w:p>
        </w:tc>
        <w:tc>
          <w:tcPr>
            <w:tcW w:w="979" w:type="dxa"/>
            <w:shd w:val="clear" w:color="auto" w:fill="E0E0E0"/>
            <w:noWrap/>
            <w:vAlign w:val="bottom"/>
          </w:tcPr>
          <w:p w:rsidR="003336BC" w:rsidRPr="00687A1C" w:rsidRDefault="003336BC" w:rsidP="00FD7161">
            <w:pPr>
              <w:pStyle w:val="Tabletextright"/>
            </w:pPr>
            <w:r w:rsidRPr="00687A1C">
              <w:t>19</w:t>
            </w:r>
          </w:p>
        </w:tc>
        <w:tc>
          <w:tcPr>
            <w:tcW w:w="979"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19.00</w:t>
            </w:r>
          </w:p>
        </w:tc>
        <w:tc>
          <w:tcPr>
            <w:tcW w:w="950" w:type="dxa"/>
            <w:vAlign w:val="bottom"/>
          </w:tcPr>
          <w:p w:rsidR="003336BC" w:rsidRPr="00687A1C" w:rsidRDefault="003336BC" w:rsidP="00FD7161">
            <w:pPr>
              <w:pStyle w:val="Tabletextright"/>
            </w:pPr>
            <w:r w:rsidRPr="00687A1C">
              <w:t>2</w:t>
            </w:r>
          </w:p>
        </w:tc>
        <w:tc>
          <w:tcPr>
            <w:tcW w:w="778" w:type="dxa"/>
            <w:vAlign w:val="bottom"/>
          </w:tcPr>
          <w:p w:rsidR="003336BC" w:rsidRPr="00687A1C" w:rsidRDefault="003336BC" w:rsidP="00FD7161">
            <w:pPr>
              <w:pStyle w:val="Tabletextright"/>
            </w:pPr>
            <w:r w:rsidRPr="00687A1C">
              <w:t>1.90</w:t>
            </w: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55</w:t>
            </w:r>
            <w:r w:rsidRPr="00687A1C">
              <w:rPr>
                <w:rFonts w:cstheme="minorHAnsi"/>
              </w:rPr>
              <w:noBreakHyphen/>
              <w:t>64</w:t>
            </w:r>
          </w:p>
        </w:tc>
        <w:tc>
          <w:tcPr>
            <w:tcW w:w="950" w:type="dxa"/>
            <w:shd w:val="clear" w:color="auto" w:fill="E0E0E0"/>
            <w:vAlign w:val="bottom"/>
          </w:tcPr>
          <w:p w:rsidR="003336BC" w:rsidRPr="00687A1C" w:rsidRDefault="003336BC" w:rsidP="00FD7161">
            <w:pPr>
              <w:pStyle w:val="Tabletextright"/>
            </w:pPr>
            <w:r w:rsidRPr="00687A1C">
              <w:t>7</w:t>
            </w:r>
          </w:p>
        </w:tc>
        <w:tc>
          <w:tcPr>
            <w:tcW w:w="778" w:type="dxa"/>
            <w:shd w:val="clear" w:color="auto" w:fill="E0E0E0"/>
            <w:vAlign w:val="bottom"/>
          </w:tcPr>
          <w:p w:rsidR="003336BC" w:rsidRPr="00687A1C" w:rsidRDefault="003336BC" w:rsidP="00FD7161">
            <w:pPr>
              <w:pStyle w:val="Tabletextright"/>
            </w:pPr>
            <w:r w:rsidRPr="00687A1C">
              <w:t>6.76</w:t>
            </w:r>
          </w:p>
        </w:tc>
        <w:tc>
          <w:tcPr>
            <w:tcW w:w="979" w:type="dxa"/>
            <w:shd w:val="clear" w:color="auto" w:fill="auto"/>
            <w:vAlign w:val="bottom"/>
          </w:tcPr>
          <w:p w:rsidR="003336BC" w:rsidRPr="00687A1C" w:rsidRDefault="003336BC" w:rsidP="00FD7161">
            <w:pPr>
              <w:pStyle w:val="Tabletextright"/>
            </w:pPr>
            <w:r w:rsidRPr="00687A1C">
              <w:t>5</w:t>
            </w:r>
          </w:p>
        </w:tc>
        <w:tc>
          <w:tcPr>
            <w:tcW w:w="979" w:type="dxa"/>
            <w:shd w:val="clear" w:color="auto" w:fill="auto"/>
            <w:vAlign w:val="bottom"/>
          </w:tcPr>
          <w:p w:rsidR="003336BC" w:rsidRPr="00687A1C" w:rsidRDefault="003336BC" w:rsidP="00FD7161">
            <w:pPr>
              <w:pStyle w:val="Tabletextright"/>
            </w:pPr>
            <w:r w:rsidRPr="00687A1C">
              <w:t>2</w:t>
            </w:r>
          </w:p>
        </w:tc>
        <w:tc>
          <w:tcPr>
            <w:tcW w:w="778" w:type="dxa"/>
            <w:shd w:val="clear" w:color="auto" w:fill="auto"/>
            <w:vAlign w:val="bottom"/>
          </w:tcPr>
          <w:p w:rsidR="003336BC" w:rsidRPr="00687A1C" w:rsidRDefault="003336BC" w:rsidP="00FD7161">
            <w:pPr>
              <w:pStyle w:val="Tabletextright"/>
            </w:pPr>
            <w:r w:rsidRPr="00687A1C">
              <w:t>6.76</w:t>
            </w:r>
          </w:p>
        </w:tc>
        <w:tc>
          <w:tcPr>
            <w:tcW w:w="950"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w:t>
            </w:r>
          </w:p>
        </w:tc>
        <w:tc>
          <w:tcPr>
            <w:tcW w:w="950" w:type="dxa"/>
            <w:shd w:val="clear" w:color="auto" w:fill="auto"/>
            <w:noWrap/>
            <w:vAlign w:val="bottom"/>
          </w:tcPr>
          <w:p w:rsidR="003336BC" w:rsidRPr="00687A1C" w:rsidRDefault="003336BC" w:rsidP="00FD7161">
            <w:pPr>
              <w:pStyle w:val="Tabletextright"/>
            </w:pPr>
            <w:r w:rsidRPr="00687A1C">
              <w:t>4</w:t>
            </w:r>
          </w:p>
        </w:tc>
        <w:tc>
          <w:tcPr>
            <w:tcW w:w="778" w:type="dxa"/>
            <w:shd w:val="clear" w:color="auto" w:fill="auto"/>
            <w:vAlign w:val="bottom"/>
          </w:tcPr>
          <w:p w:rsidR="003336BC" w:rsidRPr="00687A1C" w:rsidRDefault="003336BC" w:rsidP="00FD7161">
            <w:pPr>
              <w:pStyle w:val="Tabletextright"/>
            </w:pPr>
            <w:r w:rsidRPr="00687A1C">
              <w:t>3.60</w:t>
            </w:r>
          </w:p>
        </w:tc>
        <w:tc>
          <w:tcPr>
            <w:tcW w:w="979" w:type="dxa"/>
            <w:shd w:val="clear" w:color="auto" w:fill="E0E0E0"/>
            <w:noWrap/>
            <w:vAlign w:val="bottom"/>
          </w:tcPr>
          <w:p w:rsidR="003336BC" w:rsidRPr="00687A1C" w:rsidRDefault="003336BC" w:rsidP="00FD7161">
            <w:pPr>
              <w:pStyle w:val="Tabletextright"/>
            </w:pPr>
            <w:r w:rsidRPr="00687A1C">
              <w:t>2</w:t>
            </w:r>
          </w:p>
        </w:tc>
        <w:tc>
          <w:tcPr>
            <w:tcW w:w="979" w:type="dxa"/>
            <w:shd w:val="clear" w:color="auto" w:fill="E0E0E0"/>
            <w:vAlign w:val="bottom"/>
          </w:tcPr>
          <w:p w:rsidR="003336BC" w:rsidRPr="00687A1C" w:rsidRDefault="003336BC" w:rsidP="00FD7161">
            <w:pPr>
              <w:pStyle w:val="Tabletextright"/>
            </w:pPr>
            <w:r w:rsidRPr="00687A1C">
              <w:t>2</w:t>
            </w:r>
          </w:p>
        </w:tc>
        <w:tc>
          <w:tcPr>
            <w:tcW w:w="778" w:type="dxa"/>
            <w:shd w:val="clear" w:color="auto" w:fill="E0E0E0"/>
            <w:vAlign w:val="bottom"/>
          </w:tcPr>
          <w:p w:rsidR="003336BC" w:rsidRPr="00687A1C" w:rsidRDefault="003336BC" w:rsidP="00FD7161">
            <w:pPr>
              <w:pStyle w:val="Tabletextright"/>
            </w:pPr>
            <w:r w:rsidRPr="00687A1C">
              <w:t>3.60</w:t>
            </w:r>
          </w:p>
        </w:tc>
        <w:tc>
          <w:tcPr>
            <w:tcW w:w="950" w:type="dxa"/>
            <w:vAlign w:val="bottom"/>
          </w:tcPr>
          <w:p w:rsidR="003336BC" w:rsidRPr="00687A1C" w:rsidRDefault="003336BC" w:rsidP="00FD7161">
            <w:pPr>
              <w:pStyle w:val="Tabletextright"/>
            </w:pPr>
            <w:r w:rsidRPr="00687A1C">
              <w:t>–</w:t>
            </w:r>
          </w:p>
        </w:tc>
        <w:tc>
          <w:tcPr>
            <w:tcW w:w="778" w:type="dxa"/>
            <w:vAlign w:val="bottom"/>
          </w:tcPr>
          <w:p w:rsidR="003336BC" w:rsidRPr="00687A1C" w:rsidRDefault="003336BC" w:rsidP="00FD7161">
            <w:pPr>
              <w:pStyle w:val="Tabletextright"/>
            </w:pPr>
            <w:r w:rsidRPr="00687A1C">
              <w:t>–</w:t>
            </w: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rPr>
              <w:t>65+</w:t>
            </w:r>
          </w:p>
        </w:tc>
        <w:tc>
          <w:tcPr>
            <w:tcW w:w="950" w:type="dxa"/>
            <w:shd w:val="clear" w:color="auto" w:fill="E0E0E0"/>
            <w:vAlign w:val="bottom"/>
          </w:tcPr>
          <w:p w:rsidR="003336BC" w:rsidRPr="00687A1C" w:rsidRDefault="003336BC" w:rsidP="00FD7161">
            <w:pPr>
              <w:pStyle w:val="Tabletextright"/>
            </w:pPr>
            <w:r w:rsidRPr="00687A1C">
              <w:t>1</w:t>
            </w:r>
          </w:p>
        </w:tc>
        <w:tc>
          <w:tcPr>
            <w:tcW w:w="778" w:type="dxa"/>
            <w:shd w:val="clear" w:color="auto" w:fill="E0E0E0"/>
            <w:vAlign w:val="bottom"/>
          </w:tcPr>
          <w:p w:rsidR="003336BC" w:rsidRPr="00687A1C" w:rsidRDefault="003336BC" w:rsidP="00FD7161">
            <w:pPr>
              <w:pStyle w:val="Tabletextright"/>
            </w:pPr>
            <w:r w:rsidRPr="00687A1C">
              <w:t>1.00</w:t>
            </w:r>
          </w:p>
        </w:tc>
        <w:tc>
          <w:tcPr>
            <w:tcW w:w="979" w:type="dxa"/>
            <w:shd w:val="clear" w:color="auto" w:fill="auto"/>
            <w:vAlign w:val="bottom"/>
          </w:tcPr>
          <w:p w:rsidR="003336BC" w:rsidRPr="00687A1C" w:rsidRDefault="003336BC" w:rsidP="00FD7161">
            <w:pPr>
              <w:pStyle w:val="Tabletextright"/>
            </w:pPr>
            <w:r w:rsidRPr="00687A1C">
              <w:t>1</w:t>
            </w:r>
          </w:p>
        </w:tc>
        <w:tc>
          <w:tcPr>
            <w:tcW w:w="979" w:type="dxa"/>
            <w:shd w:val="clear" w:color="auto" w:fill="auto"/>
            <w:vAlign w:val="bottom"/>
          </w:tcPr>
          <w:p w:rsidR="003336BC" w:rsidRPr="00687A1C" w:rsidRDefault="003336BC" w:rsidP="00FD7161">
            <w:pPr>
              <w:pStyle w:val="Tabletextright"/>
            </w:pPr>
            <w:r w:rsidRPr="00687A1C">
              <w:t>–</w:t>
            </w:r>
          </w:p>
        </w:tc>
        <w:tc>
          <w:tcPr>
            <w:tcW w:w="778" w:type="dxa"/>
            <w:shd w:val="clear" w:color="auto" w:fill="auto"/>
            <w:vAlign w:val="bottom"/>
          </w:tcPr>
          <w:p w:rsidR="003336BC" w:rsidRPr="00687A1C" w:rsidRDefault="003336BC" w:rsidP="00FD7161">
            <w:pPr>
              <w:pStyle w:val="Tabletextright"/>
            </w:pPr>
            <w:r w:rsidRPr="00687A1C">
              <w:t>1.00</w:t>
            </w:r>
          </w:p>
        </w:tc>
        <w:tc>
          <w:tcPr>
            <w:tcW w:w="950"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w:t>
            </w:r>
          </w:p>
        </w:tc>
        <w:tc>
          <w:tcPr>
            <w:tcW w:w="950" w:type="dxa"/>
            <w:shd w:val="clear" w:color="auto" w:fill="auto"/>
            <w:noWrap/>
            <w:vAlign w:val="bottom"/>
          </w:tcPr>
          <w:p w:rsidR="003336BC" w:rsidRPr="00687A1C" w:rsidRDefault="003336BC" w:rsidP="00FD7161">
            <w:pPr>
              <w:pStyle w:val="Tabletextright"/>
            </w:pPr>
            <w:r w:rsidRPr="00687A1C">
              <w:t>1</w:t>
            </w:r>
          </w:p>
        </w:tc>
        <w:tc>
          <w:tcPr>
            <w:tcW w:w="778" w:type="dxa"/>
            <w:shd w:val="clear" w:color="auto" w:fill="auto"/>
            <w:vAlign w:val="bottom"/>
          </w:tcPr>
          <w:p w:rsidR="003336BC" w:rsidRPr="00687A1C" w:rsidRDefault="003336BC" w:rsidP="00FD7161">
            <w:pPr>
              <w:pStyle w:val="Tabletextright"/>
            </w:pPr>
            <w:r w:rsidRPr="00687A1C">
              <w:t>1.00</w:t>
            </w:r>
          </w:p>
        </w:tc>
        <w:tc>
          <w:tcPr>
            <w:tcW w:w="979" w:type="dxa"/>
            <w:shd w:val="clear" w:color="auto" w:fill="E0E0E0"/>
            <w:noWrap/>
            <w:vAlign w:val="bottom"/>
          </w:tcPr>
          <w:p w:rsidR="003336BC" w:rsidRPr="00687A1C" w:rsidRDefault="003336BC" w:rsidP="00FD7161">
            <w:pPr>
              <w:pStyle w:val="Tabletextright"/>
            </w:pPr>
            <w:r w:rsidRPr="00687A1C">
              <w:t>1</w:t>
            </w:r>
          </w:p>
        </w:tc>
        <w:tc>
          <w:tcPr>
            <w:tcW w:w="979" w:type="dxa"/>
            <w:shd w:val="clear" w:color="auto" w:fill="E0E0E0"/>
            <w:vAlign w:val="bottom"/>
          </w:tcPr>
          <w:p w:rsidR="003336BC" w:rsidRPr="00687A1C" w:rsidRDefault="003336BC" w:rsidP="00FD7161">
            <w:pPr>
              <w:pStyle w:val="Tabletextright"/>
            </w:pPr>
            <w:r w:rsidRPr="00687A1C">
              <w:t>–</w:t>
            </w:r>
          </w:p>
        </w:tc>
        <w:tc>
          <w:tcPr>
            <w:tcW w:w="778" w:type="dxa"/>
            <w:shd w:val="clear" w:color="auto" w:fill="E0E0E0"/>
            <w:vAlign w:val="bottom"/>
          </w:tcPr>
          <w:p w:rsidR="003336BC" w:rsidRPr="00687A1C" w:rsidRDefault="003336BC" w:rsidP="00FD7161">
            <w:pPr>
              <w:pStyle w:val="Tabletextright"/>
            </w:pPr>
            <w:r w:rsidRPr="00687A1C">
              <w:t>1.00</w:t>
            </w:r>
          </w:p>
        </w:tc>
        <w:tc>
          <w:tcPr>
            <w:tcW w:w="950" w:type="dxa"/>
            <w:vAlign w:val="bottom"/>
          </w:tcPr>
          <w:p w:rsidR="003336BC" w:rsidRPr="00687A1C" w:rsidRDefault="003336BC" w:rsidP="00FD7161">
            <w:pPr>
              <w:pStyle w:val="Tabletextright"/>
            </w:pPr>
            <w:r w:rsidRPr="00687A1C">
              <w:t>–</w:t>
            </w:r>
          </w:p>
        </w:tc>
        <w:tc>
          <w:tcPr>
            <w:tcW w:w="778" w:type="dxa"/>
            <w:vAlign w:val="bottom"/>
          </w:tcPr>
          <w:p w:rsidR="003336BC" w:rsidRPr="00687A1C" w:rsidRDefault="003336BC" w:rsidP="00FD7161">
            <w:pPr>
              <w:pStyle w:val="Tabletextright"/>
            </w:pPr>
            <w:r w:rsidRPr="00687A1C">
              <w:t>–</w:t>
            </w:r>
          </w:p>
        </w:tc>
      </w:tr>
      <w:tr w:rsidR="003336BC" w:rsidRPr="00687A1C" w:rsidTr="004630EB">
        <w:trPr>
          <w:cantSplit/>
        </w:trPr>
        <w:tc>
          <w:tcPr>
            <w:tcW w:w="1483" w:type="dxa"/>
            <w:shd w:val="clear" w:color="auto" w:fill="auto"/>
          </w:tcPr>
          <w:p w:rsidR="003336BC" w:rsidRPr="00687A1C" w:rsidRDefault="003336BC" w:rsidP="004630EB">
            <w:pPr>
              <w:pStyle w:val="Tabletext"/>
              <w:rPr>
                <w:sz w:val="6"/>
              </w:rPr>
            </w:pPr>
          </w:p>
        </w:tc>
        <w:tc>
          <w:tcPr>
            <w:tcW w:w="950" w:type="dxa"/>
            <w:shd w:val="clear" w:color="auto" w:fill="E0E0E0"/>
          </w:tcPr>
          <w:p w:rsidR="003336BC" w:rsidRPr="00687A1C" w:rsidRDefault="003336BC" w:rsidP="004630EB">
            <w:pPr>
              <w:pStyle w:val="Tabletextright"/>
              <w:rPr>
                <w:rFonts w:cstheme="minorHAnsi"/>
                <w:sz w:val="6"/>
              </w:rPr>
            </w:pPr>
          </w:p>
        </w:tc>
        <w:tc>
          <w:tcPr>
            <w:tcW w:w="778" w:type="dxa"/>
            <w:shd w:val="clear" w:color="auto" w:fill="E0E0E0"/>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sz w:val="6"/>
              </w:rPr>
            </w:pPr>
          </w:p>
        </w:tc>
        <w:tc>
          <w:tcPr>
            <w:tcW w:w="778" w:type="dxa"/>
            <w:shd w:val="clear" w:color="auto" w:fill="auto"/>
          </w:tcPr>
          <w:p w:rsidR="003336BC" w:rsidRPr="00687A1C" w:rsidRDefault="003336BC" w:rsidP="004630EB">
            <w:pPr>
              <w:pStyle w:val="Tabletextright"/>
              <w:rPr>
                <w:sz w:val="6"/>
              </w:rPr>
            </w:pPr>
          </w:p>
        </w:tc>
        <w:tc>
          <w:tcPr>
            <w:tcW w:w="950"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shd w:val="clear" w:color="auto" w:fill="auto"/>
            <w:noWrap/>
          </w:tcPr>
          <w:p w:rsidR="003336BC" w:rsidRPr="00687A1C" w:rsidRDefault="003336BC" w:rsidP="004630EB">
            <w:pPr>
              <w:pStyle w:val="Tabletextright"/>
              <w:rPr>
                <w:rFonts w:cstheme="minorHAnsi"/>
                <w:sz w:val="6"/>
              </w:rPr>
            </w:pPr>
          </w:p>
        </w:tc>
        <w:tc>
          <w:tcPr>
            <w:tcW w:w="778" w:type="dxa"/>
            <w:shd w:val="clear" w:color="auto" w:fill="auto"/>
          </w:tcPr>
          <w:p w:rsidR="003336BC" w:rsidRPr="00687A1C" w:rsidRDefault="003336BC" w:rsidP="004630EB">
            <w:pPr>
              <w:pStyle w:val="Tabletextright"/>
              <w:rPr>
                <w:rFonts w:cstheme="minorHAnsi"/>
                <w:sz w:val="6"/>
              </w:rPr>
            </w:pPr>
          </w:p>
        </w:tc>
        <w:tc>
          <w:tcPr>
            <w:tcW w:w="979" w:type="dxa"/>
            <w:shd w:val="clear" w:color="auto" w:fill="E0E0E0"/>
            <w:noWrap/>
          </w:tcPr>
          <w:p w:rsidR="003336BC" w:rsidRPr="00687A1C" w:rsidRDefault="003336BC" w:rsidP="004630EB">
            <w:pPr>
              <w:pStyle w:val="Tabletextright"/>
              <w:rPr>
                <w:rFonts w:cstheme="minorHAnsi"/>
                <w:sz w:val="6"/>
              </w:rPr>
            </w:pPr>
          </w:p>
        </w:tc>
        <w:tc>
          <w:tcPr>
            <w:tcW w:w="979"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tcPr>
          <w:p w:rsidR="003336BC" w:rsidRPr="00687A1C" w:rsidRDefault="003336BC" w:rsidP="004630EB">
            <w:pPr>
              <w:pStyle w:val="Tabletextright"/>
              <w:rPr>
                <w:sz w:val="6"/>
              </w:rPr>
            </w:pPr>
          </w:p>
        </w:tc>
        <w:tc>
          <w:tcPr>
            <w:tcW w:w="778" w:type="dxa"/>
          </w:tcPr>
          <w:p w:rsidR="003336BC" w:rsidRPr="00687A1C" w:rsidRDefault="003336BC" w:rsidP="004630EB">
            <w:pPr>
              <w:pStyle w:val="Tabletextright"/>
              <w:rPr>
                <w:sz w:val="6"/>
              </w:rPr>
            </w:pPr>
          </w:p>
        </w:tc>
      </w:tr>
      <w:tr w:rsidR="003336BC" w:rsidRPr="00687A1C" w:rsidTr="004630EB">
        <w:trPr>
          <w:cantSplit/>
        </w:trPr>
        <w:tc>
          <w:tcPr>
            <w:tcW w:w="1483" w:type="dxa"/>
            <w:shd w:val="clear" w:color="auto" w:fill="auto"/>
          </w:tcPr>
          <w:p w:rsidR="003336BC" w:rsidRPr="00687A1C" w:rsidRDefault="003336BC" w:rsidP="004630EB">
            <w:pPr>
              <w:pStyle w:val="Tabletext"/>
            </w:pPr>
            <w:r w:rsidRPr="00687A1C">
              <w:rPr>
                <w:rFonts w:cstheme="minorHAnsi"/>
                <w:b/>
                <w:szCs w:val="18"/>
              </w:rPr>
              <w:t>VPS1–6 Grade</w:t>
            </w:r>
          </w:p>
        </w:tc>
        <w:tc>
          <w:tcPr>
            <w:tcW w:w="950" w:type="dxa"/>
            <w:shd w:val="clear" w:color="auto" w:fill="E0E0E0"/>
            <w:vAlign w:val="bottom"/>
          </w:tcPr>
          <w:p w:rsidR="003336BC" w:rsidRPr="00687A1C" w:rsidRDefault="003336BC" w:rsidP="004630EB">
            <w:pPr>
              <w:pStyle w:val="Tabletextrightbold"/>
            </w:pPr>
            <w:r w:rsidRPr="00687A1C">
              <w:t>98</w:t>
            </w:r>
          </w:p>
        </w:tc>
        <w:tc>
          <w:tcPr>
            <w:tcW w:w="778" w:type="dxa"/>
            <w:shd w:val="clear" w:color="auto" w:fill="E0E0E0"/>
            <w:vAlign w:val="bottom"/>
          </w:tcPr>
          <w:p w:rsidR="003336BC" w:rsidRPr="00687A1C" w:rsidRDefault="003336BC" w:rsidP="004630EB">
            <w:pPr>
              <w:pStyle w:val="Tabletextrightbold"/>
            </w:pPr>
            <w:r w:rsidRPr="00687A1C">
              <w:t>95.66</w:t>
            </w:r>
          </w:p>
        </w:tc>
        <w:tc>
          <w:tcPr>
            <w:tcW w:w="979" w:type="dxa"/>
            <w:shd w:val="clear" w:color="auto" w:fill="auto"/>
            <w:vAlign w:val="bottom"/>
          </w:tcPr>
          <w:p w:rsidR="003336BC" w:rsidRPr="00687A1C" w:rsidRDefault="003336BC" w:rsidP="004630EB">
            <w:pPr>
              <w:pStyle w:val="Tabletextrightbold"/>
            </w:pPr>
            <w:r w:rsidRPr="00687A1C">
              <w:t>75</w:t>
            </w:r>
          </w:p>
        </w:tc>
        <w:tc>
          <w:tcPr>
            <w:tcW w:w="979" w:type="dxa"/>
            <w:shd w:val="clear" w:color="auto" w:fill="auto"/>
            <w:vAlign w:val="bottom"/>
          </w:tcPr>
          <w:p w:rsidR="003336BC" w:rsidRPr="00687A1C" w:rsidRDefault="003336BC" w:rsidP="004630EB">
            <w:pPr>
              <w:pStyle w:val="Tabletextrightbold"/>
            </w:pPr>
            <w:r w:rsidRPr="00687A1C">
              <w:t>10</w:t>
            </w:r>
          </w:p>
        </w:tc>
        <w:tc>
          <w:tcPr>
            <w:tcW w:w="778" w:type="dxa"/>
            <w:shd w:val="clear" w:color="auto" w:fill="auto"/>
            <w:vAlign w:val="bottom"/>
          </w:tcPr>
          <w:p w:rsidR="003336BC" w:rsidRPr="00687A1C" w:rsidRDefault="003336BC" w:rsidP="004630EB">
            <w:pPr>
              <w:pStyle w:val="Tabletextrightbold"/>
            </w:pPr>
            <w:r w:rsidRPr="00687A1C">
              <w:t>82.86</w:t>
            </w:r>
          </w:p>
        </w:tc>
        <w:tc>
          <w:tcPr>
            <w:tcW w:w="950" w:type="dxa"/>
            <w:shd w:val="clear" w:color="auto" w:fill="E0E0E0"/>
            <w:vAlign w:val="bottom"/>
          </w:tcPr>
          <w:p w:rsidR="003336BC" w:rsidRPr="00687A1C" w:rsidRDefault="003336BC" w:rsidP="004630EB">
            <w:pPr>
              <w:pStyle w:val="Tabletextrightbold"/>
            </w:pPr>
            <w:r w:rsidRPr="00687A1C">
              <w:t>13</w:t>
            </w:r>
          </w:p>
        </w:tc>
        <w:tc>
          <w:tcPr>
            <w:tcW w:w="778" w:type="dxa"/>
            <w:shd w:val="clear" w:color="auto" w:fill="E0E0E0"/>
            <w:vAlign w:val="bottom"/>
          </w:tcPr>
          <w:p w:rsidR="003336BC" w:rsidRPr="00687A1C" w:rsidRDefault="003336BC" w:rsidP="004630EB">
            <w:pPr>
              <w:pStyle w:val="Tabletextrightbold"/>
            </w:pPr>
            <w:r w:rsidRPr="00687A1C">
              <w:t>12.80</w:t>
            </w:r>
          </w:p>
        </w:tc>
        <w:tc>
          <w:tcPr>
            <w:tcW w:w="950" w:type="dxa"/>
            <w:shd w:val="clear" w:color="auto" w:fill="auto"/>
            <w:noWrap/>
            <w:vAlign w:val="bottom"/>
          </w:tcPr>
          <w:p w:rsidR="003336BC" w:rsidRPr="00687A1C" w:rsidRDefault="003336BC" w:rsidP="004630EB">
            <w:pPr>
              <w:pStyle w:val="Tabletextrightbold"/>
              <w:rPr>
                <w:color w:val="000000"/>
              </w:rPr>
            </w:pPr>
            <w:r w:rsidRPr="00687A1C">
              <w:rPr>
                <w:color w:val="000000"/>
              </w:rPr>
              <w:t>90</w:t>
            </w:r>
          </w:p>
        </w:tc>
        <w:tc>
          <w:tcPr>
            <w:tcW w:w="778" w:type="dxa"/>
            <w:shd w:val="clear" w:color="auto" w:fill="auto"/>
            <w:vAlign w:val="bottom"/>
          </w:tcPr>
          <w:p w:rsidR="003336BC" w:rsidRPr="00687A1C" w:rsidRDefault="003336BC" w:rsidP="004630EB">
            <w:pPr>
              <w:pStyle w:val="Tabletextrightbold"/>
              <w:rPr>
                <w:color w:val="000000"/>
              </w:rPr>
            </w:pPr>
            <w:r w:rsidRPr="00687A1C">
              <w:rPr>
                <w:color w:val="000000"/>
              </w:rPr>
              <w:t>86.75</w:t>
            </w:r>
          </w:p>
        </w:tc>
        <w:tc>
          <w:tcPr>
            <w:tcW w:w="979" w:type="dxa"/>
            <w:shd w:val="clear" w:color="auto" w:fill="E0E0E0"/>
            <w:noWrap/>
            <w:vAlign w:val="bottom"/>
          </w:tcPr>
          <w:p w:rsidR="003336BC" w:rsidRPr="00687A1C" w:rsidRDefault="003336BC" w:rsidP="004630EB">
            <w:pPr>
              <w:pStyle w:val="Tabletextrightbold"/>
              <w:rPr>
                <w:color w:val="000000"/>
              </w:rPr>
            </w:pPr>
            <w:r w:rsidRPr="00687A1C">
              <w:rPr>
                <w:color w:val="000000"/>
              </w:rPr>
              <w:t>66</w:t>
            </w:r>
          </w:p>
        </w:tc>
        <w:tc>
          <w:tcPr>
            <w:tcW w:w="979" w:type="dxa"/>
            <w:shd w:val="clear" w:color="auto" w:fill="E0E0E0"/>
            <w:vAlign w:val="bottom"/>
          </w:tcPr>
          <w:p w:rsidR="003336BC" w:rsidRPr="00687A1C" w:rsidRDefault="003336BC" w:rsidP="004630EB">
            <w:pPr>
              <w:pStyle w:val="Tabletextrightbold"/>
              <w:rPr>
                <w:color w:val="000000"/>
              </w:rPr>
            </w:pPr>
            <w:r w:rsidRPr="00687A1C">
              <w:rPr>
                <w:color w:val="000000"/>
              </w:rPr>
              <w:t>12</w:t>
            </w:r>
          </w:p>
        </w:tc>
        <w:tc>
          <w:tcPr>
            <w:tcW w:w="778" w:type="dxa"/>
            <w:shd w:val="clear" w:color="auto" w:fill="E0E0E0"/>
            <w:vAlign w:val="bottom"/>
          </w:tcPr>
          <w:p w:rsidR="003336BC" w:rsidRPr="00687A1C" w:rsidRDefault="003336BC" w:rsidP="004630EB">
            <w:pPr>
              <w:pStyle w:val="Tabletextrightbold"/>
              <w:rPr>
                <w:color w:val="000000"/>
              </w:rPr>
            </w:pPr>
            <w:r w:rsidRPr="00687A1C">
              <w:rPr>
                <w:color w:val="000000"/>
              </w:rPr>
              <w:t>74.75</w:t>
            </w:r>
          </w:p>
        </w:tc>
        <w:tc>
          <w:tcPr>
            <w:tcW w:w="950" w:type="dxa"/>
            <w:vAlign w:val="bottom"/>
          </w:tcPr>
          <w:p w:rsidR="003336BC" w:rsidRPr="00687A1C" w:rsidRDefault="003336BC" w:rsidP="004630EB">
            <w:pPr>
              <w:pStyle w:val="Tabletextrightbold"/>
              <w:rPr>
                <w:color w:val="000000"/>
              </w:rPr>
            </w:pPr>
            <w:r w:rsidRPr="00687A1C">
              <w:rPr>
                <w:color w:val="000000"/>
              </w:rPr>
              <w:t>12</w:t>
            </w:r>
          </w:p>
        </w:tc>
        <w:tc>
          <w:tcPr>
            <w:tcW w:w="778" w:type="dxa"/>
            <w:vAlign w:val="bottom"/>
          </w:tcPr>
          <w:p w:rsidR="003336BC" w:rsidRPr="00687A1C" w:rsidRDefault="003336BC" w:rsidP="004630EB">
            <w:pPr>
              <w:pStyle w:val="Tabletextrightbold"/>
              <w:rPr>
                <w:color w:val="000000"/>
              </w:rPr>
            </w:pPr>
            <w:r w:rsidRPr="00687A1C">
              <w:rPr>
                <w:color w:val="000000"/>
              </w:rPr>
              <w:t>12.00</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pPr>
            <w:r w:rsidRPr="00687A1C">
              <w:t>Grade 1</w:t>
            </w:r>
          </w:p>
        </w:tc>
        <w:tc>
          <w:tcPr>
            <w:tcW w:w="950"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w:t>
            </w:r>
          </w:p>
        </w:tc>
        <w:tc>
          <w:tcPr>
            <w:tcW w:w="979" w:type="dxa"/>
            <w:shd w:val="clear" w:color="auto" w:fill="auto"/>
            <w:vAlign w:val="bottom"/>
          </w:tcPr>
          <w:p w:rsidR="003336BC" w:rsidRPr="00687A1C" w:rsidRDefault="003336BC" w:rsidP="004630EB">
            <w:pPr>
              <w:pStyle w:val="Tabletextright"/>
            </w:pPr>
            <w:r w:rsidRPr="00687A1C">
              <w:t>–</w:t>
            </w:r>
          </w:p>
        </w:tc>
        <w:tc>
          <w:tcPr>
            <w:tcW w:w="979" w:type="dxa"/>
            <w:shd w:val="clear" w:color="auto" w:fill="auto"/>
            <w:vAlign w:val="bottom"/>
          </w:tcPr>
          <w:p w:rsidR="003336BC" w:rsidRPr="00687A1C" w:rsidRDefault="003336BC" w:rsidP="004630EB">
            <w:pPr>
              <w:pStyle w:val="Tabletextright"/>
            </w:pPr>
            <w:r w:rsidRPr="00687A1C">
              <w:t>–</w:t>
            </w:r>
          </w:p>
        </w:tc>
        <w:tc>
          <w:tcPr>
            <w:tcW w:w="778" w:type="dxa"/>
            <w:shd w:val="clear" w:color="auto" w:fill="auto"/>
            <w:vAlign w:val="bottom"/>
          </w:tcPr>
          <w:p w:rsidR="003336BC" w:rsidRPr="00687A1C" w:rsidRDefault="003336BC" w:rsidP="004630EB">
            <w:pPr>
              <w:pStyle w:val="Tabletextright"/>
            </w:pPr>
            <w:r w:rsidRPr="00687A1C">
              <w:t>–</w:t>
            </w:r>
          </w:p>
        </w:tc>
        <w:tc>
          <w:tcPr>
            <w:tcW w:w="950"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w:t>
            </w:r>
          </w:p>
        </w:tc>
        <w:tc>
          <w:tcPr>
            <w:tcW w:w="950" w:type="dxa"/>
            <w:shd w:val="clear" w:color="auto" w:fill="auto"/>
            <w:noWrap/>
            <w:vAlign w:val="bottom"/>
          </w:tcPr>
          <w:p w:rsidR="003336BC" w:rsidRPr="00687A1C" w:rsidRDefault="003336BC" w:rsidP="004630EB">
            <w:pPr>
              <w:pStyle w:val="Tabletextright"/>
            </w:pPr>
            <w:r w:rsidRPr="00687A1C">
              <w:t>–</w:t>
            </w:r>
          </w:p>
        </w:tc>
        <w:tc>
          <w:tcPr>
            <w:tcW w:w="778" w:type="dxa"/>
            <w:shd w:val="clear" w:color="auto" w:fill="auto"/>
            <w:vAlign w:val="bottom"/>
          </w:tcPr>
          <w:p w:rsidR="003336BC" w:rsidRPr="00687A1C" w:rsidRDefault="003336BC" w:rsidP="004630EB">
            <w:pPr>
              <w:pStyle w:val="Tabletextright"/>
            </w:pPr>
            <w:r w:rsidRPr="00687A1C">
              <w:t>–</w:t>
            </w:r>
          </w:p>
        </w:tc>
        <w:tc>
          <w:tcPr>
            <w:tcW w:w="979" w:type="dxa"/>
            <w:shd w:val="clear" w:color="auto" w:fill="E0E0E0"/>
            <w:noWrap/>
            <w:vAlign w:val="bottom"/>
          </w:tcPr>
          <w:p w:rsidR="003336BC" w:rsidRPr="00687A1C" w:rsidRDefault="003336BC" w:rsidP="004630EB">
            <w:pPr>
              <w:pStyle w:val="Tabletextright"/>
            </w:pPr>
            <w:r w:rsidRPr="00687A1C">
              <w:t>–</w:t>
            </w:r>
          </w:p>
        </w:tc>
        <w:tc>
          <w:tcPr>
            <w:tcW w:w="979"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w:t>
            </w:r>
          </w:p>
        </w:tc>
        <w:tc>
          <w:tcPr>
            <w:tcW w:w="950" w:type="dxa"/>
            <w:vAlign w:val="bottom"/>
          </w:tcPr>
          <w:p w:rsidR="003336BC" w:rsidRPr="00687A1C" w:rsidRDefault="003336BC" w:rsidP="004630EB">
            <w:pPr>
              <w:pStyle w:val="Tabletextright"/>
            </w:pPr>
            <w:r w:rsidRPr="00687A1C">
              <w:t>–</w:t>
            </w:r>
          </w:p>
        </w:tc>
        <w:tc>
          <w:tcPr>
            <w:tcW w:w="778" w:type="dxa"/>
            <w:vAlign w:val="bottom"/>
          </w:tcPr>
          <w:p w:rsidR="003336BC" w:rsidRPr="00687A1C" w:rsidRDefault="003336BC" w:rsidP="004630EB">
            <w:pPr>
              <w:pStyle w:val="Tabletextright"/>
            </w:pPr>
            <w:r w:rsidRPr="00687A1C">
              <w:t>–</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pPr>
            <w:r w:rsidRPr="00687A1C">
              <w:t>Grade 2</w:t>
            </w:r>
          </w:p>
        </w:tc>
        <w:tc>
          <w:tcPr>
            <w:tcW w:w="950" w:type="dxa"/>
            <w:shd w:val="clear" w:color="auto" w:fill="E0E0E0"/>
            <w:vAlign w:val="bottom"/>
          </w:tcPr>
          <w:p w:rsidR="003336BC" w:rsidRPr="00687A1C" w:rsidRDefault="003336BC" w:rsidP="004630EB">
            <w:pPr>
              <w:pStyle w:val="Tabletextright"/>
            </w:pPr>
            <w:r w:rsidRPr="00687A1C">
              <w:t>2</w:t>
            </w:r>
          </w:p>
        </w:tc>
        <w:tc>
          <w:tcPr>
            <w:tcW w:w="778" w:type="dxa"/>
            <w:shd w:val="clear" w:color="auto" w:fill="E0E0E0"/>
            <w:vAlign w:val="bottom"/>
          </w:tcPr>
          <w:p w:rsidR="003336BC" w:rsidRPr="00687A1C" w:rsidRDefault="003336BC" w:rsidP="004630EB">
            <w:pPr>
              <w:pStyle w:val="Tabletextright"/>
            </w:pPr>
            <w:r w:rsidRPr="00687A1C">
              <w:t>2.00</w:t>
            </w:r>
          </w:p>
        </w:tc>
        <w:tc>
          <w:tcPr>
            <w:tcW w:w="979" w:type="dxa"/>
            <w:shd w:val="clear" w:color="auto" w:fill="auto"/>
            <w:vAlign w:val="bottom"/>
          </w:tcPr>
          <w:p w:rsidR="003336BC" w:rsidRPr="00687A1C" w:rsidRDefault="003336BC" w:rsidP="004630EB">
            <w:pPr>
              <w:pStyle w:val="Tabletextright"/>
            </w:pPr>
            <w:r w:rsidRPr="00687A1C">
              <w:t>2</w:t>
            </w:r>
          </w:p>
        </w:tc>
        <w:tc>
          <w:tcPr>
            <w:tcW w:w="979" w:type="dxa"/>
            <w:shd w:val="clear" w:color="auto" w:fill="auto"/>
            <w:vAlign w:val="bottom"/>
          </w:tcPr>
          <w:p w:rsidR="003336BC" w:rsidRPr="00687A1C" w:rsidRDefault="003336BC" w:rsidP="004630EB">
            <w:pPr>
              <w:pStyle w:val="Tabletextright"/>
            </w:pPr>
            <w:r w:rsidRPr="00687A1C">
              <w:t>–</w:t>
            </w:r>
          </w:p>
        </w:tc>
        <w:tc>
          <w:tcPr>
            <w:tcW w:w="778" w:type="dxa"/>
            <w:shd w:val="clear" w:color="auto" w:fill="auto"/>
            <w:vAlign w:val="bottom"/>
          </w:tcPr>
          <w:p w:rsidR="003336BC" w:rsidRPr="00687A1C" w:rsidRDefault="003336BC" w:rsidP="004630EB">
            <w:pPr>
              <w:pStyle w:val="Tabletextright"/>
            </w:pPr>
            <w:r w:rsidRPr="00687A1C">
              <w:t>2.00</w:t>
            </w:r>
          </w:p>
        </w:tc>
        <w:tc>
          <w:tcPr>
            <w:tcW w:w="950" w:type="dxa"/>
            <w:shd w:val="clear" w:color="auto" w:fill="E0E0E0"/>
            <w:vAlign w:val="bottom"/>
          </w:tcPr>
          <w:p w:rsidR="003336BC" w:rsidRPr="00687A1C" w:rsidRDefault="003336BC" w:rsidP="004630EB">
            <w:pPr>
              <w:pStyle w:val="Tabletextright"/>
            </w:pPr>
          </w:p>
        </w:tc>
        <w:tc>
          <w:tcPr>
            <w:tcW w:w="778" w:type="dxa"/>
            <w:shd w:val="clear" w:color="auto" w:fill="E0E0E0"/>
            <w:vAlign w:val="bottom"/>
          </w:tcPr>
          <w:p w:rsidR="003336BC" w:rsidRPr="00687A1C" w:rsidRDefault="003336BC" w:rsidP="004630EB">
            <w:pPr>
              <w:pStyle w:val="Tabletextright"/>
            </w:pPr>
          </w:p>
        </w:tc>
        <w:tc>
          <w:tcPr>
            <w:tcW w:w="950" w:type="dxa"/>
            <w:shd w:val="clear" w:color="auto" w:fill="auto"/>
            <w:noWrap/>
            <w:vAlign w:val="bottom"/>
          </w:tcPr>
          <w:p w:rsidR="003336BC" w:rsidRPr="00687A1C" w:rsidRDefault="003336BC" w:rsidP="004630EB">
            <w:pPr>
              <w:pStyle w:val="Tabletextright"/>
            </w:pPr>
            <w:r w:rsidRPr="00687A1C">
              <w:t>4</w:t>
            </w:r>
          </w:p>
        </w:tc>
        <w:tc>
          <w:tcPr>
            <w:tcW w:w="778" w:type="dxa"/>
            <w:shd w:val="clear" w:color="auto" w:fill="auto"/>
            <w:vAlign w:val="bottom"/>
          </w:tcPr>
          <w:p w:rsidR="003336BC" w:rsidRPr="00687A1C" w:rsidRDefault="003336BC" w:rsidP="004630EB">
            <w:pPr>
              <w:pStyle w:val="Tabletextright"/>
            </w:pPr>
            <w:r w:rsidRPr="00687A1C">
              <w:t>4.00</w:t>
            </w:r>
          </w:p>
        </w:tc>
        <w:tc>
          <w:tcPr>
            <w:tcW w:w="979" w:type="dxa"/>
            <w:shd w:val="clear" w:color="auto" w:fill="E0E0E0"/>
            <w:noWrap/>
            <w:vAlign w:val="bottom"/>
          </w:tcPr>
          <w:p w:rsidR="003336BC" w:rsidRPr="00687A1C" w:rsidRDefault="003336BC" w:rsidP="004630EB">
            <w:pPr>
              <w:pStyle w:val="Tabletextright"/>
            </w:pPr>
            <w:r w:rsidRPr="00687A1C">
              <w:t>4</w:t>
            </w:r>
          </w:p>
        </w:tc>
        <w:tc>
          <w:tcPr>
            <w:tcW w:w="979"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4.00</w:t>
            </w:r>
          </w:p>
        </w:tc>
        <w:tc>
          <w:tcPr>
            <w:tcW w:w="950" w:type="dxa"/>
            <w:vAlign w:val="bottom"/>
          </w:tcPr>
          <w:p w:rsidR="003336BC" w:rsidRPr="00687A1C" w:rsidRDefault="003336BC" w:rsidP="004630EB">
            <w:pPr>
              <w:pStyle w:val="Tabletextright"/>
            </w:pPr>
            <w:r w:rsidRPr="00687A1C">
              <w:t>–</w:t>
            </w:r>
          </w:p>
        </w:tc>
        <w:tc>
          <w:tcPr>
            <w:tcW w:w="778" w:type="dxa"/>
            <w:vAlign w:val="bottom"/>
          </w:tcPr>
          <w:p w:rsidR="003336BC" w:rsidRPr="00687A1C" w:rsidRDefault="003336BC" w:rsidP="004630EB">
            <w:pPr>
              <w:pStyle w:val="Tabletextright"/>
            </w:pPr>
            <w:r w:rsidRPr="00687A1C">
              <w:t>–</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pPr>
            <w:r w:rsidRPr="00687A1C">
              <w:t>Grade 3</w:t>
            </w:r>
          </w:p>
        </w:tc>
        <w:tc>
          <w:tcPr>
            <w:tcW w:w="950" w:type="dxa"/>
            <w:shd w:val="clear" w:color="auto" w:fill="E0E0E0"/>
            <w:vAlign w:val="bottom"/>
          </w:tcPr>
          <w:p w:rsidR="003336BC" w:rsidRPr="00687A1C" w:rsidRDefault="003336BC" w:rsidP="004630EB">
            <w:pPr>
              <w:pStyle w:val="Tabletextright"/>
            </w:pPr>
            <w:r w:rsidRPr="00687A1C">
              <w:t>22</w:t>
            </w:r>
          </w:p>
        </w:tc>
        <w:tc>
          <w:tcPr>
            <w:tcW w:w="778" w:type="dxa"/>
            <w:shd w:val="clear" w:color="auto" w:fill="E0E0E0"/>
            <w:vAlign w:val="bottom"/>
          </w:tcPr>
          <w:p w:rsidR="003336BC" w:rsidRPr="00687A1C" w:rsidRDefault="003336BC" w:rsidP="004630EB">
            <w:pPr>
              <w:pStyle w:val="Tabletextright"/>
            </w:pPr>
            <w:r w:rsidRPr="00687A1C">
              <w:t>21.40</w:t>
            </w:r>
          </w:p>
        </w:tc>
        <w:tc>
          <w:tcPr>
            <w:tcW w:w="979" w:type="dxa"/>
            <w:shd w:val="clear" w:color="auto" w:fill="auto"/>
            <w:vAlign w:val="bottom"/>
          </w:tcPr>
          <w:p w:rsidR="003336BC" w:rsidRPr="00687A1C" w:rsidRDefault="003336BC" w:rsidP="004630EB">
            <w:pPr>
              <w:pStyle w:val="Tabletextright"/>
            </w:pPr>
            <w:r w:rsidRPr="00687A1C">
              <w:t>15</w:t>
            </w:r>
          </w:p>
        </w:tc>
        <w:tc>
          <w:tcPr>
            <w:tcW w:w="979" w:type="dxa"/>
            <w:shd w:val="clear" w:color="auto" w:fill="auto"/>
            <w:vAlign w:val="bottom"/>
          </w:tcPr>
          <w:p w:rsidR="003336BC" w:rsidRPr="00687A1C" w:rsidRDefault="003336BC" w:rsidP="004630EB">
            <w:pPr>
              <w:pStyle w:val="Tabletextright"/>
            </w:pPr>
            <w:r w:rsidRPr="00687A1C">
              <w:t>2</w:t>
            </w:r>
          </w:p>
        </w:tc>
        <w:tc>
          <w:tcPr>
            <w:tcW w:w="778" w:type="dxa"/>
            <w:shd w:val="clear" w:color="auto" w:fill="auto"/>
            <w:vAlign w:val="bottom"/>
          </w:tcPr>
          <w:p w:rsidR="003336BC" w:rsidRPr="00687A1C" w:rsidRDefault="003336BC" w:rsidP="004630EB">
            <w:pPr>
              <w:pStyle w:val="Tabletextright"/>
            </w:pPr>
            <w:r w:rsidRPr="00687A1C">
              <w:t>16.40</w:t>
            </w:r>
          </w:p>
        </w:tc>
        <w:tc>
          <w:tcPr>
            <w:tcW w:w="950" w:type="dxa"/>
            <w:shd w:val="clear" w:color="auto" w:fill="E0E0E0"/>
            <w:vAlign w:val="bottom"/>
          </w:tcPr>
          <w:p w:rsidR="003336BC" w:rsidRPr="00687A1C" w:rsidRDefault="003336BC" w:rsidP="004630EB">
            <w:pPr>
              <w:pStyle w:val="Tabletextright"/>
            </w:pPr>
            <w:r w:rsidRPr="00687A1C">
              <w:t>5</w:t>
            </w:r>
          </w:p>
        </w:tc>
        <w:tc>
          <w:tcPr>
            <w:tcW w:w="778" w:type="dxa"/>
            <w:shd w:val="clear" w:color="auto" w:fill="E0E0E0"/>
            <w:vAlign w:val="bottom"/>
          </w:tcPr>
          <w:p w:rsidR="003336BC" w:rsidRPr="00687A1C" w:rsidRDefault="003336BC" w:rsidP="004630EB">
            <w:pPr>
              <w:pStyle w:val="Tabletextright"/>
            </w:pPr>
            <w:r w:rsidRPr="00687A1C">
              <w:t>5.00</w:t>
            </w:r>
          </w:p>
        </w:tc>
        <w:tc>
          <w:tcPr>
            <w:tcW w:w="950" w:type="dxa"/>
            <w:shd w:val="clear" w:color="auto" w:fill="auto"/>
            <w:noWrap/>
            <w:vAlign w:val="bottom"/>
          </w:tcPr>
          <w:p w:rsidR="003336BC" w:rsidRPr="00687A1C" w:rsidRDefault="003336BC" w:rsidP="004630EB">
            <w:pPr>
              <w:pStyle w:val="Tabletextright"/>
            </w:pPr>
            <w:r w:rsidRPr="00687A1C">
              <w:t>20</w:t>
            </w:r>
          </w:p>
        </w:tc>
        <w:tc>
          <w:tcPr>
            <w:tcW w:w="778" w:type="dxa"/>
            <w:shd w:val="clear" w:color="auto" w:fill="auto"/>
            <w:vAlign w:val="bottom"/>
          </w:tcPr>
          <w:p w:rsidR="003336BC" w:rsidRPr="00687A1C" w:rsidRDefault="003336BC" w:rsidP="004630EB">
            <w:pPr>
              <w:pStyle w:val="Tabletextright"/>
            </w:pPr>
            <w:r w:rsidRPr="00687A1C">
              <w:t>19.35</w:t>
            </w:r>
          </w:p>
        </w:tc>
        <w:tc>
          <w:tcPr>
            <w:tcW w:w="979" w:type="dxa"/>
            <w:shd w:val="clear" w:color="auto" w:fill="E0E0E0"/>
            <w:noWrap/>
            <w:vAlign w:val="bottom"/>
          </w:tcPr>
          <w:p w:rsidR="003336BC" w:rsidRPr="00687A1C" w:rsidRDefault="003336BC" w:rsidP="004630EB">
            <w:pPr>
              <w:pStyle w:val="Tabletextright"/>
            </w:pPr>
            <w:r w:rsidRPr="00687A1C">
              <w:t>14</w:t>
            </w:r>
          </w:p>
        </w:tc>
        <w:tc>
          <w:tcPr>
            <w:tcW w:w="979" w:type="dxa"/>
            <w:shd w:val="clear" w:color="auto" w:fill="E0E0E0"/>
            <w:vAlign w:val="bottom"/>
          </w:tcPr>
          <w:p w:rsidR="003336BC" w:rsidRPr="00687A1C" w:rsidRDefault="003336BC" w:rsidP="004630EB">
            <w:pPr>
              <w:pStyle w:val="Tabletextright"/>
            </w:pPr>
            <w:r w:rsidRPr="00687A1C">
              <w:t>2</w:t>
            </w:r>
          </w:p>
        </w:tc>
        <w:tc>
          <w:tcPr>
            <w:tcW w:w="778" w:type="dxa"/>
            <w:shd w:val="clear" w:color="auto" w:fill="E0E0E0"/>
            <w:vAlign w:val="bottom"/>
          </w:tcPr>
          <w:p w:rsidR="003336BC" w:rsidRPr="00687A1C" w:rsidRDefault="003336BC" w:rsidP="004630EB">
            <w:pPr>
              <w:pStyle w:val="Tabletextright"/>
            </w:pPr>
            <w:r w:rsidRPr="00687A1C">
              <w:t>15.35</w:t>
            </w:r>
          </w:p>
        </w:tc>
        <w:tc>
          <w:tcPr>
            <w:tcW w:w="950" w:type="dxa"/>
            <w:vAlign w:val="bottom"/>
          </w:tcPr>
          <w:p w:rsidR="003336BC" w:rsidRPr="00687A1C" w:rsidRDefault="003336BC" w:rsidP="004630EB">
            <w:pPr>
              <w:pStyle w:val="Tabletextright"/>
            </w:pPr>
            <w:r w:rsidRPr="00687A1C">
              <w:t>4</w:t>
            </w:r>
          </w:p>
        </w:tc>
        <w:tc>
          <w:tcPr>
            <w:tcW w:w="778" w:type="dxa"/>
            <w:vAlign w:val="bottom"/>
          </w:tcPr>
          <w:p w:rsidR="003336BC" w:rsidRPr="00687A1C" w:rsidRDefault="003336BC" w:rsidP="004630EB">
            <w:pPr>
              <w:pStyle w:val="Tabletextright"/>
            </w:pPr>
            <w:r w:rsidRPr="00687A1C">
              <w:t>4.00</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pPr>
            <w:r w:rsidRPr="00687A1C">
              <w:t>Grade 4</w:t>
            </w:r>
          </w:p>
        </w:tc>
        <w:tc>
          <w:tcPr>
            <w:tcW w:w="950" w:type="dxa"/>
            <w:shd w:val="clear" w:color="auto" w:fill="E0E0E0"/>
            <w:vAlign w:val="bottom"/>
          </w:tcPr>
          <w:p w:rsidR="003336BC" w:rsidRPr="00687A1C" w:rsidRDefault="003336BC" w:rsidP="004630EB">
            <w:pPr>
              <w:pStyle w:val="Tabletextright"/>
            </w:pPr>
            <w:r w:rsidRPr="00687A1C">
              <w:t>24</w:t>
            </w:r>
          </w:p>
        </w:tc>
        <w:tc>
          <w:tcPr>
            <w:tcW w:w="778" w:type="dxa"/>
            <w:shd w:val="clear" w:color="auto" w:fill="E0E0E0"/>
            <w:vAlign w:val="bottom"/>
          </w:tcPr>
          <w:p w:rsidR="003336BC" w:rsidRPr="00687A1C" w:rsidRDefault="003336BC" w:rsidP="004630EB">
            <w:pPr>
              <w:pStyle w:val="Tabletextright"/>
            </w:pPr>
            <w:r w:rsidRPr="00687A1C">
              <w:t>23.80</w:t>
            </w:r>
          </w:p>
        </w:tc>
        <w:tc>
          <w:tcPr>
            <w:tcW w:w="979" w:type="dxa"/>
            <w:shd w:val="clear" w:color="auto" w:fill="auto"/>
            <w:vAlign w:val="bottom"/>
          </w:tcPr>
          <w:p w:rsidR="003336BC" w:rsidRPr="00687A1C" w:rsidRDefault="003336BC" w:rsidP="004630EB">
            <w:pPr>
              <w:pStyle w:val="Tabletextright"/>
            </w:pPr>
            <w:r w:rsidRPr="00687A1C">
              <w:t>22</w:t>
            </w:r>
          </w:p>
        </w:tc>
        <w:tc>
          <w:tcPr>
            <w:tcW w:w="979" w:type="dxa"/>
            <w:shd w:val="clear" w:color="auto" w:fill="auto"/>
            <w:vAlign w:val="bottom"/>
          </w:tcPr>
          <w:p w:rsidR="003336BC" w:rsidRPr="00687A1C" w:rsidRDefault="003336BC" w:rsidP="004630EB">
            <w:pPr>
              <w:pStyle w:val="Tabletextright"/>
            </w:pPr>
            <w:r w:rsidRPr="00687A1C">
              <w:t>1</w:t>
            </w:r>
          </w:p>
        </w:tc>
        <w:tc>
          <w:tcPr>
            <w:tcW w:w="778" w:type="dxa"/>
            <w:shd w:val="clear" w:color="auto" w:fill="auto"/>
            <w:vAlign w:val="bottom"/>
          </w:tcPr>
          <w:p w:rsidR="003336BC" w:rsidRPr="00687A1C" w:rsidRDefault="003336BC" w:rsidP="004630EB">
            <w:pPr>
              <w:pStyle w:val="Tabletextright"/>
            </w:pPr>
            <w:r w:rsidRPr="00687A1C">
              <w:t>22.80</w:t>
            </w:r>
          </w:p>
        </w:tc>
        <w:tc>
          <w:tcPr>
            <w:tcW w:w="950" w:type="dxa"/>
            <w:shd w:val="clear" w:color="auto" w:fill="E0E0E0"/>
            <w:vAlign w:val="bottom"/>
          </w:tcPr>
          <w:p w:rsidR="003336BC" w:rsidRPr="00687A1C" w:rsidRDefault="003336BC" w:rsidP="004630EB">
            <w:pPr>
              <w:pStyle w:val="Tabletextright"/>
            </w:pPr>
            <w:r w:rsidRPr="00687A1C">
              <w:t>1</w:t>
            </w:r>
          </w:p>
        </w:tc>
        <w:tc>
          <w:tcPr>
            <w:tcW w:w="778" w:type="dxa"/>
            <w:shd w:val="clear" w:color="auto" w:fill="E0E0E0"/>
            <w:vAlign w:val="bottom"/>
          </w:tcPr>
          <w:p w:rsidR="003336BC" w:rsidRPr="00687A1C" w:rsidRDefault="003336BC" w:rsidP="004630EB">
            <w:pPr>
              <w:pStyle w:val="Tabletextright"/>
            </w:pPr>
            <w:r w:rsidRPr="00687A1C">
              <w:t>1.00</w:t>
            </w:r>
          </w:p>
        </w:tc>
        <w:tc>
          <w:tcPr>
            <w:tcW w:w="950" w:type="dxa"/>
            <w:shd w:val="clear" w:color="auto" w:fill="auto"/>
            <w:noWrap/>
            <w:vAlign w:val="bottom"/>
          </w:tcPr>
          <w:p w:rsidR="003336BC" w:rsidRPr="00687A1C" w:rsidRDefault="003336BC" w:rsidP="004630EB">
            <w:pPr>
              <w:pStyle w:val="Tabletextright"/>
            </w:pPr>
            <w:r w:rsidRPr="00687A1C">
              <w:t>22</w:t>
            </w:r>
          </w:p>
        </w:tc>
        <w:tc>
          <w:tcPr>
            <w:tcW w:w="778" w:type="dxa"/>
            <w:shd w:val="clear" w:color="auto" w:fill="auto"/>
            <w:vAlign w:val="bottom"/>
          </w:tcPr>
          <w:p w:rsidR="003336BC" w:rsidRPr="00687A1C" w:rsidRDefault="003336BC" w:rsidP="004630EB">
            <w:pPr>
              <w:pStyle w:val="Tabletextright"/>
            </w:pPr>
            <w:r w:rsidRPr="00687A1C">
              <w:t>21.20</w:t>
            </w:r>
          </w:p>
        </w:tc>
        <w:tc>
          <w:tcPr>
            <w:tcW w:w="979" w:type="dxa"/>
            <w:shd w:val="clear" w:color="auto" w:fill="E0E0E0"/>
            <w:noWrap/>
            <w:vAlign w:val="bottom"/>
          </w:tcPr>
          <w:p w:rsidR="003336BC" w:rsidRPr="00687A1C" w:rsidRDefault="003336BC" w:rsidP="004630EB">
            <w:pPr>
              <w:pStyle w:val="Tabletextright"/>
            </w:pPr>
            <w:r w:rsidRPr="00687A1C">
              <w:t>15</w:t>
            </w:r>
          </w:p>
        </w:tc>
        <w:tc>
          <w:tcPr>
            <w:tcW w:w="979" w:type="dxa"/>
            <w:shd w:val="clear" w:color="auto" w:fill="E0E0E0"/>
            <w:vAlign w:val="bottom"/>
          </w:tcPr>
          <w:p w:rsidR="003336BC" w:rsidRPr="00687A1C" w:rsidRDefault="003336BC" w:rsidP="004630EB">
            <w:pPr>
              <w:pStyle w:val="Tabletextright"/>
            </w:pPr>
            <w:r w:rsidRPr="00687A1C">
              <w:t>3</w:t>
            </w:r>
          </w:p>
        </w:tc>
        <w:tc>
          <w:tcPr>
            <w:tcW w:w="778" w:type="dxa"/>
            <w:shd w:val="clear" w:color="auto" w:fill="E0E0E0"/>
            <w:vAlign w:val="bottom"/>
          </w:tcPr>
          <w:p w:rsidR="003336BC" w:rsidRPr="00687A1C" w:rsidRDefault="003336BC" w:rsidP="004630EB">
            <w:pPr>
              <w:pStyle w:val="Tabletextright"/>
            </w:pPr>
            <w:r w:rsidRPr="00687A1C">
              <w:t>17.20</w:t>
            </w:r>
          </w:p>
        </w:tc>
        <w:tc>
          <w:tcPr>
            <w:tcW w:w="950" w:type="dxa"/>
            <w:vAlign w:val="bottom"/>
          </w:tcPr>
          <w:p w:rsidR="003336BC" w:rsidRPr="00687A1C" w:rsidRDefault="003336BC" w:rsidP="004630EB">
            <w:pPr>
              <w:pStyle w:val="Tabletextright"/>
            </w:pPr>
            <w:r w:rsidRPr="00687A1C">
              <w:t>4</w:t>
            </w:r>
          </w:p>
        </w:tc>
        <w:tc>
          <w:tcPr>
            <w:tcW w:w="778" w:type="dxa"/>
            <w:vAlign w:val="bottom"/>
          </w:tcPr>
          <w:p w:rsidR="003336BC" w:rsidRPr="00687A1C" w:rsidRDefault="003336BC" w:rsidP="004630EB">
            <w:pPr>
              <w:pStyle w:val="Tabletextright"/>
            </w:pPr>
            <w:r w:rsidRPr="00687A1C">
              <w:t>4.00</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pPr>
            <w:r w:rsidRPr="00687A1C">
              <w:t>Grade 5</w:t>
            </w:r>
          </w:p>
        </w:tc>
        <w:tc>
          <w:tcPr>
            <w:tcW w:w="950" w:type="dxa"/>
            <w:shd w:val="clear" w:color="auto" w:fill="E0E0E0"/>
            <w:vAlign w:val="bottom"/>
          </w:tcPr>
          <w:p w:rsidR="003336BC" w:rsidRPr="00687A1C" w:rsidRDefault="003336BC" w:rsidP="004630EB">
            <w:pPr>
              <w:pStyle w:val="Tabletextright"/>
            </w:pPr>
            <w:r w:rsidRPr="00687A1C">
              <w:t>28</w:t>
            </w:r>
          </w:p>
        </w:tc>
        <w:tc>
          <w:tcPr>
            <w:tcW w:w="778" w:type="dxa"/>
            <w:shd w:val="clear" w:color="auto" w:fill="E0E0E0"/>
            <w:vAlign w:val="bottom"/>
          </w:tcPr>
          <w:p w:rsidR="003336BC" w:rsidRPr="00687A1C" w:rsidRDefault="003336BC" w:rsidP="004630EB">
            <w:pPr>
              <w:pStyle w:val="Tabletextright"/>
            </w:pPr>
            <w:r w:rsidRPr="00687A1C">
              <w:t>27.56</w:t>
            </w:r>
          </w:p>
        </w:tc>
        <w:tc>
          <w:tcPr>
            <w:tcW w:w="979" w:type="dxa"/>
            <w:shd w:val="clear" w:color="auto" w:fill="auto"/>
            <w:vAlign w:val="bottom"/>
          </w:tcPr>
          <w:p w:rsidR="003336BC" w:rsidRPr="00687A1C" w:rsidRDefault="003336BC" w:rsidP="004630EB">
            <w:pPr>
              <w:pStyle w:val="Tabletextright"/>
            </w:pPr>
            <w:r w:rsidRPr="00687A1C">
              <w:t>22</w:t>
            </w:r>
          </w:p>
        </w:tc>
        <w:tc>
          <w:tcPr>
            <w:tcW w:w="979" w:type="dxa"/>
            <w:shd w:val="clear" w:color="auto" w:fill="auto"/>
            <w:vAlign w:val="bottom"/>
          </w:tcPr>
          <w:p w:rsidR="003336BC" w:rsidRPr="00687A1C" w:rsidRDefault="003336BC" w:rsidP="004630EB">
            <w:pPr>
              <w:pStyle w:val="Tabletextright"/>
            </w:pPr>
            <w:r w:rsidRPr="00687A1C">
              <w:t>3</w:t>
            </w:r>
          </w:p>
        </w:tc>
        <w:tc>
          <w:tcPr>
            <w:tcW w:w="778" w:type="dxa"/>
            <w:shd w:val="clear" w:color="auto" w:fill="auto"/>
            <w:vAlign w:val="bottom"/>
          </w:tcPr>
          <w:p w:rsidR="003336BC" w:rsidRPr="00687A1C" w:rsidRDefault="003336BC" w:rsidP="004630EB">
            <w:pPr>
              <w:pStyle w:val="Tabletextright"/>
            </w:pPr>
            <w:r w:rsidRPr="00687A1C">
              <w:t>24.56</w:t>
            </w:r>
          </w:p>
        </w:tc>
        <w:tc>
          <w:tcPr>
            <w:tcW w:w="950" w:type="dxa"/>
            <w:shd w:val="clear" w:color="auto" w:fill="E0E0E0"/>
            <w:vAlign w:val="bottom"/>
          </w:tcPr>
          <w:p w:rsidR="003336BC" w:rsidRPr="00687A1C" w:rsidRDefault="003336BC" w:rsidP="004630EB">
            <w:pPr>
              <w:pStyle w:val="Tabletextright"/>
            </w:pPr>
            <w:r w:rsidRPr="00687A1C">
              <w:t>3</w:t>
            </w:r>
          </w:p>
        </w:tc>
        <w:tc>
          <w:tcPr>
            <w:tcW w:w="778" w:type="dxa"/>
            <w:shd w:val="clear" w:color="auto" w:fill="E0E0E0"/>
            <w:vAlign w:val="bottom"/>
          </w:tcPr>
          <w:p w:rsidR="003336BC" w:rsidRPr="00687A1C" w:rsidRDefault="003336BC" w:rsidP="004630EB">
            <w:pPr>
              <w:pStyle w:val="Tabletextright"/>
            </w:pPr>
            <w:r w:rsidRPr="00687A1C">
              <w:t>3.00</w:t>
            </w:r>
          </w:p>
        </w:tc>
        <w:tc>
          <w:tcPr>
            <w:tcW w:w="950" w:type="dxa"/>
            <w:shd w:val="clear" w:color="auto" w:fill="auto"/>
            <w:noWrap/>
            <w:vAlign w:val="bottom"/>
          </w:tcPr>
          <w:p w:rsidR="003336BC" w:rsidRPr="00687A1C" w:rsidRDefault="003336BC" w:rsidP="004630EB">
            <w:pPr>
              <w:pStyle w:val="Tabletextright"/>
            </w:pPr>
            <w:r w:rsidRPr="00687A1C">
              <w:t>23</w:t>
            </w:r>
          </w:p>
        </w:tc>
        <w:tc>
          <w:tcPr>
            <w:tcW w:w="778" w:type="dxa"/>
            <w:shd w:val="clear" w:color="auto" w:fill="auto"/>
            <w:vAlign w:val="bottom"/>
          </w:tcPr>
          <w:p w:rsidR="003336BC" w:rsidRPr="00687A1C" w:rsidRDefault="003336BC" w:rsidP="004630EB">
            <w:pPr>
              <w:pStyle w:val="Tabletextright"/>
            </w:pPr>
            <w:r w:rsidRPr="00687A1C">
              <w:t>22.60</w:t>
            </w:r>
          </w:p>
        </w:tc>
        <w:tc>
          <w:tcPr>
            <w:tcW w:w="979" w:type="dxa"/>
            <w:shd w:val="clear" w:color="auto" w:fill="E0E0E0"/>
            <w:noWrap/>
            <w:vAlign w:val="bottom"/>
          </w:tcPr>
          <w:p w:rsidR="003336BC" w:rsidRPr="00687A1C" w:rsidRDefault="003336BC" w:rsidP="004630EB">
            <w:pPr>
              <w:pStyle w:val="Tabletextright"/>
            </w:pPr>
            <w:r w:rsidRPr="00687A1C">
              <w:t>21</w:t>
            </w:r>
          </w:p>
        </w:tc>
        <w:tc>
          <w:tcPr>
            <w:tcW w:w="979" w:type="dxa"/>
            <w:shd w:val="clear" w:color="auto" w:fill="E0E0E0"/>
            <w:vAlign w:val="bottom"/>
          </w:tcPr>
          <w:p w:rsidR="003336BC" w:rsidRPr="00687A1C" w:rsidRDefault="003336BC" w:rsidP="004630EB">
            <w:pPr>
              <w:pStyle w:val="Tabletextright"/>
            </w:pPr>
            <w:r w:rsidRPr="00687A1C">
              <w:t>2</w:t>
            </w:r>
          </w:p>
        </w:tc>
        <w:tc>
          <w:tcPr>
            <w:tcW w:w="778" w:type="dxa"/>
            <w:shd w:val="clear" w:color="auto" w:fill="E0E0E0"/>
            <w:vAlign w:val="bottom"/>
          </w:tcPr>
          <w:p w:rsidR="003336BC" w:rsidRPr="00687A1C" w:rsidRDefault="003336BC" w:rsidP="004630EB">
            <w:pPr>
              <w:pStyle w:val="Tabletextright"/>
            </w:pPr>
            <w:r w:rsidRPr="00687A1C">
              <w:t>22.60</w:t>
            </w:r>
          </w:p>
        </w:tc>
        <w:tc>
          <w:tcPr>
            <w:tcW w:w="950" w:type="dxa"/>
            <w:vAlign w:val="bottom"/>
          </w:tcPr>
          <w:p w:rsidR="003336BC" w:rsidRPr="00687A1C" w:rsidRDefault="003336BC" w:rsidP="004630EB">
            <w:pPr>
              <w:pStyle w:val="Tabletextright"/>
            </w:pPr>
            <w:r w:rsidRPr="00687A1C">
              <w:t>–</w:t>
            </w:r>
          </w:p>
        </w:tc>
        <w:tc>
          <w:tcPr>
            <w:tcW w:w="778" w:type="dxa"/>
            <w:vAlign w:val="bottom"/>
          </w:tcPr>
          <w:p w:rsidR="003336BC" w:rsidRPr="00687A1C" w:rsidRDefault="003336BC" w:rsidP="004630EB">
            <w:pPr>
              <w:pStyle w:val="Tabletextright"/>
            </w:pPr>
            <w:r w:rsidRPr="00687A1C">
              <w:t>–</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pPr>
            <w:r w:rsidRPr="00687A1C">
              <w:t>Grade 6</w:t>
            </w:r>
          </w:p>
        </w:tc>
        <w:tc>
          <w:tcPr>
            <w:tcW w:w="950" w:type="dxa"/>
            <w:shd w:val="clear" w:color="auto" w:fill="E0E0E0"/>
            <w:vAlign w:val="bottom"/>
          </w:tcPr>
          <w:p w:rsidR="003336BC" w:rsidRPr="00687A1C" w:rsidRDefault="003336BC" w:rsidP="004630EB">
            <w:pPr>
              <w:pStyle w:val="Tabletextright"/>
            </w:pPr>
            <w:r w:rsidRPr="00687A1C">
              <w:t>22</w:t>
            </w:r>
          </w:p>
        </w:tc>
        <w:tc>
          <w:tcPr>
            <w:tcW w:w="778" w:type="dxa"/>
            <w:shd w:val="clear" w:color="auto" w:fill="E0E0E0"/>
            <w:vAlign w:val="bottom"/>
          </w:tcPr>
          <w:p w:rsidR="003336BC" w:rsidRPr="00687A1C" w:rsidRDefault="003336BC" w:rsidP="004630EB">
            <w:pPr>
              <w:pStyle w:val="Tabletextright"/>
            </w:pPr>
            <w:r w:rsidRPr="00687A1C">
              <w:t>20.90</w:t>
            </w:r>
          </w:p>
        </w:tc>
        <w:tc>
          <w:tcPr>
            <w:tcW w:w="979" w:type="dxa"/>
            <w:shd w:val="clear" w:color="auto" w:fill="auto"/>
            <w:vAlign w:val="bottom"/>
          </w:tcPr>
          <w:p w:rsidR="003336BC" w:rsidRPr="00687A1C" w:rsidRDefault="003336BC" w:rsidP="004630EB">
            <w:pPr>
              <w:pStyle w:val="Tabletextright"/>
            </w:pPr>
            <w:r w:rsidRPr="00687A1C">
              <w:t>14</w:t>
            </w:r>
          </w:p>
        </w:tc>
        <w:tc>
          <w:tcPr>
            <w:tcW w:w="979" w:type="dxa"/>
            <w:shd w:val="clear" w:color="auto" w:fill="auto"/>
            <w:vAlign w:val="bottom"/>
          </w:tcPr>
          <w:p w:rsidR="003336BC" w:rsidRPr="00687A1C" w:rsidRDefault="003336BC" w:rsidP="004630EB">
            <w:pPr>
              <w:pStyle w:val="Tabletextright"/>
            </w:pPr>
            <w:r w:rsidRPr="00687A1C">
              <w:t>4</w:t>
            </w:r>
          </w:p>
        </w:tc>
        <w:tc>
          <w:tcPr>
            <w:tcW w:w="778" w:type="dxa"/>
            <w:shd w:val="clear" w:color="auto" w:fill="auto"/>
            <w:vAlign w:val="bottom"/>
          </w:tcPr>
          <w:p w:rsidR="003336BC" w:rsidRPr="00687A1C" w:rsidRDefault="003336BC" w:rsidP="004630EB">
            <w:pPr>
              <w:pStyle w:val="Tabletextright"/>
            </w:pPr>
            <w:r w:rsidRPr="00687A1C">
              <w:t>17.10</w:t>
            </w:r>
          </w:p>
        </w:tc>
        <w:tc>
          <w:tcPr>
            <w:tcW w:w="950" w:type="dxa"/>
            <w:shd w:val="clear" w:color="auto" w:fill="E0E0E0"/>
            <w:vAlign w:val="bottom"/>
          </w:tcPr>
          <w:p w:rsidR="003336BC" w:rsidRPr="00687A1C" w:rsidRDefault="003336BC" w:rsidP="004630EB">
            <w:pPr>
              <w:pStyle w:val="Tabletextright"/>
            </w:pPr>
            <w:r w:rsidRPr="00687A1C">
              <w:t>4</w:t>
            </w:r>
          </w:p>
        </w:tc>
        <w:tc>
          <w:tcPr>
            <w:tcW w:w="778" w:type="dxa"/>
            <w:shd w:val="clear" w:color="auto" w:fill="E0E0E0"/>
            <w:vAlign w:val="bottom"/>
          </w:tcPr>
          <w:p w:rsidR="003336BC" w:rsidRPr="00687A1C" w:rsidRDefault="003336BC" w:rsidP="004630EB">
            <w:pPr>
              <w:pStyle w:val="Tabletextright"/>
            </w:pPr>
            <w:r w:rsidRPr="00687A1C">
              <w:t>3.80</w:t>
            </w:r>
          </w:p>
        </w:tc>
        <w:tc>
          <w:tcPr>
            <w:tcW w:w="950" w:type="dxa"/>
            <w:shd w:val="clear" w:color="auto" w:fill="auto"/>
            <w:noWrap/>
            <w:vAlign w:val="bottom"/>
          </w:tcPr>
          <w:p w:rsidR="003336BC" w:rsidRPr="00687A1C" w:rsidRDefault="003336BC" w:rsidP="004630EB">
            <w:pPr>
              <w:pStyle w:val="Tabletextright"/>
            </w:pPr>
            <w:r w:rsidRPr="00687A1C">
              <w:t>21</w:t>
            </w:r>
          </w:p>
        </w:tc>
        <w:tc>
          <w:tcPr>
            <w:tcW w:w="778" w:type="dxa"/>
            <w:shd w:val="clear" w:color="auto" w:fill="auto"/>
            <w:vAlign w:val="bottom"/>
          </w:tcPr>
          <w:p w:rsidR="003336BC" w:rsidRPr="00687A1C" w:rsidRDefault="003336BC" w:rsidP="004630EB">
            <w:pPr>
              <w:pStyle w:val="Tabletextright"/>
            </w:pPr>
            <w:r w:rsidRPr="00687A1C">
              <w:t>19.60</w:t>
            </w:r>
          </w:p>
        </w:tc>
        <w:tc>
          <w:tcPr>
            <w:tcW w:w="979" w:type="dxa"/>
            <w:shd w:val="clear" w:color="auto" w:fill="E0E0E0"/>
            <w:noWrap/>
            <w:vAlign w:val="bottom"/>
          </w:tcPr>
          <w:p w:rsidR="003336BC" w:rsidRPr="00687A1C" w:rsidRDefault="003336BC" w:rsidP="004630EB">
            <w:pPr>
              <w:pStyle w:val="Tabletextright"/>
            </w:pPr>
            <w:r w:rsidRPr="00687A1C">
              <w:t>12</w:t>
            </w:r>
          </w:p>
        </w:tc>
        <w:tc>
          <w:tcPr>
            <w:tcW w:w="979" w:type="dxa"/>
            <w:shd w:val="clear" w:color="auto" w:fill="E0E0E0"/>
            <w:vAlign w:val="bottom"/>
          </w:tcPr>
          <w:p w:rsidR="003336BC" w:rsidRPr="00687A1C" w:rsidRDefault="003336BC" w:rsidP="004630EB">
            <w:pPr>
              <w:pStyle w:val="Tabletextright"/>
            </w:pPr>
            <w:r w:rsidRPr="00687A1C">
              <w:t>5</w:t>
            </w:r>
          </w:p>
        </w:tc>
        <w:tc>
          <w:tcPr>
            <w:tcW w:w="778" w:type="dxa"/>
            <w:shd w:val="clear" w:color="auto" w:fill="E0E0E0"/>
            <w:vAlign w:val="bottom"/>
          </w:tcPr>
          <w:p w:rsidR="003336BC" w:rsidRPr="00687A1C" w:rsidRDefault="003336BC" w:rsidP="004630EB">
            <w:pPr>
              <w:pStyle w:val="Tabletextright"/>
            </w:pPr>
            <w:r w:rsidRPr="00687A1C">
              <w:t>15.60</w:t>
            </w:r>
          </w:p>
        </w:tc>
        <w:tc>
          <w:tcPr>
            <w:tcW w:w="950" w:type="dxa"/>
            <w:vAlign w:val="bottom"/>
          </w:tcPr>
          <w:p w:rsidR="003336BC" w:rsidRPr="00687A1C" w:rsidRDefault="003336BC" w:rsidP="004630EB">
            <w:pPr>
              <w:pStyle w:val="Tabletextright"/>
            </w:pPr>
            <w:r w:rsidRPr="00687A1C">
              <w:t>4</w:t>
            </w:r>
          </w:p>
        </w:tc>
        <w:tc>
          <w:tcPr>
            <w:tcW w:w="778" w:type="dxa"/>
            <w:vAlign w:val="bottom"/>
          </w:tcPr>
          <w:p w:rsidR="003336BC" w:rsidRPr="00687A1C" w:rsidRDefault="003336BC" w:rsidP="004630EB">
            <w:pPr>
              <w:pStyle w:val="Tabletextright"/>
            </w:pPr>
            <w:r w:rsidRPr="00687A1C">
              <w:t>4.00</w:t>
            </w:r>
          </w:p>
        </w:tc>
      </w:tr>
      <w:tr w:rsidR="003336BC" w:rsidRPr="00687A1C" w:rsidTr="004630EB">
        <w:trPr>
          <w:cantSplit/>
        </w:trPr>
        <w:tc>
          <w:tcPr>
            <w:tcW w:w="1483" w:type="dxa"/>
            <w:shd w:val="clear" w:color="auto" w:fill="auto"/>
          </w:tcPr>
          <w:p w:rsidR="003336BC" w:rsidRPr="00687A1C" w:rsidRDefault="003336BC" w:rsidP="004630EB">
            <w:pPr>
              <w:pStyle w:val="Tabletext"/>
              <w:rPr>
                <w:sz w:val="6"/>
              </w:rPr>
            </w:pPr>
          </w:p>
        </w:tc>
        <w:tc>
          <w:tcPr>
            <w:tcW w:w="950" w:type="dxa"/>
            <w:shd w:val="clear" w:color="auto" w:fill="E0E0E0"/>
          </w:tcPr>
          <w:p w:rsidR="003336BC" w:rsidRPr="00687A1C" w:rsidRDefault="003336BC" w:rsidP="004630EB">
            <w:pPr>
              <w:pStyle w:val="Tabletextright"/>
              <w:rPr>
                <w:rFonts w:cstheme="minorHAnsi"/>
                <w:sz w:val="6"/>
              </w:rPr>
            </w:pPr>
          </w:p>
        </w:tc>
        <w:tc>
          <w:tcPr>
            <w:tcW w:w="778" w:type="dxa"/>
            <w:shd w:val="clear" w:color="auto" w:fill="E0E0E0"/>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sz w:val="6"/>
              </w:rPr>
            </w:pPr>
          </w:p>
        </w:tc>
        <w:tc>
          <w:tcPr>
            <w:tcW w:w="778" w:type="dxa"/>
            <w:shd w:val="clear" w:color="auto" w:fill="auto"/>
          </w:tcPr>
          <w:p w:rsidR="003336BC" w:rsidRPr="00687A1C" w:rsidRDefault="003336BC" w:rsidP="004630EB">
            <w:pPr>
              <w:pStyle w:val="Tabletextright"/>
              <w:rPr>
                <w:sz w:val="6"/>
              </w:rPr>
            </w:pPr>
          </w:p>
        </w:tc>
        <w:tc>
          <w:tcPr>
            <w:tcW w:w="950"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shd w:val="clear" w:color="auto" w:fill="auto"/>
            <w:noWrap/>
          </w:tcPr>
          <w:p w:rsidR="003336BC" w:rsidRPr="00687A1C" w:rsidRDefault="003336BC" w:rsidP="004630EB">
            <w:pPr>
              <w:pStyle w:val="Tabletextright"/>
              <w:rPr>
                <w:rFonts w:cstheme="minorHAnsi"/>
                <w:sz w:val="6"/>
              </w:rPr>
            </w:pPr>
          </w:p>
        </w:tc>
        <w:tc>
          <w:tcPr>
            <w:tcW w:w="778" w:type="dxa"/>
            <w:shd w:val="clear" w:color="auto" w:fill="auto"/>
          </w:tcPr>
          <w:p w:rsidR="003336BC" w:rsidRPr="00687A1C" w:rsidRDefault="003336BC" w:rsidP="004630EB">
            <w:pPr>
              <w:pStyle w:val="Tabletextright"/>
              <w:rPr>
                <w:rFonts w:cstheme="minorHAnsi"/>
                <w:sz w:val="6"/>
              </w:rPr>
            </w:pPr>
          </w:p>
        </w:tc>
        <w:tc>
          <w:tcPr>
            <w:tcW w:w="979" w:type="dxa"/>
            <w:shd w:val="clear" w:color="auto" w:fill="E0E0E0"/>
            <w:noWrap/>
          </w:tcPr>
          <w:p w:rsidR="003336BC" w:rsidRPr="00687A1C" w:rsidRDefault="003336BC" w:rsidP="004630EB">
            <w:pPr>
              <w:pStyle w:val="Tabletextright"/>
              <w:rPr>
                <w:rFonts w:cstheme="minorHAnsi"/>
                <w:sz w:val="6"/>
              </w:rPr>
            </w:pPr>
          </w:p>
        </w:tc>
        <w:tc>
          <w:tcPr>
            <w:tcW w:w="979"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tcPr>
          <w:p w:rsidR="003336BC" w:rsidRPr="00687A1C" w:rsidRDefault="003336BC" w:rsidP="004630EB">
            <w:pPr>
              <w:pStyle w:val="Tabletextright"/>
              <w:rPr>
                <w:sz w:val="6"/>
              </w:rPr>
            </w:pPr>
          </w:p>
        </w:tc>
        <w:tc>
          <w:tcPr>
            <w:tcW w:w="778" w:type="dxa"/>
          </w:tcPr>
          <w:p w:rsidR="003336BC" w:rsidRPr="00687A1C" w:rsidRDefault="003336BC" w:rsidP="004630EB">
            <w:pPr>
              <w:pStyle w:val="Tabletextright"/>
              <w:rPr>
                <w:sz w:val="6"/>
              </w:rPr>
            </w:pP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rPr>
                <w:b/>
              </w:rPr>
            </w:pPr>
            <w:r w:rsidRPr="00687A1C">
              <w:rPr>
                <w:b/>
              </w:rPr>
              <w:t>Senior employees</w:t>
            </w:r>
          </w:p>
        </w:tc>
        <w:tc>
          <w:tcPr>
            <w:tcW w:w="950" w:type="dxa"/>
            <w:shd w:val="clear" w:color="auto" w:fill="E0E0E0"/>
            <w:vAlign w:val="bottom"/>
          </w:tcPr>
          <w:p w:rsidR="003336BC" w:rsidRPr="00687A1C" w:rsidRDefault="003336BC" w:rsidP="004630EB">
            <w:pPr>
              <w:pStyle w:val="Tabletextrightbold"/>
            </w:pPr>
            <w:r w:rsidRPr="00687A1C">
              <w:t>16</w:t>
            </w:r>
          </w:p>
        </w:tc>
        <w:tc>
          <w:tcPr>
            <w:tcW w:w="778" w:type="dxa"/>
            <w:shd w:val="clear" w:color="auto" w:fill="E0E0E0"/>
            <w:vAlign w:val="bottom"/>
          </w:tcPr>
          <w:p w:rsidR="003336BC" w:rsidRPr="00687A1C" w:rsidRDefault="003336BC" w:rsidP="004630EB">
            <w:pPr>
              <w:pStyle w:val="Tabletextrightbold"/>
            </w:pPr>
            <w:r w:rsidRPr="00687A1C">
              <w:t>16.00</w:t>
            </w:r>
          </w:p>
        </w:tc>
        <w:tc>
          <w:tcPr>
            <w:tcW w:w="979" w:type="dxa"/>
            <w:shd w:val="clear" w:color="auto" w:fill="auto"/>
            <w:vAlign w:val="bottom"/>
          </w:tcPr>
          <w:p w:rsidR="003336BC" w:rsidRPr="00687A1C" w:rsidRDefault="003336BC" w:rsidP="004630EB">
            <w:pPr>
              <w:pStyle w:val="Tabletextrightbold"/>
            </w:pPr>
            <w:r w:rsidRPr="00687A1C">
              <w:t>15</w:t>
            </w:r>
          </w:p>
        </w:tc>
        <w:tc>
          <w:tcPr>
            <w:tcW w:w="979" w:type="dxa"/>
            <w:shd w:val="clear" w:color="auto" w:fill="auto"/>
            <w:vAlign w:val="bottom"/>
          </w:tcPr>
          <w:p w:rsidR="003336BC" w:rsidRPr="00687A1C" w:rsidRDefault="003336BC" w:rsidP="004630EB">
            <w:pPr>
              <w:pStyle w:val="Tabletextrightbold"/>
            </w:pPr>
            <w:r w:rsidRPr="00687A1C">
              <w:t>–</w:t>
            </w:r>
          </w:p>
        </w:tc>
        <w:tc>
          <w:tcPr>
            <w:tcW w:w="778" w:type="dxa"/>
            <w:shd w:val="clear" w:color="auto" w:fill="auto"/>
            <w:vAlign w:val="bottom"/>
          </w:tcPr>
          <w:p w:rsidR="003336BC" w:rsidRPr="00687A1C" w:rsidRDefault="003336BC" w:rsidP="004630EB">
            <w:pPr>
              <w:pStyle w:val="Tabletextrightbold"/>
            </w:pPr>
            <w:r w:rsidRPr="00687A1C">
              <w:t>15.00</w:t>
            </w:r>
          </w:p>
        </w:tc>
        <w:tc>
          <w:tcPr>
            <w:tcW w:w="950" w:type="dxa"/>
            <w:shd w:val="clear" w:color="auto" w:fill="E0E0E0"/>
            <w:vAlign w:val="bottom"/>
          </w:tcPr>
          <w:p w:rsidR="003336BC" w:rsidRPr="00687A1C" w:rsidRDefault="003336BC" w:rsidP="004630EB">
            <w:pPr>
              <w:pStyle w:val="Tabletextrightbold"/>
            </w:pPr>
            <w:r w:rsidRPr="00687A1C">
              <w:t>1</w:t>
            </w:r>
          </w:p>
        </w:tc>
        <w:tc>
          <w:tcPr>
            <w:tcW w:w="778" w:type="dxa"/>
            <w:shd w:val="clear" w:color="auto" w:fill="E0E0E0"/>
            <w:vAlign w:val="bottom"/>
          </w:tcPr>
          <w:p w:rsidR="003336BC" w:rsidRPr="00687A1C" w:rsidRDefault="003336BC" w:rsidP="004630EB">
            <w:pPr>
              <w:pStyle w:val="Tabletextrightbold"/>
            </w:pPr>
            <w:r w:rsidRPr="00687A1C">
              <w:t>1.00</w:t>
            </w:r>
          </w:p>
        </w:tc>
        <w:tc>
          <w:tcPr>
            <w:tcW w:w="950" w:type="dxa"/>
            <w:shd w:val="clear" w:color="auto" w:fill="auto"/>
            <w:noWrap/>
            <w:vAlign w:val="bottom"/>
          </w:tcPr>
          <w:p w:rsidR="003336BC" w:rsidRPr="00687A1C" w:rsidRDefault="003336BC" w:rsidP="004630EB">
            <w:pPr>
              <w:pStyle w:val="Tabletextrightbold"/>
              <w:rPr>
                <w:color w:val="000000"/>
              </w:rPr>
            </w:pPr>
            <w:r w:rsidRPr="00687A1C">
              <w:rPr>
                <w:color w:val="000000"/>
              </w:rPr>
              <w:t>15</w:t>
            </w:r>
          </w:p>
        </w:tc>
        <w:tc>
          <w:tcPr>
            <w:tcW w:w="778" w:type="dxa"/>
            <w:shd w:val="clear" w:color="auto" w:fill="auto"/>
            <w:vAlign w:val="bottom"/>
          </w:tcPr>
          <w:p w:rsidR="003336BC" w:rsidRPr="00687A1C" w:rsidRDefault="003336BC" w:rsidP="004630EB">
            <w:pPr>
              <w:pStyle w:val="Tabletextrightbold"/>
              <w:rPr>
                <w:color w:val="000000"/>
              </w:rPr>
            </w:pPr>
            <w:r w:rsidRPr="00687A1C">
              <w:rPr>
                <w:color w:val="000000"/>
              </w:rPr>
              <w:t>15.00</w:t>
            </w:r>
          </w:p>
        </w:tc>
        <w:tc>
          <w:tcPr>
            <w:tcW w:w="979" w:type="dxa"/>
            <w:shd w:val="clear" w:color="auto" w:fill="E0E0E0"/>
            <w:noWrap/>
            <w:vAlign w:val="bottom"/>
          </w:tcPr>
          <w:p w:rsidR="003336BC" w:rsidRPr="00687A1C" w:rsidRDefault="003336BC" w:rsidP="004630EB">
            <w:pPr>
              <w:pStyle w:val="Tabletextrightbold"/>
              <w:rPr>
                <w:color w:val="000000"/>
              </w:rPr>
            </w:pPr>
            <w:r w:rsidRPr="00687A1C">
              <w:rPr>
                <w:color w:val="000000"/>
              </w:rPr>
              <w:t>14</w:t>
            </w:r>
          </w:p>
        </w:tc>
        <w:tc>
          <w:tcPr>
            <w:tcW w:w="979" w:type="dxa"/>
            <w:shd w:val="clear" w:color="auto" w:fill="E0E0E0"/>
            <w:vAlign w:val="bottom"/>
          </w:tcPr>
          <w:p w:rsidR="003336BC" w:rsidRPr="00687A1C" w:rsidRDefault="003336BC" w:rsidP="004630EB">
            <w:pPr>
              <w:pStyle w:val="Tabletextrightbold"/>
              <w:rPr>
                <w:color w:val="000000"/>
              </w:rPr>
            </w:pPr>
            <w:r w:rsidRPr="00687A1C">
              <w:t>–</w:t>
            </w:r>
          </w:p>
        </w:tc>
        <w:tc>
          <w:tcPr>
            <w:tcW w:w="778" w:type="dxa"/>
            <w:shd w:val="clear" w:color="auto" w:fill="E0E0E0"/>
            <w:vAlign w:val="bottom"/>
          </w:tcPr>
          <w:p w:rsidR="003336BC" w:rsidRPr="00687A1C" w:rsidRDefault="003336BC" w:rsidP="004630EB">
            <w:pPr>
              <w:pStyle w:val="Tabletextrightbold"/>
              <w:rPr>
                <w:color w:val="000000"/>
              </w:rPr>
            </w:pPr>
            <w:r w:rsidRPr="00687A1C">
              <w:rPr>
                <w:color w:val="000000"/>
              </w:rPr>
              <w:t>14.00</w:t>
            </w:r>
          </w:p>
        </w:tc>
        <w:tc>
          <w:tcPr>
            <w:tcW w:w="950" w:type="dxa"/>
            <w:vAlign w:val="bottom"/>
          </w:tcPr>
          <w:p w:rsidR="003336BC" w:rsidRPr="00687A1C" w:rsidRDefault="003336BC" w:rsidP="004630EB">
            <w:pPr>
              <w:pStyle w:val="Tabletextrightbold"/>
              <w:rPr>
                <w:color w:val="000000"/>
              </w:rPr>
            </w:pPr>
            <w:r w:rsidRPr="00687A1C">
              <w:rPr>
                <w:color w:val="000000"/>
              </w:rPr>
              <w:t>1</w:t>
            </w:r>
          </w:p>
        </w:tc>
        <w:tc>
          <w:tcPr>
            <w:tcW w:w="778" w:type="dxa"/>
            <w:vAlign w:val="bottom"/>
          </w:tcPr>
          <w:p w:rsidR="003336BC" w:rsidRPr="00687A1C" w:rsidRDefault="003336BC" w:rsidP="004630EB">
            <w:pPr>
              <w:pStyle w:val="Tabletextrightbold"/>
              <w:rPr>
                <w:color w:val="000000"/>
              </w:rPr>
            </w:pPr>
            <w:r w:rsidRPr="00687A1C">
              <w:rPr>
                <w:color w:val="000000"/>
              </w:rPr>
              <w:t>1.00</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rPr>
                <w:color w:val="000000"/>
              </w:rPr>
            </w:pPr>
            <w:r w:rsidRPr="00687A1C">
              <w:rPr>
                <w:color w:val="000000"/>
              </w:rPr>
              <w:t>STS</w:t>
            </w:r>
          </w:p>
        </w:tc>
        <w:tc>
          <w:tcPr>
            <w:tcW w:w="950" w:type="dxa"/>
            <w:shd w:val="clear" w:color="auto" w:fill="E0E0E0"/>
            <w:vAlign w:val="bottom"/>
          </w:tcPr>
          <w:p w:rsidR="003336BC" w:rsidRPr="00687A1C" w:rsidRDefault="003336BC" w:rsidP="004630EB">
            <w:pPr>
              <w:pStyle w:val="Tabletextright"/>
            </w:pPr>
            <w:r w:rsidRPr="00687A1C">
              <w:t>3</w:t>
            </w:r>
          </w:p>
        </w:tc>
        <w:tc>
          <w:tcPr>
            <w:tcW w:w="778" w:type="dxa"/>
            <w:shd w:val="clear" w:color="auto" w:fill="E0E0E0"/>
            <w:vAlign w:val="bottom"/>
          </w:tcPr>
          <w:p w:rsidR="003336BC" w:rsidRPr="00687A1C" w:rsidRDefault="003336BC" w:rsidP="004630EB">
            <w:pPr>
              <w:pStyle w:val="Tabletextright"/>
            </w:pPr>
            <w:r w:rsidRPr="00687A1C">
              <w:t>3.00</w:t>
            </w:r>
          </w:p>
        </w:tc>
        <w:tc>
          <w:tcPr>
            <w:tcW w:w="979" w:type="dxa"/>
            <w:shd w:val="clear" w:color="auto" w:fill="auto"/>
            <w:vAlign w:val="bottom"/>
          </w:tcPr>
          <w:p w:rsidR="003336BC" w:rsidRPr="00687A1C" w:rsidRDefault="003336BC" w:rsidP="004630EB">
            <w:pPr>
              <w:pStyle w:val="Tabletextright"/>
            </w:pPr>
            <w:r w:rsidRPr="00687A1C">
              <w:t>3</w:t>
            </w:r>
          </w:p>
        </w:tc>
        <w:tc>
          <w:tcPr>
            <w:tcW w:w="979" w:type="dxa"/>
            <w:shd w:val="clear" w:color="auto" w:fill="auto"/>
            <w:vAlign w:val="bottom"/>
          </w:tcPr>
          <w:p w:rsidR="003336BC" w:rsidRPr="00687A1C" w:rsidRDefault="003336BC" w:rsidP="004630EB">
            <w:pPr>
              <w:pStyle w:val="Tabletextright"/>
            </w:pPr>
            <w:r w:rsidRPr="00687A1C">
              <w:t>–</w:t>
            </w:r>
          </w:p>
        </w:tc>
        <w:tc>
          <w:tcPr>
            <w:tcW w:w="778" w:type="dxa"/>
            <w:shd w:val="clear" w:color="auto" w:fill="auto"/>
            <w:vAlign w:val="bottom"/>
          </w:tcPr>
          <w:p w:rsidR="003336BC" w:rsidRPr="00687A1C" w:rsidRDefault="003336BC" w:rsidP="004630EB">
            <w:pPr>
              <w:pStyle w:val="Tabletextright"/>
            </w:pPr>
            <w:r w:rsidRPr="00687A1C">
              <w:t>3.00</w:t>
            </w:r>
          </w:p>
        </w:tc>
        <w:tc>
          <w:tcPr>
            <w:tcW w:w="950"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0.00</w:t>
            </w:r>
          </w:p>
        </w:tc>
        <w:tc>
          <w:tcPr>
            <w:tcW w:w="950" w:type="dxa"/>
            <w:shd w:val="clear" w:color="auto" w:fill="auto"/>
            <w:noWrap/>
            <w:vAlign w:val="bottom"/>
          </w:tcPr>
          <w:p w:rsidR="003336BC" w:rsidRPr="00687A1C" w:rsidRDefault="003336BC" w:rsidP="004630EB">
            <w:pPr>
              <w:pStyle w:val="Tabletextright"/>
            </w:pPr>
            <w:r w:rsidRPr="00687A1C">
              <w:t>2</w:t>
            </w:r>
          </w:p>
        </w:tc>
        <w:tc>
          <w:tcPr>
            <w:tcW w:w="778" w:type="dxa"/>
            <w:shd w:val="clear" w:color="auto" w:fill="auto"/>
            <w:vAlign w:val="bottom"/>
          </w:tcPr>
          <w:p w:rsidR="003336BC" w:rsidRPr="00687A1C" w:rsidRDefault="003336BC" w:rsidP="004630EB">
            <w:pPr>
              <w:pStyle w:val="Tabletextright"/>
            </w:pPr>
            <w:r w:rsidRPr="00687A1C">
              <w:t>2.00</w:t>
            </w:r>
          </w:p>
        </w:tc>
        <w:tc>
          <w:tcPr>
            <w:tcW w:w="979" w:type="dxa"/>
            <w:shd w:val="clear" w:color="auto" w:fill="E0E0E0"/>
            <w:noWrap/>
            <w:vAlign w:val="bottom"/>
          </w:tcPr>
          <w:p w:rsidR="003336BC" w:rsidRPr="00687A1C" w:rsidRDefault="003336BC" w:rsidP="004630EB">
            <w:pPr>
              <w:pStyle w:val="Tabletextright"/>
            </w:pPr>
            <w:r w:rsidRPr="00687A1C">
              <w:t>2</w:t>
            </w:r>
          </w:p>
        </w:tc>
        <w:tc>
          <w:tcPr>
            <w:tcW w:w="979"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2.00</w:t>
            </w:r>
          </w:p>
        </w:tc>
        <w:tc>
          <w:tcPr>
            <w:tcW w:w="950" w:type="dxa"/>
            <w:vAlign w:val="bottom"/>
          </w:tcPr>
          <w:p w:rsidR="003336BC" w:rsidRPr="00687A1C" w:rsidRDefault="003336BC" w:rsidP="004630EB">
            <w:pPr>
              <w:pStyle w:val="Tabletextright"/>
            </w:pPr>
            <w:r w:rsidRPr="00687A1C">
              <w:t>–</w:t>
            </w:r>
          </w:p>
        </w:tc>
        <w:tc>
          <w:tcPr>
            <w:tcW w:w="778" w:type="dxa"/>
            <w:vAlign w:val="bottom"/>
          </w:tcPr>
          <w:p w:rsidR="003336BC" w:rsidRPr="00687A1C" w:rsidRDefault="003336BC" w:rsidP="004630EB">
            <w:pPr>
              <w:pStyle w:val="Tabletextright"/>
            </w:pPr>
            <w:r w:rsidRPr="00687A1C">
              <w:t>–</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rPr>
                <w:color w:val="000000"/>
              </w:rPr>
            </w:pPr>
            <w:r w:rsidRPr="00687A1C">
              <w:rPr>
                <w:color w:val="000000"/>
              </w:rPr>
              <w:t>SRA</w:t>
            </w:r>
          </w:p>
        </w:tc>
        <w:tc>
          <w:tcPr>
            <w:tcW w:w="950" w:type="dxa"/>
            <w:shd w:val="clear" w:color="auto" w:fill="E0E0E0"/>
            <w:vAlign w:val="bottom"/>
          </w:tcPr>
          <w:p w:rsidR="003336BC" w:rsidRPr="00687A1C" w:rsidRDefault="003336BC" w:rsidP="004630EB">
            <w:pPr>
              <w:pStyle w:val="Tabletextright"/>
            </w:pPr>
            <w:r w:rsidRPr="00687A1C">
              <w:t>5</w:t>
            </w:r>
          </w:p>
        </w:tc>
        <w:tc>
          <w:tcPr>
            <w:tcW w:w="778" w:type="dxa"/>
            <w:shd w:val="clear" w:color="auto" w:fill="E0E0E0"/>
            <w:vAlign w:val="bottom"/>
          </w:tcPr>
          <w:p w:rsidR="003336BC" w:rsidRPr="00687A1C" w:rsidRDefault="003336BC" w:rsidP="004630EB">
            <w:pPr>
              <w:pStyle w:val="Tabletextright"/>
            </w:pPr>
            <w:r w:rsidRPr="00687A1C">
              <w:t>5.00</w:t>
            </w:r>
          </w:p>
        </w:tc>
        <w:tc>
          <w:tcPr>
            <w:tcW w:w="979" w:type="dxa"/>
            <w:shd w:val="clear" w:color="auto" w:fill="auto"/>
            <w:vAlign w:val="bottom"/>
          </w:tcPr>
          <w:p w:rsidR="003336BC" w:rsidRPr="00687A1C" w:rsidRDefault="003336BC" w:rsidP="004630EB">
            <w:pPr>
              <w:pStyle w:val="Tabletextright"/>
            </w:pPr>
            <w:r w:rsidRPr="00687A1C">
              <w:t>4</w:t>
            </w:r>
          </w:p>
        </w:tc>
        <w:tc>
          <w:tcPr>
            <w:tcW w:w="979" w:type="dxa"/>
            <w:shd w:val="clear" w:color="auto" w:fill="auto"/>
            <w:vAlign w:val="bottom"/>
          </w:tcPr>
          <w:p w:rsidR="003336BC" w:rsidRPr="00687A1C" w:rsidRDefault="003336BC" w:rsidP="004630EB">
            <w:pPr>
              <w:pStyle w:val="Tabletextright"/>
            </w:pPr>
            <w:r w:rsidRPr="00687A1C">
              <w:t>–</w:t>
            </w:r>
          </w:p>
        </w:tc>
        <w:tc>
          <w:tcPr>
            <w:tcW w:w="778" w:type="dxa"/>
            <w:shd w:val="clear" w:color="auto" w:fill="auto"/>
            <w:vAlign w:val="bottom"/>
          </w:tcPr>
          <w:p w:rsidR="003336BC" w:rsidRPr="00687A1C" w:rsidRDefault="003336BC" w:rsidP="004630EB">
            <w:pPr>
              <w:pStyle w:val="Tabletextright"/>
            </w:pPr>
            <w:r w:rsidRPr="00687A1C">
              <w:t>4.00</w:t>
            </w:r>
          </w:p>
        </w:tc>
        <w:tc>
          <w:tcPr>
            <w:tcW w:w="950" w:type="dxa"/>
            <w:shd w:val="clear" w:color="auto" w:fill="E0E0E0"/>
            <w:vAlign w:val="bottom"/>
          </w:tcPr>
          <w:p w:rsidR="003336BC" w:rsidRPr="00687A1C" w:rsidRDefault="003336BC" w:rsidP="004630EB">
            <w:pPr>
              <w:pStyle w:val="Tabletextright"/>
            </w:pPr>
            <w:r w:rsidRPr="00687A1C">
              <w:t>1</w:t>
            </w:r>
          </w:p>
        </w:tc>
        <w:tc>
          <w:tcPr>
            <w:tcW w:w="778" w:type="dxa"/>
            <w:shd w:val="clear" w:color="auto" w:fill="E0E0E0"/>
            <w:vAlign w:val="bottom"/>
          </w:tcPr>
          <w:p w:rsidR="003336BC" w:rsidRPr="00687A1C" w:rsidRDefault="003336BC" w:rsidP="004630EB">
            <w:pPr>
              <w:pStyle w:val="Tabletextright"/>
            </w:pPr>
            <w:r w:rsidRPr="00687A1C">
              <w:t>1.00</w:t>
            </w:r>
          </w:p>
        </w:tc>
        <w:tc>
          <w:tcPr>
            <w:tcW w:w="950" w:type="dxa"/>
            <w:shd w:val="clear" w:color="auto" w:fill="auto"/>
            <w:noWrap/>
            <w:vAlign w:val="bottom"/>
          </w:tcPr>
          <w:p w:rsidR="003336BC" w:rsidRPr="00687A1C" w:rsidRDefault="003336BC" w:rsidP="004630EB">
            <w:pPr>
              <w:pStyle w:val="Tabletextright"/>
            </w:pPr>
            <w:r w:rsidRPr="00687A1C">
              <w:t>5</w:t>
            </w:r>
          </w:p>
        </w:tc>
        <w:tc>
          <w:tcPr>
            <w:tcW w:w="778" w:type="dxa"/>
            <w:shd w:val="clear" w:color="auto" w:fill="auto"/>
            <w:vAlign w:val="bottom"/>
          </w:tcPr>
          <w:p w:rsidR="003336BC" w:rsidRPr="00687A1C" w:rsidRDefault="003336BC" w:rsidP="004630EB">
            <w:pPr>
              <w:pStyle w:val="Tabletextright"/>
            </w:pPr>
            <w:r w:rsidRPr="00687A1C">
              <w:t>5.00</w:t>
            </w:r>
          </w:p>
        </w:tc>
        <w:tc>
          <w:tcPr>
            <w:tcW w:w="979" w:type="dxa"/>
            <w:shd w:val="clear" w:color="auto" w:fill="E0E0E0"/>
            <w:noWrap/>
            <w:vAlign w:val="bottom"/>
          </w:tcPr>
          <w:p w:rsidR="003336BC" w:rsidRPr="00687A1C" w:rsidRDefault="003336BC" w:rsidP="004630EB">
            <w:pPr>
              <w:pStyle w:val="Tabletextright"/>
            </w:pPr>
            <w:r w:rsidRPr="00687A1C">
              <w:t>4</w:t>
            </w:r>
          </w:p>
        </w:tc>
        <w:tc>
          <w:tcPr>
            <w:tcW w:w="979"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4.00</w:t>
            </w:r>
          </w:p>
        </w:tc>
        <w:tc>
          <w:tcPr>
            <w:tcW w:w="950" w:type="dxa"/>
            <w:vAlign w:val="bottom"/>
          </w:tcPr>
          <w:p w:rsidR="003336BC" w:rsidRPr="00687A1C" w:rsidRDefault="003336BC" w:rsidP="004630EB">
            <w:pPr>
              <w:pStyle w:val="Tabletextright"/>
            </w:pPr>
            <w:r w:rsidRPr="00687A1C">
              <w:t>1</w:t>
            </w:r>
          </w:p>
        </w:tc>
        <w:tc>
          <w:tcPr>
            <w:tcW w:w="778" w:type="dxa"/>
            <w:vAlign w:val="bottom"/>
          </w:tcPr>
          <w:p w:rsidR="003336BC" w:rsidRPr="00687A1C" w:rsidRDefault="003336BC" w:rsidP="004630EB">
            <w:pPr>
              <w:pStyle w:val="Tabletextright"/>
            </w:pPr>
            <w:r w:rsidRPr="00687A1C">
              <w:t>1.00</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rPr>
                <w:color w:val="000000"/>
              </w:rPr>
            </w:pPr>
            <w:r w:rsidRPr="00687A1C">
              <w:rPr>
                <w:color w:val="000000"/>
              </w:rPr>
              <w:t>Executives</w:t>
            </w:r>
          </w:p>
        </w:tc>
        <w:tc>
          <w:tcPr>
            <w:tcW w:w="950" w:type="dxa"/>
            <w:shd w:val="clear" w:color="auto" w:fill="E0E0E0"/>
            <w:vAlign w:val="bottom"/>
          </w:tcPr>
          <w:p w:rsidR="003336BC" w:rsidRPr="00687A1C" w:rsidRDefault="003336BC" w:rsidP="004630EB">
            <w:pPr>
              <w:pStyle w:val="Tabletextright"/>
            </w:pPr>
            <w:r w:rsidRPr="00687A1C">
              <w:t>8</w:t>
            </w:r>
          </w:p>
        </w:tc>
        <w:tc>
          <w:tcPr>
            <w:tcW w:w="778" w:type="dxa"/>
            <w:shd w:val="clear" w:color="auto" w:fill="E0E0E0"/>
            <w:vAlign w:val="bottom"/>
          </w:tcPr>
          <w:p w:rsidR="003336BC" w:rsidRPr="00687A1C" w:rsidRDefault="003336BC" w:rsidP="004630EB">
            <w:pPr>
              <w:pStyle w:val="Tabletextright"/>
            </w:pPr>
            <w:r w:rsidRPr="00687A1C">
              <w:t>8.00</w:t>
            </w:r>
          </w:p>
        </w:tc>
        <w:tc>
          <w:tcPr>
            <w:tcW w:w="979" w:type="dxa"/>
            <w:shd w:val="clear" w:color="auto" w:fill="auto"/>
            <w:vAlign w:val="bottom"/>
          </w:tcPr>
          <w:p w:rsidR="003336BC" w:rsidRPr="00687A1C" w:rsidRDefault="003336BC" w:rsidP="004630EB">
            <w:pPr>
              <w:pStyle w:val="Tabletextright"/>
            </w:pPr>
            <w:r w:rsidRPr="00687A1C">
              <w:t>8</w:t>
            </w:r>
          </w:p>
        </w:tc>
        <w:tc>
          <w:tcPr>
            <w:tcW w:w="979" w:type="dxa"/>
            <w:shd w:val="clear" w:color="auto" w:fill="auto"/>
            <w:vAlign w:val="bottom"/>
          </w:tcPr>
          <w:p w:rsidR="003336BC" w:rsidRPr="00687A1C" w:rsidRDefault="003336BC" w:rsidP="004630EB">
            <w:pPr>
              <w:pStyle w:val="Tabletextright"/>
            </w:pPr>
            <w:r w:rsidRPr="00687A1C">
              <w:t>–</w:t>
            </w:r>
          </w:p>
        </w:tc>
        <w:tc>
          <w:tcPr>
            <w:tcW w:w="778" w:type="dxa"/>
            <w:shd w:val="clear" w:color="auto" w:fill="auto"/>
            <w:vAlign w:val="bottom"/>
          </w:tcPr>
          <w:p w:rsidR="003336BC" w:rsidRPr="00687A1C" w:rsidRDefault="003336BC" w:rsidP="004630EB">
            <w:pPr>
              <w:pStyle w:val="Tabletextright"/>
            </w:pPr>
            <w:r w:rsidRPr="00687A1C">
              <w:t>8.00</w:t>
            </w:r>
          </w:p>
        </w:tc>
        <w:tc>
          <w:tcPr>
            <w:tcW w:w="950"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w:t>
            </w:r>
          </w:p>
        </w:tc>
        <w:tc>
          <w:tcPr>
            <w:tcW w:w="950" w:type="dxa"/>
            <w:shd w:val="clear" w:color="auto" w:fill="auto"/>
            <w:noWrap/>
            <w:vAlign w:val="bottom"/>
          </w:tcPr>
          <w:p w:rsidR="003336BC" w:rsidRPr="00687A1C" w:rsidRDefault="003336BC" w:rsidP="004630EB">
            <w:pPr>
              <w:pStyle w:val="Tabletextright"/>
            </w:pPr>
            <w:r w:rsidRPr="00687A1C">
              <w:t>8</w:t>
            </w:r>
          </w:p>
        </w:tc>
        <w:tc>
          <w:tcPr>
            <w:tcW w:w="778" w:type="dxa"/>
            <w:shd w:val="clear" w:color="auto" w:fill="auto"/>
            <w:vAlign w:val="bottom"/>
          </w:tcPr>
          <w:p w:rsidR="003336BC" w:rsidRPr="00687A1C" w:rsidRDefault="003336BC" w:rsidP="004630EB">
            <w:pPr>
              <w:pStyle w:val="Tabletextright"/>
            </w:pPr>
            <w:r w:rsidRPr="00687A1C">
              <w:t>8.00</w:t>
            </w:r>
          </w:p>
        </w:tc>
        <w:tc>
          <w:tcPr>
            <w:tcW w:w="979" w:type="dxa"/>
            <w:shd w:val="clear" w:color="auto" w:fill="E0E0E0"/>
            <w:noWrap/>
            <w:vAlign w:val="bottom"/>
          </w:tcPr>
          <w:p w:rsidR="003336BC" w:rsidRPr="00687A1C" w:rsidRDefault="003336BC" w:rsidP="004630EB">
            <w:pPr>
              <w:pStyle w:val="Tabletextright"/>
            </w:pPr>
            <w:r w:rsidRPr="00687A1C">
              <w:t>8</w:t>
            </w:r>
          </w:p>
        </w:tc>
        <w:tc>
          <w:tcPr>
            <w:tcW w:w="979" w:type="dxa"/>
            <w:shd w:val="clear" w:color="auto" w:fill="E0E0E0"/>
            <w:vAlign w:val="bottom"/>
          </w:tcPr>
          <w:p w:rsidR="003336BC" w:rsidRPr="00687A1C" w:rsidRDefault="003336BC" w:rsidP="004630EB">
            <w:pPr>
              <w:pStyle w:val="Tabletextright"/>
            </w:pPr>
            <w:r w:rsidRPr="00687A1C">
              <w:t>–</w:t>
            </w:r>
          </w:p>
        </w:tc>
        <w:tc>
          <w:tcPr>
            <w:tcW w:w="778" w:type="dxa"/>
            <w:shd w:val="clear" w:color="auto" w:fill="E0E0E0"/>
            <w:vAlign w:val="bottom"/>
          </w:tcPr>
          <w:p w:rsidR="003336BC" w:rsidRPr="00687A1C" w:rsidRDefault="003336BC" w:rsidP="004630EB">
            <w:pPr>
              <w:pStyle w:val="Tabletextright"/>
            </w:pPr>
            <w:r w:rsidRPr="00687A1C">
              <w:t>8.00</w:t>
            </w:r>
          </w:p>
        </w:tc>
        <w:tc>
          <w:tcPr>
            <w:tcW w:w="950" w:type="dxa"/>
            <w:vAlign w:val="bottom"/>
          </w:tcPr>
          <w:p w:rsidR="003336BC" w:rsidRPr="00687A1C" w:rsidRDefault="003336BC" w:rsidP="004630EB">
            <w:pPr>
              <w:pStyle w:val="Tabletextright"/>
            </w:pPr>
            <w:r w:rsidRPr="00687A1C">
              <w:t>–</w:t>
            </w:r>
          </w:p>
        </w:tc>
        <w:tc>
          <w:tcPr>
            <w:tcW w:w="778" w:type="dxa"/>
            <w:vAlign w:val="bottom"/>
          </w:tcPr>
          <w:p w:rsidR="003336BC" w:rsidRPr="00687A1C" w:rsidRDefault="003336BC" w:rsidP="004630EB">
            <w:pPr>
              <w:pStyle w:val="Tabletextright"/>
            </w:pPr>
            <w:r w:rsidRPr="00687A1C">
              <w:t>–</w:t>
            </w:r>
          </w:p>
        </w:tc>
      </w:tr>
      <w:tr w:rsidR="003336BC" w:rsidRPr="00687A1C" w:rsidTr="004630EB">
        <w:trPr>
          <w:cantSplit/>
        </w:trPr>
        <w:tc>
          <w:tcPr>
            <w:tcW w:w="1483" w:type="dxa"/>
            <w:shd w:val="clear" w:color="auto" w:fill="auto"/>
          </w:tcPr>
          <w:p w:rsidR="003336BC" w:rsidRPr="00687A1C" w:rsidRDefault="003336BC" w:rsidP="004630EB">
            <w:pPr>
              <w:pStyle w:val="Tabletext"/>
              <w:rPr>
                <w:sz w:val="6"/>
              </w:rPr>
            </w:pPr>
          </w:p>
        </w:tc>
        <w:tc>
          <w:tcPr>
            <w:tcW w:w="950" w:type="dxa"/>
            <w:shd w:val="clear" w:color="auto" w:fill="E0E0E0"/>
          </w:tcPr>
          <w:p w:rsidR="003336BC" w:rsidRPr="00687A1C" w:rsidRDefault="003336BC" w:rsidP="004630EB">
            <w:pPr>
              <w:pStyle w:val="Tabletextright"/>
              <w:rPr>
                <w:rFonts w:cstheme="minorHAnsi"/>
                <w:sz w:val="6"/>
              </w:rPr>
            </w:pPr>
          </w:p>
        </w:tc>
        <w:tc>
          <w:tcPr>
            <w:tcW w:w="778" w:type="dxa"/>
            <w:shd w:val="clear" w:color="auto" w:fill="E0E0E0"/>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rFonts w:cstheme="minorHAnsi"/>
                <w:sz w:val="6"/>
              </w:rPr>
            </w:pPr>
          </w:p>
        </w:tc>
        <w:tc>
          <w:tcPr>
            <w:tcW w:w="979" w:type="dxa"/>
            <w:shd w:val="clear" w:color="auto" w:fill="auto"/>
          </w:tcPr>
          <w:p w:rsidR="003336BC" w:rsidRPr="00687A1C" w:rsidRDefault="003336BC" w:rsidP="004630EB">
            <w:pPr>
              <w:pStyle w:val="Tabletextright"/>
              <w:rPr>
                <w:sz w:val="6"/>
              </w:rPr>
            </w:pPr>
          </w:p>
        </w:tc>
        <w:tc>
          <w:tcPr>
            <w:tcW w:w="778" w:type="dxa"/>
            <w:shd w:val="clear" w:color="auto" w:fill="auto"/>
          </w:tcPr>
          <w:p w:rsidR="003336BC" w:rsidRPr="00687A1C" w:rsidRDefault="003336BC" w:rsidP="004630EB">
            <w:pPr>
              <w:pStyle w:val="Tabletextright"/>
              <w:rPr>
                <w:sz w:val="6"/>
              </w:rPr>
            </w:pPr>
          </w:p>
        </w:tc>
        <w:tc>
          <w:tcPr>
            <w:tcW w:w="950"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shd w:val="clear" w:color="auto" w:fill="auto"/>
            <w:noWrap/>
          </w:tcPr>
          <w:p w:rsidR="003336BC" w:rsidRPr="00687A1C" w:rsidRDefault="003336BC" w:rsidP="004630EB">
            <w:pPr>
              <w:pStyle w:val="Tabletextright"/>
              <w:rPr>
                <w:rFonts w:cstheme="minorHAnsi"/>
                <w:sz w:val="6"/>
              </w:rPr>
            </w:pPr>
          </w:p>
        </w:tc>
        <w:tc>
          <w:tcPr>
            <w:tcW w:w="778" w:type="dxa"/>
            <w:shd w:val="clear" w:color="auto" w:fill="auto"/>
          </w:tcPr>
          <w:p w:rsidR="003336BC" w:rsidRPr="00687A1C" w:rsidRDefault="003336BC" w:rsidP="004630EB">
            <w:pPr>
              <w:pStyle w:val="Tabletextright"/>
              <w:rPr>
                <w:rFonts w:cstheme="minorHAnsi"/>
                <w:sz w:val="6"/>
              </w:rPr>
            </w:pPr>
          </w:p>
        </w:tc>
        <w:tc>
          <w:tcPr>
            <w:tcW w:w="979" w:type="dxa"/>
            <w:shd w:val="clear" w:color="auto" w:fill="E0E0E0"/>
            <w:noWrap/>
          </w:tcPr>
          <w:p w:rsidR="003336BC" w:rsidRPr="00687A1C" w:rsidRDefault="003336BC" w:rsidP="004630EB">
            <w:pPr>
              <w:pStyle w:val="Tabletextright"/>
              <w:rPr>
                <w:rFonts w:cstheme="minorHAnsi"/>
                <w:sz w:val="6"/>
              </w:rPr>
            </w:pPr>
          </w:p>
        </w:tc>
        <w:tc>
          <w:tcPr>
            <w:tcW w:w="979" w:type="dxa"/>
            <w:shd w:val="clear" w:color="auto" w:fill="E0E0E0"/>
          </w:tcPr>
          <w:p w:rsidR="003336BC" w:rsidRPr="00687A1C" w:rsidRDefault="003336BC" w:rsidP="004630EB">
            <w:pPr>
              <w:pStyle w:val="Tabletextright"/>
              <w:rPr>
                <w:sz w:val="6"/>
              </w:rPr>
            </w:pPr>
          </w:p>
        </w:tc>
        <w:tc>
          <w:tcPr>
            <w:tcW w:w="778" w:type="dxa"/>
            <w:shd w:val="clear" w:color="auto" w:fill="E0E0E0"/>
          </w:tcPr>
          <w:p w:rsidR="003336BC" w:rsidRPr="00687A1C" w:rsidRDefault="003336BC" w:rsidP="004630EB">
            <w:pPr>
              <w:pStyle w:val="Tabletextright"/>
              <w:rPr>
                <w:sz w:val="6"/>
              </w:rPr>
            </w:pPr>
          </w:p>
        </w:tc>
        <w:tc>
          <w:tcPr>
            <w:tcW w:w="950" w:type="dxa"/>
          </w:tcPr>
          <w:p w:rsidR="003336BC" w:rsidRPr="00687A1C" w:rsidRDefault="003336BC" w:rsidP="004630EB">
            <w:pPr>
              <w:pStyle w:val="Tabletextright"/>
              <w:rPr>
                <w:sz w:val="6"/>
              </w:rPr>
            </w:pPr>
          </w:p>
        </w:tc>
        <w:tc>
          <w:tcPr>
            <w:tcW w:w="778" w:type="dxa"/>
          </w:tcPr>
          <w:p w:rsidR="003336BC" w:rsidRPr="00687A1C" w:rsidRDefault="003336BC" w:rsidP="004630EB">
            <w:pPr>
              <w:pStyle w:val="Tabletextright"/>
              <w:rPr>
                <w:sz w:val="6"/>
              </w:rPr>
            </w:pPr>
          </w:p>
        </w:tc>
      </w:tr>
      <w:tr w:rsidR="003336BC" w:rsidRPr="00687A1C" w:rsidTr="004630EB">
        <w:trPr>
          <w:cantSplit/>
        </w:trPr>
        <w:tc>
          <w:tcPr>
            <w:tcW w:w="1483" w:type="dxa"/>
            <w:shd w:val="clear" w:color="auto" w:fill="auto"/>
          </w:tcPr>
          <w:p w:rsidR="003336BC" w:rsidRPr="00687A1C" w:rsidRDefault="003336BC" w:rsidP="004630EB">
            <w:pPr>
              <w:pStyle w:val="Tabletextbold"/>
            </w:pPr>
            <w:r w:rsidRPr="00687A1C">
              <w:t>Other</w:t>
            </w:r>
          </w:p>
        </w:tc>
        <w:tc>
          <w:tcPr>
            <w:tcW w:w="950" w:type="dxa"/>
            <w:shd w:val="clear" w:color="auto" w:fill="E0E0E0"/>
            <w:vAlign w:val="bottom"/>
          </w:tcPr>
          <w:p w:rsidR="003336BC" w:rsidRPr="00687A1C" w:rsidRDefault="003336BC" w:rsidP="004630EB">
            <w:pPr>
              <w:pStyle w:val="Tabletextrightbold"/>
            </w:pPr>
            <w:r w:rsidRPr="00687A1C">
              <w:t>2</w:t>
            </w:r>
          </w:p>
        </w:tc>
        <w:tc>
          <w:tcPr>
            <w:tcW w:w="778" w:type="dxa"/>
            <w:shd w:val="clear" w:color="auto" w:fill="E0E0E0"/>
            <w:vAlign w:val="bottom"/>
          </w:tcPr>
          <w:p w:rsidR="003336BC" w:rsidRPr="00687A1C" w:rsidRDefault="003336BC" w:rsidP="004630EB">
            <w:pPr>
              <w:pStyle w:val="Tabletextrightbold"/>
            </w:pPr>
            <w:r w:rsidRPr="00687A1C">
              <w:t>0.26</w:t>
            </w:r>
          </w:p>
        </w:tc>
        <w:tc>
          <w:tcPr>
            <w:tcW w:w="979" w:type="dxa"/>
            <w:shd w:val="clear" w:color="auto" w:fill="auto"/>
            <w:vAlign w:val="bottom"/>
          </w:tcPr>
          <w:p w:rsidR="003336BC" w:rsidRPr="00687A1C" w:rsidRDefault="003336BC" w:rsidP="004630EB">
            <w:pPr>
              <w:pStyle w:val="Tabletextrightbold"/>
            </w:pPr>
            <w:r w:rsidRPr="00687A1C">
              <w:t>–</w:t>
            </w:r>
          </w:p>
        </w:tc>
        <w:tc>
          <w:tcPr>
            <w:tcW w:w="979" w:type="dxa"/>
            <w:shd w:val="clear" w:color="auto" w:fill="auto"/>
            <w:vAlign w:val="bottom"/>
          </w:tcPr>
          <w:p w:rsidR="003336BC" w:rsidRPr="00687A1C" w:rsidRDefault="003336BC" w:rsidP="004630EB">
            <w:pPr>
              <w:pStyle w:val="Tabletextrightbold"/>
            </w:pPr>
            <w:r w:rsidRPr="00687A1C">
              <w:t>–</w:t>
            </w:r>
          </w:p>
        </w:tc>
        <w:tc>
          <w:tcPr>
            <w:tcW w:w="778" w:type="dxa"/>
            <w:shd w:val="clear" w:color="auto" w:fill="auto"/>
            <w:vAlign w:val="bottom"/>
          </w:tcPr>
          <w:p w:rsidR="003336BC" w:rsidRPr="00687A1C" w:rsidRDefault="003336BC" w:rsidP="004630EB">
            <w:pPr>
              <w:pStyle w:val="Tabletextrightbold"/>
            </w:pPr>
            <w:r w:rsidRPr="00687A1C">
              <w:t>–</w:t>
            </w:r>
          </w:p>
        </w:tc>
        <w:tc>
          <w:tcPr>
            <w:tcW w:w="950" w:type="dxa"/>
            <w:shd w:val="clear" w:color="auto" w:fill="E0E0E0"/>
            <w:vAlign w:val="bottom"/>
          </w:tcPr>
          <w:p w:rsidR="003336BC" w:rsidRPr="00687A1C" w:rsidRDefault="003336BC" w:rsidP="004630EB">
            <w:pPr>
              <w:pStyle w:val="Tabletextrightbold"/>
            </w:pPr>
            <w:r w:rsidRPr="00687A1C">
              <w:t>2</w:t>
            </w:r>
          </w:p>
        </w:tc>
        <w:tc>
          <w:tcPr>
            <w:tcW w:w="778" w:type="dxa"/>
            <w:shd w:val="clear" w:color="auto" w:fill="E0E0E0"/>
            <w:vAlign w:val="bottom"/>
          </w:tcPr>
          <w:p w:rsidR="003336BC" w:rsidRPr="00687A1C" w:rsidRDefault="003336BC" w:rsidP="004630EB">
            <w:pPr>
              <w:pStyle w:val="Tabletextrightbold"/>
            </w:pPr>
            <w:r w:rsidRPr="00687A1C">
              <w:t>0.26</w:t>
            </w:r>
          </w:p>
        </w:tc>
        <w:tc>
          <w:tcPr>
            <w:tcW w:w="950" w:type="dxa"/>
            <w:shd w:val="clear" w:color="auto" w:fill="auto"/>
            <w:noWrap/>
            <w:vAlign w:val="bottom"/>
          </w:tcPr>
          <w:p w:rsidR="003336BC" w:rsidRPr="00687A1C" w:rsidRDefault="003336BC" w:rsidP="004630EB">
            <w:pPr>
              <w:pStyle w:val="Tabletextrightbold"/>
            </w:pPr>
            <w:r w:rsidRPr="00687A1C">
              <w:t>3</w:t>
            </w:r>
          </w:p>
        </w:tc>
        <w:tc>
          <w:tcPr>
            <w:tcW w:w="778" w:type="dxa"/>
            <w:shd w:val="clear" w:color="auto" w:fill="auto"/>
            <w:vAlign w:val="bottom"/>
          </w:tcPr>
          <w:p w:rsidR="003336BC" w:rsidRPr="00687A1C" w:rsidRDefault="003336BC" w:rsidP="004630EB">
            <w:pPr>
              <w:pStyle w:val="Tabletextrightbold"/>
            </w:pPr>
            <w:r w:rsidRPr="00687A1C">
              <w:t>1.94</w:t>
            </w:r>
          </w:p>
        </w:tc>
        <w:tc>
          <w:tcPr>
            <w:tcW w:w="979" w:type="dxa"/>
            <w:shd w:val="clear" w:color="auto" w:fill="E0E0E0"/>
            <w:noWrap/>
            <w:vAlign w:val="bottom"/>
          </w:tcPr>
          <w:p w:rsidR="003336BC" w:rsidRPr="00687A1C" w:rsidRDefault="003336BC" w:rsidP="004630EB">
            <w:pPr>
              <w:pStyle w:val="Tabletextrightbold"/>
            </w:pPr>
            <w:r w:rsidRPr="00687A1C">
              <w:t>–</w:t>
            </w:r>
          </w:p>
        </w:tc>
        <w:tc>
          <w:tcPr>
            <w:tcW w:w="979" w:type="dxa"/>
            <w:shd w:val="clear" w:color="auto" w:fill="E0E0E0"/>
            <w:vAlign w:val="bottom"/>
          </w:tcPr>
          <w:p w:rsidR="003336BC" w:rsidRPr="00687A1C" w:rsidRDefault="003336BC" w:rsidP="004630EB">
            <w:pPr>
              <w:pStyle w:val="Tabletextrightbold"/>
            </w:pPr>
            <w:r w:rsidRPr="00687A1C">
              <w:t>–</w:t>
            </w:r>
          </w:p>
        </w:tc>
        <w:tc>
          <w:tcPr>
            <w:tcW w:w="778" w:type="dxa"/>
            <w:shd w:val="clear" w:color="auto" w:fill="E0E0E0"/>
            <w:vAlign w:val="bottom"/>
          </w:tcPr>
          <w:p w:rsidR="003336BC" w:rsidRPr="00687A1C" w:rsidRDefault="003336BC" w:rsidP="004630EB">
            <w:pPr>
              <w:pStyle w:val="Tabletextrightbold"/>
            </w:pPr>
            <w:r w:rsidRPr="00687A1C">
              <w:t>–</w:t>
            </w:r>
          </w:p>
        </w:tc>
        <w:tc>
          <w:tcPr>
            <w:tcW w:w="950" w:type="dxa"/>
            <w:vAlign w:val="bottom"/>
          </w:tcPr>
          <w:p w:rsidR="003336BC" w:rsidRPr="00687A1C" w:rsidRDefault="003336BC" w:rsidP="004630EB">
            <w:pPr>
              <w:pStyle w:val="Tabletextrightbold"/>
            </w:pPr>
            <w:r w:rsidRPr="00687A1C">
              <w:t>3</w:t>
            </w:r>
          </w:p>
        </w:tc>
        <w:tc>
          <w:tcPr>
            <w:tcW w:w="778" w:type="dxa"/>
            <w:vAlign w:val="bottom"/>
          </w:tcPr>
          <w:p w:rsidR="003336BC" w:rsidRPr="00687A1C" w:rsidRDefault="003336BC" w:rsidP="004630EB">
            <w:pPr>
              <w:pStyle w:val="Tabletextrightbold"/>
            </w:pPr>
            <w:r w:rsidRPr="00687A1C">
              <w:t>1.94</w:t>
            </w:r>
          </w:p>
        </w:tc>
      </w:tr>
      <w:tr w:rsidR="003336BC" w:rsidRPr="00687A1C" w:rsidTr="004630EB">
        <w:trPr>
          <w:cantSplit/>
        </w:trPr>
        <w:tc>
          <w:tcPr>
            <w:tcW w:w="1483" w:type="dxa"/>
            <w:shd w:val="clear" w:color="auto" w:fill="auto"/>
            <w:vAlign w:val="bottom"/>
          </w:tcPr>
          <w:p w:rsidR="003336BC" w:rsidRPr="00687A1C" w:rsidRDefault="003336BC" w:rsidP="004630EB">
            <w:pPr>
              <w:pStyle w:val="Tabletext"/>
            </w:pPr>
            <w:r w:rsidRPr="00687A1C">
              <w:rPr>
                <w:rFonts w:cstheme="minorHAnsi"/>
                <w:b/>
              </w:rPr>
              <w:t>Total employees</w:t>
            </w:r>
          </w:p>
        </w:tc>
        <w:tc>
          <w:tcPr>
            <w:tcW w:w="950" w:type="dxa"/>
            <w:shd w:val="clear" w:color="auto" w:fill="E0E0E0"/>
            <w:vAlign w:val="bottom"/>
          </w:tcPr>
          <w:p w:rsidR="003336BC" w:rsidRPr="00687A1C" w:rsidRDefault="003336BC" w:rsidP="004630EB">
            <w:pPr>
              <w:pStyle w:val="Tabletextrightbold"/>
            </w:pPr>
            <w:r w:rsidRPr="00687A1C">
              <w:t>116</w:t>
            </w:r>
          </w:p>
        </w:tc>
        <w:tc>
          <w:tcPr>
            <w:tcW w:w="778" w:type="dxa"/>
            <w:shd w:val="clear" w:color="auto" w:fill="E0E0E0"/>
            <w:vAlign w:val="bottom"/>
          </w:tcPr>
          <w:p w:rsidR="003336BC" w:rsidRPr="00687A1C" w:rsidRDefault="003336BC" w:rsidP="004630EB">
            <w:pPr>
              <w:pStyle w:val="Tabletextrightbold"/>
            </w:pPr>
            <w:r w:rsidRPr="00687A1C">
              <w:t>111.92</w:t>
            </w:r>
          </w:p>
        </w:tc>
        <w:tc>
          <w:tcPr>
            <w:tcW w:w="979" w:type="dxa"/>
            <w:shd w:val="clear" w:color="auto" w:fill="auto"/>
            <w:vAlign w:val="bottom"/>
          </w:tcPr>
          <w:p w:rsidR="003336BC" w:rsidRPr="00687A1C" w:rsidRDefault="003336BC" w:rsidP="004630EB">
            <w:pPr>
              <w:pStyle w:val="Tabletextrightbold"/>
            </w:pPr>
            <w:r w:rsidRPr="00687A1C">
              <w:t>90</w:t>
            </w:r>
          </w:p>
        </w:tc>
        <w:tc>
          <w:tcPr>
            <w:tcW w:w="979" w:type="dxa"/>
            <w:shd w:val="clear" w:color="auto" w:fill="auto"/>
            <w:vAlign w:val="bottom"/>
          </w:tcPr>
          <w:p w:rsidR="003336BC" w:rsidRPr="00687A1C" w:rsidRDefault="003336BC" w:rsidP="004630EB">
            <w:pPr>
              <w:pStyle w:val="Tabletextrightbold"/>
            </w:pPr>
            <w:r w:rsidRPr="00687A1C">
              <w:t>10</w:t>
            </w:r>
          </w:p>
        </w:tc>
        <w:tc>
          <w:tcPr>
            <w:tcW w:w="778" w:type="dxa"/>
            <w:shd w:val="clear" w:color="auto" w:fill="auto"/>
            <w:vAlign w:val="bottom"/>
          </w:tcPr>
          <w:p w:rsidR="003336BC" w:rsidRPr="00687A1C" w:rsidRDefault="003336BC" w:rsidP="004630EB">
            <w:pPr>
              <w:pStyle w:val="Tabletextrightbold"/>
            </w:pPr>
            <w:r w:rsidRPr="00687A1C">
              <w:t>97.86</w:t>
            </w:r>
          </w:p>
        </w:tc>
        <w:tc>
          <w:tcPr>
            <w:tcW w:w="950" w:type="dxa"/>
            <w:shd w:val="clear" w:color="auto" w:fill="E0E0E0"/>
            <w:vAlign w:val="bottom"/>
          </w:tcPr>
          <w:p w:rsidR="003336BC" w:rsidRPr="00687A1C" w:rsidRDefault="003336BC" w:rsidP="004630EB">
            <w:pPr>
              <w:pStyle w:val="Tabletextrightbold"/>
            </w:pPr>
            <w:r w:rsidRPr="00687A1C">
              <w:t>16</w:t>
            </w:r>
          </w:p>
        </w:tc>
        <w:tc>
          <w:tcPr>
            <w:tcW w:w="778" w:type="dxa"/>
            <w:shd w:val="clear" w:color="auto" w:fill="E0E0E0"/>
            <w:vAlign w:val="bottom"/>
          </w:tcPr>
          <w:p w:rsidR="003336BC" w:rsidRPr="00687A1C" w:rsidRDefault="003336BC" w:rsidP="004630EB">
            <w:pPr>
              <w:pStyle w:val="Tabletextrightbold"/>
            </w:pPr>
            <w:r w:rsidRPr="00687A1C">
              <w:t>14.06</w:t>
            </w:r>
          </w:p>
        </w:tc>
        <w:tc>
          <w:tcPr>
            <w:tcW w:w="950" w:type="dxa"/>
            <w:shd w:val="clear" w:color="auto" w:fill="auto"/>
            <w:noWrap/>
            <w:vAlign w:val="bottom"/>
          </w:tcPr>
          <w:p w:rsidR="003336BC" w:rsidRPr="00687A1C" w:rsidRDefault="003336BC" w:rsidP="004630EB">
            <w:pPr>
              <w:pStyle w:val="Tabletextrightbold"/>
            </w:pPr>
            <w:r w:rsidRPr="00687A1C">
              <w:t>108</w:t>
            </w:r>
          </w:p>
        </w:tc>
        <w:tc>
          <w:tcPr>
            <w:tcW w:w="778" w:type="dxa"/>
            <w:shd w:val="clear" w:color="auto" w:fill="auto"/>
            <w:vAlign w:val="bottom"/>
          </w:tcPr>
          <w:p w:rsidR="003336BC" w:rsidRPr="00687A1C" w:rsidRDefault="003336BC" w:rsidP="004630EB">
            <w:pPr>
              <w:pStyle w:val="Tabletextrightbold"/>
            </w:pPr>
            <w:r w:rsidRPr="00687A1C">
              <w:t>103.69</w:t>
            </w:r>
          </w:p>
        </w:tc>
        <w:tc>
          <w:tcPr>
            <w:tcW w:w="979" w:type="dxa"/>
            <w:shd w:val="clear" w:color="auto" w:fill="E0E0E0"/>
            <w:noWrap/>
            <w:vAlign w:val="bottom"/>
          </w:tcPr>
          <w:p w:rsidR="003336BC" w:rsidRPr="00687A1C" w:rsidRDefault="003336BC" w:rsidP="004630EB">
            <w:pPr>
              <w:pStyle w:val="Tabletextrightbold"/>
            </w:pPr>
            <w:r w:rsidRPr="00687A1C">
              <w:t>80</w:t>
            </w:r>
          </w:p>
        </w:tc>
        <w:tc>
          <w:tcPr>
            <w:tcW w:w="979" w:type="dxa"/>
            <w:shd w:val="clear" w:color="auto" w:fill="E0E0E0"/>
            <w:vAlign w:val="bottom"/>
          </w:tcPr>
          <w:p w:rsidR="003336BC" w:rsidRPr="00687A1C" w:rsidRDefault="003336BC" w:rsidP="004630EB">
            <w:pPr>
              <w:pStyle w:val="Tabletextrightbold"/>
            </w:pPr>
            <w:r w:rsidRPr="00687A1C">
              <w:t>12</w:t>
            </w:r>
          </w:p>
        </w:tc>
        <w:tc>
          <w:tcPr>
            <w:tcW w:w="778" w:type="dxa"/>
            <w:shd w:val="clear" w:color="auto" w:fill="E0E0E0"/>
            <w:vAlign w:val="bottom"/>
          </w:tcPr>
          <w:p w:rsidR="003336BC" w:rsidRPr="00687A1C" w:rsidRDefault="003336BC" w:rsidP="004630EB">
            <w:pPr>
              <w:pStyle w:val="Tabletextrightbold"/>
            </w:pPr>
            <w:r w:rsidRPr="00687A1C">
              <w:t>88.75</w:t>
            </w:r>
          </w:p>
        </w:tc>
        <w:tc>
          <w:tcPr>
            <w:tcW w:w="950" w:type="dxa"/>
            <w:vAlign w:val="bottom"/>
          </w:tcPr>
          <w:p w:rsidR="003336BC" w:rsidRPr="00687A1C" w:rsidRDefault="003336BC" w:rsidP="004630EB">
            <w:pPr>
              <w:pStyle w:val="Tabletextrightbold"/>
            </w:pPr>
            <w:r w:rsidRPr="00687A1C">
              <w:t>16</w:t>
            </w:r>
          </w:p>
        </w:tc>
        <w:tc>
          <w:tcPr>
            <w:tcW w:w="778" w:type="dxa"/>
            <w:vAlign w:val="bottom"/>
          </w:tcPr>
          <w:p w:rsidR="003336BC" w:rsidRPr="00687A1C" w:rsidRDefault="003336BC" w:rsidP="004630EB">
            <w:pPr>
              <w:pStyle w:val="Tabletextrightbold"/>
            </w:pPr>
            <w:r w:rsidRPr="00687A1C">
              <w:t>14.94</w:t>
            </w:r>
          </w:p>
        </w:tc>
      </w:tr>
    </w:tbl>
    <w:p w:rsidR="009D6CB6" w:rsidRPr="00687A1C" w:rsidRDefault="009D6CB6" w:rsidP="0021241E"/>
    <w:p w:rsidR="00D51AAB" w:rsidRPr="00687A1C" w:rsidRDefault="00D51AAB" w:rsidP="0021241E">
      <w:pPr>
        <w:sectPr w:rsidR="00D51AAB" w:rsidRPr="00687A1C" w:rsidSect="00A5358C">
          <w:headerReference w:type="default" r:id="rId117"/>
          <w:footerReference w:type="even" r:id="rId118"/>
          <w:footerReference w:type="default" r:id="rId119"/>
          <w:pgSz w:w="16834" w:h="11909" w:orient="landscape" w:code="9"/>
          <w:pgMar w:top="1152" w:right="1440" w:bottom="990" w:left="1728" w:header="720" w:footer="288" w:gutter="0"/>
          <w:cols w:space="720"/>
          <w:noEndnote/>
        </w:sectPr>
      </w:pPr>
    </w:p>
    <w:p w:rsidR="00874541" w:rsidRPr="00687A1C" w:rsidRDefault="00874541" w:rsidP="00874541">
      <w:pPr>
        <w:pStyle w:val="Heading4"/>
      </w:pPr>
      <w:r w:rsidRPr="00687A1C">
        <w:lastRenderedPageBreak/>
        <w:t xml:space="preserve">Profile of </w:t>
      </w:r>
      <w:r w:rsidR="0027531A" w:rsidRPr="00687A1C">
        <w:t>Cenitex</w:t>
      </w:r>
      <w:r w:rsidR="009469FE" w:rsidRPr="00687A1C">
        <w:t>’</w:t>
      </w:r>
      <w:r w:rsidRPr="00687A1C">
        <w:t xml:space="preserve">s </w:t>
      </w:r>
      <w:r w:rsidR="00352A50" w:rsidRPr="00687A1C">
        <w:t>workforce: June 2018</w:t>
      </w:r>
    </w:p>
    <w:tbl>
      <w:tblPr>
        <w:tblW w:w="13867" w:type="dxa"/>
        <w:tblLayout w:type="fixed"/>
        <w:tblCellMar>
          <w:left w:w="43" w:type="dxa"/>
          <w:right w:w="43" w:type="dxa"/>
        </w:tblCellMar>
        <w:tblLook w:val="0000" w:firstRow="0" w:lastRow="0" w:firstColumn="0" w:lastColumn="0" w:noHBand="0" w:noVBand="0"/>
      </w:tblPr>
      <w:tblGrid>
        <w:gridCol w:w="1483"/>
        <w:gridCol w:w="950"/>
        <w:gridCol w:w="778"/>
        <w:gridCol w:w="979"/>
        <w:gridCol w:w="979"/>
        <w:gridCol w:w="778"/>
        <w:gridCol w:w="950"/>
        <w:gridCol w:w="778"/>
        <w:gridCol w:w="950"/>
        <w:gridCol w:w="778"/>
        <w:gridCol w:w="979"/>
        <w:gridCol w:w="979"/>
        <w:gridCol w:w="778"/>
        <w:gridCol w:w="950"/>
        <w:gridCol w:w="778"/>
      </w:tblGrid>
      <w:tr w:rsidR="006A610B" w:rsidRPr="00687A1C" w:rsidTr="00FD7161">
        <w:trPr>
          <w:cantSplit/>
        </w:trPr>
        <w:tc>
          <w:tcPr>
            <w:tcW w:w="1483" w:type="dxa"/>
            <w:shd w:val="clear" w:color="auto" w:fill="auto"/>
          </w:tcPr>
          <w:p w:rsidR="006A610B" w:rsidRPr="00687A1C" w:rsidRDefault="006A610B" w:rsidP="00FD7161">
            <w:pPr>
              <w:pStyle w:val="Tabletext"/>
            </w:pPr>
          </w:p>
        </w:tc>
        <w:tc>
          <w:tcPr>
            <w:tcW w:w="6192" w:type="dxa"/>
            <w:gridSpan w:val="7"/>
            <w:shd w:val="clear" w:color="auto" w:fill="E0E0E0"/>
            <w:vAlign w:val="bottom"/>
          </w:tcPr>
          <w:p w:rsidR="006A610B" w:rsidRPr="00687A1C" w:rsidRDefault="006A610B" w:rsidP="00FD7161">
            <w:pPr>
              <w:pStyle w:val="Tabletextheadingcentred"/>
            </w:pPr>
            <w:r w:rsidRPr="00687A1C">
              <w:t>June 2018</w:t>
            </w:r>
          </w:p>
        </w:tc>
        <w:tc>
          <w:tcPr>
            <w:tcW w:w="6192" w:type="dxa"/>
            <w:gridSpan w:val="7"/>
            <w:shd w:val="clear" w:color="auto" w:fill="auto"/>
            <w:noWrap/>
            <w:vAlign w:val="bottom"/>
          </w:tcPr>
          <w:p w:rsidR="006A610B" w:rsidRPr="00687A1C" w:rsidRDefault="006A610B" w:rsidP="00FD7161">
            <w:pPr>
              <w:pStyle w:val="Tabletextheadingcentred"/>
            </w:pPr>
            <w:r w:rsidRPr="00687A1C">
              <w:t>June 2017</w:t>
            </w:r>
            <w:r w:rsidR="00BD13F7" w:rsidRPr="00687A1C">
              <w:rPr>
                <w:vertAlign w:val="superscript"/>
              </w:rPr>
              <w:t>(a)</w:t>
            </w:r>
          </w:p>
        </w:tc>
      </w:tr>
      <w:tr w:rsidR="006A610B" w:rsidRPr="00687A1C" w:rsidTr="00FD7161">
        <w:trPr>
          <w:cantSplit/>
        </w:trPr>
        <w:tc>
          <w:tcPr>
            <w:tcW w:w="1483" w:type="dxa"/>
            <w:shd w:val="clear" w:color="auto" w:fill="auto"/>
          </w:tcPr>
          <w:p w:rsidR="006A610B" w:rsidRPr="00687A1C" w:rsidRDefault="006A610B" w:rsidP="00FD7161">
            <w:pPr>
              <w:pStyle w:val="Tabletext"/>
            </w:pPr>
          </w:p>
        </w:tc>
        <w:tc>
          <w:tcPr>
            <w:tcW w:w="1728" w:type="dxa"/>
            <w:gridSpan w:val="2"/>
            <w:shd w:val="clear" w:color="auto" w:fill="auto"/>
            <w:vAlign w:val="bottom"/>
          </w:tcPr>
          <w:p w:rsidR="006A610B" w:rsidRPr="00687A1C" w:rsidRDefault="006A610B" w:rsidP="00FD7161">
            <w:pPr>
              <w:pStyle w:val="Tabletextheadingcentred"/>
              <w:spacing w:after="20"/>
            </w:pPr>
            <w:r w:rsidRPr="00687A1C">
              <w:t>All employees</w:t>
            </w:r>
          </w:p>
        </w:tc>
        <w:tc>
          <w:tcPr>
            <w:tcW w:w="2736" w:type="dxa"/>
            <w:gridSpan w:val="3"/>
            <w:shd w:val="clear" w:color="auto" w:fill="auto"/>
            <w:vAlign w:val="bottom"/>
          </w:tcPr>
          <w:p w:rsidR="006A610B" w:rsidRPr="00687A1C" w:rsidRDefault="006A610B" w:rsidP="00FD7161">
            <w:pPr>
              <w:pStyle w:val="Tabletextheadingcentred"/>
              <w:spacing w:after="20"/>
            </w:pPr>
            <w:r w:rsidRPr="00687A1C">
              <w:t>Ongoing</w:t>
            </w:r>
          </w:p>
        </w:tc>
        <w:tc>
          <w:tcPr>
            <w:tcW w:w="1728" w:type="dxa"/>
            <w:gridSpan w:val="2"/>
            <w:shd w:val="clear" w:color="auto" w:fill="auto"/>
          </w:tcPr>
          <w:p w:rsidR="006A610B" w:rsidRPr="00687A1C" w:rsidRDefault="006A610B" w:rsidP="00FD7161">
            <w:pPr>
              <w:pStyle w:val="Tabletextheadingcentred"/>
              <w:spacing w:after="20"/>
              <w:rPr>
                <w:rFonts w:cstheme="minorHAnsi"/>
              </w:rPr>
            </w:pPr>
            <w:r w:rsidRPr="00687A1C">
              <w:t>Fixed term</w:t>
            </w:r>
            <w:r w:rsidRPr="00687A1C">
              <w:br/>
              <w:t>and casual</w:t>
            </w:r>
          </w:p>
        </w:tc>
        <w:tc>
          <w:tcPr>
            <w:tcW w:w="1728" w:type="dxa"/>
            <w:gridSpan w:val="2"/>
            <w:shd w:val="clear" w:color="auto" w:fill="auto"/>
            <w:noWrap/>
            <w:vAlign w:val="bottom"/>
          </w:tcPr>
          <w:p w:rsidR="006A610B" w:rsidRPr="00687A1C" w:rsidRDefault="006A610B" w:rsidP="00FD7161">
            <w:pPr>
              <w:pStyle w:val="Tabletextheadingcentred"/>
              <w:spacing w:after="20"/>
            </w:pPr>
            <w:r w:rsidRPr="00687A1C">
              <w:t>All employees</w:t>
            </w:r>
          </w:p>
        </w:tc>
        <w:tc>
          <w:tcPr>
            <w:tcW w:w="2736" w:type="dxa"/>
            <w:gridSpan w:val="3"/>
            <w:shd w:val="clear" w:color="auto" w:fill="auto"/>
            <w:noWrap/>
            <w:vAlign w:val="bottom"/>
          </w:tcPr>
          <w:p w:rsidR="006A610B" w:rsidRPr="00687A1C" w:rsidRDefault="006A610B" w:rsidP="00FD7161">
            <w:pPr>
              <w:pStyle w:val="Tabletextheadingcentred"/>
              <w:spacing w:after="20"/>
            </w:pPr>
            <w:r w:rsidRPr="00687A1C">
              <w:t>Ongoing</w:t>
            </w:r>
          </w:p>
        </w:tc>
        <w:tc>
          <w:tcPr>
            <w:tcW w:w="1728" w:type="dxa"/>
            <w:gridSpan w:val="2"/>
          </w:tcPr>
          <w:p w:rsidR="006A610B" w:rsidRPr="00687A1C" w:rsidRDefault="006A610B" w:rsidP="00FD7161">
            <w:pPr>
              <w:pStyle w:val="Tabletextheadingcentred"/>
              <w:spacing w:after="20"/>
              <w:rPr>
                <w:rFonts w:cstheme="minorHAnsi"/>
              </w:rPr>
            </w:pPr>
            <w:r w:rsidRPr="00687A1C">
              <w:t>Fixed term</w:t>
            </w:r>
            <w:r w:rsidRPr="00687A1C">
              <w:br/>
              <w:t>and casual</w:t>
            </w:r>
          </w:p>
        </w:tc>
      </w:tr>
      <w:tr w:rsidR="006A610B" w:rsidRPr="00687A1C" w:rsidTr="00FD7161">
        <w:trPr>
          <w:cantSplit/>
        </w:trPr>
        <w:tc>
          <w:tcPr>
            <w:tcW w:w="1483" w:type="dxa"/>
            <w:shd w:val="clear" w:color="auto" w:fill="auto"/>
          </w:tcPr>
          <w:p w:rsidR="006A610B" w:rsidRPr="00687A1C" w:rsidRDefault="006A610B" w:rsidP="00FD7161">
            <w:pPr>
              <w:pStyle w:val="Tabletext"/>
            </w:pPr>
          </w:p>
        </w:tc>
        <w:tc>
          <w:tcPr>
            <w:tcW w:w="950" w:type="dxa"/>
            <w:shd w:val="clear" w:color="auto" w:fill="auto"/>
            <w:vAlign w:val="bottom"/>
          </w:tcPr>
          <w:p w:rsidR="006A610B" w:rsidRPr="00687A1C" w:rsidRDefault="006A610B" w:rsidP="00FD7161">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6A610B" w:rsidRPr="00687A1C" w:rsidRDefault="006A610B" w:rsidP="00FD7161">
            <w:pPr>
              <w:pStyle w:val="Tabletextheadingright"/>
              <w:rPr>
                <w:rFonts w:cstheme="minorHAnsi"/>
              </w:rPr>
            </w:pPr>
            <w:r w:rsidRPr="00687A1C">
              <w:rPr>
                <w:rFonts w:cstheme="minorHAnsi"/>
              </w:rPr>
              <w:t>FTE</w:t>
            </w:r>
          </w:p>
        </w:tc>
        <w:tc>
          <w:tcPr>
            <w:tcW w:w="979" w:type="dxa"/>
            <w:shd w:val="clear" w:color="auto" w:fill="auto"/>
            <w:vAlign w:val="bottom"/>
          </w:tcPr>
          <w:p w:rsidR="006A610B" w:rsidRPr="00687A1C" w:rsidRDefault="006A610B" w:rsidP="00FD7161">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6A610B" w:rsidRPr="00687A1C" w:rsidRDefault="006A610B" w:rsidP="00FD7161">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6A610B" w:rsidRPr="00687A1C" w:rsidRDefault="006A610B" w:rsidP="00FD7161">
            <w:pPr>
              <w:pStyle w:val="Tabletextheadingright"/>
              <w:rPr>
                <w:rFonts w:cstheme="minorHAnsi"/>
              </w:rPr>
            </w:pPr>
            <w:r w:rsidRPr="00687A1C">
              <w:rPr>
                <w:rFonts w:cstheme="minorHAnsi"/>
              </w:rPr>
              <w:t>FTE</w:t>
            </w:r>
          </w:p>
        </w:tc>
        <w:tc>
          <w:tcPr>
            <w:tcW w:w="950" w:type="dxa"/>
            <w:shd w:val="clear" w:color="auto" w:fill="auto"/>
          </w:tcPr>
          <w:p w:rsidR="006A610B" w:rsidRPr="00687A1C" w:rsidRDefault="006A610B" w:rsidP="00FD7161">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tcPr>
          <w:p w:rsidR="006A610B" w:rsidRPr="00687A1C" w:rsidRDefault="006A610B" w:rsidP="00FD7161">
            <w:pPr>
              <w:pStyle w:val="Tabletextheadingright"/>
              <w:rPr>
                <w:rFonts w:cstheme="minorHAnsi"/>
              </w:rPr>
            </w:pPr>
            <w:r w:rsidRPr="00687A1C">
              <w:rPr>
                <w:rFonts w:cstheme="minorHAnsi"/>
              </w:rPr>
              <w:t>FTE</w:t>
            </w:r>
          </w:p>
        </w:tc>
        <w:tc>
          <w:tcPr>
            <w:tcW w:w="950" w:type="dxa"/>
            <w:shd w:val="clear" w:color="auto" w:fill="auto"/>
            <w:noWrap/>
            <w:vAlign w:val="bottom"/>
          </w:tcPr>
          <w:p w:rsidR="006A610B" w:rsidRPr="00687A1C" w:rsidRDefault="006A610B" w:rsidP="00FD7161">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6A610B" w:rsidRPr="00687A1C" w:rsidRDefault="006A610B" w:rsidP="00FD7161">
            <w:pPr>
              <w:pStyle w:val="Tabletextheadingright"/>
              <w:rPr>
                <w:rFonts w:cstheme="minorHAnsi"/>
              </w:rPr>
            </w:pPr>
            <w:r w:rsidRPr="00687A1C">
              <w:rPr>
                <w:rFonts w:cstheme="minorHAnsi"/>
              </w:rPr>
              <w:t>FTE</w:t>
            </w:r>
          </w:p>
        </w:tc>
        <w:tc>
          <w:tcPr>
            <w:tcW w:w="979" w:type="dxa"/>
            <w:shd w:val="clear" w:color="auto" w:fill="auto"/>
            <w:noWrap/>
            <w:vAlign w:val="bottom"/>
          </w:tcPr>
          <w:p w:rsidR="006A610B" w:rsidRPr="00687A1C" w:rsidRDefault="006A610B" w:rsidP="00FD7161">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6A610B" w:rsidRPr="00687A1C" w:rsidRDefault="006A610B" w:rsidP="00FD7161">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6A610B" w:rsidRPr="00687A1C" w:rsidRDefault="006A610B" w:rsidP="00FD7161">
            <w:pPr>
              <w:pStyle w:val="Tabletextheadingright"/>
              <w:rPr>
                <w:rFonts w:cstheme="minorHAnsi"/>
              </w:rPr>
            </w:pPr>
            <w:r w:rsidRPr="00687A1C">
              <w:rPr>
                <w:rFonts w:cstheme="minorHAnsi"/>
              </w:rPr>
              <w:t>FTE</w:t>
            </w:r>
          </w:p>
        </w:tc>
        <w:tc>
          <w:tcPr>
            <w:tcW w:w="950" w:type="dxa"/>
          </w:tcPr>
          <w:p w:rsidR="006A610B" w:rsidRPr="00687A1C" w:rsidRDefault="006A610B" w:rsidP="00FD7161">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tcPr>
          <w:p w:rsidR="006A610B" w:rsidRPr="00687A1C" w:rsidRDefault="006A610B" w:rsidP="00FD7161">
            <w:pPr>
              <w:pStyle w:val="Tabletextheadingright"/>
              <w:rPr>
                <w:rFonts w:cstheme="minorHAnsi"/>
              </w:rPr>
            </w:pPr>
            <w:r w:rsidRPr="00687A1C">
              <w:rPr>
                <w:rFonts w:cstheme="minorHAnsi"/>
              </w:rPr>
              <w:t>FTE</w:t>
            </w: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b/>
              </w:rPr>
              <w:t>Gender</w:t>
            </w:r>
          </w:p>
        </w:tc>
        <w:tc>
          <w:tcPr>
            <w:tcW w:w="950" w:type="dxa"/>
            <w:shd w:val="clear" w:color="auto" w:fill="E0E0E0"/>
            <w:vAlign w:val="bottom"/>
          </w:tcPr>
          <w:p w:rsidR="006A610B" w:rsidRPr="00687A1C" w:rsidRDefault="006A610B" w:rsidP="00FD7161">
            <w:pPr>
              <w:pStyle w:val="Tabletextright"/>
              <w:rPr>
                <w:rFonts w:cstheme="minorHAnsi"/>
              </w:rPr>
            </w:pPr>
          </w:p>
        </w:tc>
        <w:tc>
          <w:tcPr>
            <w:tcW w:w="778" w:type="dxa"/>
            <w:shd w:val="clear" w:color="auto" w:fill="E0E0E0"/>
            <w:vAlign w:val="bottom"/>
          </w:tcPr>
          <w:p w:rsidR="006A610B" w:rsidRPr="00687A1C" w:rsidRDefault="006A610B" w:rsidP="00FD7161">
            <w:pPr>
              <w:pStyle w:val="Tabletextright"/>
              <w:rPr>
                <w:rFonts w:cstheme="minorHAnsi"/>
              </w:rPr>
            </w:pPr>
          </w:p>
        </w:tc>
        <w:tc>
          <w:tcPr>
            <w:tcW w:w="979" w:type="dxa"/>
            <w:shd w:val="clear" w:color="auto" w:fill="auto"/>
            <w:vAlign w:val="bottom"/>
          </w:tcPr>
          <w:p w:rsidR="006A610B" w:rsidRPr="00687A1C" w:rsidRDefault="006A610B" w:rsidP="00FD7161">
            <w:pPr>
              <w:pStyle w:val="Tabletextright"/>
              <w:rPr>
                <w:rFonts w:cstheme="minorHAnsi"/>
              </w:rPr>
            </w:pPr>
          </w:p>
        </w:tc>
        <w:tc>
          <w:tcPr>
            <w:tcW w:w="979" w:type="dxa"/>
            <w:shd w:val="clear" w:color="auto" w:fill="auto"/>
          </w:tcPr>
          <w:p w:rsidR="006A610B" w:rsidRPr="00687A1C" w:rsidRDefault="006A610B" w:rsidP="00FD7161">
            <w:pPr>
              <w:pStyle w:val="Tabletextright"/>
            </w:pPr>
          </w:p>
        </w:tc>
        <w:tc>
          <w:tcPr>
            <w:tcW w:w="778" w:type="dxa"/>
            <w:shd w:val="clear" w:color="auto" w:fill="auto"/>
          </w:tcPr>
          <w:p w:rsidR="006A610B" w:rsidRPr="00687A1C" w:rsidRDefault="006A610B" w:rsidP="00FD7161">
            <w:pPr>
              <w:pStyle w:val="Tabletextright"/>
            </w:pPr>
          </w:p>
        </w:tc>
        <w:tc>
          <w:tcPr>
            <w:tcW w:w="950" w:type="dxa"/>
            <w:shd w:val="clear" w:color="auto" w:fill="E0E0E0"/>
          </w:tcPr>
          <w:p w:rsidR="006A610B" w:rsidRPr="00687A1C" w:rsidRDefault="006A610B" w:rsidP="00FD7161">
            <w:pPr>
              <w:pStyle w:val="Tabletextright"/>
            </w:pPr>
          </w:p>
        </w:tc>
        <w:tc>
          <w:tcPr>
            <w:tcW w:w="778" w:type="dxa"/>
            <w:shd w:val="clear" w:color="auto" w:fill="E0E0E0"/>
          </w:tcPr>
          <w:p w:rsidR="006A610B" w:rsidRPr="00687A1C" w:rsidRDefault="006A610B" w:rsidP="00FD7161">
            <w:pPr>
              <w:pStyle w:val="Tabletextright"/>
            </w:pPr>
          </w:p>
        </w:tc>
        <w:tc>
          <w:tcPr>
            <w:tcW w:w="950" w:type="dxa"/>
            <w:shd w:val="clear" w:color="auto" w:fill="auto"/>
            <w:noWrap/>
            <w:vAlign w:val="bottom"/>
          </w:tcPr>
          <w:p w:rsidR="006A610B" w:rsidRPr="00687A1C" w:rsidRDefault="006A610B" w:rsidP="00FD7161">
            <w:pPr>
              <w:pStyle w:val="Tabletextright"/>
              <w:rPr>
                <w:rFonts w:cstheme="minorHAnsi"/>
              </w:rPr>
            </w:pPr>
          </w:p>
        </w:tc>
        <w:tc>
          <w:tcPr>
            <w:tcW w:w="778" w:type="dxa"/>
            <w:shd w:val="clear" w:color="auto" w:fill="auto"/>
            <w:vAlign w:val="bottom"/>
          </w:tcPr>
          <w:p w:rsidR="006A610B" w:rsidRPr="00687A1C" w:rsidRDefault="006A610B" w:rsidP="00FD7161">
            <w:pPr>
              <w:pStyle w:val="Tabletextright"/>
              <w:rPr>
                <w:rFonts w:cstheme="minorHAnsi"/>
              </w:rPr>
            </w:pPr>
          </w:p>
        </w:tc>
        <w:tc>
          <w:tcPr>
            <w:tcW w:w="979" w:type="dxa"/>
            <w:shd w:val="clear" w:color="auto" w:fill="E0E0E0"/>
            <w:noWrap/>
            <w:vAlign w:val="bottom"/>
          </w:tcPr>
          <w:p w:rsidR="006A610B" w:rsidRPr="00687A1C" w:rsidRDefault="006A610B" w:rsidP="00FD7161">
            <w:pPr>
              <w:pStyle w:val="Tabletextright"/>
              <w:rPr>
                <w:rFonts w:cstheme="minorHAnsi"/>
              </w:rPr>
            </w:pPr>
          </w:p>
        </w:tc>
        <w:tc>
          <w:tcPr>
            <w:tcW w:w="979" w:type="dxa"/>
            <w:shd w:val="clear" w:color="auto" w:fill="E0E0E0"/>
          </w:tcPr>
          <w:p w:rsidR="006A610B" w:rsidRPr="00687A1C" w:rsidRDefault="006A610B" w:rsidP="00FD7161">
            <w:pPr>
              <w:pStyle w:val="Tabletextright"/>
            </w:pPr>
          </w:p>
        </w:tc>
        <w:tc>
          <w:tcPr>
            <w:tcW w:w="778" w:type="dxa"/>
            <w:shd w:val="clear" w:color="auto" w:fill="E0E0E0"/>
          </w:tcPr>
          <w:p w:rsidR="006A610B" w:rsidRPr="00687A1C" w:rsidRDefault="006A610B" w:rsidP="00FD7161">
            <w:pPr>
              <w:pStyle w:val="Tabletextright"/>
            </w:pPr>
          </w:p>
        </w:tc>
        <w:tc>
          <w:tcPr>
            <w:tcW w:w="950" w:type="dxa"/>
          </w:tcPr>
          <w:p w:rsidR="006A610B" w:rsidRPr="00687A1C" w:rsidRDefault="006A610B" w:rsidP="00FD7161">
            <w:pPr>
              <w:pStyle w:val="Tabletextright"/>
            </w:pPr>
          </w:p>
        </w:tc>
        <w:tc>
          <w:tcPr>
            <w:tcW w:w="778" w:type="dxa"/>
          </w:tcPr>
          <w:p w:rsidR="006A610B" w:rsidRPr="00687A1C" w:rsidRDefault="006A610B" w:rsidP="00FD7161">
            <w:pPr>
              <w:pStyle w:val="Tabletextright"/>
            </w:pPr>
          </w:p>
        </w:tc>
      </w:tr>
      <w:tr w:rsidR="006A610B" w:rsidRPr="00687A1C" w:rsidTr="00FD7161">
        <w:trPr>
          <w:cantSplit/>
        </w:trPr>
        <w:tc>
          <w:tcPr>
            <w:tcW w:w="1483" w:type="dxa"/>
            <w:shd w:val="clear" w:color="auto" w:fill="auto"/>
          </w:tcPr>
          <w:p w:rsidR="006A610B" w:rsidRPr="00687A1C" w:rsidRDefault="00BD13F7" w:rsidP="00FD7161">
            <w:pPr>
              <w:pStyle w:val="Tabletext"/>
            </w:pPr>
            <w:r w:rsidRPr="00687A1C">
              <w:t>Male</w:t>
            </w:r>
          </w:p>
        </w:tc>
        <w:tc>
          <w:tcPr>
            <w:tcW w:w="950" w:type="dxa"/>
            <w:shd w:val="clear" w:color="auto" w:fill="E0E0E0"/>
            <w:vAlign w:val="center"/>
          </w:tcPr>
          <w:p w:rsidR="006A610B" w:rsidRPr="00687A1C" w:rsidRDefault="006A610B" w:rsidP="00FD7161">
            <w:pPr>
              <w:pStyle w:val="Tabletextright"/>
            </w:pPr>
            <w:r w:rsidRPr="00687A1C">
              <w:t>418</w:t>
            </w:r>
          </w:p>
        </w:tc>
        <w:tc>
          <w:tcPr>
            <w:tcW w:w="778" w:type="dxa"/>
            <w:shd w:val="clear" w:color="auto" w:fill="E0E0E0"/>
            <w:vAlign w:val="center"/>
          </w:tcPr>
          <w:p w:rsidR="006A610B" w:rsidRPr="00687A1C" w:rsidRDefault="006A610B" w:rsidP="00FD7161">
            <w:pPr>
              <w:pStyle w:val="Tabletextright"/>
            </w:pPr>
            <w:r w:rsidRPr="00687A1C">
              <w:t>417.60</w:t>
            </w:r>
          </w:p>
        </w:tc>
        <w:tc>
          <w:tcPr>
            <w:tcW w:w="979" w:type="dxa"/>
            <w:shd w:val="clear" w:color="auto" w:fill="auto"/>
            <w:vAlign w:val="center"/>
          </w:tcPr>
          <w:p w:rsidR="006A610B" w:rsidRPr="00687A1C" w:rsidRDefault="006A610B" w:rsidP="00FD7161">
            <w:pPr>
              <w:pStyle w:val="Tabletextright"/>
            </w:pPr>
            <w:r w:rsidRPr="00687A1C">
              <w:t>382</w:t>
            </w:r>
          </w:p>
        </w:tc>
        <w:tc>
          <w:tcPr>
            <w:tcW w:w="979" w:type="dxa"/>
            <w:shd w:val="clear" w:color="auto" w:fill="auto"/>
            <w:vAlign w:val="center"/>
          </w:tcPr>
          <w:p w:rsidR="006A610B" w:rsidRPr="00687A1C" w:rsidRDefault="006A610B" w:rsidP="00FD7161">
            <w:pPr>
              <w:pStyle w:val="Tabletextright"/>
            </w:pPr>
            <w:r w:rsidRPr="00687A1C">
              <w:t>2</w:t>
            </w:r>
          </w:p>
        </w:tc>
        <w:tc>
          <w:tcPr>
            <w:tcW w:w="778" w:type="dxa"/>
            <w:shd w:val="clear" w:color="auto" w:fill="auto"/>
            <w:vAlign w:val="center"/>
          </w:tcPr>
          <w:p w:rsidR="006A610B" w:rsidRPr="00687A1C" w:rsidRDefault="006A610B" w:rsidP="00FD7161">
            <w:pPr>
              <w:pStyle w:val="Tabletextright"/>
            </w:pPr>
            <w:r w:rsidRPr="00687A1C">
              <w:t>383.60</w:t>
            </w:r>
          </w:p>
        </w:tc>
        <w:tc>
          <w:tcPr>
            <w:tcW w:w="950" w:type="dxa"/>
            <w:shd w:val="clear" w:color="auto" w:fill="E0E0E0"/>
            <w:vAlign w:val="center"/>
          </w:tcPr>
          <w:p w:rsidR="006A610B" w:rsidRPr="00687A1C" w:rsidRDefault="006A610B" w:rsidP="00FD7161">
            <w:pPr>
              <w:pStyle w:val="Tabletextright"/>
            </w:pPr>
            <w:r w:rsidRPr="00687A1C">
              <w:t>34</w:t>
            </w:r>
          </w:p>
        </w:tc>
        <w:tc>
          <w:tcPr>
            <w:tcW w:w="778" w:type="dxa"/>
            <w:shd w:val="clear" w:color="auto" w:fill="E0E0E0"/>
            <w:vAlign w:val="center"/>
          </w:tcPr>
          <w:p w:rsidR="006A610B" w:rsidRPr="00687A1C" w:rsidRDefault="006A610B" w:rsidP="00FD7161">
            <w:pPr>
              <w:pStyle w:val="Tabletextright"/>
            </w:pPr>
            <w:r w:rsidRPr="00687A1C">
              <w:t>34.00</w:t>
            </w:r>
          </w:p>
        </w:tc>
        <w:tc>
          <w:tcPr>
            <w:tcW w:w="950" w:type="dxa"/>
            <w:shd w:val="clear" w:color="auto" w:fill="auto"/>
            <w:noWrap/>
            <w:vAlign w:val="center"/>
          </w:tcPr>
          <w:p w:rsidR="006A610B" w:rsidRPr="00687A1C" w:rsidRDefault="006A610B" w:rsidP="00FD7161">
            <w:pPr>
              <w:pStyle w:val="Tabletextright"/>
            </w:pPr>
            <w:r w:rsidRPr="00687A1C">
              <w:t>384</w:t>
            </w:r>
          </w:p>
        </w:tc>
        <w:tc>
          <w:tcPr>
            <w:tcW w:w="778" w:type="dxa"/>
            <w:shd w:val="clear" w:color="auto" w:fill="auto"/>
            <w:vAlign w:val="center"/>
          </w:tcPr>
          <w:p w:rsidR="006A610B" w:rsidRPr="00687A1C" w:rsidRDefault="006A610B" w:rsidP="00FD7161">
            <w:pPr>
              <w:pStyle w:val="Tabletextright"/>
            </w:pPr>
            <w:r w:rsidRPr="00687A1C">
              <w:t>383.20</w:t>
            </w:r>
          </w:p>
        </w:tc>
        <w:tc>
          <w:tcPr>
            <w:tcW w:w="979" w:type="dxa"/>
            <w:shd w:val="clear" w:color="auto" w:fill="E0E0E0"/>
            <w:noWrap/>
            <w:vAlign w:val="center"/>
          </w:tcPr>
          <w:p w:rsidR="006A610B" w:rsidRPr="00687A1C" w:rsidRDefault="006A610B" w:rsidP="00FD7161">
            <w:pPr>
              <w:pStyle w:val="Tabletextright"/>
            </w:pPr>
            <w:r w:rsidRPr="00687A1C">
              <w:t>358</w:t>
            </w:r>
          </w:p>
        </w:tc>
        <w:tc>
          <w:tcPr>
            <w:tcW w:w="979" w:type="dxa"/>
            <w:shd w:val="clear" w:color="auto" w:fill="E0E0E0"/>
            <w:vAlign w:val="center"/>
          </w:tcPr>
          <w:p w:rsidR="006A610B" w:rsidRPr="00687A1C" w:rsidRDefault="006A610B" w:rsidP="00FD7161">
            <w:pPr>
              <w:pStyle w:val="Tabletextright"/>
            </w:pPr>
            <w:r w:rsidRPr="00687A1C">
              <w:t>2</w:t>
            </w:r>
          </w:p>
        </w:tc>
        <w:tc>
          <w:tcPr>
            <w:tcW w:w="778" w:type="dxa"/>
            <w:shd w:val="clear" w:color="auto" w:fill="E0E0E0"/>
            <w:vAlign w:val="center"/>
          </w:tcPr>
          <w:p w:rsidR="006A610B" w:rsidRPr="00687A1C" w:rsidRDefault="006A610B" w:rsidP="00FD7161">
            <w:pPr>
              <w:pStyle w:val="Tabletextright"/>
            </w:pPr>
            <w:r w:rsidRPr="00687A1C">
              <w:t>359.60</w:t>
            </w:r>
          </w:p>
        </w:tc>
        <w:tc>
          <w:tcPr>
            <w:tcW w:w="950" w:type="dxa"/>
            <w:vAlign w:val="center"/>
          </w:tcPr>
          <w:p w:rsidR="006A610B" w:rsidRPr="00687A1C" w:rsidRDefault="006A610B" w:rsidP="00FD7161">
            <w:pPr>
              <w:pStyle w:val="Tabletextright"/>
            </w:pPr>
            <w:r w:rsidRPr="00687A1C">
              <w:t>24</w:t>
            </w:r>
          </w:p>
        </w:tc>
        <w:tc>
          <w:tcPr>
            <w:tcW w:w="778" w:type="dxa"/>
            <w:vAlign w:val="center"/>
          </w:tcPr>
          <w:p w:rsidR="006A610B" w:rsidRPr="00687A1C" w:rsidRDefault="006A610B" w:rsidP="00FD7161">
            <w:pPr>
              <w:pStyle w:val="Tabletextright"/>
            </w:pPr>
            <w:r w:rsidRPr="00687A1C">
              <w:t>23.60</w:t>
            </w: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rPr>
              <w:t>Female</w:t>
            </w:r>
          </w:p>
        </w:tc>
        <w:tc>
          <w:tcPr>
            <w:tcW w:w="950" w:type="dxa"/>
            <w:shd w:val="clear" w:color="auto" w:fill="E0E0E0"/>
            <w:vAlign w:val="center"/>
          </w:tcPr>
          <w:p w:rsidR="006A610B" w:rsidRPr="00687A1C" w:rsidRDefault="006A610B" w:rsidP="00FD7161">
            <w:pPr>
              <w:pStyle w:val="Tabletextright"/>
            </w:pPr>
            <w:r w:rsidRPr="00687A1C">
              <w:t>107</w:t>
            </w:r>
          </w:p>
        </w:tc>
        <w:tc>
          <w:tcPr>
            <w:tcW w:w="778" w:type="dxa"/>
            <w:shd w:val="clear" w:color="auto" w:fill="E0E0E0"/>
            <w:vAlign w:val="center"/>
          </w:tcPr>
          <w:p w:rsidR="006A610B" w:rsidRPr="00687A1C" w:rsidRDefault="006A610B" w:rsidP="00FD7161">
            <w:pPr>
              <w:pStyle w:val="Tabletextright"/>
            </w:pPr>
            <w:r w:rsidRPr="00687A1C">
              <w:t>103.69</w:t>
            </w:r>
          </w:p>
        </w:tc>
        <w:tc>
          <w:tcPr>
            <w:tcW w:w="979" w:type="dxa"/>
            <w:shd w:val="clear" w:color="auto" w:fill="auto"/>
            <w:vAlign w:val="center"/>
          </w:tcPr>
          <w:p w:rsidR="006A610B" w:rsidRPr="00687A1C" w:rsidRDefault="006A610B" w:rsidP="00FD7161">
            <w:pPr>
              <w:pStyle w:val="Tabletextright"/>
            </w:pPr>
            <w:r w:rsidRPr="00687A1C">
              <w:t>84</w:t>
            </w:r>
          </w:p>
        </w:tc>
        <w:tc>
          <w:tcPr>
            <w:tcW w:w="979" w:type="dxa"/>
            <w:shd w:val="clear" w:color="auto" w:fill="auto"/>
            <w:vAlign w:val="center"/>
          </w:tcPr>
          <w:p w:rsidR="006A610B" w:rsidRPr="00687A1C" w:rsidRDefault="006A610B" w:rsidP="00FD7161">
            <w:pPr>
              <w:pStyle w:val="Tabletextright"/>
            </w:pPr>
            <w:r w:rsidRPr="00687A1C">
              <w:t>11</w:t>
            </w:r>
          </w:p>
        </w:tc>
        <w:tc>
          <w:tcPr>
            <w:tcW w:w="778" w:type="dxa"/>
            <w:shd w:val="clear" w:color="auto" w:fill="auto"/>
            <w:vAlign w:val="center"/>
          </w:tcPr>
          <w:p w:rsidR="006A610B" w:rsidRPr="00687A1C" w:rsidRDefault="006A610B" w:rsidP="00FD7161">
            <w:pPr>
              <w:pStyle w:val="Tabletextright"/>
            </w:pPr>
            <w:r w:rsidRPr="00687A1C">
              <w:t>91.89</w:t>
            </w:r>
          </w:p>
        </w:tc>
        <w:tc>
          <w:tcPr>
            <w:tcW w:w="950" w:type="dxa"/>
            <w:shd w:val="clear" w:color="auto" w:fill="E0E0E0"/>
            <w:vAlign w:val="center"/>
          </w:tcPr>
          <w:p w:rsidR="006A610B" w:rsidRPr="00687A1C" w:rsidRDefault="006A610B" w:rsidP="00FD7161">
            <w:pPr>
              <w:pStyle w:val="Tabletextright"/>
            </w:pPr>
            <w:r w:rsidRPr="00687A1C">
              <w:t>12</w:t>
            </w:r>
          </w:p>
        </w:tc>
        <w:tc>
          <w:tcPr>
            <w:tcW w:w="778" w:type="dxa"/>
            <w:shd w:val="clear" w:color="auto" w:fill="E0E0E0"/>
            <w:vAlign w:val="center"/>
          </w:tcPr>
          <w:p w:rsidR="006A610B" w:rsidRPr="00687A1C" w:rsidRDefault="006A610B" w:rsidP="00FD7161">
            <w:pPr>
              <w:pStyle w:val="Tabletextright"/>
            </w:pPr>
            <w:r w:rsidRPr="00687A1C">
              <w:t>11.80</w:t>
            </w:r>
          </w:p>
        </w:tc>
        <w:tc>
          <w:tcPr>
            <w:tcW w:w="950" w:type="dxa"/>
            <w:shd w:val="clear" w:color="auto" w:fill="auto"/>
            <w:noWrap/>
            <w:vAlign w:val="center"/>
          </w:tcPr>
          <w:p w:rsidR="006A610B" w:rsidRPr="00687A1C" w:rsidRDefault="006A610B" w:rsidP="00FD7161">
            <w:pPr>
              <w:pStyle w:val="Tabletextright"/>
            </w:pPr>
            <w:r w:rsidRPr="00687A1C">
              <w:t>104</w:t>
            </w:r>
          </w:p>
        </w:tc>
        <w:tc>
          <w:tcPr>
            <w:tcW w:w="778" w:type="dxa"/>
            <w:shd w:val="clear" w:color="auto" w:fill="auto"/>
            <w:vAlign w:val="center"/>
          </w:tcPr>
          <w:p w:rsidR="006A610B" w:rsidRPr="00687A1C" w:rsidRDefault="006A610B" w:rsidP="00FD7161">
            <w:pPr>
              <w:pStyle w:val="Tabletextright"/>
            </w:pPr>
            <w:r w:rsidRPr="00687A1C">
              <w:t>99.90</w:t>
            </w:r>
          </w:p>
        </w:tc>
        <w:tc>
          <w:tcPr>
            <w:tcW w:w="979" w:type="dxa"/>
            <w:shd w:val="clear" w:color="auto" w:fill="E0E0E0"/>
            <w:noWrap/>
            <w:vAlign w:val="center"/>
          </w:tcPr>
          <w:p w:rsidR="006A610B" w:rsidRPr="00687A1C" w:rsidRDefault="006A610B" w:rsidP="00FD7161">
            <w:pPr>
              <w:pStyle w:val="Tabletextright"/>
            </w:pPr>
            <w:r w:rsidRPr="00687A1C">
              <w:t>81</w:t>
            </w:r>
          </w:p>
        </w:tc>
        <w:tc>
          <w:tcPr>
            <w:tcW w:w="979" w:type="dxa"/>
            <w:shd w:val="clear" w:color="auto" w:fill="E0E0E0"/>
            <w:vAlign w:val="center"/>
          </w:tcPr>
          <w:p w:rsidR="006A610B" w:rsidRPr="00687A1C" w:rsidRDefault="006A610B" w:rsidP="00FD7161">
            <w:pPr>
              <w:pStyle w:val="Tabletextright"/>
            </w:pPr>
            <w:r w:rsidRPr="00687A1C">
              <w:t>13</w:t>
            </w:r>
          </w:p>
        </w:tc>
        <w:tc>
          <w:tcPr>
            <w:tcW w:w="778" w:type="dxa"/>
            <w:shd w:val="clear" w:color="auto" w:fill="E0E0E0"/>
            <w:vAlign w:val="center"/>
          </w:tcPr>
          <w:p w:rsidR="006A610B" w:rsidRPr="00687A1C" w:rsidRDefault="006A610B" w:rsidP="00FD7161">
            <w:pPr>
              <w:pStyle w:val="Tabletextright"/>
            </w:pPr>
            <w:r w:rsidRPr="00687A1C">
              <w:t>90.30</w:t>
            </w:r>
          </w:p>
        </w:tc>
        <w:tc>
          <w:tcPr>
            <w:tcW w:w="950" w:type="dxa"/>
            <w:vAlign w:val="center"/>
          </w:tcPr>
          <w:p w:rsidR="006A610B" w:rsidRPr="00687A1C" w:rsidRDefault="006A610B" w:rsidP="00FD7161">
            <w:pPr>
              <w:pStyle w:val="Tabletextright"/>
            </w:pPr>
            <w:r w:rsidRPr="00687A1C">
              <w:t>10</w:t>
            </w:r>
          </w:p>
        </w:tc>
        <w:tc>
          <w:tcPr>
            <w:tcW w:w="778" w:type="dxa"/>
            <w:vAlign w:val="center"/>
          </w:tcPr>
          <w:p w:rsidR="006A610B" w:rsidRPr="00687A1C" w:rsidRDefault="006A610B" w:rsidP="00FD7161">
            <w:pPr>
              <w:pStyle w:val="Tabletextright"/>
            </w:pPr>
            <w:r w:rsidRPr="00687A1C">
              <w:t>9.60</w:t>
            </w:r>
          </w:p>
        </w:tc>
      </w:tr>
      <w:tr w:rsidR="006A610B" w:rsidRPr="00687A1C" w:rsidTr="00FD7161">
        <w:trPr>
          <w:cantSplit/>
        </w:trPr>
        <w:tc>
          <w:tcPr>
            <w:tcW w:w="1483" w:type="dxa"/>
            <w:shd w:val="clear" w:color="auto" w:fill="auto"/>
          </w:tcPr>
          <w:p w:rsidR="006A610B" w:rsidRPr="00687A1C" w:rsidRDefault="006A610B" w:rsidP="00FD7161">
            <w:pPr>
              <w:pStyle w:val="Tabletext"/>
              <w:rPr>
                <w:rFonts w:cstheme="minorHAnsi"/>
              </w:rPr>
            </w:pPr>
            <w:r w:rsidRPr="00687A1C">
              <w:rPr>
                <w:rFonts w:cstheme="minorHAnsi"/>
              </w:rPr>
              <w:t>Self-described</w:t>
            </w:r>
          </w:p>
        </w:tc>
        <w:tc>
          <w:tcPr>
            <w:tcW w:w="950"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79" w:type="dxa"/>
            <w:shd w:val="clear" w:color="auto" w:fill="auto"/>
            <w:vAlign w:val="center"/>
          </w:tcPr>
          <w:p w:rsidR="006A610B" w:rsidRPr="00687A1C" w:rsidRDefault="006A610B" w:rsidP="00FD7161">
            <w:pPr>
              <w:pStyle w:val="Tabletextright"/>
            </w:pPr>
            <w:r w:rsidRPr="00687A1C">
              <w:t>–</w:t>
            </w:r>
          </w:p>
        </w:tc>
        <w:tc>
          <w:tcPr>
            <w:tcW w:w="979" w:type="dxa"/>
            <w:shd w:val="clear" w:color="auto" w:fill="auto"/>
            <w:vAlign w:val="center"/>
          </w:tcPr>
          <w:p w:rsidR="006A610B" w:rsidRPr="00687A1C" w:rsidRDefault="006A610B" w:rsidP="00FD7161">
            <w:pPr>
              <w:pStyle w:val="Tabletextright"/>
            </w:pPr>
            <w:r w:rsidRPr="00687A1C">
              <w:t>–</w:t>
            </w:r>
          </w:p>
        </w:tc>
        <w:tc>
          <w:tcPr>
            <w:tcW w:w="778" w:type="dxa"/>
            <w:shd w:val="clear" w:color="auto" w:fill="auto"/>
            <w:vAlign w:val="center"/>
          </w:tcPr>
          <w:p w:rsidR="006A610B" w:rsidRPr="00687A1C" w:rsidRDefault="006A610B" w:rsidP="00FD7161">
            <w:pPr>
              <w:pStyle w:val="Tabletextright"/>
            </w:pPr>
            <w:r w:rsidRPr="00687A1C">
              <w:t>–</w:t>
            </w:r>
          </w:p>
        </w:tc>
        <w:tc>
          <w:tcPr>
            <w:tcW w:w="950"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50" w:type="dxa"/>
            <w:shd w:val="clear" w:color="auto" w:fill="auto"/>
            <w:noWrap/>
            <w:vAlign w:val="center"/>
          </w:tcPr>
          <w:p w:rsidR="006A610B" w:rsidRPr="00687A1C" w:rsidRDefault="006A610B" w:rsidP="00FD7161">
            <w:pPr>
              <w:pStyle w:val="Tabletextright"/>
            </w:pPr>
            <w:r w:rsidRPr="00687A1C">
              <w:t>–</w:t>
            </w:r>
          </w:p>
        </w:tc>
        <w:tc>
          <w:tcPr>
            <w:tcW w:w="778" w:type="dxa"/>
            <w:shd w:val="clear" w:color="auto" w:fill="auto"/>
            <w:vAlign w:val="center"/>
          </w:tcPr>
          <w:p w:rsidR="006A610B" w:rsidRPr="00687A1C" w:rsidRDefault="006A610B" w:rsidP="00FD7161">
            <w:pPr>
              <w:pStyle w:val="Tabletextright"/>
            </w:pPr>
            <w:r w:rsidRPr="00687A1C">
              <w:t>–</w:t>
            </w:r>
          </w:p>
        </w:tc>
        <w:tc>
          <w:tcPr>
            <w:tcW w:w="979" w:type="dxa"/>
            <w:shd w:val="clear" w:color="auto" w:fill="E0E0E0"/>
            <w:noWrap/>
            <w:vAlign w:val="center"/>
          </w:tcPr>
          <w:p w:rsidR="006A610B" w:rsidRPr="00687A1C" w:rsidRDefault="006A610B" w:rsidP="00FD7161">
            <w:pPr>
              <w:pStyle w:val="Tabletextright"/>
            </w:pPr>
            <w:r w:rsidRPr="00687A1C">
              <w:t>–</w:t>
            </w:r>
          </w:p>
        </w:tc>
        <w:tc>
          <w:tcPr>
            <w:tcW w:w="979"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50" w:type="dxa"/>
            <w:vAlign w:val="center"/>
          </w:tcPr>
          <w:p w:rsidR="006A610B" w:rsidRPr="00687A1C" w:rsidRDefault="006A610B" w:rsidP="00FD7161">
            <w:pPr>
              <w:pStyle w:val="Tabletextright"/>
            </w:pPr>
            <w:r w:rsidRPr="00687A1C">
              <w:t>–</w:t>
            </w:r>
          </w:p>
        </w:tc>
        <w:tc>
          <w:tcPr>
            <w:tcW w:w="778" w:type="dxa"/>
            <w:vAlign w:val="center"/>
          </w:tcPr>
          <w:p w:rsidR="006A610B" w:rsidRPr="00687A1C" w:rsidRDefault="006A610B" w:rsidP="00FD7161">
            <w:pPr>
              <w:pStyle w:val="Tabletextright"/>
            </w:pPr>
            <w:r w:rsidRPr="00687A1C">
              <w:t>–</w:t>
            </w:r>
          </w:p>
        </w:tc>
      </w:tr>
      <w:tr w:rsidR="006A610B" w:rsidRPr="00687A1C" w:rsidTr="00FD7161">
        <w:trPr>
          <w:cantSplit/>
        </w:trPr>
        <w:tc>
          <w:tcPr>
            <w:tcW w:w="1483" w:type="dxa"/>
            <w:shd w:val="clear" w:color="auto" w:fill="auto"/>
          </w:tcPr>
          <w:p w:rsidR="006A610B" w:rsidRPr="00687A1C" w:rsidRDefault="006A610B" w:rsidP="00FD7161">
            <w:pPr>
              <w:pStyle w:val="Tabletext"/>
              <w:rPr>
                <w:sz w:val="6"/>
              </w:rPr>
            </w:pPr>
          </w:p>
        </w:tc>
        <w:tc>
          <w:tcPr>
            <w:tcW w:w="950" w:type="dxa"/>
            <w:shd w:val="clear" w:color="auto" w:fill="E0E0E0"/>
          </w:tcPr>
          <w:p w:rsidR="006A610B" w:rsidRPr="00687A1C" w:rsidRDefault="006A610B" w:rsidP="00FD7161">
            <w:pPr>
              <w:pStyle w:val="Tabletextright"/>
              <w:rPr>
                <w:rFonts w:cstheme="minorHAnsi"/>
                <w:sz w:val="6"/>
              </w:rPr>
            </w:pPr>
          </w:p>
        </w:tc>
        <w:tc>
          <w:tcPr>
            <w:tcW w:w="778" w:type="dxa"/>
            <w:shd w:val="clear" w:color="auto" w:fill="E0E0E0"/>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sz w:val="6"/>
              </w:rPr>
            </w:pPr>
          </w:p>
        </w:tc>
        <w:tc>
          <w:tcPr>
            <w:tcW w:w="778" w:type="dxa"/>
            <w:shd w:val="clear" w:color="auto" w:fill="auto"/>
          </w:tcPr>
          <w:p w:rsidR="006A610B" w:rsidRPr="00687A1C" w:rsidRDefault="006A610B" w:rsidP="00FD7161">
            <w:pPr>
              <w:pStyle w:val="Tabletextright"/>
              <w:rPr>
                <w:sz w:val="6"/>
              </w:rPr>
            </w:pPr>
          </w:p>
        </w:tc>
        <w:tc>
          <w:tcPr>
            <w:tcW w:w="950"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shd w:val="clear" w:color="auto" w:fill="auto"/>
            <w:noWrap/>
          </w:tcPr>
          <w:p w:rsidR="006A610B" w:rsidRPr="00687A1C" w:rsidRDefault="006A610B" w:rsidP="00FD7161">
            <w:pPr>
              <w:pStyle w:val="Tabletextright"/>
              <w:rPr>
                <w:rFonts w:cstheme="minorHAnsi"/>
                <w:sz w:val="6"/>
              </w:rPr>
            </w:pPr>
          </w:p>
        </w:tc>
        <w:tc>
          <w:tcPr>
            <w:tcW w:w="778" w:type="dxa"/>
            <w:shd w:val="clear" w:color="auto" w:fill="auto"/>
          </w:tcPr>
          <w:p w:rsidR="006A610B" w:rsidRPr="00687A1C" w:rsidRDefault="006A610B" w:rsidP="00FD7161">
            <w:pPr>
              <w:pStyle w:val="Tabletextright"/>
              <w:rPr>
                <w:rFonts w:cstheme="minorHAnsi"/>
                <w:sz w:val="6"/>
              </w:rPr>
            </w:pPr>
          </w:p>
        </w:tc>
        <w:tc>
          <w:tcPr>
            <w:tcW w:w="979" w:type="dxa"/>
            <w:shd w:val="clear" w:color="auto" w:fill="E0E0E0"/>
            <w:noWrap/>
          </w:tcPr>
          <w:p w:rsidR="006A610B" w:rsidRPr="00687A1C" w:rsidRDefault="006A610B" w:rsidP="00FD7161">
            <w:pPr>
              <w:pStyle w:val="Tabletextright"/>
              <w:rPr>
                <w:rFonts w:cstheme="minorHAnsi"/>
                <w:sz w:val="6"/>
              </w:rPr>
            </w:pPr>
          </w:p>
        </w:tc>
        <w:tc>
          <w:tcPr>
            <w:tcW w:w="979"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tcPr>
          <w:p w:rsidR="006A610B" w:rsidRPr="00687A1C" w:rsidRDefault="006A610B" w:rsidP="00FD7161">
            <w:pPr>
              <w:pStyle w:val="Tabletextright"/>
              <w:rPr>
                <w:sz w:val="6"/>
              </w:rPr>
            </w:pPr>
          </w:p>
        </w:tc>
        <w:tc>
          <w:tcPr>
            <w:tcW w:w="778" w:type="dxa"/>
          </w:tcPr>
          <w:p w:rsidR="006A610B" w:rsidRPr="00687A1C" w:rsidRDefault="006A610B" w:rsidP="00FD7161">
            <w:pPr>
              <w:pStyle w:val="Tabletextright"/>
              <w:rPr>
                <w:sz w:val="6"/>
              </w:rPr>
            </w:pP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b/>
              </w:rPr>
              <w:t>Age</w:t>
            </w:r>
          </w:p>
        </w:tc>
        <w:tc>
          <w:tcPr>
            <w:tcW w:w="950" w:type="dxa"/>
            <w:shd w:val="clear" w:color="auto" w:fill="E0E0E0"/>
          </w:tcPr>
          <w:p w:rsidR="006A610B" w:rsidRPr="00687A1C" w:rsidRDefault="006A610B" w:rsidP="00FD7161">
            <w:pPr>
              <w:pStyle w:val="Tabletextright"/>
              <w:rPr>
                <w:rFonts w:cstheme="minorHAnsi"/>
              </w:rPr>
            </w:pPr>
          </w:p>
        </w:tc>
        <w:tc>
          <w:tcPr>
            <w:tcW w:w="778" w:type="dxa"/>
            <w:shd w:val="clear" w:color="auto" w:fill="E0E0E0"/>
          </w:tcPr>
          <w:p w:rsidR="006A610B" w:rsidRPr="00687A1C" w:rsidRDefault="006A610B" w:rsidP="00FD7161">
            <w:pPr>
              <w:pStyle w:val="Tabletextright"/>
              <w:rPr>
                <w:rFonts w:cstheme="minorHAnsi"/>
              </w:rPr>
            </w:pPr>
          </w:p>
        </w:tc>
        <w:tc>
          <w:tcPr>
            <w:tcW w:w="979" w:type="dxa"/>
            <w:shd w:val="clear" w:color="auto" w:fill="auto"/>
          </w:tcPr>
          <w:p w:rsidR="006A610B" w:rsidRPr="00687A1C" w:rsidRDefault="006A610B" w:rsidP="00FD7161">
            <w:pPr>
              <w:pStyle w:val="Tabletextright"/>
              <w:rPr>
                <w:rFonts w:cstheme="minorHAnsi"/>
              </w:rPr>
            </w:pPr>
          </w:p>
        </w:tc>
        <w:tc>
          <w:tcPr>
            <w:tcW w:w="979" w:type="dxa"/>
            <w:shd w:val="clear" w:color="auto" w:fill="auto"/>
          </w:tcPr>
          <w:p w:rsidR="006A610B" w:rsidRPr="00687A1C" w:rsidRDefault="006A610B" w:rsidP="00FD7161">
            <w:pPr>
              <w:pStyle w:val="Tabletextright"/>
            </w:pPr>
          </w:p>
        </w:tc>
        <w:tc>
          <w:tcPr>
            <w:tcW w:w="778" w:type="dxa"/>
            <w:shd w:val="clear" w:color="auto" w:fill="auto"/>
          </w:tcPr>
          <w:p w:rsidR="006A610B" w:rsidRPr="00687A1C" w:rsidRDefault="006A610B" w:rsidP="00FD7161">
            <w:pPr>
              <w:pStyle w:val="Tabletextright"/>
            </w:pPr>
          </w:p>
        </w:tc>
        <w:tc>
          <w:tcPr>
            <w:tcW w:w="950" w:type="dxa"/>
            <w:shd w:val="clear" w:color="auto" w:fill="E0E0E0"/>
          </w:tcPr>
          <w:p w:rsidR="006A610B" w:rsidRPr="00687A1C" w:rsidRDefault="006A610B" w:rsidP="00FD7161">
            <w:pPr>
              <w:pStyle w:val="Tabletextright"/>
            </w:pPr>
          </w:p>
        </w:tc>
        <w:tc>
          <w:tcPr>
            <w:tcW w:w="778" w:type="dxa"/>
            <w:shd w:val="clear" w:color="auto" w:fill="E0E0E0"/>
          </w:tcPr>
          <w:p w:rsidR="006A610B" w:rsidRPr="00687A1C" w:rsidRDefault="006A610B" w:rsidP="00FD7161">
            <w:pPr>
              <w:pStyle w:val="Tabletextright"/>
            </w:pPr>
          </w:p>
        </w:tc>
        <w:tc>
          <w:tcPr>
            <w:tcW w:w="950" w:type="dxa"/>
            <w:shd w:val="clear" w:color="auto" w:fill="auto"/>
            <w:noWrap/>
          </w:tcPr>
          <w:p w:rsidR="006A610B" w:rsidRPr="00687A1C" w:rsidRDefault="006A610B" w:rsidP="00FD7161">
            <w:pPr>
              <w:pStyle w:val="Tabletextright"/>
              <w:rPr>
                <w:rFonts w:cstheme="minorHAnsi"/>
              </w:rPr>
            </w:pPr>
          </w:p>
        </w:tc>
        <w:tc>
          <w:tcPr>
            <w:tcW w:w="778" w:type="dxa"/>
            <w:shd w:val="clear" w:color="auto" w:fill="auto"/>
          </w:tcPr>
          <w:p w:rsidR="006A610B" w:rsidRPr="00687A1C" w:rsidRDefault="006A610B" w:rsidP="00FD7161">
            <w:pPr>
              <w:pStyle w:val="Tabletextright"/>
              <w:rPr>
                <w:rFonts w:cstheme="minorHAnsi"/>
              </w:rPr>
            </w:pPr>
          </w:p>
        </w:tc>
        <w:tc>
          <w:tcPr>
            <w:tcW w:w="979" w:type="dxa"/>
            <w:shd w:val="clear" w:color="auto" w:fill="E0E0E0"/>
            <w:noWrap/>
          </w:tcPr>
          <w:p w:rsidR="006A610B" w:rsidRPr="00687A1C" w:rsidRDefault="006A610B" w:rsidP="00FD7161">
            <w:pPr>
              <w:pStyle w:val="Tabletextright"/>
              <w:rPr>
                <w:rFonts w:cstheme="minorHAnsi"/>
              </w:rPr>
            </w:pPr>
          </w:p>
        </w:tc>
        <w:tc>
          <w:tcPr>
            <w:tcW w:w="979" w:type="dxa"/>
            <w:shd w:val="clear" w:color="auto" w:fill="E0E0E0"/>
          </w:tcPr>
          <w:p w:rsidR="006A610B" w:rsidRPr="00687A1C" w:rsidRDefault="006A610B" w:rsidP="00FD7161">
            <w:pPr>
              <w:pStyle w:val="Tabletextright"/>
            </w:pPr>
          </w:p>
        </w:tc>
        <w:tc>
          <w:tcPr>
            <w:tcW w:w="778" w:type="dxa"/>
            <w:shd w:val="clear" w:color="auto" w:fill="E0E0E0"/>
          </w:tcPr>
          <w:p w:rsidR="006A610B" w:rsidRPr="00687A1C" w:rsidRDefault="006A610B" w:rsidP="00FD7161">
            <w:pPr>
              <w:pStyle w:val="Tabletextright"/>
            </w:pPr>
          </w:p>
        </w:tc>
        <w:tc>
          <w:tcPr>
            <w:tcW w:w="950" w:type="dxa"/>
          </w:tcPr>
          <w:p w:rsidR="006A610B" w:rsidRPr="00687A1C" w:rsidRDefault="006A610B" w:rsidP="00FD7161">
            <w:pPr>
              <w:pStyle w:val="Tabletextright"/>
            </w:pPr>
          </w:p>
        </w:tc>
        <w:tc>
          <w:tcPr>
            <w:tcW w:w="778" w:type="dxa"/>
          </w:tcPr>
          <w:p w:rsidR="006A610B" w:rsidRPr="00687A1C" w:rsidRDefault="006A610B" w:rsidP="00FD7161">
            <w:pPr>
              <w:pStyle w:val="Tabletextright"/>
            </w:pP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rPr>
              <w:t>15–24</w:t>
            </w:r>
          </w:p>
        </w:tc>
        <w:tc>
          <w:tcPr>
            <w:tcW w:w="950" w:type="dxa"/>
            <w:shd w:val="clear" w:color="auto" w:fill="E0E0E0"/>
            <w:vAlign w:val="center"/>
          </w:tcPr>
          <w:p w:rsidR="006A610B" w:rsidRPr="00687A1C" w:rsidRDefault="006A610B" w:rsidP="00FD7161">
            <w:pPr>
              <w:pStyle w:val="Tabletextright"/>
            </w:pPr>
            <w:r w:rsidRPr="00687A1C">
              <w:t>13</w:t>
            </w:r>
          </w:p>
        </w:tc>
        <w:tc>
          <w:tcPr>
            <w:tcW w:w="778" w:type="dxa"/>
            <w:shd w:val="clear" w:color="auto" w:fill="E0E0E0"/>
            <w:vAlign w:val="center"/>
          </w:tcPr>
          <w:p w:rsidR="006A610B" w:rsidRPr="00687A1C" w:rsidRDefault="006A610B" w:rsidP="00FD7161">
            <w:pPr>
              <w:pStyle w:val="Tabletextright"/>
            </w:pPr>
            <w:r w:rsidRPr="00687A1C">
              <w:t>13.00</w:t>
            </w:r>
          </w:p>
        </w:tc>
        <w:tc>
          <w:tcPr>
            <w:tcW w:w="979" w:type="dxa"/>
            <w:shd w:val="clear" w:color="auto" w:fill="auto"/>
            <w:vAlign w:val="center"/>
          </w:tcPr>
          <w:p w:rsidR="006A610B" w:rsidRPr="00687A1C" w:rsidRDefault="006A610B" w:rsidP="00FD7161">
            <w:pPr>
              <w:pStyle w:val="Tabletextright"/>
            </w:pPr>
            <w:r w:rsidRPr="00687A1C">
              <w:t>4</w:t>
            </w:r>
          </w:p>
        </w:tc>
        <w:tc>
          <w:tcPr>
            <w:tcW w:w="979" w:type="dxa"/>
            <w:shd w:val="clear" w:color="auto" w:fill="auto"/>
            <w:vAlign w:val="center"/>
          </w:tcPr>
          <w:p w:rsidR="006A610B" w:rsidRPr="00687A1C" w:rsidRDefault="006A610B" w:rsidP="00FD7161">
            <w:pPr>
              <w:pStyle w:val="Tabletextright"/>
            </w:pPr>
            <w:r w:rsidRPr="00687A1C">
              <w:t>–</w:t>
            </w:r>
          </w:p>
        </w:tc>
        <w:tc>
          <w:tcPr>
            <w:tcW w:w="778" w:type="dxa"/>
            <w:shd w:val="clear" w:color="auto" w:fill="auto"/>
            <w:vAlign w:val="center"/>
          </w:tcPr>
          <w:p w:rsidR="006A610B" w:rsidRPr="00687A1C" w:rsidRDefault="006A610B" w:rsidP="00FD7161">
            <w:pPr>
              <w:pStyle w:val="Tabletextright"/>
            </w:pPr>
            <w:r w:rsidRPr="00687A1C">
              <w:t>4.00</w:t>
            </w:r>
          </w:p>
        </w:tc>
        <w:tc>
          <w:tcPr>
            <w:tcW w:w="950" w:type="dxa"/>
            <w:shd w:val="clear" w:color="auto" w:fill="E0E0E0"/>
            <w:vAlign w:val="center"/>
          </w:tcPr>
          <w:p w:rsidR="006A610B" w:rsidRPr="00687A1C" w:rsidRDefault="006A610B" w:rsidP="00FD7161">
            <w:pPr>
              <w:pStyle w:val="Tabletextright"/>
            </w:pPr>
            <w:r w:rsidRPr="00687A1C">
              <w:t>9</w:t>
            </w:r>
          </w:p>
        </w:tc>
        <w:tc>
          <w:tcPr>
            <w:tcW w:w="778" w:type="dxa"/>
            <w:shd w:val="clear" w:color="auto" w:fill="E0E0E0"/>
            <w:vAlign w:val="center"/>
          </w:tcPr>
          <w:p w:rsidR="006A610B" w:rsidRPr="00687A1C" w:rsidRDefault="006A610B" w:rsidP="00FD7161">
            <w:pPr>
              <w:pStyle w:val="Tabletextright"/>
            </w:pPr>
            <w:r w:rsidRPr="00687A1C">
              <w:t>9.00</w:t>
            </w:r>
          </w:p>
        </w:tc>
        <w:tc>
          <w:tcPr>
            <w:tcW w:w="950" w:type="dxa"/>
            <w:shd w:val="clear" w:color="auto" w:fill="auto"/>
            <w:noWrap/>
            <w:vAlign w:val="center"/>
          </w:tcPr>
          <w:p w:rsidR="006A610B" w:rsidRPr="00687A1C" w:rsidRDefault="006A610B" w:rsidP="00FD7161">
            <w:pPr>
              <w:pStyle w:val="Tabletextright"/>
            </w:pPr>
            <w:r w:rsidRPr="00687A1C">
              <w:t>3</w:t>
            </w:r>
          </w:p>
        </w:tc>
        <w:tc>
          <w:tcPr>
            <w:tcW w:w="778" w:type="dxa"/>
            <w:shd w:val="clear" w:color="auto" w:fill="auto"/>
            <w:vAlign w:val="center"/>
          </w:tcPr>
          <w:p w:rsidR="006A610B" w:rsidRPr="00687A1C" w:rsidRDefault="006A610B" w:rsidP="00FD7161">
            <w:pPr>
              <w:pStyle w:val="Tabletextright"/>
            </w:pPr>
            <w:r w:rsidRPr="00687A1C">
              <w:t>3.00</w:t>
            </w:r>
          </w:p>
        </w:tc>
        <w:tc>
          <w:tcPr>
            <w:tcW w:w="979" w:type="dxa"/>
            <w:shd w:val="clear" w:color="auto" w:fill="E0E0E0"/>
            <w:noWrap/>
            <w:vAlign w:val="center"/>
          </w:tcPr>
          <w:p w:rsidR="006A610B" w:rsidRPr="00687A1C" w:rsidRDefault="006A610B" w:rsidP="00FD7161">
            <w:pPr>
              <w:pStyle w:val="Tabletextright"/>
            </w:pPr>
            <w:r w:rsidRPr="00687A1C">
              <w:t>2</w:t>
            </w:r>
          </w:p>
        </w:tc>
        <w:tc>
          <w:tcPr>
            <w:tcW w:w="979"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2.00</w:t>
            </w:r>
          </w:p>
        </w:tc>
        <w:tc>
          <w:tcPr>
            <w:tcW w:w="950" w:type="dxa"/>
            <w:vAlign w:val="center"/>
          </w:tcPr>
          <w:p w:rsidR="006A610B" w:rsidRPr="00687A1C" w:rsidRDefault="006A610B" w:rsidP="00FD7161">
            <w:pPr>
              <w:pStyle w:val="Tabletextright"/>
            </w:pPr>
            <w:r w:rsidRPr="00687A1C">
              <w:t>1</w:t>
            </w:r>
          </w:p>
        </w:tc>
        <w:tc>
          <w:tcPr>
            <w:tcW w:w="778" w:type="dxa"/>
            <w:vAlign w:val="center"/>
          </w:tcPr>
          <w:p w:rsidR="006A610B" w:rsidRPr="00687A1C" w:rsidRDefault="006A610B" w:rsidP="00FD7161">
            <w:pPr>
              <w:pStyle w:val="Tabletextright"/>
            </w:pPr>
            <w:r w:rsidRPr="00687A1C">
              <w:t>1.00</w:t>
            </w: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rPr>
              <w:t>25</w:t>
            </w:r>
            <w:r w:rsidRPr="00687A1C">
              <w:rPr>
                <w:rFonts w:cstheme="minorHAnsi"/>
              </w:rPr>
              <w:noBreakHyphen/>
              <w:t>34</w:t>
            </w:r>
          </w:p>
        </w:tc>
        <w:tc>
          <w:tcPr>
            <w:tcW w:w="950" w:type="dxa"/>
            <w:shd w:val="clear" w:color="auto" w:fill="E0E0E0"/>
            <w:vAlign w:val="center"/>
          </w:tcPr>
          <w:p w:rsidR="006A610B" w:rsidRPr="00687A1C" w:rsidRDefault="006A610B" w:rsidP="00FD7161">
            <w:pPr>
              <w:pStyle w:val="Tabletextright"/>
            </w:pPr>
            <w:r w:rsidRPr="00687A1C">
              <w:t>106</w:t>
            </w:r>
          </w:p>
        </w:tc>
        <w:tc>
          <w:tcPr>
            <w:tcW w:w="778" w:type="dxa"/>
            <w:shd w:val="clear" w:color="auto" w:fill="E0E0E0"/>
            <w:vAlign w:val="center"/>
          </w:tcPr>
          <w:p w:rsidR="006A610B" w:rsidRPr="00687A1C" w:rsidRDefault="006A610B" w:rsidP="00FD7161">
            <w:pPr>
              <w:pStyle w:val="Tabletextright"/>
            </w:pPr>
            <w:r w:rsidRPr="00687A1C">
              <w:t>105.50</w:t>
            </w:r>
          </w:p>
        </w:tc>
        <w:tc>
          <w:tcPr>
            <w:tcW w:w="979" w:type="dxa"/>
            <w:shd w:val="clear" w:color="auto" w:fill="auto"/>
            <w:vAlign w:val="center"/>
          </w:tcPr>
          <w:p w:rsidR="006A610B" w:rsidRPr="00687A1C" w:rsidRDefault="00212645" w:rsidP="00FD7161">
            <w:pPr>
              <w:pStyle w:val="Tabletextright"/>
            </w:pPr>
            <w:r w:rsidRPr="00687A1C">
              <w:t>92</w:t>
            </w:r>
          </w:p>
        </w:tc>
        <w:tc>
          <w:tcPr>
            <w:tcW w:w="979" w:type="dxa"/>
            <w:shd w:val="clear" w:color="auto" w:fill="auto"/>
            <w:vAlign w:val="center"/>
          </w:tcPr>
          <w:p w:rsidR="006A610B" w:rsidRPr="00687A1C" w:rsidRDefault="006A610B" w:rsidP="00FD7161">
            <w:pPr>
              <w:pStyle w:val="Tabletextright"/>
            </w:pPr>
            <w:r w:rsidRPr="00687A1C">
              <w:t>2</w:t>
            </w:r>
          </w:p>
        </w:tc>
        <w:tc>
          <w:tcPr>
            <w:tcW w:w="778" w:type="dxa"/>
            <w:shd w:val="clear" w:color="auto" w:fill="auto"/>
            <w:vAlign w:val="center"/>
          </w:tcPr>
          <w:p w:rsidR="006A610B" w:rsidRPr="00687A1C" w:rsidRDefault="006A610B" w:rsidP="00FD7161">
            <w:pPr>
              <w:pStyle w:val="Tabletextright"/>
            </w:pPr>
            <w:r w:rsidRPr="00687A1C">
              <w:t>93.50</w:t>
            </w:r>
          </w:p>
        </w:tc>
        <w:tc>
          <w:tcPr>
            <w:tcW w:w="950" w:type="dxa"/>
            <w:shd w:val="clear" w:color="auto" w:fill="E0E0E0"/>
            <w:vAlign w:val="center"/>
          </w:tcPr>
          <w:p w:rsidR="006A610B" w:rsidRPr="00687A1C" w:rsidRDefault="006A610B" w:rsidP="00FD7161">
            <w:pPr>
              <w:pStyle w:val="Tabletextright"/>
            </w:pPr>
            <w:r w:rsidRPr="00687A1C">
              <w:t>12</w:t>
            </w:r>
          </w:p>
        </w:tc>
        <w:tc>
          <w:tcPr>
            <w:tcW w:w="778" w:type="dxa"/>
            <w:shd w:val="clear" w:color="auto" w:fill="E0E0E0"/>
            <w:vAlign w:val="center"/>
          </w:tcPr>
          <w:p w:rsidR="006A610B" w:rsidRPr="00687A1C" w:rsidRDefault="006A610B" w:rsidP="00FD7161">
            <w:pPr>
              <w:pStyle w:val="Tabletextright"/>
            </w:pPr>
            <w:r w:rsidRPr="00687A1C">
              <w:t>12.00</w:t>
            </w:r>
          </w:p>
        </w:tc>
        <w:tc>
          <w:tcPr>
            <w:tcW w:w="950" w:type="dxa"/>
            <w:shd w:val="clear" w:color="auto" w:fill="auto"/>
            <w:noWrap/>
            <w:vAlign w:val="center"/>
          </w:tcPr>
          <w:p w:rsidR="006A610B" w:rsidRPr="00687A1C" w:rsidRDefault="006A610B" w:rsidP="00FD7161">
            <w:pPr>
              <w:pStyle w:val="Tabletextright"/>
            </w:pPr>
            <w:r w:rsidRPr="00687A1C">
              <w:t>99</w:t>
            </w:r>
          </w:p>
        </w:tc>
        <w:tc>
          <w:tcPr>
            <w:tcW w:w="778" w:type="dxa"/>
            <w:shd w:val="clear" w:color="auto" w:fill="auto"/>
            <w:vAlign w:val="center"/>
          </w:tcPr>
          <w:p w:rsidR="006A610B" w:rsidRPr="00687A1C" w:rsidRDefault="006A610B" w:rsidP="00FD7161">
            <w:pPr>
              <w:pStyle w:val="Tabletextright"/>
            </w:pPr>
            <w:r w:rsidRPr="00687A1C">
              <w:t>97.60</w:t>
            </w:r>
          </w:p>
        </w:tc>
        <w:tc>
          <w:tcPr>
            <w:tcW w:w="979" w:type="dxa"/>
            <w:shd w:val="clear" w:color="auto" w:fill="E0E0E0"/>
            <w:noWrap/>
            <w:vAlign w:val="center"/>
          </w:tcPr>
          <w:p w:rsidR="006A610B" w:rsidRPr="00687A1C" w:rsidRDefault="006A610B" w:rsidP="00FD7161">
            <w:pPr>
              <w:pStyle w:val="Tabletextright"/>
            </w:pPr>
            <w:r w:rsidRPr="00687A1C">
              <w:t>81</w:t>
            </w:r>
          </w:p>
        </w:tc>
        <w:tc>
          <w:tcPr>
            <w:tcW w:w="979" w:type="dxa"/>
            <w:shd w:val="clear" w:color="auto" w:fill="E0E0E0"/>
            <w:vAlign w:val="center"/>
          </w:tcPr>
          <w:p w:rsidR="006A610B" w:rsidRPr="00687A1C" w:rsidRDefault="006A610B" w:rsidP="00FD7161">
            <w:pPr>
              <w:pStyle w:val="Tabletextright"/>
            </w:pPr>
            <w:r w:rsidRPr="00687A1C">
              <w:t>5</w:t>
            </w:r>
          </w:p>
        </w:tc>
        <w:tc>
          <w:tcPr>
            <w:tcW w:w="778" w:type="dxa"/>
            <w:shd w:val="clear" w:color="auto" w:fill="E0E0E0"/>
            <w:vAlign w:val="center"/>
          </w:tcPr>
          <w:p w:rsidR="006A610B" w:rsidRPr="00687A1C" w:rsidRDefault="006A610B" w:rsidP="00FD7161">
            <w:pPr>
              <w:pStyle w:val="Tabletextright"/>
            </w:pPr>
            <w:r w:rsidRPr="00687A1C">
              <w:t>84.60</w:t>
            </w:r>
          </w:p>
        </w:tc>
        <w:tc>
          <w:tcPr>
            <w:tcW w:w="950" w:type="dxa"/>
            <w:vAlign w:val="center"/>
          </w:tcPr>
          <w:p w:rsidR="006A610B" w:rsidRPr="00687A1C" w:rsidRDefault="006A610B" w:rsidP="00FD7161">
            <w:pPr>
              <w:pStyle w:val="Tabletextright"/>
            </w:pPr>
            <w:r w:rsidRPr="00687A1C">
              <w:t>13</w:t>
            </w:r>
          </w:p>
        </w:tc>
        <w:tc>
          <w:tcPr>
            <w:tcW w:w="778" w:type="dxa"/>
            <w:vAlign w:val="center"/>
          </w:tcPr>
          <w:p w:rsidR="006A610B" w:rsidRPr="00687A1C" w:rsidRDefault="006A610B" w:rsidP="00FD7161">
            <w:pPr>
              <w:pStyle w:val="Tabletextright"/>
            </w:pPr>
            <w:r w:rsidRPr="00687A1C">
              <w:t>13.00</w:t>
            </w: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rPr>
              <w:t>35</w:t>
            </w:r>
            <w:r w:rsidRPr="00687A1C">
              <w:rPr>
                <w:rFonts w:cstheme="minorHAnsi"/>
              </w:rPr>
              <w:noBreakHyphen/>
              <w:t>44</w:t>
            </w:r>
          </w:p>
        </w:tc>
        <w:tc>
          <w:tcPr>
            <w:tcW w:w="950" w:type="dxa"/>
            <w:shd w:val="clear" w:color="auto" w:fill="E0E0E0"/>
            <w:vAlign w:val="center"/>
          </w:tcPr>
          <w:p w:rsidR="006A610B" w:rsidRPr="00687A1C" w:rsidRDefault="006A610B" w:rsidP="00FD7161">
            <w:pPr>
              <w:pStyle w:val="Tabletextright"/>
            </w:pPr>
            <w:r w:rsidRPr="00687A1C">
              <w:t>197</w:t>
            </w:r>
          </w:p>
        </w:tc>
        <w:tc>
          <w:tcPr>
            <w:tcW w:w="778" w:type="dxa"/>
            <w:shd w:val="clear" w:color="auto" w:fill="E0E0E0"/>
            <w:vAlign w:val="center"/>
          </w:tcPr>
          <w:p w:rsidR="006A610B" w:rsidRPr="00687A1C" w:rsidRDefault="006A610B" w:rsidP="00FD7161">
            <w:pPr>
              <w:pStyle w:val="Tabletextright"/>
            </w:pPr>
            <w:r w:rsidRPr="00687A1C">
              <w:t>195.26</w:t>
            </w:r>
          </w:p>
        </w:tc>
        <w:tc>
          <w:tcPr>
            <w:tcW w:w="979" w:type="dxa"/>
            <w:shd w:val="clear" w:color="auto" w:fill="auto"/>
            <w:vAlign w:val="center"/>
          </w:tcPr>
          <w:p w:rsidR="006A610B" w:rsidRPr="00687A1C" w:rsidRDefault="006A610B" w:rsidP="00FD7161">
            <w:pPr>
              <w:pStyle w:val="Tabletextright"/>
            </w:pPr>
            <w:r w:rsidRPr="00687A1C">
              <w:t>181</w:t>
            </w:r>
          </w:p>
        </w:tc>
        <w:tc>
          <w:tcPr>
            <w:tcW w:w="979" w:type="dxa"/>
            <w:shd w:val="clear" w:color="auto" w:fill="auto"/>
            <w:vAlign w:val="center"/>
          </w:tcPr>
          <w:p w:rsidR="006A610B" w:rsidRPr="00687A1C" w:rsidRDefault="006A610B" w:rsidP="00FD7161">
            <w:pPr>
              <w:pStyle w:val="Tabletextright"/>
            </w:pPr>
            <w:r w:rsidRPr="00687A1C">
              <w:t>6</w:t>
            </w:r>
          </w:p>
        </w:tc>
        <w:tc>
          <w:tcPr>
            <w:tcW w:w="778" w:type="dxa"/>
            <w:shd w:val="clear" w:color="auto" w:fill="auto"/>
            <w:vAlign w:val="center"/>
          </w:tcPr>
          <w:p w:rsidR="006A610B" w:rsidRPr="00687A1C" w:rsidRDefault="006A610B" w:rsidP="00FD7161">
            <w:pPr>
              <w:pStyle w:val="Tabletextright"/>
            </w:pPr>
            <w:r w:rsidRPr="00687A1C">
              <w:t>185.26</w:t>
            </w:r>
          </w:p>
        </w:tc>
        <w:tc>
          <w:tcPr>
            <w:tcW w:w="950" w:type="dxa"/>
            <w:shd w:val="clear" w:color="auto" w:fill="E0E0E0"/>
            <w:vAlign w:val="center"/>
          </w:tcPr>
          <w:p w:rsidR="006A610B" w:rsidRPr="00687A1C" w:rsidRDefault="006A610B" w:rsidP="00FD7161">
            <w:pPr>
              <w:pStyle w:val="Tabletextright"/>
            </w:pPr>
            <w:r w:rsidRPr="00687A1C">
              <w:t>10</w:t>
            </w:r>
          </w:p>
        </w:tc>
        <w:tc>
          <w:tcPr>
            <w:tcW w:w="778" w:type="dxa"/>
            <w:shd w:val="clear" w:color="auto" w:fill="E0E0E0"/>
            <w:vAlign w:val="center"/>
          </w:tcPr>
          <w:p w:rsidR="006A610B" w:rsidRPr="00687A1C" w:rsidRDefault="006A610B" w:rsidP="00FD7161">
            <w:pPr>
              <w:pStyle w:val="Tabletextright"/>
            </w:pPr>
            <w:r w:rsidRPr="00687A1C">
              <w:t>10.00</w:t>
            </w:r>
          </w:p>
        </w:tc>
        <w:tc>
          <w:tcPr>
            <w:tcW w:w="950" w:type="dxa"/>
            <w:shd w:val="clear" w:color="auto" w:fill="auto"/>
            <w:noWrap/>
            <w:vAlign w:val="center"/>
          </w:tcPr>
          <w:p w:rsidR="006A610B" w:rsidRPr="00687A1C" w:rsidRDefault="006A610B" w:rsidP="00FD7161">
            <w:pPr>
              <w:pStyle w:val="Tabletextright"/>
            </w:pPr>
            <w:r w:rsidRPr="00687A1C">
              <w:t>179</w:t>
            </w:r>
          </w:p>
        </w:tc>
        <w:tc>
          <w:tcPr>
            <w:tcW w:w="778" w:type="dxa"/>
            <w:shd w:val="clear" w:color="auto" w:fill="auto"/>
            <w:vAlign w:val="center"/>
          </w:tcPr>
          <w:p w:rsidR="006A610B" w:rsidRPr="00687A1C" w:rsidRDefault="006A610B" w:rsidP="00FD7161">
            <w:pPr>
              <w:pStyle w:val="Tabletextright"/>
            </w:pPr>
            <w:r w:rsidRPr="00687A1C">
              <w:t>177.30</w:t>
            </w:r>
          </w:p>
        </w:tc>
        <w:tc>
          <w:tcPr>
            <w:tcW w:w="979" w:type="dxa"/>
            <w:shd w:val="clear" w:color="auto" w:fill="E0E0E0"/>
            <w:noWrap/>
            <w:vAlign w:val="center"/>
          </w:tcPr>
          <w:p w:rsidR="006A610B" w:rsidRPr="00687A1C" w:rsidRDefault="006A610B" w:rsidP="00FD7161">
            <w:pPr>
              <w:pStyle w:val="Tabletextright"/>
            </w:pPr>
            <w:r w:rsidRPr="00687A1C">
              <w:t>168</w:t>
            </w:r>
          </w:p>
        </w:tc>
        <w:tc>
          <w:tcPr>
            <w:tcW w:w="979" w:type="dxa"/>
            <w:shd w:val="clear" w:color="auto" w:fill="E0E0E0"/>
            <w:vAlign w:val="center"/>
          </w:tcPr>
          <w:p w:rsidR="006A610B" w:rsidRPr="00687A1C" w:rsidRDefault="006A610B" w:rsidP="00FD7161">
            <w:pPr>
              <w:pStyle w:val="Tabletextright"/>
            </w:pPr>
            <w:r w:rsidRPr="00687A1C">
              <w:t>5</w:t>
            </w:r>
          </w:p>
        </w:tc>
        <w:tc>
          <w:tcPr>
            <w:tcW w:w="778" w:type="dxa"/>
            <w:shd w:val="clear" w:color="auto" w:fill="E0E0E0"/>
            <w:vAlign w:val="center"/>
          </w:tcPr>
          <w:p w:rsidR="006A610B" w:rsidRPr="00687A1C" w:rsidRDefault="006A610B" w:rsidP="00FD7161">
            <w:pPr>
              <w:pStyle w:val="Tabletextright"/>
            </w:pPr>
            <w:r w:rsidRPr="00687A1C">
              <w:t>171.70</w:t>
            </w:r>
          </w:p>
        </w:tc>
        <w:tc>
          <w:tcPr>
            <w:tcW w:w="950" w:type="dxa"/>
            <w:vAlign w:val="center"/>
          </w:tcPr>
          <w:p w:rsidR="006A610B" w:rsidRPr="00687A1C" w:rsidRDefault="006A610B" w:rsidP="00FD7161">
            <w:pPr>
              <w:pStyle w:val="Tabletextright"/>
            </w:pPr>
            <w:r w:rsidRPr="00687A1C">
              <w:t>6</w:t>
            </w:r>
          </w:p>
        </w:tc>
        <w:tc>
          <w:tcPr>
            <w:tcW w:w="778" w:type="dxa"/>
            <w:vAlign w:val="center"/>
          </w:tcPr>
          <w:p w:rsidR="006A610B" w:rsidRPr="00687A1C" w:rsidRDefault="006A610B" w:rsidP="00FD7161">
            <w:pPr>
              <w:pStyle w:val="Tabletextright"/>
            </w:pPr>
            <w:r w:rsidRPr="00687A1C">
              <w:t>5.60</w:t>
            </w: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rPr>
              <w:t>45</w:t>
            </w:r>
            <w:r w:rsidRPr="00687A1C">
              <w:rPr>
                <w:rFonts w:cstheme="minorHAnsi"/>
              </w:rPr>
              <w:noBreakHyphen/>
              <w:t>54</w:t>
            </w:r>
          </w:p>
        </w:tc>
        <w:tc>
          <w:tcPr>
            <w:tcW w:w="950" w:type="dxa"/>
            <w:shd w:val="clear" w:color="auto" w:fill="E0E0E0"/>
            <w:vAlign w:val="center"/>
          </w:tcPr>
          <w:p w:rsidR="006A610B" w:rsidRPr="00687A1C" w:rsidRDefault="006A610B" w:rsidP="00FD7161">
            <w:pPr>
              <w:pStyle w:val="Tabletextright"/>
            </w:pPr>
            <w:r w:rsidRPr="00687A1C">
              <w:t>127</w:t>
            </w:r>
          </w:p>
        </w:tc>
        <w:tc>
          <w:tcPr>
            <w:tcW w:w="778" w:type="dxa"/>
            <w:shd w:val="clear" w:color="auto" w:fill="E0E0E0"/>
            <w:vAlign w:val="center"/>
          </w:tcPr>
          <w:p w:rsidR="006A610B" w:rsidRPr="00687A1C" w:rsidRDefault="006A610B" w:rsidP="00FD7161">
            <w:pPr>
              <w:pStyle w:val="Tabletextright"/>
            </w:pPr>
            <w:r w:rsidRPr="00687A1C">
              <w:t>126.33</w:t>
            </w:r>
          </w:p>
        </w:tc>
        <w:tc>
          <w:tcPr>
            <w:tcW w:w="979" w:type="dxa"/>
            <w:shd w:val="clear" w:color="auto" w:fill="auto"/>
            <w:vAlign w:val="center"/>
          </w:tcPr>
          <w:p w:rsidR="006A610B" w:rsidRPr="00687A1C" w:rsidRDefault="006A610B" w:rsidP="00FD7161">
            <w:pPr>
              <w:pStyle w:val="Tabletextright"/>
            </w:pPr>
            <w:r w:rsidRPr="00687A1C">
              <w:t>115</w:t>
            </w:r>
          </w:p>
        </w:tc>
        <w:tc>
          <w:tcPr>
            <w:tcW w:w="979" w:type="dxa"/>
            <w:shd w:val="clear" w:color="auto" w:fill="auto"/>
            <w:vAlign w:val="center"/>
          </w:tcPr>
          <w:p w:rsidR="006A610B" w:rsidRPr="00687A1C" w:rsidRDefault="006A610B" w:rsidP="00FD7161">
            <w:pPr>
              <w:pStyle w:val="Tabletextright"/>
            </w:pPr>
            <w:r w:rsidRPr="00687A1C">
              <w:t>2</w:t>
            </w:r>
          </w:p>
        </w:tc>
        <w:tc>
          <w:tcPr>
            <w:tcW w:w="778" w:type="dxa"/>
            <w:shd w:val="clear" w:color="auto" w:fill="auto"/>
            <w:vAlign w:val="center"/>
          </w:tcPr>
          <w:p w:rsidR="006A610B" w:rsidRPr="00687A1C" w:rsidRDefault="006A610B" w:rsidP="00FD7161">
            <w:pPr>
              <w:pStyle w:val="Tabletextright"/>
            </w:pPr>
            <w:r w:rsidRPr="00687A1C">
              <w:t>116.53</w:t>
            </w:r>
          </w:p>
        </w:tc>
        <w:tc>
          <w:tcPr>
            <w:tcW w:w="950" w:type="dxa"/>
            <w:shd w:val="clear" w:color="auto" w:fill="E0E0E0"/>
            <w:vAlign w:val="center"/>
          </w:tcPr>
          <w:p w:rsidR="006A610B" w:rsidRPr="00687A1C" w:rsidRDefault="006A610B" w:rsidP="00FD7161">
            <w:pPr>
              <w:pStyle w:val="Tabletextright"/>
            </w:pPr>
            <w:r w:rsidRPr="00687A1C">
              <w:t>10</w:t>
            </w:r>
          </w:p>
        </w:tc>
        <w:tc>
          <w:tcPr>
            <w:tcW w:w="778" w:type="dxa"/>
            <w:shd w:val="clear" w:color="auto" w:fill="E0E0E0"/>
            <w:vAlign w:val="center"/>
          </w:tcPr>
          <w:p w:rsidR="006A610B" w:rsidRPr="00687A1C" w:rsidRDefault="006A610B" w:rsidP="00FD7161">
            <w:pPr>
              <w:pStyle w:val="Tabletextright"/>
            </w:pPr>
            <w:r w:rsidRPr="00687A1C">
              <w:t>10.00</w:t>
            </w:r>
          </w:p>
        </w:tc>
        <w:tc>
          <w:tcPr>
            <w:tcW w:w="950" w:type="dxa"/>
            <w:shd w:val="clear" w:color="auto" w:fill="auto"/>
            <w:noWrap/>
            <w:vAlign w:val="center"/>
          </w:tcPr>
          <w:p w:rsidR="006A610B" w:rsidRPr="00687A1C" w:rsidRDefault="006A610B" w:rsidP="00FD7161">
            <w:pPr>
              <w:pStyle w:val="Tabletextright"/>
            </w:pPr>
            <w:r w:rsidRPr="00687A1C">
              <w:t>133</w:t>
            </w:r>
          </w:p>
        </w:tc>
        <w:tc>
          <w:tcPr>
            <w:tcW w:w="778" w:type="dxa"/>
            <w:shd w:val="clear" w:color="auto" w:fill="auto"/>
            <w:vAlign w:val="center"/>
          </w:tcPr>
          <w:p w:rsidR="006A610B" w:rsidRPr="00687A1C" w:rsidRDefault="006A610B" w:rsidP="00FD7161">
            <w:pPr>
              <w:pStyle w:val="Tabletextright"/>
            </w:pPr>
            <w:r w:rsidRPr="00687A1C">
              <w:t>132.20</w:t>
            </w:r>
          </w:p>
        </w:tc>
        <w:tc>
          <w:tcPr>
            <w:tcW w:w="979" w:type="dxa"/>
            <w:shd w:val="clear" w:color="auto" w:fill="E0E0E0"/>
            <w:noWrap/>
            <w:vAlign w:val="center"/>
          </w:tcPr>
          <w:p w:rsidR="006A610B" w:rsidRPr="00687A1C" w:rsidRDefault="006A610B" w:rsidP="00FD7161">
            <w:pPr>
              <w:pStyle w:val="Tabletextright"/>
            </w:pPr>
            <w:r w:rsidRPr="00687A1C">
              <w:t>122</w:t>
            </w:r>
          </w:p>
        </w:tc>
        <w:tc>
          <w:tcPr>
            <w:tcW w:w="979" w:type="dxa"/>
            <w:shd w:val="clear" w:color="auto" w:fill="E0E0E0"/>
            <w:vAlign w:val="center"/>
          </w:tcPr>
          <w:p w:rsidR="006A610B" w:rsidRPr="00687A1C" w:rsidRDefault="006A610B" w:rsidP="00FD7161">
            <w:pPr>
              <w:pStyle w:val="Tabletextright"/>
            </w:pPr>
            <w:r w:rsidRPr="00687A1C">
              <w:t>3</w:t>
            </w:r>
          </w:p>
        </w:tc>
        <w:tc>
          <w:tcPr>
            <w:tcW w:w="778" w:type="dxa"/>
            <w:shd w:val="clear" w:color="auto" w:fill="E0E0E0"/>
            <w:vAlign w:val="center"/>
          </w:tcPr>
          <w:p w:rsidR="006A610B" w:rsidRPr="00687A1C" w:rsidRDefault="006A610B" w:rsidP="00FD7161">
            <w:pPr>
              <w:pStyle w:val="Tabletextright"/>
            </w:pPr>
            <w:r w:rsidRPr="00687A1C">
              <w:t>124.20</w:t>
            </w:r>
          </w:p>
        </w:tc>
        <w:tc>
          <w:tcPr>
            <w:tcW w:w="950" w:type="dxa"/>
            <w:vAlign w:val="center"/>
          </w:tcPr>
          <w:p w:rsidR="006A610B" w:rsidRPr="00687A1C" w:rsidRDefault="006A610B" w:rsidP="00FD7161">
            <w:pPr>
              <w:pStyle w:val="Tabletextright"/>
            </w:pPr>
            <w:r w:rsidRPr="00687A1C">
              <w:t>8</w:t>
            </w:r>
          </w:p>
        </w:tc>
        <w:tc>
          <w:tcPr>
            <w:tcW w:w="778" w:type="dxa"/>
            <w:vAlign w:val="center"/>
          </w:tcPr>
          <w:p w:rsidR="006A610B" w:rsidRPr="00687A1C" w:rsidRDefault="006A610B" w:rsidP="00FD7161">
            <w:pPr>
              <w:pStyle w:val="Tabletextright"/>
            </w:pPr>
            <w:r w:rsidRPr="00687A1C">
              <w:t>8.00</w:t>
            </w: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rPr>
              <w:t>55</w:t>
            </w:r>
            <w:r w:rsidRPr="00687A1C">
              <w:rPr>
                <w:rFonts w:cstheme="minorHAnsi"/>
              </w:rPr>
              <w:noBreakHyphen/>
              <w:t>64</w:t>
            </w:r>
          </w:p>
        </w:tc>
        <w:tc>
          <w:tcPr>
            <w:tcW w:w="950" w:type="dxa"/>
            <w:shd w:val="clear" w:color="auto" w:fill="E0E0E0"/>
            <w:vAlign w:val="center"/>
          </w:tcPr>
          <w:p w:rsidR="006A610B" w:rsidRPr="00687A1C" w:rsidRDefault="006A610B" w:rsidP="00FD7161">
            <w:pPr>
              <w:pStyle w:val="Tabletextright"/>
            </w:pPr>
            <w:r w:rsidRPr="00687A1C">
              <w:t>76</w:t>
            </w:r>
          </w:p>
        </w:tc>
        <w:tc>
          <w:tcPr>
            <w:tcW w:w="778" w:type="dxa"/>
            <w:shd w:val="clear" w:color="auto" w:fill="E0E0E0"/>
            <w:vAlign w:val="center"/>
          </w:tcPr>
          <w:p w:rsidR="006A610B" w:rsidRPr="00687A1C" w:rsidRDefault="006A610B" w:rsidP="00FD7161">
            <w:pPr>
              <w:pStyle w:val="Tabletextright"/>
            </w:pPr>
            <w:r w:rsidRPr="00687A1C">
              <w:t>75.60</w:t>
            </w:r>
          </w:p>
        </w:tc>
        <w:tc>
          <w:tcPr>
            <w:tcW w:w="979" w:type="dxa"/>
            <w:shd w:val="clear" w:color="auto" w:fill="auto"/>
            <w:vAlign w:val="center"/>
          </w:tcPr>
          <w:p w:rsidR="006A610B" w:rsidRPr="00687A1C" w:rsidRDefault="006A610B" w:rsidP="00FD7161">
            <w:pPr>
              <w:pStyle w:val="Tabletextright"/>
            </w:pPr>
            <w:r w:rsidRPr="00687A1C">
              <w:t>69</w:t>
            </w:r>
          </w:p>
        </w:tc>
        <w:tc>
          <w:tcPr>
            <w:tcW w:w="979" w:type="dxa"/>
            <w:shd w:val="clear" w:color="auto" w:fill="auto"/>
            <w:vAlign w:val="center"/>
          </w:tcPr>
          <w:p w:rsidR="006A610B" w:rsidRPr="00687A1C" w:rsidRDefault="006A610B" w:rsidP="00FD7161">
            <w:pPr>
              <w:pStyle w:val="Tabletextright"/>
            </w:pPr>
            <w:r w:rsidRPr="00687A1C">
              <w:t>2</w:t>
            </w:r>
          </w:p>
        </w:tc>
        <w:tc>
          <w:tcPr>
            <w:tcW w:w="778" w:type="dxa"/>
            <w:shd w:val="clear" w:color="auto" w:fill="auto"/>
            <w:vAlign w:val="center"/>
          </w:tcPr>
          <w:p w:rsidR="006A610B" w:rsidRPr="00687A1C" w:rsidRDefault="006A610B" w:rsidP="00FD7161">
            <w:pPr>
              <w:pStyle w:val="Tabletextright"/>
            </w:pPr>
            <w:r w:rsidRPr="00687A1C">
              <w:t>70.60</w:t>
            </w:r>
          </w:p>
        </w:tc>
        <w:tc>
          <w:tcPr>
            <w:tcW w:w="950" w:type="dxa"/>
            <w:shd w:val="clear" w:color="auto" w:fill="E0E0E0"/>
            <w:vAlign w:val="center"/>
          </w:tcPr>
          <w:p w:rsidR="006A610B" w:rsidRPr="00687A1C" w:rsidRDefault="006A610B" w:rsidP="00FD7161">
            <w:pPr>
              <w:pStyle w:val="Tabletextright"/>
            </w:pPr>
            <w:r w:rsidRPr="00687A1C">
              <w:t>5</w:t>
            </w:r>
          </w:p>
        </w:tc>
        <w:tc>
          <w:tcPr>
            <w:tcW w:w="778" w:type="dxa"/>
            <w:shd w:val="clear" w:color="auto" w:fill="E0E0E0"/>
            <w:vAlign w:val="center"/>
          </w:tcPr>
          <w:p w:rsidR="006A610B" w:rsidRPr="00687A1C" w:rsidRDefault="006A610B" w:rsidP="00FD7161">
            <w:pPr>
              <w:pStyle w:val="Tabletextright"/>
            </w:pPr>
            <w:r w:rsidRPr="00687A1C">
              <w:t>5.00</w:t>
            </w:r>
          </w:p>
        </w:tc>
        <w:tc>
          <w:tcPr>
            <w:tcW w:w="950" w:type="dxa"/>
            <w:shd w:val="clear" w:color="auto" w:fill="auto"/>
            <w:noWrap/>
            <w:vAlign w:val="center"/>
          </w:tcPr>
          <w:p w:rsidR="006A610B" w:rsidRPr="00687A1C" w:rsidRDefault="006A610B" w:rsidP="00FD7161">
            <w:pPr>
              <w:pStyle w:val="Tabletextright"/>
            </w:pPr>
            <w:r w:rsidRPr="00687A1C">
              <w:t>69</w:t>
            </w:r>
          </w:p>
        </w:tc>
        <w:tc>
          <w:tcPr>
            <w:tcW w:w="778" w:type="dxa"/>
            <w:shd w:val="clear" w:color="auto" w:fill="auto"/>
            <w:vAlign w:val="center"/>
          </w:tcPr>
          <w:p w:rsidR="006A610B" w:rsidRPr="00687A1C" w:rsidRDefault="006A610B" w:rsidP="00FD7161">
            <w:pPr>
              <w:pStyle w:val="Tabletextright"/>
            </w:pPr>
            <w:r w:rsidRPr="00687A1C">
              <w:t>68.30</w:t>
            </w:r>
          </w:p>
        </w:tc>
        <w:tc>
          <w:tcPr>
            <w:tcW w:w="979" w:type="dxa"/>
            <w:shd w:val="clear" w:color="auto" w:fill="E0E0E0"/>
            <w:noWrap/>
            <w:vAlign w:val="center"/>
          </w:tcPr>
          <w:p w:rsidR="006A610B" w:rsidRPr="00687A1C" w:rsidRDefault="006A610B" w:rsidP="00FD7161">
            <w:pPr>
              <w:pStyle w:val="Tabletextright"/>
            </w:pPr>
            <w:r w:rsidRPr="00687A1C">
              <w:t>62</w:t>
            </w:r>
          </w:p>
        </w:tc>
        <w:tc>
          <w:tcPr>
            <w:tcW w:w="979" w:type="dxa"/>
            <w:shd w:val="clear" w:color="auto" w:fill="E0E0E0"/>
            <w:vAlign w:val="center"/>
          </w:tcPr>
          <w:p w:rsidR="006A610B" w:rsidRPr="00687A1C" w:rsidRDefault="006A610B" w:rsidP="00FD7161">
            <w:pPr>
              <w:pStyle w:val="Tabletextright"/>
            </w:pPr>
            <w:r w:rsidRPr="00687A1C">
              <w:t>1</w:t>
            </w:r>
          </w:p>
        </w:tc>
        <w:tc>
          <w:tcPr>
            <w:tcW w:w="778" w:type="dxa"/>
            <w:shd w:val="clear" w:color="auto" w:fill="E0E0E0"/>
            <w:vAlign w:val="center"/>
          </w:tcPr>
          <w:p w:rsidR="006A610B" w:rsidRPr="00687A1C" w:rsidRDefault="006A610B" w:rsidP="00FD7161">
            <w:pPr>
              <w:pStyle w:val="Tabletextright"/>
            </w:pPr>
            <w:r w:rsidRPr="00687A1C">
              <w:t>62.70</w:t>
            </w:r>
          </w:p>
        </w:tc>
        <w:tc>
          <w:tcPr>
            <w:tcW w:w="950" w:type="dxa"/>
            <w:vAlign w:val="center"/>
          </w:tcPr>
          <w:p w:rsidR="006A610B" w:rsidRPr="00687A1C" w:rsidRDefault="006A610B" w:rsidP="00FD7161">
            <w:pPr>
              <w:pStyle w:val="Tabletextright"/>
            </w:pPr>
            <w:r w:rsidRPr="00687A1C">
              <w:t>6</w:t>
            </w:r>
          </w:p>
        </w:tc>
        <w:tc>
          <w:tcPr>
            <w:tcW w:w="778" w:type="dxa"/>
            <w:vAlign w:val="center"/>
          </w:tcPr>
          <w:p w:rsidR="006A610B" w:rsidRPr="00687A1C" w:rsidRDefault="006A610B" w:rsidP="00FD7161">
            <w:pPr>
              <w:pStyle w:val="Tabletextright"/>
            </w:pPr>
            <w:r w:rsidRPr="00687A1C">
              <w:t>5.60</w:t>
            </w: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rPr>
              <w:t>Over 64</w:t>
            </w:r>
          </w:p>
        </w:tc>
        <w:tc>
          <w:tcPr>
            <w:tcW w:w="950" w:type="dxa"/>
            <w:shd w:val="clear" w:color="auto" w:fill="E0E0E0"/>
            <w:vAlign w:val="center"/>
          </w:tcPr>
          <w:p w:rsidR="006A610B" w:rsidRPr="00687A1C" w:rsidRDefault="006A610B" w:rsidP="00FD7161">
            <w:pPr>
              <w:pStyle w:val="Tabletextright"/>
            </w:pPr>
            <w:r w:rsidRPr="00687A1C">
              <w:t>6</w:t>
            </w:r>
          </w:p>
        </w:tc>
        <w:tc>
          <w:tcPr>
            <w:tcW w:w="778" w:type="dxa"/>
            <w:shd w:val="clear" w:color="auto" w:fill="E0E0E0"/>
            <w:vAlign w:val="center"/>
          </w:tcPr>
          <w:p w:rsidR="006A610B" w:rsidRPr="00687A1C" w:rsidRDefault="006A610B" w:rsidP="00FD7161">
            <w:pPr>
              <w:pStyle w:val="Tabletextright"/>
            </w:pPr>
            <w:r w:rsidRPr="00687A1C">
              <w:t>5.60</w:t>
            </w:r>
          </w:p>
        </w:tc>
        <w:tc>
          <w:tcPr>
            <w:tcW w:w="979" w:type="dxa"/>
            <w:shd w:val="clear" w:color="auto" w:fill="auto"/>
            <w:vAlign w:val="center"/>
          </w:tcPr>
          <w:p w:rsidR="006A610B" w:rsidRPr="00687A1C" w:rsidRDefault="006A610B" w:rsidP="00FD7161">
            <w:pPr>
              <w:pStyle w:val="Tabletextright"/>
            </w:pPr>
            <w:r w:rsidRPr="00687A1C">
              <w:t>5</w:t>
            </w:r>
          </w:p>
        </w:tc>
        <w:tc>
          <w:tcPr>
            <w:tcW w:w="979" w:type="dxa"/>
            <w:shd w:val="clear" w:color="auto" w:fill="auto"/>
            <w:vAlign w:val="center"/>
          </w:tcPr>
          <w:p w:rsidR="006A610B" w:rsidRPr="00687A1C" w:rsidRDefault="006A610B" w:rsidP="00FD7161">
            <w:pPr>
              <w:pStyle w:val="Tabletextright"/>
            </w:pPr>
            <w:r w:rsidRPr="00687A1C">
              <w:t>1</w:t>
            </w:r>
          </w:p>
        </w:tc>
        <w:tc>
          <w:tcPr>
            <w:tcW w:w="778" w:type="dxa"/>
            <w:shd w:val="clear" w:color="auto" w:fill="auto"/>
            <w:vAlign w:val="center"/>
          </w:tcPr>
          <w:p w:rsidR="006A610B" w:rsidRPr="00687A1C" w:rsidRDefault="006A610B" w:rsidP="00FD7161">
            <w:pPr>
              <w:pStyle w:val="Tabletextright"/>
            </w:pPr>
            <w:r w:rsidRPr="00687A1C">
              <w:t>5.60</w:t>
            </w:r>
          </w:p>
        </w:tc>
        <w:tc>
          <w:tcPr>
            <w:tcW w:w="950"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50" w:type="dxa"/>
            <w:shd w:val="clear" w:color="auto" w:fill="auto"/>
            <w:noWrap/>
            <w:vAlign w:val="center"/>
          </w:tcPr>
          <w:p w:rsidR="006A610B" w:rsidRPr="00687A1C" w:rsidRDefault="006A610B" w:rsidP="00FD7161">
            <w:pPr>
              <w:pStyle w:val="Tabletextright"/>
            </w:pPr>
            <w:r w:rsidRPr="00687A1C">
              <w:t>5</w:t>
            </w:r>
          </w:p>
        </w:tc>
        <w:tc>
          <w:tcPr>
            <w:tcW w:w="778" w:type="dxa"/>
            <w:shd w:val="clear" w:color="auto" w:fill="auto"/>
            <w:vAlign w:val="center"/>
          </w:tcPr>
          <w:p w:rsidR="006A610B" w:rsidRPr="00687A1C" w:rsidRDefault="006A610B" w:rsidP="00FD7161">
            <w:pPr>
              <w:pStyle w:val="Tabletextright"/>
            </w:pPr>
            <w:r w:rsidRPr="00687A1C">
              <w:t>4.80</w:t>
            </w:r>
          </w:p>
        </w:tc>
        <w:tc>
          <w:tcPr>
            <w:tcW w:w="979" w:type="dxa"/>
            <w:shd w:val="clear" w:color="auto" w:fill="E0E0E0"/>
            <w:noWrap/>
            <w:vAlign w:val="center"/>
          </w:tcPr>
          <w:p w:rsidR="006A610B" w:rsidRPr="00687A1C" w:rsidRDefault="006A610B" w:rsidP="00FD7161">
            <w:pPr>
              <w:pStyle w:val="Tabletextright"/>
            </w:pPr>
            <w:r w:rsidRPr="00687A1C">
              <w:t>4</w:t>
            </w:r>
          </w:p>
        </w:tc>
        <w:tc>
          <w:tcPr>
            <w:tcW w:w="979" w:type="dxa"/>
            <w:shd w:val="clear" w:color="auto" w:fill="E0E0E0"/>
            <w:vAlign w:val="center"/>
          </w:tcPr>
          <w:p w:rsidR="006A610B" w:rsidRPr="00687A1C" w:rsidRDefault="006A610B" w:rsidP="00FD7161">
            <w:pPr>
              <w:pStyle w:val="Tabletextright"/>
            </w:pPr>
            <w:r w:rsidRPr="00687A1C">
              <w:t>1</w:t>
            </w:r>
          </w:p>
        </w:tc>
        <w:tc>
          <w:tcPr>
            <w:tcW w:w="778" w:type="dxa"/>
            <w:shd w:val="clear" w:color="auto" w:fill="E0E0E0"/>
            <w:vAlign w:val="center"/>
          </w:tcPr>
          <w:p w:rsidR="006A610B" w:rsidRPr="00687A1C" w:rsidRDefault="006A610B" w:rsidP="00FD7161">
            <w:pPr>
              <w:pStyle w:val="Tabletextright"/>
            </w:pPr>
            <w:r w:rsidRPr="00687A1C">
              <w:t>4.80</w:t>
            </w:r>
          </w:p>
        </w:tc>
        <w:tc>
          <w:tcPr>
            <w:tcW w:w="950" w:type="dxa"/>
            <w:vAlign w:val="center"/>
          </w:tcPr>
          <w:p w:rsidR="006A610B" w:rsidRPr="00687A1C" w:rsidRDefault="006A610B" w:rsidP="00FD7161">
            <w:pPr>
              <w:pStyle w:val="Tabletextright"/>
            </w:pPr>
            <w:r w:rsidRPr="00687A1C">
              <w:t>–</w:t>
            </w:r>
          </w:p>
        </w:tc>
        <w:tc>
          <w:tcPr>
            <w:tcW w:w="778" w:type="dxa"/>
            <w:vAlign w:val="center"/>
          </w:tcPr>
          <w:p w:rsidR="006A610B" w:rsidRPr="00687A1C" w:rsidRDefault="006A610B" w:rsidP="00FD7161">
            <w:pPr>
              <w:pStyle w:val="Tabletextright"/>
            </w:pPr>
            <w:r w:rsidRPr="00687A1C">
              <w:t>–</w:t>
            </w:r>
          </w:p>
        </w:tc>
      </w:tr>
      <w:tr w:rsidR="006A610B" w:rsidRPr="00687A1C" w:rsidTr="00FD7161">
        <w:trPr>
          <w:cantSplit/>
        </w:trPr>
        <w:tc>
          <w:tcPr>
            <w:tcW w:w="1483" w:type="dxa"/>
            <w:shd w:val="clear" w:color="auto" w:fill="auto"/>
          </w:tcPr>
          <w:p w:rsidR="006A610B" w:rsidRPr="00687A1C" w:rsidRDefault="006A610B" w:rsidP="00FD7161">
            <w:pPr>
              <w:pStyle w:val="Tabletext"/>
              <w:rPr>
                <w:sz w:val="6"/>
              </w:rPr>
            </w:pPr>
          </w:p>
        </w:tc>
        <w:tc>
          <w:tcPr>
            <w:tcW w:w="950" w:type="dxa"/>
            <w:shd w:val="clear" w:color="auto" w:fill="E0E0E0"/>
          </w:tcPr>
          <w:p w:rsidR="006A610B" w:rsidRPr="00687A1C" w:rsidRDefault="006A610B" w:rsidP="00FD7161">
            <w:pPr>
              <w:pStyle w:val="Tabletextright"/>
              <w:rPr>
                <w:rFonts w:cstheme="minorHAnsi"/>
                <w:sz w:val="6"/>
              </w:rPr>
            </w:pPr>
          </w:p>
        </w:tc>
        <w:tc>
          <w:tcPr>
            <w:tcW w:w="778" w:type="dxa"/>
            <w:shd w:val="clear" w:color="auto" w:fill="E0E0E0"/>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sz w:val="6"/>
              </w:rPr>
            </w:pPr>
          </w:p>
        </w:tc>
        <w:tc>
          <w:tcPr>
            <w:tcW w:w="778" w:type="dxa"/>
            <w:shd w:val="clear" w:color="auto" w:fill="auto"/>
          </w:tcPr>
          <w:p w:rsidR="006A610B" w:rsidRPr="00687A1C" w:rsidRDefault="006A610B" w:rsidP="00FD7161">
            <w:pPr>
              <w:pStyle w:val="Tabletextright"/>
              <w:rPr>
                <w:sz w:val="6"/>
              </w:rPr>
            </w:pPr>
          </w:p>
        </w:tc>
        <w:tc>
          <w:tcPr>
            <w:tcW w:w="950"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shd w:val="clear" w:color="auto" w:fill="auto"/>
            <w:noWrap/>
          </w:tcPr>
          <w:p w:rsidR="006A610B" w:rsidRPr="00687A1C" w:rsidRDefault="006A610B" w:rsidP="00FD7161">
            <w:pPr>
              <w:pStyle w:val="Tabletextright"/>
              <w:rPr>
                <w:rFonts w:cstheme="minorHAnsi"/>
                <w:sz w:val="6"/>
              </w:rPr>
            </w:pPr>
          </w:p>
        </w:tc>
        <w:tc>
          <w:tcPr>
            <w:tcW w:w="778" w:type="dxa"/>
            <w:shd w:val="clear" w:color="auto" w:fill="auto"/>
          </w:tcPr>
          <w:p w:rsidR="006A610B" w:rsidRPr="00687A1C" w:rsidRDefault="006A610B" w:rsidP="00FD7161">
            <w:pPr>
              <w:pStyle w:val="Tabletextright"/>
              <w:rPr>
                <w:rFonts w:cstheme="minorHAnsi"/>
                <w:sz w:val="6"/>
              </w:rPr>
            </w:pPr>
          </w:p>
        </w:tc>
        <w:tc>
          <w:tcPr>
            <w:tcW w:w="979" w:type="dxa"/>
            <w:shd w:val="clear" w:color="auto" w:fill="E0E0E0"/>
            <w:noWrap/>
          </w:tcPr>
          <w:p w:rsidR="006A610B" w:rsidRPr="00687A1C" w:rsidRDefault="006A610B" w:rsidP="00FD7161">
            <w:pPr>
              <w:pStyle w:val="Tabletextright"/>
              <w:rPr>
                <w:rFonts w:cstheme="minorHAnsi"/>
                <w:sz w:val="6"/>
              </w:rPr>
            </w:pPr>
          </w:p>
        </w:tc>
        <w:tc>
          <w:tcPr>
            <w:tcW w:w="979"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tcPr>
          <w:p w:rsidR="006A610B" w:rsidRPr="00687A1C" w:rsidRDefault="006A610B" w:rsidP="00FD7161">
            <w:pPr>
              <w:pStyle w:val="Tabletextright"/>
              <w:rPr>
                <w:sz w:val="6"/>
              </w:rPr>
            </w:pPr>
          </w:p>
        </w:tc>
        <w:tc>
          <w:tcPr>
            <w:tcW w:w="778" w:type="dxa"/>
          </w:tcPr>
          <w:p w:rsidR="006A610B" w:rsidRPr="00687A1C" w:rsidRDefault="006A610B" w:rsidP="00FD7161">
            <w:pPr>
              <w:pStyle w:val="Tabletextright"/>
              <w:rPr>
                <w:sz w:val="6"/>
              </w:rPr>
            </w:pP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b/>
                <w:szCs w:val="18"/>
              </w:rPr>
              <w:t>VPS1–6 Grade</w:t>
            </w:r>
          </w:p>
        </w:tc>
        <w:tc>
          <w:tcPr>
            <w:tcW w:w="950" w:type="dxa"/>
            <w:shd w:val="clear" w:color="auto" w:fill="E0E0E0"/>
            <w:vAlign w:val="center"/>
          </w:tcPr>
          <w:p w:rsidR="006A610B" w:rsidRPr="00687A1C" w:rsidRDefault="006A610B" w:rsidP="00FD7161">
            <w:pPr>
              <w:pStyle w:val="Tabletextrightbold"/>
            </w:pPr>
            <w:r w:rsidRPr="00687A1C">
              <w:t>493</w:t>
            </w:r>
          </w:p>
        </w:tc>
        <w:tc>
          <w:tcPr>
            <w:tcW w:w="778" w:type="dxa"/>
            <w:shd w:val="clear" w:color="auto" w:fill="E0E0E0"/>
            <w:vAlign w:val="center"/>
          </w:tcPr>
          <w:p w:rsidR="006A610B" w:rsidRPr="00687A1C" w:rsidRDefault="006A610B" w:rsidP="00FD7161">
            <w:pPr>
              <w:pStyle w:val="Tabletextrightbold"/>
            </w:pPr>
            <w:r w:rsidRPr="00687A1C">
              <w:t>489.69</w:t>
            </w:r>
          </w:p>
        </w:tc>
        <w:tc>
          <w:tcPr>
            <w:tcW w:w="979" w:type="dxa"/>
            <w:shd w:val="clear" w:color="auto" w:fill="auto"/>
            <w:vAlign w:val="center"/>
          </w:tcPr>
          <w:p w:rsidR="006A610B" w:rsidRPr="00687A1C" w:rsidRDefault="006A610B" w:rsidP="00FD7161">
            <w:pPr>
              <w:pStyle w:val="Tabletextrightbold"/>
            </w:pPr>
            <w:r w:rsidRPr="00687A1C">
              <w:t>443</w:t>
            </w:r>
          </w:p>
        </w:tc>
        <w:tc>
          <w:tcPr>
            <w:tcW w:w="979" w:type="dxa"/>
            <w:shd w:val="clear" w:color="auto" w:fill="auto"/>
            <w:vAlign w:val="center"/>
          </w:tcPr>
          <w:p w:rsidR="006A610B" w:rsidRPr="00687A1C" w:rsidRDefault="006A610B" w:rsidP="00FD7161">
            <w:pPr>
              <w:pStyle w:val="Tabletextrightbold"/>
            </w:pPr>
            <w:r w:rsidRPr="00687A1C">
              <w:t>12</w:t>
            </w:r>
          </w:p>
        </w:tc>
        <w:tc>
          <w:tcPr>
            <w:tcW w:w="778" w:type="dxa"/>
            <w:shd w:val="clear" w:color="auto" w:fill="auto"/>
            <w:vAlign w:val="center"/>
          </w:tcPr>
          <w:p w:rsidR="006A610B" w:rsidRPr="00687A1C" w:rsidRDefault="006A610B" w:rsidP="00FD7161">
            <w:pPr>
              <w:pStyle w:val="Tabletextrightbold"/>
            </w:pPr>
            <w:r w:rsidRPr="00687A1C">
              <w:t>451.69</w:t>
            </w:r>
          </w:p>
        </w:tc>
        <w:tc>
          <w:tcPr>
            <w:tcW w:w="950" w:type="dxa"/>
            <w:shd w:val="clear" w:color="auto" w:fill="E0E0E0"/>
            <w:vAlign w:val="center"/>
          </w:tcPr>
          <w:p w:rsidR="006A610B" w:rsidRPr="00687A1C" w:rsidRDefault="006A610B" w:rsidP="00FD7161">
            <w:pPr>
              <w:pStyle w:val="Tabletextrightbold"/>
            </w:pPr>
            <w:r w:rsidRPr="00687A1C">
              <w:t>38</w:t>
            </w:r>
          </w:p>
        </w:tc>
        <w:tc>
          <w:tcPr>
            <w:tcW w:w="778" w:type="dxa"/>
            <w:shd w:val="clear" w:color="auto" w:fill="E0E0E0"/>
            <w:vAlign w:val="center"/>
          </w:tcPr>
          <w:p w:rsidR="006A610B" w:rsidRPr="00687A1C" w:rsidRDefault="006A610B" w:rsidP="00FD7161">
            <w:pPr>
              <w:pStyle w:val="Tabletextrightbold"/>
            </w:pPr>
            <w:r w:rsidRPr="00687A1C">
              <w:t>38.00</w:t>
            </w:r>
          </w:p>
        </w:tc>
        <w:tc>
          <w:tcPr>
            <w:tcW w:w="950" w:type="dxa"/>
            <w:shd w:val="clear" w:color="auto" w:fill="auto"/>
            <w:noWrap/>
            <w:vAlign w:val="center"/>
          </w:tcPr>
          <w:p w:rsidR="006A610B" w:rsidRPr="00687A1C" w:rsidRDefault="006A610B" w:rsidP="00FD7161">
            <w:pPr>
              <w:pStyle w:val="Tabletextrightbold"/>
            </w:pPr>
            <w:r w:rsidRPr="00687A1C">
              <w:t>459</w:t>
            </w:r>
          </w:p>
        </w:tc>
        <w:tc>
          <w:tcPr>
            <w:tcW w:w="778" w:type="dxa"/>
            <w:shd w:val="clear" w:color="auto" w:fill="auto"/>
            <w:vAlign w:val="center"/>
          </w:tcPr>
          <w:p w:rsidR="006A610B" w:rsidRPr="00687A1C" w:rsidRDefault="006A610B" w:rsidP="00FD7161">
            <w:pPr>
              <w:pStyle w:val="Tabletextrightbold"/>
            </w:pPr>
            <w:r w:rsidRPr="00687A1C">
              <w:t>454.50</w:t>
            </w:r>
          </w:p>
        </w:tc>
        <w:tc>
          <w:tcPr>
            <w:tcW w:w="979" w:type="dxa"/>
            <w:shd w:val="clear" w:color="auto" w:fill="E0E0E0"/>
            <w:noWrap/>
            <w:vAlign w:val="center"/>
          </w:tcPr>
          <w:p w:rsidR="006A610B" w:rsidRPr="00687A1C" w:rsidRDefault="006A610B" w:rsidP="00FD7161">
            <w:pPr>
              <w:pStyle w:val="Tabletextrightbold"/>
            </w:pPr>
            <w:r w:rsidRPr="00687A1C">
              <w:t>416</w:t>
            </w:r>
          </w:p>
        </w:tc>
        <w:tc>
          <w:tcPr>
            <w:tcW w:w="979" w:type="dxa"/>
            <w:shd w:val="clear" w:color="auto" w:fill="E0E0E0"/>
            <w:vAlign w:val="center"/>
          </w:tcPr>
          <w:p w:rsidR="006A610B" w:rsidRPr="00687A1C" w:rsidRDefault="006A610B" w:rsidP="00FD7161">
            <w:pPr>
              <w:pStyle w:val="Tabletextrightbold"/>
            </w:pPr>
            <w:r w:rsidRPr="00687A1C">
              <w:t>15</w:t>
            </w:r>
          </w:p>
        </w:tc>
        <w:tc>
          <w:tcPr>
            <w:tcW w:w="778" w:type="dxa"/>
            <w:shd w:val="clear" w:color="auto" w:fill="E0E0E0"/>
            <w:vAlign w:val="center"/>
          </w:tcPr>
          <w:p w:rsidR="006A610B" w:rsidRPr="00687A1C" w:rsidRDefault="006A610B" w:rsidP="00FD7161">
            <w:pPr>
              <w:pStyle w:val="Tabletextrightbold"/>
            </w:pPr>
            <w:r w:rsidRPr="00687A1C">
              <w:t>426.90</w:t>
            </w:r>
          </w:p>
        </w:tc>
        <w:tc>
          <w:tcPr>
            <w:tcW w:w="950" w:type="dxa"/>
            <w:vAlign w:val="center"/>
          </w:tcPr>
          <w:p w:rsidR="006A610B" w:rsidRPr="00687A1C" w:rsidRDefault="006A610B" w:rsidP="00FD7161">
            <w:pPr>
              <w:pStyle w:val="Tabletextrightbold"/>
            </w:pPr>
            <w:r w:rsidRPr="00687A1C">
              <w:t>28</w:t>
            </w:r>
          </w:p>
        </w:tc>
        <w:tc>
          <w:tcPr>
            <w:tcW w:w="778" w:type="dxa"/>
            <w:vAlign w:val="center"/>
          </w:tcPr>
          <w:p w:rsidR="006A610B" w:rsidRPr="00687A1C" w:rsidRDefault="006A610B" w:rsidP="00FD7161">
            <w:pPr>
              <w:pStyle w:val="Tabletextrightbold"/>
            </w:pPr>
            <w:r w:rsidRPr="00687A1C">
              <w:t>27.60</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Grade 1</w:t>
            </w:r>
          </w:p>
        </w:tc>
        <w:tc>
          <w:tcPr>
            <w:tcW w:w="950"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79" w:type="dxa"/>
            <w:shd w:val="clear" w:color="auto" w:fill="auto"/>
            <w:vAlign w:val="center"/>
          </w:tcPr>
          <w:p w:rsidR="006A610B" w:rsidRPr="00687A1C" w:rsidRDefault="006A610B" w:rsidP="00FD7161">
            <w:pPr>
              <w:pStyle w:val="Tabletextright"/>
            </w:pPr>
            <w:r w:rsidRPr="00687A1C">
              <w:t>–</w:t>
            </w:r>
          </w:p>
        </w:tc>
        <w:tc>
          <w:tcPr>
            <w:tcW w:w="979" w:type="dxa"/>
            <w:shd w:val="clear" w:color="auto" w:fill="auto"/>
            <w:vAlign w:val="center"/>
          </w:tcPr>
          <w:p w:rsidR="006A610B" w:rsidRPr="00687A1C" w:rsidRDefault="006A610B" w:rsidP="00FD7161">
            <w:pPr>
              <w:pStyle w:val="Tabletextright"/>
            </w:pPr>
            <w:r w:rsidRPr="00687A1C">
              <w:t>–</w:t>
            </w:r>
          </w:p>
        </w:tc>
        <w:tc>
          <w:tcPr>
            <w:tcW w:w="778" w:type="dxa"/>
            <w:shd w:val="clear" w:color="auto" w:fill="auto"/>
            <w:vAlign w:val="center"/>
          </w:tcPr>
          <w:p w:rsidR="006A610B" w:rsidRPr="00687A1C" w:rsidRDefault="006A610B" w:rsidP="00FD7161">
            <w:pPr>
              <w:pStyle w:val="Tabletextright"/>
            </w:pPr>
            <w:r w:rsidRPr="00687A1C">
              <w:t>–</w:t>
            </w:r>
          </w:p>
        </w:tc>
        <w:tc>
          <w:tcPr>
            <w:tcW w:w="950"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50" w:type="dxa"/>
            <w:shd w:val="clear" w:color="auto" w:fill="auto"/>
            <w:noWrap/>
            <w:vAlign w:val="center"/>
          </w:tcPr>
          <w:p w:rsidR="006A610B" w:rsidRPr="00687A1C" w:rsidRDefault="006A610B" w:rsidP="00FD7161">
            <w:pPr>
              <w:pStyle w:val="Tabletextright"/>
            </w:pPr>
            <w:r w:rsidRPr="00687A1C">
              <w:t>–</w:t>
            </w:r>
          </w:p>
        </w:tc>
        <w:tc>
          <w:tcPr>
            <w:tcW w:w="778" w:type="dxa"/>
            <w:shd w:val="clear" w:color="auto" w:fill="auto"/>
            <w:vAlign w:val="center"/>
          </w:tcPr>
          <w:p w:rsidR="006A610B" w:rsidRPr="00687A1C" w:rsidRDefault="006A610B" w:rsidP="00FD7161">
            <w:pPr>
              <w:pStyle w:val="Tabletextright"/>
            </w:pPr>
            <w:r w:rsidRPr="00687A1C">
              <w:t>–</w:t>
            </w:r>
          </w:p>
        </w:tc>
        <w:tc>
          <w:tcPr>
            <w:tcW w:w="979" w:type="dxa"/>
            <w:shd w:val="clear" w:color="auto" w:fill="E0E0E0"/>
            <w:noWrap/>
            <w:vAlign w:val="center"/>
          </w:tcPr>
          <w:p w:rsidR="006A610B" w:rsidRPr="00687A1C" w:rsidRDefault="006A610B" w:rsidP="00FD7161">
            <w:pPr>
              <w:pStyle w:val="Tabletextright"/>
            </w:pPr>
            <w:r w:rsidRPr="00687A1C">
              <w:t>–</w:t>
            </w:r>
          </w:p>
        </w:tc>
        <w:tc>
          <w:tcPr>
            <w:tcW w:w="979"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50" w:type="dxa"/>
            <w:vAlign w:val="center"/>
          </w:tcPr>
          <w:p w:rsidR="006A610B" w:rsidRPr="00687A1C" w:rsidRDefault="006A610B" w:rsidP="00FD7161">
            <w:pPr>
              <w:pStyle w:val="Tabletextright"/>
            </w:pPr>
            <w:r w:rsidRPr="00687A1C">
              <w:t>–</w:t>
            </w:r>
          </w:p>
        </w:tc>
        <w:tc>
          <w:tcPr>
            <w:tcW w:w="778" w:type="dxa"/>
            <w:vAlign w:val="center"/>
          </w:tcPr>
          <w:p w:rsidR="006A610B" w:rsidRPr="00687A1C" w:rsidRDefault="006A610B" w:rsidP="00FD7161">
            <w:pPr>
              <w:pStyle w:val="Tabletextright"/>
            </w:pPr>
            <w:r w:rsidRPr="00687A1C">
              <w:t>–</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Grade 2</w:t>
            </w:r>
          </w:p>
        </w:tc>
        <w:tc>
          <w:tcPr>
            <w:tcW w:w="950" w:type="dxa"/>
            <w:shd w:val="clear" w:color="auto" w:fill="E0E0E0"/>
            <w:vAlign w:val="center"/>
          </w:tcPr>
          <w:p w:rsidR="006A610B" w:rsidRPr="00687A1C" w:rsidRDefault="006A610B" w:rsidP="00FD7161">
            <w:pPr>
              <w:pStyle w:val="Tabletextright"/>
            </w:pPr>
            <w:r w:rsidRPr="00687A1C">
              <w:t>9</w:t>
            </w:r>
          </w:p>
        </w:tc>
        <w:tc>
          <w:tcPr>
            <w:tcW w:w="778" w:type="dxa"/>
            <w:shd w:val="clear" w:color="auto" w:fill="E0E0E0"/>
            <w:vAlign w:val="center"/>
          </w:tcPr>
          <w:p w:rsidR="006A610B" w:rsidRPr="00687A1C" w:rsidRDefault="006A610B" w:rsidP="00FD7161">
            <w:pPr>
              <w:pStyle w:val="Tabletextright"/>
            </w:pPr>
            <w:r w:rsidRPr="00687A1C">
              <w:t>9.00</w:t>
            </w:r>
          </w:p>
        </w:tc>
        <w:tc>
          <w:tcPr>
            <w:tcW w:w="979" w:type="dxa"/>
            <w:shd w:val="clear" w:color="auto" w:fill="auto"/>
            <w:vAlign w:val="center"/>
          </w:tcPr>
          <w:p w:rsidR="006A610B" w:rsidRPr="00687A1C" w:rsidRDefault="006A610B" w:rsidP="00FD7161">
            <w:pPr>
              <w:pStyle w:val="Tabletextright"/>
            </w:pPr>
            <w:r w:rsidRPr="00687A1C">
              <w:t>–</w:t>
            </w:r>
          </w:p>
        </w:tc>
        <w:tc>
          <w:tcPr>
            <w:tcW w:w="979" w:type="dxa"/>
            <w:shd w:val="clear" w:color="auto" w:fill="auto"/>
            <w:vAlign w:val="center"/>
          </w:tcPr>
          <w:p w:rsidR="006A610B" w:rsidRPr="00687A1C" w:rsidRDefault="006A610B" w:rsidP="00FD7161">
            <w:pPr>
              <w:pStyle w:val="Tabletextright"/>
            </w:pPr>
            <w:r w:rsidRPr="00687A1C">
              <w:t>–</w:t>
            </w:r>
          </w:p>
        </w:tc>
        <w:tc>
          <w:tcPr>
            <w:tcW w:w="778" w:type="dxa"/>
            <w:shd w:val="clear" w:color="auto" w:fill="auto"/>
            <w:vAlign w:val="center"/>
          </w:tcPr>
          <w:p w:rsidR="006A610B" w:rsidRPr="00687A1C" w:rsidRDefault="006A610B" w:rsidP="00FD7161">
            <w:pPr>
              <w:pStyle w:val="Tabletextright"/>
            </w:pPr>
            <w:r w:rsidRPr="00687A1C">
              <w:t>–</w:t>
            </w:r>
          </w:p>
        </w:tc>
        <w:tc>
          <w:tcPr>
            <w:tcW w:w="950" w:type="dxa"/>
            <w:shd w:val="clear" w:color="auto" w:fill="E0E0E0"/>
            <w:vAlign w:val="center"/>
          </w:tcPr>
          <w:p w:rsidR="006A610B" w:rsidRPr="00687A1C" w:rsidRDefault="006A610B" w:rsidP="00FD7161">
            <w:pPr>
              <w:pStyle w:val="Tabletextright"/>
            </w:pPr>
            <w:r w:rsidRPr="00687A1C">
              <w:t>9</w:t>
            </w:r>
          </w:p>
        </w:tc>
        <w:tc>
          <w:tcPr>
            <w:tcW w:w="778" w:type="dxa"/>
            <w:shd w:val="clear" w:color="auto" w:fill="E0E0E0"/>
            <w:vAlign w:val="center"/>
          </w:tcPr>
          <w:p w:rsidR="006A610B" w:rsidRPr="00687A1C" w:rsidRDefault="006A610B" w:rsidP="00FD7161">
            <w:pPr>
              <w:pStyle w:val="Tabletextright"/>
            </w:pPr>
            <w:r w:rsidRPr="00687A1C">
              <w:t>9.00</w:t>
            </w:r>
          </w:p>
        </w:tc>
        <w:tc>
          <w:tcPr>
            <w:tcW w:w="950" w:type="dxa"/>
            <w:shd w:val="clear" w:color="auto" w:fill="auto"/>
            <w:noWrap/>
            <w:vAlign w:val="center"/>
          </w:tcPr>
          <w:p w:rsidR="006A610B" w:rsidRPr="00687A1C" w:rsidRDefault="006A610B" w:rsidP="00FD7161">
            <w:pPr>
              <w:pStyle w:val="Tabletextright"/>
            </w:pPr>
            <w:r w:rsidRPr="00687A1C">
              <w:t>6</w:t>
            </w:r>
          </w:p>
        </w:tc>
        <w:tc>
          <w:tcPr>
            <w:tcW w:w="778" w:type="dxa"/>
            <w:shd w:val="clear" w:color="auto" w:fill="auto"/>
            <w:vAlign w:val="center"/>
          </w:tcPr>
          <w:p w:rsidR="006A610B" w:rsidRPr="00687A1C" w:rsidRDefault="006A610B" w:rsidP="00FD7161">
            <w:pPr>
              <w:pStyle w:val="Tabletextright"/>
            </w:pPr>
            <w:r w:rsidRPr="00687A1C">
              <w:t>6.00</w:t>
            </w:r>
          </w:p>
        </w:tc>
        <w:tc>
          <w:tcPr>
            <w:tcW w:w="979" w:type="dxa"/>
            <w:shd w:val="clear" w:color="auto" w:fill="E0E0E0"/>
            <w:noWrap/>
            <w:vAlign w:val="center"/>
          </w:tcPr>
          <w:p w:rsidR="006A610B" w:rsidRPr="00687A1C" w:rsidRDefault="006A610B" w:rsidP="00FD7161">
            <w:pPr>
              <w:pStyle w:val="Tabletextright"/>
            </w:pPr>
            <w:r w:rsidRPr="00687A1C">
              <w:t>1</w:t>
            </w:r>
          </w:p>
        </w:tc>
        <w:tc>
          <w:tcPr>
            <w:tcW w:w="979"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1.00</w:t>
            </w:r>
          </w:p>
        </w:tc>
        <w:tc>
          <w:tcPr>
            <w:tcW w:w="950" w:type="dxa"/>
            <w:vAlign w:val="center"/>
          </w:tcPr>
          <w:p w:rsidR="006A610B" w:rsidRPr="00687A1C" w:rsidRDefault="006A610B" w:rsidP="00FD7161">
            <w:pPr>
              <w:pStyle w:val="Tabletextright"/>
            </w:pPr>
            <w:r w:rsidRPr="00687A1C">
              <w:t>5</w:t>
            </w:r>
          </w:p>
        </w:tc>
        <w:tc>
          <w:tcPr>
            <w:tcW w:w="778" w:type="dxa"/>
            <w:vAlign w:val="center"/>
          </w:tcPr>
          <w:p w:rsidR="006A610B" w:rsidRPr="00687A1C" w:rsidRDefault="006A610B" w:rsidP="00FD7161">
            <w:pPr>
              <w:pStyle w:val="Tabletextright"/>
            </w:pPr>
            <w:r w:rsidRPr="00687A1C">
              <w:t>5.00</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Grade 3</w:t>
            </w:r>
          </w:p>
        </w:tc>
        <w:tc>
          <w:tcPr>
            <w:tcW w:w="950" w:type="dxa"/>
            <w:shd w:val="clear" w:color="auto" w:fill="E0E0E0"/>
            <w:vAlign w:val="center"/>
          </w:tcPr>
          <w:p w:rsidR="006A610B" w:rsidRPr="00687A1C" w:rsidRDefault="006A610B" w:rsidP="00FD7161">
            <w:pPr>
              <w:pStyle w:val="Tabletextright"/>
            </w:pPr>
            <w:r w:rsidRPr="00687A1C">
              <w:t>101</w:t>
            </w:r>
          </w:p>
        </w:tc>
        <w:tc>
          <w:tcPr>
            <w:tcW w:w="778" w:type="dxa"/>
            <w:shd w:val="clear" w:color="auto" w:fill="E0E0E0"/>
            <w:vAlign w:val="center"/>
          </w:tcPr>
          <w:p w:rsidR="006A610B" w:rsidRPr="00687A1C" w:rsidRDefault="006A610B" w:rsidP="00FD7161">
            <w:pPr>
              <w:pStyle w:val="Tabletextright"/>
            </w:pPr>
            <w:r w:rsidRPr="00687A1C">
              <w:t>100.19</w:t>
            </w:r>
          </w:p>
        </w:tc>
        <w:tc>
          <w:tcPr>
            <w:tcW w:w="979" w:type="dxa"/>
            <w:shd w:val="clear" w:color="auto" w:fill="auto"/>
            <w:vAlign w:val="center"/>
          </w:tcPr>
          <w:p w:rsidR="006A610B" w:rsidRPr="00687A1C" w:rsidRDefault="006A610B" w:rsidP="00FD7161">
            <w:pPr>
              <w:pStyle w:val="Tabletextright"/>
            </w:pPr>
            <w:r w:rsidRPr="00687A1C">
              <w:t>86</w:t>
            </w:r>
          </w:p>
        </w:tc>
        <w:tc>
          <w:tcPr>
            <w:tcW w:w="979" w:type="dxa"/>
            <w:shd w:val="clear" w:color="auto" w:fill="auto"/>
            <w:vAlign w:val="center"/>
          </w:tcPr>
          <w:p w:rsidR="006A610B" w:rsidRPr="00687A1C" w:rsidRDefault="006A610B" w:rsidP="00FD7161">
            <w:pPr>
              <w:pStyle w:val="Tabletextright"/>
            </w:pPr>
            <w:r w:rsidRPr="00687A1C">
              <w:t>3</w:t>
            </w:r>
          </w:p>
        </w:tc>
        <w:tc>
          <w:tcPr>
            <w:tcW w:w="778" w:type="dxa"/>
            <w:shd w:val="clear" w:color="auto" w:fill="auto"/>
            <w:vAlign w:val="center"/>
          </w:tcPr>
          <w:p w:rsidR="006A610B" w:rsidRPr="00687A1C" w:rsidRDefault="006A610B" w:rsidP="00FD7161">
            <w:pPr>
              <w:pStyle w:val="Tabletextright"/>
            </w:pPr>
            <w:r w:rsidRPr="00687A1C">
              <w:t>88.19</w:t>
            </w:r>
          </w:p>
        </w:tc>
        <w:tc>
          <w:tcPr>
            <w:tcW w:w="950" w:type="dxa"/>
            <w:shd w:val="clear" w:color="auto" w:fill="E0E0E0"/>
            <w:vAlign w:val="center"/>
          </w:tcPr>
          <w:p w:rsidR="006A610B" w:rsidRPr="00687A1C" w:rsidRDefault="006A610B" w:rsidP="00FD7161">
            <w:pPr>
              <w:pStyle w:val="Tabletextright"/>
            </w:pPr>
            <w:r w:rsidRPr="00687A1C">
              <w:t>12</w:t>
            </w:r>
          </w:p>
        </w:tc>
        <w:tc>
          <w:tcPr>
            <w:tcW w:w="778" w:type="dxa"/>
            <w:shd w:val="clear" w:color="auto" w:fill="E0E0E0"/>
            <w:vAlign w:val="center"/>
          </w:tcPr>
          <w:p w:rsidR="006A610B" w:rsidRPr="00687A1C" w:rsidRDefault="006A610B" w:rsidP="00FD7161">
            <w:pPr>
              <w:pStyle w:val="Tabletextright"/>
            </w:pPr>
            <w:r w:rsidRPr="00687A1C">
              <w:t>12.00</w:t>
            </w:r>
          </w:p>
        </w:tc>
        <w:tc>
          <w:tcPr>
            <w:tcW w:w="950" w:type="dxa"/>
            <w:shd w:val="clear" w:color="auto" w:fill="auto"/>
            <w:noWrap/>
            <w:vAlign w:val="center"/>
          </w:tcPr>
          <w:p w:rsidR="006A610B" w:rsidRPr="00687A1C" w:rsidRDefault="006A610B" w:rsidP="00FD7161">
            <w:pPr>
              <w:pStyle w:val="Tabletextright"/>
            </w:pPr>
            <w:r w:rsidRPr="00687A1C">
              <w:t>87</w:t>
            </w:r>
          </w:p>
        </w:tc>
        <w:tc>
          <w:tcPr>
            <w:tcW w:w="778" w:type="dxa"/>
            <w:shd w:val="clear" w:color="auto" w:fill="auto"/>
            <w:vAlign w:val="center"/>
          </w:tcPr>
          <w:p w:rsidR="006A610B" w:rsidRPr="00687A1C" w:rsidRDefault="006A610B" w:rsidP="00FD7161">
            <w:pPr>
              <w:pStyle w:val="Tabletextright"/>
            </w:pPr>
            <w:r w:rsidRPr="00687A1C">
              <w:t>85.20</w:t>
            </w:r>
          </w:p>
        </w:tc>
        <w:tc>
          <w:tcPr>
            <w:tcW w:w="979" w:type="dxa"/>
            <w:shd w:val="clear" w:color="auto" w:fill="E0E0E0"/>
            <w:noWrap/>
            <w:vAlign w:val="center"/>
          </w:tcPr>
          <w:p w:rsidR="006A610B" w:rsidRPr="00687A1C" w:rsidRDefault="006A610B" w:rsidP="00FD7161">
            <w:pPr>
              <w:pStyle w:val="Tabletextright"/>
            </w:pPr>
            <w:r w:rsidRPr="00687A1C">
              <w:t>72</w:t>
            </w:r>
          </w:p>
        </w:tc>
        <w:tc>
          <w:tcPr>
            <w:tcW w:w="979" w:type="dxa"/>
            <w:shd w:val="clear" w:color="auto" w:fill="E0E0E0"/>
            <w:vAlign w:val="center"/>
          </w:tcPr>
          <w:p w:rsidR="006A610B" w:rsidRPr="00687A1C" w:rsidRDefault="006A610B" w:rsidP="00FD7161">
            <w:pPr>
              <w:pStyle w:val="Tabletextright"/>
            </w:pPr>
            <w:r w:rsidRPr="00687A1C">
              <w:t>6</w:t>
            </w:r>
          </w:p>
        </w:tc>
        <w:tc>
          <w:tcPr>
            <w:tcW w:w="778" w:type="dxa"/>
            <w:shd w:val="clear" w:color="auto" w:fill="E0E0E0"/>
            <w:vAlign w:val="center"/>
          </w:tcPr>
          <w:p w:rsidR="006A610B" w:rsidRPr="00687A1C" w:rsidRDefault="006A610B" w:rsidP="00FD7161">
            <w:pPr>
              <w:pStyle w:val="Tabletextright"/>
            </w:pPr>
            <w:r w:rsidRPr="00687A1C">
              <w:t>76.20</w:t>
            </w:r>
          </w:p>
        </w:tc>
        <w:tc>
          <w:tcPr>
            <w:tcW w:w="950" w:type="dxa"/>
            <w:vAlign w:val="center"/>
          </w:tcPr>
          <w:p w:rsidR="006A610B" w:rsidRPr="00687A1C" w:rsidRDefault="006A610B" w:rsidP="00FD7161">
            <w:pPr>
              <w:pStyle w:val="Tabletextright"/>
            </w:pPr>
            <w:r w:rsidRPr="00687A1C">
              <w:t>9</w:t>
            </w:r>
          </w:p>
        </w:tc>
        <w:tc>
          <w:tcPr>
            <w:tcW w:w="778" w:type="dxa"/>
            <w:vAlign w:val="center"/>
          </w:tcPr>
          <w:p w:rsidR="006A610B" w:rsidRPr="00687A1C" w:rsidRDefault="006A610B" w:rsidP="00FD7161">
            <w:pPr>
              <w:pStyle w:val="Tabletextright"/>
            </w:pPr>
            <w:r w:rsidRPr="00687A1C">
              <w:t>9.00</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Grade 4</w:t>
            </w:r>
          </w:p>
        </w:tc>
        <w:tc>
          <w:tcPr>
            <w:tcW w:w="950" w:type="dxa"/>
            <w:shd w:val="clear" w:color="auto" w:fill="E0E0E0"/>
            <w:vAlign w:val="center"/>
          </w:tcPr>
          <w:p w:rsidR="006A610B" w:rsidRPr="00687A1C" w:rsidRDefault="006A610B" w:rsidP="00FD7161">
            <w:pPr>
              <w:pStyle w:val="Tabletextright"/>
            </w:pPr>
            <w:r w:rsidRPr="00687A1C">
              <w:t>86</w:t>
            </w:r>
          </w:p>
        </w:tc>
        <w:tc>
          <w:tcPr>
            <w:tcW w:w="778" w:type="dxa"/>
            <w:shd w:val="clear" w:color="auto" w:fill="E0E0E0"/>
            <w:vAlign w:val="center"/>
          </w:tcPr>
          <w:p w:rsidR="006A610B" w:rsidRPr="00687A1C" w:rsidRDefault="006A610B" w:rsidP="00FD7161">
            <w:pPr>
              <w:pStyle w:val="Tabletextright"/>
            </w:pPr>
            <w:r w:rsidRPr="00687A1C">
              <w:t>85.20</w:t>
            </w:r>
          </w:p>
        </w:tc>
        <w:tc>
          <w:tcPr>
            <w:tcW w:w="979" w:type="dxa"/>
            <w:shd w:val="clear" w:color="auto" w:fill="auto"/>
            <w:vAlign w:val="center"/>
          </w:tcPr>
          <w:p w:rsidR="006A610B" w:rsidRPr="00687A1C" w:rsidRDefault="006A610B" w:rsidP="00FD7161">
            <w:pPr>
              <w:pStyle w:val="Tabletextright"/>
            </w:pPr>
            <w:r w:rsidRPr="00687A1C">
              <w:t>77</w:t>
            </w:r>
          </w:p>
        </w:tc>
        <w:tc>
          <w:tcPr>
            <w:tcW w:w="979" w:type="dxa"/>
            <w:shd w:val="clear" w:color="auto" w:fill="auto"/>
            <w:vAlign w:val="center"/>
          </w:tcPr>
          <w:p w:rsidR="006A610B" w:rsidRPr="00687A1C" w:rsidRDefault="006A610B" w:rsidP="00FD7161">
            <w:pPr>
              <w:pStyle w:val="Tabletextright"/>
            </w:pPr>
            <w:r w:rsidRPr="00687A1C">
              <w:t>3</w:t>
            </w:r>
          </w:p>
        </w:tc>
        <w:tc>
          <w:tcPr>
            <w:tcW w:w="778" w:type="dxa"/>
            <w:shd w:val="clear" w:color="auto" w:fill="auto"/>
            <w:vAlign w:val="center"/>
          </w:tcPr>
          <w:p w:rsidR="006A610B" w:rsidRPr="00687A1C" w:rsidRDefault="006A610B" w:rsidP="00FD7161">
            <w:pPr>
              <w:pStyle w:val="Tabletextright"/>
            </w:pPr>
            <w:r w:rsidRPr="00687A1C">
              <w:t>79.20</w:t>
            </w:r>
          </w:p>
        </w:tc>
        <w:tc>
          <w:tcPr>
            <w:tcW w:w="950" w:type="dxa"/>
            <w:shd w:val="clear" w:color="auto" w:fill="E0E0E0"/>
            <w:vAlign w:val="center"/>
          </w:tcPr>
          <w:p w:rsidR="006A610B" w:rsidRPr="00687A1C" w:rsidRDefault="006A610B" w:rsidP="00FD7161">
            <w:pPr>
              <w:pStyle w:val="Tabletextright"/>
            </w:pPr>
            <w:r w:rsidRPr="00687A1C">
              <w:t>6</w:t>
            </w:r>
          </w:p>
        </w:tc>
        <w:tc>
          <w:tcPr>
            <w:tcW w:w="778" w:type="dxa"/>
            <w:shd w:val="clear" w:color="auto" w:fill="E0E0E0"/>
            <w:vAlign w:val="center"/>
          </w:tcPr>
          <w:p w:rsidR="006A610B" w:rsidRPr="00687A1C" w:rsidRDefault="006A610B" w:rsidP="00FD7161">
            <w:pPr>
              <w:pStyle w:val="Tabletextright"/>
            </w:pPr>
            <w:r w:rsidRPr="00687A1C">
              <w:t>6.00</w:t>
            </w:r>
          </w:p>
        </w:tc>
        <w:tc>
          <w:tcPr>
            <w:tcW w:w="950" w:type="dxa"/>
            <w:shd w:val="clear" w:color="auto" w:fill="auto"/>
            <w:noWrap/>
            <w:vAlign w:val="center"/>
          </w:tcPr>
          <w:p w:rsidR="006A610B" w:rsidRPr="00687A1C" w:rsidRDefault="006A610B" w:rsidP="00FD7161">
            <w:pPr>
              <w:pStyle w:val="Tabletextright"/>
            </w:pPr>
            <w:r w:rsidRPr="00687A1C">
              <w:t>81</w:t>
            </w:r>
          </w:p>
        </w:tc>
        <w:tc>
          <w:tcPr>
            <w:tcW w:w="778" w:type="dxa"/>
            <w:shd w:val="clear" w:color="auto" w:fill="auto"/>
            <w:vAlign w:val="center"/>
          </w:tcPr>
          <w:p w:rsidR="006A610B" w:rsidRPr="00687A1C" w:rsidRDefault="006A610B" w:rsidP="00FD7161">
            <w:pPr>
              <w:pStyle w:val="Tabletextright"/>
            </w:pPr>
            <w:r w:rsidRPr="00687A1C">
              <w:t>80.60</w:t>
            </w:r>
          </w:p>
        </w:tc>
        <w:tc>
          <w:tcPr>
            <w:tcW w:w="979" w:type="dxa"/>
            <w:shd w:val="clear" w:color="auto" w:fill="E0E0E0"/>
            <w:noWrap/>
            <w:vAlign w:val="center"/>
          </w:tcPr>
          <w:p w:rsidR="006A610B" w:rsidRPr="00687A1C" w:rsidRDefault="006A610B" w:rsidP="00FD7161">
            <w:pPr>
              <w:pStyle w:val="Tabletextright"/>
            </w:pPr>
            <w:r w:rsidRPr="00687A1C">
              <w:t>75</w:t>
            </w:r>
          </w:p>
        </w:tc>
        <w:tc>
          <w:tcPr>
            <w:tcW w:w="979" w:type="dxa"/>
            <w:shd w:val="clear" w:color="auto" w:fill="E0E0E0"/>
            <w:vAlign w:val="center"/>
          </w:tcPr>
          <w:p w:rsidR="006A610B" w:rsidRPr="00687A1C" w:rsidRDefault="006A610B" w:rsidP="00FD7161">
            <w:pPr>
              <w:pStyle w:val="Tabletextright"/>
            </w:pPr>
            <w:r w:rsidRPr="00687A1C">
              <w:t>2</w:t>
            </w:r>
          </w:p>
        </w:tc>
        <w:tc>
          <w:tcPr>
            <w:tcW w:w="778" w:type="dxa"/>
            <w:shd w:val="clear" w:color="auto" w:fill="E0E0E0"/>
            <w:vAlign w:val="center"/>
          </w:tcPr>
          <w:p w:rsidR="006A610B" w:rsidRPr="00687A1C" w:rsidRDefault="006A610B" w:rsidP="00FD7161">
            <w:pPr>
              <w:pStyle w:val="Tabletextright"/>
            </w:pPr>
            <w:r w:rsidRPr="00687A1C">
              <w:t>76.60</w:t>
            </w:r>
          </w:p>
        </w:tc>
        <w:tc>
          <w:tcPr>
            <w:tcW w:w="950" w:type="dxa"/>
            <w:vAlign w:val="center"/>
          </w:tcPr>
          <w:p w:rsidR="006A610B" w:rsidRPr="00687A1C" w:rsidRDefault="006A610B" w:rsidP="00FD7161">
            <w:pPr>
              <w:pStyle w:val="Tabletextright"/>
            </w:pPr>
            <w:r w:rsidRPr="00687A1C">
              <w:t>4</w:t>
            </w:r>
          </w:p>
        </w:tc>
        <w:tc>
          <w:tcPr>
            <w:tcW w:w="778" w:type="dxa"/>
            <w:vAlign w:val="center"/>
          </w:tcPr>
          <w:p w:rsidR="006A610B" w:rsidRPr="00687A1C" w:rsidRDefault="006A610B" w:rsidP="00FD7161">
            <w:pPr>
              <w:pStyle w:val="Tabletextright"/>
            </w:pPr>
            <w:r w:rsidRPr="00687A1C">
              <w:t>4.00</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Grade 5</w:t>
            </w:r>
          </w:p>
        </w:tc>
        <w:tc>
          <w:tcPr>
            <w:tcW w:w="950" w:type="dxa"/>
            <w:shd w:val="clear" w:color="auto" w:fill="E0E0E0"/>
            <w:vAlign w:val="center"/>
          </w:tcPr>
          <w:p w:rsidR="006A610B" w:rsidRPr="00687A1C" w:rsidRDefault="006A610B" w:rsidP="00FD7161">
            <w:pPr>
              <w:pStyle w:val="Tabletextright"/>
            </w:pPr>
            <w:r w:rsidRPr="00687A1C">
              <w:t>152</w:t>
            </w:r>
          </w:p>
        </w:tc>
        <w:tc>
          <w:tcPr>
            <w:tcW w:w="778" w:type="dxa"/>
            <w:shd w:val="clear" w:color="auto" w:fill="E0E0E0"/>
            <w:vAlign w:val="center"/>
          </w:tcPr>
          <w:p w:rsidR="006A610B" w:rsidRPr="00687A1C" w:rsidRDefault="006A610B" w:rsidP="00FD7161">
            <w:pPr>
              <w:pStyle w:val="Tabletextright"/>
            </w:pPr>
            <w:r w:rsidRPr="00687A1C">
              <w:t>150.70</w:t>
            </w:r>
          </w:p>
        </w:tc>
        <w:tc>
          <w:tcPr>
            <w:tcW w:w="979" w:type="dxa"/>
            <w:shd w:val="clear" w:color="auto" w:fill="auto"/>
            <w:vAlign w:val="center"/>
          </w:tcPr>
          <w:p w:rsidR="006A610B" w:rsidRPr="00687A1C" w:rsidRDefault="006A610B" w:rsidP="00FD7161">
            <w:pPr>
              <w:pStyle w:val="Tabletextright"/>
            </w:pPr>
            <w:r w:rsidRPr="00687A1C">
              <w:t>142</w:t>
            </w:r>
          </w:p>
        </w:tc>
        <w:tc>
          <w:tcPr>
            <w:tcW w:w="979" w:type="dxa"/>
            <w:shd w:val="clear" w:color="auto" w:fill="auto"/>
            <w:vAlign w:val="center"/>
          </w:tcPr>
          <w:p w:rsidR="006A610B" w:rsidRPr="00687A1C" w:rsidRDefault="006A610B" w:rsidP="00FD7161">
            <w:pPr>
              <w:pStyle w:val="Tabletextright"/>
            </w:pPr>
            <w:r w:rsidRPr="00687A1C">
              <w:t>4</w:t>
            </w:r>
          </w:p>
        </w:tc>
        <w:tc>
          <w:tcPr>
            <w:tcW w:w="778" w:type="dxa"/>
            <w:shd w:val="clear" w:color="auto" w:fill="auto"/>
            <w:vAlign w:val="center"/>
          </w:tcPr>
          <w:p w:rsidR="006A610B" w:rsidRPr="00687A1C" w:rsidRDefault="006A610B" w:rsidP="00FD7161">
            <w:pPr>
              <w:pStyle w:val="Tabletextright"/>
            </w:pPr>
            <w:r w:rsidRPr="00687A1C">
              <w:t>144.70</w:t>
            </w:r>
          </w:p>
        </w:tc>
        <w:tc>
          <w:tcPr>
            <w:tcW w:w="950" w:type="dxa"/>
            <w:shd w:val="clear" w:color="auto" w:fill="E0E0E0"/>
            <w:vAlign w:val="center"/>
          </w:tcPr>
          <w:p w:rsidR="006A610B" w:rsidRPr="00687A1C" w:rsidRDefault="006A610B" w:rsidP="00FD7161">
            <w:pPr>
              <w:pStyle w:val="Tabletextright"/>
            </w:pPr>
            <w:r w:rsidRPr="00687A1C">
              <w:t>6</w:t>
            </w:r>
          </w:p>
        </w:tc>
        <w:tc>
          <w:tcPr>
            <w:tcW w:w="778" w:type="dxa"/>
            <w:shd w:val="clear" w:color="auto" w:fill="E0E0E0"/>
            <w:vAlign w:val="center"/>
          </w:tcPr>
          <w:p w:rsidR="006A610B" w:rsidRPr="00687A1C" w:rsidRDefault="006A610B" w:rsidP="00FD7161">
            <w:pPr>
              <w:pStyle w:val="Tabletextright"/>
            </w:pPr>
            <w:r w:rsidRPr="00687A1C">
              <w:t>6.00</w:t>
            </w:r>
          </w:p>
        </w:tc>
        <w:tc>
          <w:tcPr>
            <w:tcW w:w="950" w:type="dxa"/>
            <w:shd w:val="clear" w:color="auto" w:fill="auto"/>
            <w:noWrap/>
            <w:vAlign w:val="center"/>
          </w:tcPr>
          <w:p w:rsidR="006A610B" w:rsidRPr="00687A1C" w:rsidRDefault="006A610B" w:rsidP="00FD7161">
            <w:pPr>
              <w:pStyle w:val="Tabletextright"/>
            </w:pPr>
            <w:r w:rsidRPr="00687A1C">
              <w:t>152</w:t>
            </w:r>
          </w:p>
        </w:tc>
        <w:tc>
          <w:tcPr>
            <w:tcW w:w="778" w:type="dxa"/>
            <w:shd w:val="clear" w:color="auto" w:fill="auto"/>
            <w:vAlign w:val="center"/>
          </w:tcPr>
          <w:p w:rsidR="006A610B" w:rsidRPr="00687A1C" w:rsidRDefault="006A610B" w:rsidP="00FD7161">
            <w:pPr>
              <w:pStyle w:val="Tabletextright"/>
            </w:pPr>
            <w:r w:rsidRPr="00687A1C">
              <w:t>151.00</w:t>
            </w:r>
          </w:p>
        </w:tc>
        <w:tc>
          <w:tcPr>
            <w:tcW w:w="979" w:type="dxa"/>
            <w:shd w:val="clear" w:color="auto" w:fill="E0E0E0"/>
            <w:noWrap/>
            <w:vAlign w:val="center"/>
          </w:tcPr>
          <w:p w:rsidR="006A610B" w:rsidRPr="00687A1C" w:rsidRDefault="006A610B" w:rsidP="00FD7161">
            <w:pPr>
              <w:pStyle w:val="Tabletextright"/>
            </w:pPr>
            <w:r w:rsidRPr="00687A1C">
              <w:t>144</w:t>
            </w:r>
          </w:p>
        </w:tc>
        <w:tc>
          <w:tcPr>
            <w:tcW w:w="979" w:type="dxa"/>
            <w:shd w:val="clear" w:color="auto" w:fill="E0E0E0"/>
            <w:vAlign w:val="center"/>
          </w:tcPr>
          <w:p w:rsidR="006A610B" w:rsidRPr="00687A1C" w:rsidRDefault="006A610B" w:rsidP="00FD7161">
            <w:pPr>
              <w:pStyle w:val="Tabletextright"/>
            </w:pPr>
            <w:r w:rsidRPr="00687A1C">
              <w:t>3</w:t>
            </w:r>
          </w:p>
        </w:tc>
        <w:tc>
          <w:tcPr>
            <w:tcW w:w="778" w:type="dxa"/>
            <w:shd w:val="clear" w:color="auto" w:fill="E0E0E0"/>
            <w:vAlign w:val="center"/>
          </w:tcPr>
          <w:p w:rsidR="006A610B" w:rsidRPr="00687A1C" w:rsidRDefault="006A610B" w:rsidP="00FD7161">
            <w:pPr>
              <w:pStyle w:val="Tabletextright"/>
            </w:pPr>
            <w:r w:rsidRPr="00687A1C">
              <w:t>146.00</w:t>
            </w:r>
          </w:p>
        </w:tc>
        <w:tc>
          <w:tcPr>
            <w:tcW w:w="950" w:type="dxa"/>
            <w:vAlign w:val="center"/>
          </w:tcPr>
          <w:p w:rsidR="006A610B" w:rsidRPr="00687A1C" w:rsidRDefault="006A610B" w:rsidP="00FD7161">
            <w:pPr>
              <w:pStyle w:val="Tabletextright"/>
            </w:pPr>
            <w:r w:rsidRPr="00687A1C">
              <w:t>5</w:t>
            </w:r>
          </w:p>
        </w:tc>
        <w:tc>
          <w:tcPr>
            <w:tcW w:w="778" w:type="dxa"/>
            <w:vAlign w:val="center"/>
          </w:tcPr>
          <w:p w:rsidR="006A610B" w:rsidRPr="00687A1C" w:rsidRDefault="006A610B" w:rsidP="00FD7161">
            <w:pPr>
              <w:pStyle w:val="Tabletextright"/>
            </w:pPr>
            <w:r w:rsidRPr="00687A1C">
              <w:t>5.00</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Grade 6</w:t>
            </w:r>
          </w:p>
        </w:tc>
        <w:tc>
          <w:tcPr>
            <w:tcW w:w="950" w:type="dxa"/>
            <w:shd w:val="clear" w:color="auto" w:fill="E0E0E0"/>
            <w:vAlign w:val="center"/>
          </w:tcPr>
          <w:p w:rsidR="006A610B" w:rsidRPr="00687A1C" w:rsidRDefault="006A610B" w:rsidP="00FD7161">
            <w:pPr>
              <w:pStyle w:val="Tabletextright"/>
            </w:pPr>
            <w:r w:rsidRPr="00687A1C">
              <w:t>145</w:t>
            </w:r>
          </w:p>
        </w:tc>
        <w:tc>
          <w:tcPr>
            <w:tcW w:w="778" w:type="dxa"/>
            <w:shd w:val="clear" w:color="auto" w:fill="E0E0E0"/>
            <w:vAlign w:val="center"/>
          </w:tcPr>
          <w:p w:rsidR="006A610B" w:rsidRPr="00687A1C" w:rsidRDefault="006A610B" w:rsidP="00FD7161">
            <w:pPr>
              <w:pStyle w:val="Tabletextright"/>
            </w:pPr>
            <w:r w:rsidRPr="00687A1C">
              <w:t>144.60</w:t>
            </w:r>
          </w:p>
        </w:tc>
        <w:tc>
          <w:tcPr>
            <w:tcW w:w="979" w:type="dxa"/>
            <w:shd w:val="clear" w:color="auto" w:fill="auto"/>
            <w:vAlign w:val="center"/>
          </w:tcPr>
          <w:p w:rsidR="006A610B" w:rsidRPr="00687A1C" w:rsidRDefault="006A610B" w:rsidP="00FD7161">
            <w:pPr>
              <w:pStyle w:val="Tabletextright"/>
            </w:pPr>
            <w:r w:rsidRPr="00687A1C">
              <w:t>138</w:t>
            </w:r>
          </w:p>
        </w:tc>
        <w:tc>
          <w:tcPr>
            <w:tcW w:w="979" w:type="dxa"/>
            <w:shd w:val="clear" w:color="auto" w:fill="auto"/>
            <w:vAlign w:val="center"/>
          </w:tcPr>
          <w:p w:rsidR="006A610B" w:rsidRPr="00687A1C" w:rsidRDefault="006A610B" w:rsidP="00FD7161">
            <w:pPr>
              <w:pStyle w:val="Tabletextright"/>
            </w:pPr>
            <w:r w:rsidRPr="00687A1C">
              <w:t>2</w:t>
            </w:r>
          </w:p>
        </w:tc>
        <w:tc>
          <w:tcPr>
            <w:tcW w:w="778" w:type="dxa"/>
            <w:shd w:val="clear" w:color="auto" w:fill="auto"/>
            <w:vAlign w:val="center"/>
          </w:tcPr>
          <w:p w:rsidR="006A610B" w:rsidRPr="00687A1C" w:rsidRDefault="006A610B" w:rsidP="00FD7161">
            <w:pPr>
              <w:pStyle w:val="Tabletextright"/>
            </w:pPr>
            <w:r w:rsidRPr="00687A1C">
              <w:t>139.60</w:t>
            </w:r>
          </w:p>
        </w:tc>
        <w:tc>
          <w:tcPr>
            <w:tcW w:w="950" w:type="dxa"/>
            <w:shd w:val="clear" w:color="auto" w:fill="E0E0E0"/>
            <w:vAlign w:val="center"/>
          </w:tcPr>
          <w:p w:rsidR="006A610B" w:rsidRPr="00687A1C" w:rsidRDefault="006A610B" w:rsidP="00FD7161">
            <w:pPr>
              <w:pStyle w:val="Tabletextright"/>
            </w:pPr>
            <w:r w:rsidRPr="00687A1C">
              <w:t>5</w:t>
            </w:r>
          </w:p>
        </w:tc>
        <w:tc>
          <w:tcPr>
            <w:tcW w:w="778" w:type="dxa"/>
            <w:shd w:val="clear" w:color="auto" w:fill="E0E0E0"/>
            <w:vAlign w:val="center"/>
          </w:tcPr>
          <w:p w:rsidR="006A610B" w:rsidRPr="00687A1C" w:rsidRDefault="006A610B" w:rsidP="00FD7161">
            <w:pPr>
              <w:pStyle w:val="Tabletextright"/>
            </w:pPr>
            <w:r w:rsidRPr="00687A1C">
              <w:t>5.00</w:t>
            </w:r>
          </w:p>
        </w:tc>
        <w:tc>
          <w:tcPr>
            <w:tcW w:w="950" w:type="dxa"/>
            <w:shd w:val="clear" w:color="auto" w:fill="auto"/>
            <w:noWrap/>
            <w:vAlign w:val="center"/>
          </w:tcPr>
          <w:p w:rsidR="006A610B" w:rsidRPr="00687A1C" w:rsidRDefault="006A610B" w:rsidP="00FD7161">
            <w:pPr>
              <w:pStyle w:val="Tabletextright"/>
            </w:pPr>
            <w:r w:rsidRPr="00687A1C">
              <w:t>133</w:t>
            </w:r>
          </w:p>
        </w:tc>
        <w:tc>
          <w:tcPr>
            <w:tcW w:w="778" w:type="dxa"/>
            <w:shd w:val="clear" w:color="auto" w:fill="auto"/>
            <w:vAlign w:val="center"/>
          </w:tcPr>
          <w:p w:rsidR="006A610B" w:rsidRPr="00687A1C" w:rsidRDefault="006A610B" w:rsidP="00FD7161">
            <w:pPr>
              <w:pStyle w:val="Tabletextright"/>
            </w:pPr>
            <w:r w:rsidRPr="00687A1C">
              <w:t>131.70</w:t>
            </w:r>
          </w:p>
        </w:tc>
        <w:tc>
          <w:tcPr>
            <w:tcW w:w="979" w:type="dxa"/>
            <w:shd w:val="clear" w:color="auto" w:fill="E0E0E0"/>
            <w:noWrap/>
            <w:vAlign w:val="center"/>
          </w:tcPr>
          <w:p w:rsidR="006A610B" w:rsidRPr="00687A1C" w:rsidRDefault="006A610B" w:rsidP="00FD7161">
            <w:pPr>
              <w:pStyle w:val="Tabletextright"/>
            </w:pPr>
            <w:r w:rsidRPr="00687A1C">
              <w:t>124</w:t>
            </w:r>
          </w:p>
        </w:tc>
        <w:tc>
          <w:tcPr>
            <w:tcW w:w="979" w:type="dxa"/>
            <w:shd w:val="clear" w:color="auto" w:fill="E0E0E0"/>
            <w:vAlign w:val="center"/>
          </w:tcPr>
          <w:p w:rsidR="006A610B" w:rsidRPr="00687A1C" w:rsidRDefault="006A610B" w:rsidP="00FD7161">
            <w:pPr>
              <w:pStyle w:val="Tabletextright"/>
            </w:pPr>
            <w:r w:rsidRPr="00687A1C">
              <w:t>4</w:t>
            </w:r>
          </w:p>
        </w:tc>
        <w:tc>
          <w:tcPr>
            <w:tcW w:w="778" w:type="dxa"/>
            <w:shd w:val="clear" w:color="auto" w:fill="E0E0E0"/>
            <w:vAlign w:val="center"/>
          </w:tcPr>
          <w:p w:rsidR="006A610B" w:rsidRPr="00687A1C" w:rsidRDefault="006A610B" w:rsidP="00FD7161">
            <w:pPr>
              <w:pStyle w:val="Tabletextright"/>
            </w:pPr>
            <w:r w:rsidRPr="00687A1C">
              <w:t>127.10</w:t>
            </w:r>
          </w:p>
        </w:tc>
        <w:tc>
          <w:tcPr>
            <w:tcW w:w="950" w:type="dxa"/>
            <w:vAlign w:val="center"/>
          </w:tcPr>
          <w:p w:rsidR="006A610B" w:rsidRPr="00687A1C" w:rsidRDefault="006A610B" w:rsidP="00FD7161">
            <w:pPr>
              <w:pStyle w:val="Tabletextright"/>
            </w:pPr>
            <w:r w:rsidRPr="00687A1C">
              <w:t>5</w:t>
            </w:r>
          </w:p>
        </w:tc>
        <w:tc>
          <w:tcPr>
            <w:tcW w:w="778" w:type="dxa"/>
            <w:vAlign w:val="center"/>
          </w:tcPr>
          <w:p w:rsidR="006A610B" w:rsidRPr="00687A1C" w:rsidRDefault="006A610B" w:rsidP="00FD7161">
            <w:pPr>
              <w:pStyle w:val="Tabletextright"/>
            </w:pPr>
            <w:r w:rsidRPr="00687A1C">
              <w:t>4.60</w:t>
            </w:r>
          </w:p>
        </w:tc>
      </w:tr>
      <w:tr w:rsidR="006A610B" w:rsidRPr="00687A1C" w:rsidTr="00FD7161">
        <w:trPr>
          <w:cantSplit/>
        </w:trPr>
        <w:tc>
          <w:tcPr>
            <w:tcW w:w="1483" w:type="dxa"/>
            <w:shd w:val="clear" w:color="auto" w:fill="auto"/>
          </w:tcPr>
          <w:p w:rsidR="006A610B" w:rsidRPr="00687A1C" w:rsidRDefault="006A610B" w:rsidP="00FD7161">
            <w:pPr>
              <w:pStyle w:val="Tabletext"/>
              <w:rPr>
                <w:sz w:val="6"/>
              </w:rPr>
            </w:pPr>
          </w:p>
        </w:tc>
        <w:tc>
          <w:tcPr>
            <w:tcW w:w="950" w:type="dxa"/>
            <w:shd w:val="clear" w:color="auto" w:fill="E0E0E0"/>
          </w:tcPr>
          <w:p w:rsidR="006A610B" w:rsidRPr="00687A1C" w:rsidRDefault="006A610B" w:rsidP="00FD7161">
            <w:pPr>
              <w:pStyle w:val="Tabletextright"/>
              <w:rPr>
                <w:rFonts w:cstheme="minorHAnsi"/>
                <w:sz w:val="6"/>
              </w:rPr>
            </w:pPr>
          </w:p>
        </w:tc>
        <w:tc>
          <w:tcPr>
            <w:tcW w:w="778" w:type="dxa"/>
            <w:shd w:val="clear" w:color="auto" w:fill="E0E0E0"/>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sz w:val="6"/>
              </w:rPr>
            </w:pPr>
          </w:p>
        </w:tc>
        <w:tc>
          <w:tcPr>
            <w:tcW w:w="778" w:type="dxa"/>
            <w:shd w:val="clear" w:color="auto" w:fill="auto"/>
          </w:tcPr>
          <w:p w:rsidR="006A610B" w:rsidRPr="00687A1C" w:rsidRDefault="006A610B" w:rsidP="00FD7161">
            <w:pPr>
              <w:pStyle w:val="Tabletextright"/>
              <w:rPr>
                <w:sz w:val="6"/>
              </w:rPr>
            </w:pPr>
          </w:p>
        </w:tc>
        <w:tc>
          <w:tcPr>
            <w:tcW w:w="950"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shd w:val="clear" w:color="auto" w:fill="auto"/>
            <w:noWrap/>
          </w:tcPr>
          <w:p w:rsidR="006A610B" w:rsidRPr="00687A1C" w:rsidRDefault="006A610B" w:rsidP="00FD7161">
            <w:pPr>
              <w:pStyle w:val="Tabletextright"/>
              <w:rPr>
                <w:rFonts w:cstheme="minorHAnsi"/>
                <w:sz w:val="6"/>
              </w:rPr>
            </w:pPr>
          </w:p>
        </w:tc>
        <w:tc>
          <w:tcPr>
            <w:tcW w:w="778" w:type="dxa"/>
            <w:shd w:val="clear" w:color="auto" w:fill="auto"/>
          </w:tcPr>
          <w:p w:rsidR="006A610B" w:rsidRPr="00687A1C" w:rsidRDefault="006A610B" w:rsidP="00FD7161">
            <w:pPr>
              <w:pStyle w:val="Tabletextright"/>
              <w:rPr>
                <w:rFonts w:cstheme="minorHAnsi"/>
                <w:sz w:val="6"/>
              </w:rPr>
            </w:pPr>
          </w:p>
        </w:tc>
        <w:tc>
          <w:tcPr>
            <w:tcW w:w="979" w:type="dxa"/>
            <w:shd w:val="clear" w:color="auto" w:fill="E0E0E0"/>
            <w:noWrap/>
          </w:tcPr>
          <w:p w:rsidR="006A610B" w:rsidRPr="00687A1C" w:rsidRDefault="006A610B" w:rsidP="00FD7161">
            <w:pPr>
              <w:pStyle w:val="Tabletextright"/>
              <w:rPr>
                <w:rFonts w:cstheme="minorHAnsi"/>
                <w:sz w:val="6"/>
              </w:rPr>
            </w:pPr>
          </w:p>
        </w:tc>
        <w:tc>
          <w:tcPr>
            <w:tcW w:w="979"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tcPr>
          <w:p w:rsidR="006A610B" w:rsidRPr="00687A1C" w:rsidRDefault="006A610B" w:rsidP="00FD7161">
            <w:pPr>
              <w:pStyle w:val="Tabletextright"/>
              <w:rPr>
                <w:sz w:val="6"/>
              </w:rPr>
            </w:pPr>
          </w:p>
        </w:tc>
        <w:tc>
          <w:tcPr>
            <w:tcW w:w="778" w:type="dxa"/>
          </w:tcPr>
          <w:p w:rsidR="006A610B" w:rsidRPr="00687A1C" w:rsidRDefault="006A610B" w:rsidP="00FD7161">
            <w:pPr>
              <w:pStyle w:val="Tabletextright"/>
              <w:rPr>
                <w:sz w:val="6"/>
              </w:rPr>
            </w:pPr>
          </w:p>
        </w:tc>
      </w:tr>
      <w:tr w:rsidR="006A610B" w:rsidRPr="00687A1C" w:rsidTr="00FD7161">
        <w:trPr>
          <w:cantSplit/>
        </w:trPr>
        <w:tc>
          <w:tcPr>
            <w:tcW w:w="1483" w:type="dxa"/>
            <w:shd w:val="clear" w:color="auto" w:fill="auto"/>
          </w:tcPr>
          <w:p w:rsidR="006A610B" w:rsidRPr="00687A1C" w:rsidRDefault="006A610B" w:rsidP="00FD7161">
            <w:pPr>
              <w:pStyle w:val="Tabletext"/>
            </w:pPr>
            <w:r w:rsidRPr="00687A1C">
              <w:rPr>
                <w:rFonts w:cstheme="minorHAnsi"/>
                <w:b/>
                <w:szCs w:val="18"/>
              </w:rPr>
              <w:t>Senior employees</w:t>
            </w:r>
          </w:p>
        </w:tc>
        <w:tc>
          <w:tcPr>
            <w:tcW w:w="950" w:type="dxa"/>
            <w:shd w:val="clear" w:color="auto" w:fill="E0E0E0"/>
            <w:vAlign w:val="center"/>
          </w:tcPr>
          <w:p w:rsidR="006A610B" w:rsidRPr="00687A1C" w:rsidRDefault="006A610B" w:rsidP="00FD7161">
            <w:pPr>
              <w:pStyle w:val="Tabletextrightbold"/>
            </w:pPr>
            <w:r w:rsidRPr="00687A1C">
              <w:t>32</w:t>
            </w:r>
          </w:p>
        </w:tc>
        <w:tc>
          <w:tcPr>
            <w:tcW w:w="778" w:type="dxa"/>
            <w:shd w:val="clear" w:color="auto" w:fill="E0E0E0"/>
            <w:vAlign w:val="center"/>
          </w:tcPr>
          <w:p w:rsidR="006A610B" w:rsidRPr="00687A1C" w:rsidRDefault="006A610B" w:rsidP="00FD7161">
            <w:pPr>
              <w:pStyle w:val="Tabletextrightbold"/>
            </w:pPr>
            <w:r w:rsidRPr="00687A1C">
              <w:t>31.60</w:t>
            </w:r>
          </w:p>
        </w:tc>
        <w:tc>
          <w:tcPr>
            <w:tcW w:w="979" w:type="dxa"/>
            <w:shd w:val="clear" w:color="auto" w:fill="auto"/>
            <w:vAlign w:val="center"/>
          </w:tcPr>
          <w:p w:rsidR="006A610B" w:rsidRPr="00687A1C" w:rsidRDefault="006A610B" w:rsidP="00FD7161">
            <w:pPr>
              <w:pStyle w:val="Tabletextrightbold"/>
            </w:pPr>
            <w:r w:rsidRPr="00687A1C">
              <w:t>23</w:t>
            </w:r>
          </w:p>
        </w:tc>
        <w:tc>
          <w:tcPr>
            <w:tcW w:w="979" w:type="dxa"/>
            <w:shd w:val="clear" w:color="auto" w:fill="auto"/>
            <w:vAlign w:val="center"/>
          </w:tcPr>
          <w:p w:rsidR="006A610B" w:rsidRPr="00687A1C" w:rsidRDefault="006A610B" w:rsidP="00FD7161">
            <w:pPr>
              <w:pStyle w:val="Tabletextrightbold"/>
            </w:pPr>
            <w:r w:rsidRPr="00687A1C">
              <w:t>1</w:t>
            </w:r>
          </w:p>
        </w:tc>
        <w:tc>
          <w:tcPr>
            <w:tcW w:w="778" w:type="dxa"/>
            <w:shd w:val="clear" w:color="auto" w:fill="auto"/>
            <w:vAlign w:val="center"/>
          </w:tcPr>
          <w:p w:rsidR="006A610B" w:rsidRPr="00687A1C" w:rsidRDefault="006A610B" w:rsidP="00FD7161">
            <w:pPr>
              <w:pStyle w:val="Tabletextrightbold"/>
            </w:pPr>
            <w:r w:rsidRPr="00687A1C">
              <w:t>23.80</w:t>
            </w:r>
          </w:p>
        </w:tc>
        <w:tc>
          <w:tcPr>
            <w:tcW w:w="950" w:type="dxa"/>
            <w:shd w:val="clear" w:color="auto" w:fill="E0E0E0"/>
            <w:vAlign w:val="center"/>
          </w:tcPr>
          <w:p w:rsidR="006A610B" w:rsidRPr="00687A1C" w:rsidRDefault="006A610B" w:rsidP="00FD7161">
            <w:pPr>
              <w:pStyle w:val="Tabletextrightbold"/>
            </w:pPr>
            <w:r w:rsidRPr="00687A1C">
              <w:t>8</w:t>
            </w:r>
          </w:p>
        </w:tc>
        <w:tc>
          <w:tcPr>
            <w:tcW w:w="778" w:type="dxa"/>
            <w:shd w:val="clear" w:color="auto" w:fill="E0E0E0"/>
            <w:vAlign w:val="center"/>
          </w:tcPr>
          <w:p w:rsidR="006A610B" w:rsidRPr="00687A1C" w:rsidRDefault="006A610B" w:rsidP="00FD7161">
            <w:pPr>
              <w:pStyle w:val="Tabletextrightbold"/>
            </w:pPr>
            <w:r w:rsidRPr="00687A1C">
              <w:t>7.80</w:t>
            </w:r>
          </w:p>
        </w:tc>
        <w:tc>
          <w:tcPr>
            <w:tcW w:w="950" w:type="dxa"/>
            <w:shd w:val="clear" w:color="auto" w:fill="auto"/>
            <w:noWrap/>
            <w:vAlign w:val="center"/>
          </w:tcPr>
          <w:p w:rsidR="006A610B" w:rsidRPr="00687A1C" w:rsidRDefault="006A610B" w:rsidP="00FD7161">
            <w:pPr>
              <w:pStyle w:val="Tabletextrightbold"/>
            </w:pPr>
            <w:r w:rsidRPr="00687A1C">
              <w:t>29</w:t>
            </w:r>
          </w:p>
        </w:tc>
        <w:tc>
          <w:tcPr>
            <w:tcW w:w="778" w:type="dxa"/>
            <w:shd w:val="clear" w:color="auto" w:fill="auto"/>
            <w:vAlign w:val="center"/>
          </w:tcPr>
          <w:p w:rsidR="006A610B" w:rsidRPr="00687A1C" w:rsidRDefault="006A610B" w:rsidP="00FD7161">
            <w:pPr>
              <w:pStyle w:val="Tabletextrightbold"/>
            </w:pPr>
            <w:r w:rsidRPr="00687A1C">
              <w:t>28.60</w:t>
            </w:r>
          </w:p>
        </w:tc>
        <w:tc>
          <w:tcPr>
            <w:tcW w:w="979" w:type="dxa"/>
            <w:shd w:val="clear" w:color="auto" w:fill="E0E0E0"/>
            <w:noWrap/>
            <w:vAlign w:val="center"/>
          </w:tcPr>
          <w:p w:rsidR="006A610B" w:rsidRPr="00687A1C" w:rsidRDefault="006A610B" w:rsidP="00FD7161">
            <w:pPr>
              <w:pStyle w:val="Tabletextrightbold"/>
            </w:pPr>
            <w:r w:rsidRPr="00687A1C">
              <w:t>23</w:t>
            </w:r>
          </w:p>
        </w:tc>
        <w:tc>
          <w:tcPr>
            <w:tcW w:w="979" w:type="dxa"/>
            <w:shd w:val="clear" w:color="auto" w:fill="E0E0E0"/>
            <w:vAlign w:val="center"/>
          </w:tcPr>
          <w:p w:rsidR="006A610B" w:rsidRPr="00687A1C" w:rsidRDefault="006A610B" w:rsidP="00FD7161">
            <w:pPr>
              <w:pStyle w:val="Tabletextrightbold"/>
            </w:pPr>
            <w:r w:rsidRPr="00687A1C">
              <w:t>0</w:t>
            </w:r>
          </w:p>
        </w:tc>
        <w:tc>
          <w:tcPr>
            <w:tcW w:w="778" w:type="dxa"/>
            <w:shd w:val="clear" w:color="auto" w:fill="E0E0E0"/>
            <w:vAlign w:val="center"/>
          </w:tcPr>
          <w:p w:rsidR="006A610B" w:rsidRPr="00687A1C" w:rsidRDefault="006A610B" w:rsidP="00FD7161">
            <w:pPr>
              <w:pStyle w:val="Tabletextrightbold"/>
            </w:pPr>
            <w:r w:rsidRPr="00687A1C">
              <w:t>23.00</w:t>
            </w:r>
          </w:p>
        </w:tc>
        <w:tc>
          <w:tcPr>
            <w:tcW w:w="950" w:type="dxa"/>
            <w:vAlign w:val="center"/>
          </w:tcPr>
          <w:p w:rsidR="006A610B" w:rsidRPr="00687A1C" w:rsidRDefault="006A610B" w:rsidP="00FD7161">
            <w:pPr>
              <w:pStyle w:val="Tabletextrightbold"/>
            </w:pPr>
            <w:r w:rsidRPr="00687A1C">
              <w:t>6</w:t>
            </w:r>
          </w:p>
        </w:tc>
        <w:tc>
          <w:tcPr>
            <w:tcW w:w="778" w:type="dxa"/>
            <w:vAlign w:val="center"/>
          </w:tcPr>
          <w:p w:rsidR="006A610B" w:rsidRPr="00687A1C" w:rsidRDefault="006A610B" w:rsidP="00FD7161">
            <w:pPr>
              <w:pStyle w:val="Tabletextrightbold"/>
            </w:pPr>
            <w:r w:rsidRPr="00687A1C">
              <w:t>5.60</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STS</w:t>
            </w:r>
          </w:p>
        </w:tc>
        <w:tc>
          <w:tcPr>
            <w:tcW w:w="950" w:type="dxa"/>
            <w:shd w:val="clear" w:color="auto" w:fill="E0E0E0"/>
            <w:vAlign w:val="center"/>
          </w:tcPr>
          <w:p w:rsidR="006A610B" w:rsidRPr="00687A1C" w:rsidRDefault="006A610B" w:rsidP="00FD7161">
            <w:pPr>
              <w:pStyle w:val="Tabletextright"/>
            </w:pPr>
            <w:r w:rsidRPr="00687A1C">
              <w:t>27</w:t>
            </w:r>
          </w:p>
        </w:tc>
        <w:tc>
          <w:tcPr>
            <w:tcW w:w="778" w:type="dxa"/>
            <w:shd w:val="clear" w:color="auto" w:fill="E0E0E0"/>
            <w:vAlign w:val="center"/>
          </w:tcPr>
          <w:p w:rsidR="006A610B" w:rsidRPr="00687A1C" w:rsidRDefault="006A610B" w:rsidP="00FD7161">
            <w:pPr>
              <w:pStyle w:val="Tabletextright"/>
            </w:pPr>
            <w:r w:rsidRPr="00687A1C">
              <w:t>26.80</w:t>
            </w:r>
          </w:p>
        </w:tc>
        <w:tc>
          <w:tcPr>
            <w:tcW w:w="979" w:type="dxa"/>
            <w:shd w:val="clear" w:color="auto" w:fill="auto"/>
            <w:vAlign w:val="center"/>
          </w:tcPr>
          <w:p w:rsidR="006A610B" w:rsidRPr="00687A1C" w:rsidRDefault="006A610B" w:rsidP="00FD7161">
            <w:pPr>
              <w:pStyle w:val="Tabletextright"/>
            </w:pPr>
            <w:r w:rsidRPr="00687A1C">
              <w:t>23</w:t>
            </w:r>
          </w:p>
        </w:tc>
        <w:tc>
          <w:tcPr>
            <w:tcW w:w="979" w:type="dxa"/>
            <w:shd w:val="clear" w:color="auto" w:fill="auto"/>
            <w:vAlign w:val="center"/>
          </w:tcPr>
          <w:p w:rsidR="006A610B" w:rsidRPr="00687A1C" w:rsidRDefault="006A610B" w:rsidP="00FD7161">
            <w:pPr>
              <w:pStyle w:val="Tabletextright"/>
            </w:pPr>
            <w:r w:rsidRPr="00687A1C">
              <w:t>1</w:t>
            </w:r>
          </w:p>
        </w:tc>
        <w:tc>
          <w:tcPr>
            <w:tcW w:w="778" w:type="dxa"/>
            <w:shd w:val="clear" w:color="auto" w:fill="auto"/>
            <w:vAlign w:val="center"/>
          </w:tcPr>
          <w:p w:rsidR="006A610B" w:rsidRPr="00687A1C" w:rsidRDefault="006A610B" w:rsidP="00FD7161">
            <w:pPr>
              <w:pStyle w:val="Tabletextright"/>
            </w:pPr>
            <w:r w:rsidRPr="00687A1C">
              <w:t>23.80</w:t>
            </w:r>
          </w:p>
        </w:tc>
        <w:tc>
          <w:tcPr>
            <w:tcW w:w="950" w:type="dxa"/>
            <w:shd w:val="clear" w:color="auto" w:fill="E0E0E0"/>
            <w:vAlign w:val="center"/>
          </w:tcPr>
          <w:p w:rsidR="006A610B" w:rsidRPr="00687A1C" w:rsidRDefault="006A610B" w:rsidP="00FD7161">
            <w:pPr>
              <w:pStyle w:val="Tabletextright"/>
            </w:pPr>
            <w:r w:rsidRPr="00687A1C">
              <w:t>3</w:t>
            </w:r>
          </w:p>
        </w:tc>
        <w:tc>
          <w:tcPr>
            <w:tcW w:w="778" w:type="dxa"/>
            <w:shd w:val="clear" w:color="auto" w:fill="E0E0E0"/>
            <w:vAlign w:val="center"/>
          </w:tcPr>
          <w:p w:rsidR="006A610B" w:rsidRPr="00687A1C" w:rsidRDefault="006A610B" w:rsidP="00FD7161">
            <w:pPr>
              <w:pStyle w:val="Tabletextright"/>
            </w:pPr>
            <w:r w:rsidRPr="00687A1C">
              <w:t>3.00</w:t>
            </w:r>
          </w:p>
        </w:tc>
        <w:tc>
          <w:tcPr>
            <w:tcW w:w="950" w:type="dxa"/>
            <w:shd w:val="clear" w:color="auto" w:fill="auto"/>
            <w:noWrap/>
            <w:vAlign w:val="center"/>
          </w:tcPr>
          <w:p w:rsidR="006A610B" w:rsidRPr="00687A1C" w:rsidRDefault="006A610B" w:rsidP="00FD7161">
            <w:pPr>
              <w:pStyle w:val="Tabletextright"/>
            </w:pPr>
            <w:r w:rsidRPr="00687A1C">
              <w:t>24</w:t>
            </w:r>
          </w:p>
        </w:tc>
        <w:tc>
          <w:tcPr>
            <w:tcW w:w="778" w:type="dxa"/>
            <w:shd w:val="clear" w:color="auto" w:fill="auto"/>
            <w:vAlign w:val="center"/>
          </w:tcPr>
          <w:p w:rsidR="006A610B" w:rsidRPr="00687A1C" w:rsidRDefault="006A610B" w:rsidP="00FD7161">
            <w:pPr>
              <w:pStyle w:val="Tabletextright"/>
            </w:pPr>
            <w:r w:rsidRPr="00687A1C">
              <w:t>24.00</w:t>
            </w:r>
          </w:p>
        </w:tc>
        <w:tc>
          <w:tcPr>
            <w:tcW w:w="979" w:type="dxa"/>
            <w:shd w:val="clear" w:color="auto" w:fill="E0E0E0"/>
            <w:noWrap/>
            <w:vAlign w:val="center"/>
          </w:tcPr>
          <w:p w:rsidR="006A610B" w:rsidRPr="00687A1C" w:rsidRDefault="006A610B" w:rsidP="00FD7161">
            <w:pPr>
              <w:pStyle w:val="Tabletextright"/>
            </w:pPr>
            <w:r w:rsidRPr="00687A1C">
              <w:t>23</w:t>
            </w:r>
          </w:p>
        </w:tc>
        <w:tc>
          <w:tcPr>
            <w:tcW w:w="979" w:type="dxa"/>
            <w:shd w:val="clear" w:color="auto" w:fill="E0E0E0"/>
            <w:vAlign w:val="center"/>
          </w:tcPr>
          <w:p w:rsidR="006A610B" w:rsidRPr="00687A1C" w:rsidRDefault="006A610B" w:rsidP="00FD7161">
            <w:pPr>
              <w:pStyle w:val="Tabletextright"/>
            </w:pPr>
            <w:r w:rsidRPr="00687A1C">
              <w:t>0</w:t>
            </w:r>
          </w:p>
        </w:tc>
        <w:tc>
          <w:tcPr>
            <w:tcW w:w="778" w:type="dxa"/>
            <w:shd w:val="clear" w:color="auto" w:fill="E0E0E0"/>
            <w:vAlign w:val="center"/>
          </w:tcPr>
          <w:p w:rsidR="006A610B" w:rsidRPr="00687A1C" w:rsidRDefault="006A610B" w:rsidP="00FD7161">
            <w:pPr>
              <w:pStyle w:val="Tabletextright"/>
            </w:pPr>
            <w:r w:rsidRPr="00687A1C">
              <w:t>23.00</w:t>
            </w:r>
          </w:p>
        </w:tc>
        <w:tc>
          <w:tcPr>
            <w:tcW w:w="950" w:type="dxa"/>
            <w:vAlign w:val="center"/>
          </w:tcPr>
          <w:p w:rsidR="006A610B" w:rsidRPr="00687A1C" w:rsidRDefault="006A610B" w:rsidP="00FD7161">
            <w:pPr>
              <w:pStyle w:val="Tabletextright"/>
            </w:pPr>
            <w:r w:rsidRPr="00687A1C">
              <w:t>1</w:t>
            </w:r>
          </w:p>
        </w:tc>
        <w:tc>
          <w:tcPr>
            <w:tcW w:w="778" w:type="dxa"/>
            <w:vAlign w:val="center"/>
          </w:tcPr>
          <w:p w:rsidR="006A610B" w:rsidRPr="00687A1C" w:rsidRDefault="006A610B" w:rsidP="00FD7161">
            <w:pPr>
              <w:pStyle w:val="Tabletextright"/>
            </w:pPr>
            <w:r w:rsidRPr="00687A1C">
              <w:t>1.00</w:t>
            </w: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t>Executives</w:t>
            </w:r>
          </w:p>
        </w:tc>
        <w:tc>
          <w:tcPr>
            <w:tcW w:w="950" w:type="dxa"/>
            <w:shd w:val="clear" w:color="auto" w:fill="E0E0E0"/>
            <w:vAlign w:val="center"/>
          </w:tcPr>
          <w:p w:rsidR="006A610B" w:rsidRPr="00687A1C" w:rsidRDefault="006A610B" w:rsidP="00FD7161">
            <w:pPr>
              <w:pStyle w:val="Tabletextright"/>
            </w:pPr>
            <w:r w:rsidRPr="00687A1C">
              <w:t>5</w:t>
            </w:r>
          </w:p>
        </w:tc>
        <w:tc>
          <w:tcPr>
            <w:tcW w:w="778" w:type="dxa"/>
            <w:shd w:val="clear" w:color="auto" w:fill="E0E0E0"/>
            <w:vAlign w:val="center"/>
          </w:tcPr>
          <w:p w:rsidR="006A610B" w:rsidRPr="00687A1C" w:rsidRDefault="006A610B" w:rsidP="00FD7161">
            <w:pPr>
              <w:pStyle w:val="Tabletextright"/>
            </w:pPr>
            <w:r w:rsidRPr="00687A1C">
              <w:t>4.80</w:t>
            </w:r>
          </w:p>
        </w:tc>
        <w:tc>
          <w:tcPr>
            <w:tcW w:w="979" w:type="dxa"/>
            <w:shd w:val="clear" w:color="auto" w:fill="auto"/>
            <w:vAlign w:val="center"/>
          </w:tcPr>
          <w:p w:rsidR="006A610B" w:rsidRPr="00687A1C" w:rsidRDefault="006A610B" w:rsidP="00FD7161">
            <w:pPr>
              <w:pStyle w:val="Tabletextright"/>
            </w:pPr>
            <w:r w:rsidRPr="00687A1C">
              <w:t>–</w:t>
            </w:r>
          </w:p>
        </w:tc>
        <w:tc>
          <w:tcPr>
            <w:tcW w:w="979" w:type="dxa"/>
            <w:shd w:val="clear" w:color="auto" w:fill="auto"/>
            <w:vAlign w:val="center"/>
          </w:tcPr>
          <w:p w:rsidR="006A610B" w:rsidRPr="00687A1C" w:rsidRDefault="006A610B" w:rsidP="00FD7161">
            <w:pPr>
              <w:pStyle w:val="Tabletextright"/>
            </w:pPr>
            <w:r w:rsidRPr="00687A1C">
              <w:t>–</w:t>
            </w:r>
          </w:p>
        </w:tc>
        <w:tc>
          <w:tcPr>
            <w:tcW w:w="778" w:type="dxa"/>
            <w:shd w:val="clear" w:color="auto" w:fill="auto"/>
            <w:vAlign w:val="center"/>
          </w:tcPr>
          <w:p w:rsidR="006A610B" w:rsidRPr="00687A1C" w:rsidRDefault="006A610B" w:rsidP="00FD7161">
            <w:pPr>
              <w:pStyle w:val="Tabletextright"/>
            </w:pPr>
            <w:r w:rsidRPr="00687A1C">
              <w:t>–</w:t>
            </w:r>
          </w:p>
        </w:tc>
        <w:tc>
          <w:tcPr>
            <w:tcW w:w="950" w:type="dxa"/>
            <w:shd w:val="clear" w:color="auto" w:fill="E0E0E0"/>
            <w:vAlign w:val="center"/>
          </w:tcPr>
          <w:p w:rsidR="006A610B" w:rsidRPr="00687A1C" w:rsidRDefault="006A610B" w:rsidP="00FD7161">
            <w:pPr>
              <w:pStyle w:val="Tabletextright"/>
            </w:pPr>
            <w:r w:rsidRPr="00687A1C">
              <w:t>5</w:t>
            </w:r>
          </w:p>
        </w:tc>
        <w:tc>
          <w:tcPr>
            <w:tcW w:w="778" w:type="dxa"/>
            <w:shd w:val="clear" w:color="auto" w:fill="E0E0E0"/>
            <w:vAlign w:val="center"/>
          </w:tcPr>
          <w:p w:rsidR="006A610B" w:rsidRPr="00687A1C" w:rsidRDefault="006A610B" w:rsidP="00FD7161">
            <w:pPr>
              <w:pStyle w:val="Tabletextright"/>
            </w:pPr>
            <w:r w:rsidRPr="00687A1C">
              <w:t>4.80</w:t>
            </w:r>
          </w:p>
        </w:tc>
        <w:tc>
          <w:tcPr>
            <w:tcW w:w="950" w:type="dxa"/>
            <w:shd w:val="clear" w:color="auto" w:fill="auto"/>
            <w:noWrap/>
            <w:vAlign w:val="center"/>
          </w:tcPr>
          <w:p w:rsidR="006A610B" w:rsidRPr="00687A1C" w:rsidRDefault="006A610B" w:rsidP="00FD7161">
            <w:pPr>
              <w:pStyle w:val="Tabletextright"/>
            </w:pPr>
            <w:r w:rsidRPr="00687A1C">
              <w:t>5</w:t>
            </w:r>
          </w:p>
        </w:tc>
        <w:tc>
          <w:tcPr>
            <w:tcW w:w="778" w:type="dxa"/>
            <w:shd w:val="clear" w:color="auto" w:fill="auto"/>
            <w:vAlign w:val="center"/>
          </w:tcPr>
          <w:p w:rsidR="006A610B" w:rsidRPr="00687A1C" w:rsidRDefault="006A610B" w:rsidP="00FD7161">
            <w:pPr>
              <w:pStyle w:val="Tabletextright"/>
            </w:pPr>
            <w:r w:rsidRPr="00687A1C">
              <w:t>4.60</w:t>
            </w:r>
          </w:p>
        </w:tc>
        <w:tc>
          <w:tcPr>
            <w:tcW w:w="979" w:type="dxa"/>
            <w:shd w:val="clear" w:color="auto" w:fill="E0E0E0"/>
            <w:noWrap/>
            <w:vAlign w:val="center"/>
          </w:tcPr>
          <w:p w:rsidR="006A610B" w:rsidRPr="00687A1C" w:rsidRDefault="006A610B" w:rsidP="00FD7161">
            <w:pPr>
              <w:pStyle w:val="Tabletextright"/>
            </w:pPr>
            <w:r w:rsidRPr="00687A1C">
              <w:t>–</w:t>
            </w:r>
          </w:p>
        </w:tc>
        <w:tc>
          <w:tcPr>
            <w:tcW w:w="979" w:type="dxa"/>
            <w:shd w:val="clear" w:color="auto" w:fill="E0E0E0"/>
            <w:vAlign w:val="center"/>
          </w:tcPr>
          <w:p w:rsidR="006A610B" w:rsidRPr="00687A1C" w:rsidRDefault="006A610B" w:rsidP="00FD7161">
            <w:pPr>
              <w:pStyle w:val="Tabletextright"/>
            </w:pPr>
            <w:r w:rsidRPr="00687A1C">
              <w:t>–</w:t>
            </w:r>
          </w:p>
        </w:tc>
        <w:tc>
          <w:tcPr>
            <w:tcW w:w="778" w:type="dxa"/>
            <w:shd w:val="clear" w:color="auto" w:fill="E0E0E0"/>
            <w:vAlign w:val="center"/>
          </w:tcPr>
          <w:p w:rsidR="006A610B" w:rsidRPr="00687A1C" w:rsidRDefault="006A610B" w:rsidP="00FD7161">
            <w:pPr>
              <w:pStyle w:val="Tabletextright"/>
            </w:pPr>
            <w:r w:rsidRPr="00687A1C">
              <w:t>–</w:t>
            </w:r>
          </w:p>
        </w:tc>
        <w:tc>
          <w:tcPr>
            <w:tcW w:w="950" w:type="dxa"/>
            <w:vAlign w:val="center"/>
          </w:tcPr>
          <w:p w:rsidR="006A610B" w:rsidRPr="00687A1C" w:rsidRDefault="006A610B" w:rsidP="00FD7161">
            <w:pPr>
              <w:pStyle w:val="Tabletextright"/>
            </w:pPr>
            <w:r w:rsidRPr="00687A1C">
              <w:t>5</w:t>
            </w:r>
          </w:p>
        </w:tc>
        <w:tc>
          <w:tcPr>
            <w:tcW w:w="778" w:type="dxa"/>
            <w:vAlign w:val="center"/>
          </w:tcPr>
          <w:p w:rsidR="006A610B" w:rsidRPr="00687A1C" w:rsidRDefault="006A610B" w:rsidP="00FD7161">
            <w:pPr>
              <w:pStyle w:val="Tabletextright"/>
            </w:pPr>
            <w:r w:rsidRPr="00687A1C">
              <w:t>4.60</w:t>
            </w:r>
          </w:p>
        </w:tc>
      </w:tr>
      <w:tr w:rsidR="006A610B" w:rsidRPr="00687A1C" w:rsidTr="00FD7161">
        <w:trPr>
          <w:cantSplit/>
        </w:trPr>
        <w:tc>
          <w:tcPr>
            <w:tcW w:w="1483" w:type="dxa"/>
            <w:shd w:val="clear" w:color="auto" w:fill="auto"/>
          </w:tcPr>
          <w:p w:rsidR="006A610B" w:rsidRPr="00687A1C" w:rsidRDefault="006A610B" w:rsidP="00FD7161">
            <w:pPr>
              <w:pStyle w:val="Tabletext"/>
              <w:rPr>
                <w:sz w:val="6"/>
              </w:rPr>
            </w:pPr>
          </w:p>
        </w:tc>
        <w:tc>
          <w:tcPr>
            <w:tcW w:w="950" w:type="dxa"/>
            <w:shd w:val="clear" w:color="auto" w:fill="E0E0E0"/>
          </w:tcPr>
          <w:p w:rsidR="006A610B" w:rsidRPr="00687A1C" w:rsidRDefault="006A610B" w:rsidP="00FD7161">
            <w:pPr>
              <w:pStyle w:val="Tabletextright"/>
              <w:rPr>
                <w:rFonts w:cstheme="minorHAnsi"/>
                <w:sz w:val="6"/>
              </w:rPr>
            </w:pPr>
          </w:p>
        </w:tc>
        <w:tc>
          <w:tcPr>
            <w:tcW w:w="778" w:type="dxa"/>
            <w:shd w:val="clear" w:color="auto" w:fill="E0E0E0"/>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rFonts w:cstheme="minorHAnsi"/>
                <w:sz w:val="6"/>
              </w:rPr>
            </w:pPr>
          </w:p>
        </w:tc>
        <w:tc>
          <w:tcPr>
            <w:tcW w:w="979" w:type="dxa"/>
            <w:shd w:val="clear" w:color="auto" w:fill="auto"/>
          </w:tcPr>
          <w:p w:rsidR="006A610B" w:rsidRPr="00687A1C" w:rsidRDefault="006A610B" w:rsidP="00FD7161">
            <w:pPr>
              <w:pStyle w:val="Tabletextright"/>
              <w:rPr>
                <w:sz w:val="6"/>
              </w:rPr>
            </w:pPr>
          </w:p>
        </w:tc>
        <w:tc>
          <w:tcPr>
            <w:tcW w:w="778" w:type="dxa"/>
            <w:shd w:val="clear" w:color="auto" w:fill="auto"/>
          </w:tcPr>
          <w:p w:rsidR="006A610B" w:rsidRPr="00687A1C" w:rsidRDefault="006A610B" w:rsidP="00FD7161">
            <w:pPr>
              <w:pStyle w:val="Tabletextright"/>
              <w:rPr>
                <w:sz w:val="6"/>
              </w:rPr>
            </w:pPr>
          </w:p>
        </w:tc>
        <w:tc>
          <w:tcPr>
            <w:tcW w:w="950"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shd w:val="clear" w:color="auto" w:fill="auto"/>
            <w:noWrap/>
          </w:tcPr>
          <w:p w:rsidR="006A610B" w:rsidRPr="00687A1C" w:rsidRDefault="006A610B" w:rsidP="00FD7161">
            <w:pPr>
              <w:pStyle w:val="Tabletextright"/>
              <w:rPr>
                <w:rFonts w:cstheme="minorHAnsi"/>
                <w:sz w:val="6"/>
              </w:rPr>
            </w:pPr>
          </w:p>
        </w:tc>
        <w:tc>
          <w:tcPr>
            <w:tcW w:w="778" w:type="dxa"/>
            <w:shd w:val="clear" w:color="auto" w:fill="auto"/>
          </w:tcPr>
          <w:p w:rsidR="006A610B" w:rsidRPr="00687A1C" w:rsidRDefault="006A610B" w:rsidP="00FD7161">
            <w:pPr>
              <w:pStyle w:val="Tabletextright"/>
              <w:rPr>
                <w:rFonts w:cstheme="minorHAnsi"/>
                <w:sz w:val="6"/>
              </w:rPr>
            </w:pPr>
          </w:p>
        </w:tc>
        <w:tc>
          <w:tcPr>
            <w:tcW w:w="979" w:type="dxa"/>
            <w:shd w:val="clear" w:color="auto" w:fill="E0E0E0"/>
            <w:noWrap/>
          </w:tcPr>
          <w:p w:rsidR="006A610B" w:rsidRPr="00687A1C" w:rsidRDefault="006A610B" w:rsidP="00FD7161">
            <w:pPr>
              <w:pStyle w:val="Tabletextright"/>
              <w:rPr>
                <w:rFonts w:cstheme="minorHAnsi"/>
                <w:sz w:val="6"/>
              </w:rPr>
            </w:pPr>
          </w:p>
        </w:tc>
        <w:tc>
          <w:tcPr>
            <w:tcW w:w="979" w:type="dxa"/>
            <w:shd w:val="clear" w:color="auto" w:fill="E0E0E0"/>
          </w:tcPr>
          <w:p w:rsidR="006A610B" w:rsidRPr="00687A1C" w:rsidRDefault="006A610B" w:rsidP="00FD7161">
            <w:pPr>
              <w:pStyle w:val="Tabletextright"/>
              <w:rPr>
                <w:sz w:val="6"/>
              </w:rPr>
            </w:pPr>
          </w:p>
        </w:tc>
        <w:tc>
          <w:tcPr>
            <w:tcW w:w="778" w:type="dxa"/>
            <w:shd w:val="clear" w:color="auto" w:fill="E0E0E0"/>
          </w:tcPr>
          <w:p w:rsidR="006A610B" w:rsidRPr="00687A1C" w:rsidRDefault="006A610B" w:rsidP="00FD7161">
            <w:pPr>
              <w:pStyle w:val="Tabletextright"/>
              <w:rPr>
                <w:sz w:val="6"/>
              </w:rPr>
            </w:pPr>
          </w:p>
        </w:tc>
        <w:tc>
          <w:tcPr>
            <w:tcW w:w="950" w:type="dxa"/>
          </w:tcPr>
          <w:p w:rsidR="006A610B" w:rsidRPr="00687A1C" w:rsidRDefault="006A610B" w:rsidP="00FD7161">
            <w:pPr>
              <w:pStyle w:val="Tabletextright"/>
              <w:rPr>
                <w:sz w:val="6"/>
              </w:rPr>
            </w:pPr>
          </w:p>
        </w:tc>
        <w:tc>
          <w:tcPr>
            <w:tcW w:w="778" w:type="dxa"/>
          </w:tcPr>
          <w:p w:rsidR="006A610B" w:rsidRPr="00687A1C" w:rsidRDefault="006A610B" w:rsidP="00FD7161">
            <w:pPr>
              <w:pStyle w:val="Tabletextright"/>
              <w:rPr>
                <w:sz w:val="6"/>
              </w:rPr>
            </w:pPr>
          </w:p>
        </w:tc>
      </w:tr>
      <w:tr w:rsidR="006A610B" w:rsidRPr="00687A1C" w:rsidTr="00FD7161">
        <w:trPr>
          <w:cantSplit/>
        </w:trPr>
        <w:tc>
          <w:tcPr>
            <w:tcW w:w="1483" w:type="dxa"/>
            <w:shd w:val="clear" w:color="auto" w:fill="auto"/>
            <w:vAlign w:val="bottom"/>
          </w:tcPr>
          <w:p w:rsidR="006A610B" w:rsidRPr="00687A1C" w:rsidRDefault="006A610B" w:rsidP="00FD7161">
            <w:pPr>
              <w:pStyle w:val="Tabletext"/>
            </w:pPr>
            <w:r w:rsidRPr="00687A1C">
              <w:rPr>
                <w:rFonts w:cstheme="minorHAnsi"/>
                <w:b/>
              </w:rPr>
              <w:t>Total employees</w:t>
            </w:r>
          </w:p>
        </w:tc>
        <w:tc>
          <w:tcPr>
            <w:tcW w:w="950" w:type="dxa"/>
            <w:shd w:val="clear" w:color="auto" w:fill="E0E0E0"/>
            <w:vAlign w:val="center"/>
          </w:tcPr>
          <w:p w:rsidR="006A610B" w:rsidRPr="00687A1C" w:rsidRDefault="006A610B" w:rsidP="00FD7161">
            <w:pPr>
              <w:pStyle w:val="Tabletextrightbold"/>
            </w:pPr>
            <w:r w:rsidRPr="00687A1C">
              <w:t>525</w:t>
            </w:r>
          </w:p>
        </w:tc>
        <w:tc>
          <w:tcPr>
            <w:tcW w:w="778" w:type="dxa"/>
            <w:shd w:val="clear" w:color="auto" w:fill="E0E0E0"/>
            <w:vAlign w:val="center"/>
          </w:tcPr>
          <w:p w:rsidR="006A610B" w:rsidRPr="00687A1C" w:rsidRDefault="006A610B" w:rsidP="00212645">
            <w:pPr>
              <w:pStyle w:val="Tabletextrightbold"/>
            </w:pPr>
            <w:r w:rsidRPr="00687A1C">
              <w:t>52</w:t>
            </w:r>
            <w:r w:rsidR="00212645" w:rsidRPr="00687A1C">
              <w:t>1</w:t>
            </w:r>
            <w:r w:rsidRPr="00687A1C">
              <w:t>.29</w:t>
            </w:r>
          </w:p>
        </w:tc>
        <w:tc>
          <w:tcPr>
            <w:tcW w:w="979" w:type="dxa"/>
            <w:shd w:val="clear" w:color="auto" w:fill="auto"/>
            <w:vAlign w:val="center"/>
          </w:tcPr>
          <w:p w:rsidR="006A610B" w:rsidRPr="00687A1C" w:rsidRDefault="006A610B" w:rsidP="00FD7161">
            <w:pPr>
              <w:pStyle w:val="Tabletextrightbold"/>
            </w:pPr>
            <w:r w:rsidRPr="00687A1C">
              <w:t>466</w:t>
            </w:r>
          </w:p>
        </w:tc>
        <w:tc>
          <w:tcPr>
            <w:tcW w:w="979" w:type="dxa"/>
            <w:shd w:val="clear" w:color="auto" w:fill="auto"/>
            <w:vAlign w:val="center"/>
          </w:tcPr>
          <w:p w:rsidR="006A610B" w:rsidRPr="00687A1C" w:rsidRDefault="006A610B" w:rsidP="00FD7161">
            <w:pPr>
              <w:pStyle w:val="Tabletextrightbold"/>
            </w:pPr>
            <w:r w:rsidRPr="00687A1C">
              <w:t>13</w:t>
            </w:r>
          </w:p>
        </w:tc>
        <w:tc>
          <w:tcPr>
            <w:tcW w:w="778" w:type="dxa"/>
            <w:shd w:val="clear" w:color="auto" w:fill="auto"/>
            <w:vAlign w:val="center"/>
          </w:tcPr>
          <w:p w:rsidR="006A610B" w:rsidRPr="00687A1C" w:rsidRDefault="006A610B" w:rsidP="00FD7161">
            <w:pPr>
              <w:pStyle w:val="Tabletextrightbold"/>
            </w:pPr>
            <w:r w:rsidRPr="00687A1C">
              <w:t>475.49</w:t>
            </w:r>
          </w:p>
        </w:tc>
        <w:tc>
          <w:tcPr>
            <w:tcW w:w="950" w:type="dxa"/>
            <w:shd w:val="clear" w:color="auto" w:fill="E0E0E0"/>
            <w:vAlign w:val="center"/>
          </w:tcPr>
          <w:p w:rsidR="006A610B" w:rsidRPr="00687A1C" w:rsidRDefault="006A610B" w:rsidP="00FD7161">
            <w:pPr>
              <w:pStyle w:val="Tabletextrightbold"/>
            </w:pPr>
            <w:r w:rsidRPr="00687A1C">
              <w:t>46</w:t>
            </w:r>
          </w:p>
        </w:tc>
        <w:tc>
          <w:tcPr>
            <w:tcW w:w="778" w:type="dxa"/>
            <w:shd w:val="clear" w:color="auto" w:fill="E0E0E0"/>
            <w:vAlign w:val="center"/>
          </w:tcPr>
          <w:p w:rsidR="006A610B" w:rsidRPr="00687A1C" w:rsidRDefault="006A610B" w:rsidP="00FD7161">
            <w:pPr>
              <w:pStyle w:val="Tabletextrightbold"/>
            </w:pPr>
            <w:r w:rsidRPr="00687A1C">
              <w:t>45.80</w:t>
            </w:r>
          </w:p>
        </w:tc>
        <w:tc>
          <w:tcPr>
            <w:tcW w:w="950" w:type="dxa"/>
            <w:shd w:val="clear" w:color="auto" w:fill="auto"/>
            <w:noWrap/>
            <w:vAlign w:val="center"/>
          </w:tcPr>
          <w:p w:rsidR="006A610B" w:rsidRPr="00687A1C" w:rsidRDefault="006A610B" w:rsidP="00FD7161">
            <w:pPr>
              <w:pStyle w:val="Tabletextrightbold"/>
            </w:pPr>
            <w:r w:rsidRPr="00687A1C">
              <w:t>488</w:t>
            </w:r>
          </w:p>
        </w:tc>
        <w:tc>
          <w:tcPr>
            <w:tcW w:w="778" w:type="dxa"/>
            <w:shd w:val="clear" w:color="auto" w:fill="auto"/>
            <w:vAlign w:val="center"/>
          </w:tcPr>
          <w:p w:rsidR="006A610B" w:rsidRPr="00687A1C" w:rsidRDefault="006A610B" w:rsidP="00FD7161">
            <w:pPr>
              <w:pStyle w:val="Tabletextrightbold"/>
            </w:pPr>
            <w:r w:rsidRPr="00687A1C">
              <w:t>483.10</w:t>
            </w:r>
          </w:p>
        </w:tc>
        <w:tc>
          <w:tcPr>
            <w:tcW w:w="979" w:type="dxa"/>
            <w:shd w:val="clear" w:color="auto" w:fill="E0E0E0"/>
            <w:noWrap/>
            <w:vAlign w:val="center"/>
          </w:tcPr>
          <w:p w:rsidR="006A610B" w:rsidRPr="00687A1C" w:rsidRDefault="006A610B" w:rsidP="00FD7161">
            <w:pPr>
              <w:pStyle w:val="Tabletextrightbold"/>
            </w:pPr>
            <w:r w:rsidRPr="00687A1C">
              <w:t>439</w:t>
            </w:r>
          </w:p>
        </w:tc>
        <w:tc>
          <w:tcPr>
            <w:tcW w:w="979" w:type="dxa"/>
            <w:shd w:val="clear" w:color="auto" w:fill="E0E0E0"/>
            <w:vAlign w:val="center"/>
          </w:tcPr>
          <w:p w:rsidR="006A610B" w:rsidRPr="00687A1C" w:rsidRDefault="006A610B" w:rsidP="00FD7161">
            <w:pPr>
              <w:pStyle w:val="Tabletextrightbold"/>
            </w:pPr>
            <w:r w:rsidRPr="00687A1C">
              <w:t>15</w:t>
            </w:r>
          </w:p>
        </w:tc>
        <w:tc>
          <w:tcPr>
            <w:tcW w:w="778" w:type="dxa"/>
            <w:shd w:val="clear" w:color="auto" w:fill="E0E0E0"/>
            <w:vAlign w:val="center"/>
          </w:tcPr>
          <w:p w:rsidR="006A610B" w:rsidRPr="00687A1C" w:rsidRDefault="006A610B" w:rsidP="00FD7161">
            <w:pPr>
              <w:pStyle w:val="Tabletextrightbold"/>
            </w:pPr>
            <w:r w:rsidRPr="00687A1C">
              <w:t>449.90</w:t>
            </w:r>
          </w:p>
        </w:tc>
        <w:tc>
          <w:tcPr>
            <w:tcW w:w="950" w:type="dxa"/>
            <w:vAlign w:val="center"/>
          </w:tcPr>
          <w:p w:rsidR="006A610B" w:rsidRPr="00687A1C" w:rsidRDefault="006A610B" w:rsidP="00FD7161">
            <w:pPr>
              <w:pStyle w:val="Tabletextrightbold"/>
            </w:pPr>
            <w:r w:rsidRPr="00687A1C">
              <w:t>34</w:t>
            </w:r>
          </w:p>
        </w:tc>
        <w:tc>
          <w:tcPr>
            <w:tcW w:w="778" w:type="dxa"/>
            <w:vAlign w:val="center"/>
          </w:tcPr>
          <w:p w:rsidR="006A610B" w:rsidRPr="00687A1C" w:rsidRDefault="006A610B" w:rsidP="00FD7161">
            <w:pPr>
              <w:pStyle w:val="Tabletextrightbold"/>
            </w:pPr>
            <w:r w:rsidRPr="00687A1C">
              <w:t>33.20</w:t>
            </w:r>
          </w:p>
        </w:tc>
      </w:tr>
    </w:tbl>
    <w:p w:rsidR="00874541" w:rsidRPr="00687A1C" w:rsidRDefault="00941CFC" w:rsidP="00941CFC">
      <w:pPr>
        <w:pStyle w:val="Notes"/>
      </w:pPr>
      <w:r w:rsidRPr="00687A1C">
        <w:t>Note:</w:t>
      </w:r>
    </w:p>
    <w:p w:rsidR="00493A5E" w:rsidRPr="00687A1C" w:rsidRDefault="00941CFC" w:rsidP="00941CFC">
      <w:pPr>
        <w:pStyle w:val="Notes"/>
      </w:pPr>
      <w:r w:rsidRPr="00687A1C">
        <w:t xml:space="preserve">(a) </w:t>
      </w:r>
      <w:r w:rsidR="00493A5E" w:rsidRPr="00687A1C">
        <w:t xml:space="preserve">In DTF’s </w:t>
      </w:r>
      <w:r w:rsidR="00493A5E" w:rsidRPr="00687A1C">
        <w:rPr>
          <w:i/>
        </w:rPr>
        <w:t>Annual Report 2016-17</w:t>
      </w:r>
      <w:r w:rsidR="00493A5E" w:rsidRPr="00687A1C">
        <w:t xml:space="preserve">, data provided by </w:t>
      </w:r>
      <w:r w:rsidR="0027531A" w:rsidRPr="00687A1C">
        <w:t>Cenitex</w:t>
      </w:r>
      <w:r w:rsidR="00493A5E" w:rsidRPr="00687A1C">
        <w:t xml:space="preserve"> relating to gender was transposed in error.</w:t>
      </w:r>
    </w:p>
    <w:p w:rsidR="00874541" w:rsidRPr="00687A1C" w:rsidRDefault="00874541" w:rsidP="00874541">
      <w:pPr>
        <w:spacing w:before="0" w:after="0"/>
        <w:rPr>
          <w:rFonts w:cs="Arial"/>
          <w:b/>
          <w:color w:val="4D4D4D"/>
          <w:sz w:val="19"/>
          <w:szCs w:val="20"/>
        </w:rPr>
      </w:pPr>
      <w:r w:rsidRPr="00687A1C">
        <w:br w:type="page"/>
      </w:r>
    </w:p>
    <w:p w:rsidR="00874541" w:rsidRPr="00687A1C" w:rsidRDefault="00874541" w:rsidP="00874541">
      <w:pPr>
        <w:pStyle w:val="Heading4"/>
      </w:pPr>
      <w:r w:rsidRPr="00687A1C">
        <w:lastRenderedPageBreak/>
        <w:t xml:space="preserve">Profile of Emergency Services and </w:t>
      </w:r>
      <w:r w:rsidR="00352A50" w:rsidRPr="00687A1C">
        <w:t>State Super workforce: June 2018</w:t>
      </w:r>
    </w:p>
    <w:tbl>
      <w:tblPr>
        <w:tblW w:w="13867" w:type="dxa"/>
        <w:tblLayout w:type="fixed"/>
        <w:tblCellMar>
          <w:left w:w="43" w:type="dxa"/>
          <w:right w:w="43" w:type="dxa"/>
        </w:tblCellMar>
        <w:tblLook w:val="0000" w:firstRow="0" w:lastRow="0" w:firstColumn="0" w:lastColumn="0" w:noHBand="0" w:noVBand="0"/>
      </w:tblPr>
      <w:tblGrid>
        <w:gridCol w:w="1483"/>
        <w:gridCol w:w="950"/>
        <w:gridCol w:w="778"/>
        <w:gridCol w:w="979"/>
        <w:gridCol w:w="979"/>
        <w:gridCol w:w="778"/>
        <w:gridCol w:w="950"/>
        <w:gridCol w:w="778"/>
        <w:gridCol w:w="950"/>
        <w:gridCol w:w="778"/>
        <w:gridCol w:w="979"/>
        <w:gridCol w:w="979"/>
        <w:gridCol w:w="778"/>
        <w:gridCol w:w="950"/>
        <w:gridCol w:w="778"/>
      </w:tblGrid>
      <w:tr w:rsidR="004630EB" w:rsidRPr="00687A1C" w:rsidTr="004630EB">
        <w:trPr>
          <w:cantSplit/>
        </w:trPr>
        <w:tc>
          <w:tcPr>
            <w:tcW w:w="1483" w:type="dxa"/>
            <w:shd w:val="clear" w:color="auto" w:fill="auto"/>
          </w:tcPr>
          <w:p w:rsidR="004630EB" w:rsidRPr="00687A1C" w:rsidRDefault="004630EB" w:rsidP="004630EB">
            <w:pPr>
              <w:pStyle w:val="Tabletext"/>
            </w:pPr>
          </w:p>
        </w:tc>
        <w:tc>
          <w:tcPr>
            <w:tcW w:w="6192" w:type="dxa"/>
            <w:gridSpan w:val="7"/>
            <w:shd w:val="clear" w:color="auto" w:fill="E0E0E0"/>
            <w:vAlign w:val="bottom"/>
          </w:tcPr>
          <w:p w:rsidR="004630EB" w:rsidRPr="00687A1C" w:rsidRDefault="004630EB" w:rsidP="004630EB">
            <w:pPr>
              <w:pStyle w:val="Tabletextheadingcentred"/>
            </w:pPr>
            <w:r w:rsidRPr="00687A1C">
              <w:t>June 2018</w:t>
            </w:r>
          </w:p>
        </w:tc>
        <w:tc>
          <w:tcPr>
            <w:tcW w:w="6192" w:type="dxa"/>
            <w:gridSpan w:val="7"/>
            <w:shd w:val="clear" w:color="auto" w:fill="auto"/>
            <w:noWrap/>
            <w:vAlign w:val="bottom"/>
          </w:tcPr>
          <w:p w:rsidR="004630EB" w:rsidRPr="00687A1C" w:rsidRDefault="004630EB" w:rsidP="004630EB">
            <w:pPr>
              <w:pStyle w:val="Tabletextheadingcentred"/>
            </w:pPr>
            <w:r w:rsidRPr="00687A1C">
              <w:t>June 2017</w:t>
            </w:r>
          </w:p>
        </w:tc>
      </w:tr>
      <w:tr w:rsidR="004630EB" w:rsidRPr="00687A1C" w:rsidTr="004630EB">
        <w:trPr>
          <w:cantSplit/>
        </w:trPr>
        <w:tc>
          <w:tcPr>
            <w:tcW w:w="1483" w:type="dxa"/>
            <w:shd w:val="clear" w:color="auto" w:fill="auto"/>
          </w:tcPr>
          <w:p w:rsidR="004630EB" w:rsidRPr="00687A1C" w:rsidRDefault="004630EB" w:rsidP="004630EB">
            <w:pPr>
              <w:pStyle w:val="Tabletext"/>
            </w:pPr>
          </w:p>
        </w:tc>
        <w:tc>
          <w:tcPr>
            <w:tcW w:w="1728" w:type="dxa"/>
            <w:gridSpan w:val="2"/>
            <w:shd w:val="clear" w:color="auto" w:fill="auto"/>
            <w:vAlign w:val="bottom"/>
          </w:tcPr>
          <w:p w:rsidR="004630EB" w:rsidRPr="00687A1C" w:rsidRDefault="004630EB" w:rsidP="004630EB">
            <w:pPr>
              <w:pStyle w:val="Tabletextheadingcentred"/>
              <w:spacing w:after="20"/>
            </w:pPr>
            <w:r w:rsidRPr="00687A1C">
              <w:t>All employees</w:t>
            </w:r>
          </w:p>
        </w:tc>
        <w:tc>
          <w:tcPr>
            <w:tcW w:w="2736" w:type="dxa"/>
            <w:gridSpan w:val="3"/>
            <w:shd w:val="clear" w:color="auto" w:fill="auto"/>
            <w:vAlign w:val="bottom"/>
          </w:tcPr>
          <w:p w:rsidR="004630EB" w:rsidRPr="00687A1C" w:rsidRDefault="004630EB" w:rsidP="004630EB">
            <w:pPr>
              <w:pStyle w:val="Tabletextheadingcentred"/>
              <w:spacing w:after="20"/>
            </w:pPr>
            <w:r w:rsidRPr="00687A1C">
              <w:t>Ongoing</w:t>
            </w:r>
          </w:p>
        </w:tc>
        <w:tc>
          <w:tcPr>
            <w:tcW w:w="1728" w:type="dxa"/>
            <w:gridSpan w:val="2"/>
            <w:shd w:val="clear" w:color="auto" w:fill="auto"/>
          </w:tcPr>
          <w:p w:rsidR="004630EB" w:rsidRPr="00687A1C" w:rsidRDefault="004630EB" w:rsidP="004630EB">
            <w:pPr>
              <w:pStyle w:val="Tabletextheadingcentred"/>
              <w:spacing w:after="20"/>
              <w:rPr>
                <w:rFonts w:cstheme="minorHAnsi"/>
              </w:rPr>
            </w:pPr>
            <w:r w:rsidRPr="00687A1C">
              <w:t>Fixed term</w:t>
            </w:r>
            <w:r w:rsidRPr="00687A1C">
              <w:br/>
              <w:t>and casual</w:t>
            </w:r>
          </w:p>
        </w:tc>
        <w:tc>
          <w:tcPr>
            <w:tcW w:w="1728" w:type="dxa"/>
            <w:gridSpan w:val="2"/>
            <w:shd w:val="clear" w:color="auto" w:fill="auto"/>
            <w:noWrap/>
            <w:vAlign w:val="bottom"/>
          </w:tcPr>
          <w:p w:rsidR="004630EB" w:rsidRPr="00687A1C" w:rsidRDefault="004630EB" w:rsidP="004630EB">
            <w:pPr>
              <w:pStyle w:val="Tabletextheadingcentred"/>
              <w:spacing w:after="20"/>
            </w:pPr>
            <w:r w:rsidRPr="00687A1C">
              <w:t>All employees</w:t>
            </w:r>
          </w:p>
        </w:tc>
        <w:tc>
          <w:tcPr>
            <w:tcW w:w="2736" w:type="dxa"/>
            <w:gridSpan w:val="3"/>
            <w:shd w:val="clear" w:color="auto" w:fill="auto"/>
            <w:noWrap/>
            <w:vAlign w:val="bottom"/>
          </w:tcPr>
          <w:p w:rsidR="004630EB" w:rsidRPr="00687A1C" w:rsidRDefault="004630EB" w:rsidP="004630EB">
            <w:pPr>
              <w:pStyle w:val="Tabletextheadingcentred"/>
              <w:spacing w:after="20"/>
            </w:pPr>
            <w:r w:rsidRPr="00687A1C">
              <w:t>Ongoing</w:t>
            </w:r>
          </w:p>
        </w:tc>
        <w:tc>
          <w:tcPr>
            <w:tcW w:w="1728" w:type="dxa"/>
            <w:gridSpan w:val="2"/>
          </w:tcPr>
          <w:p w:rsidR="004630EB" w:rsidRPr="00687A1C" w:rsidRDefault="004630EB" w:rsidP="004630EB">
            <w:pPr>
              <w:pStyle w:val="Tabletextheadingcentred"/>
              <w:spacing w:after="20"/>
              <w:rPr>
                <w:rFonts w:cstheme="minorHAnsi"/>
              </w:rPr>
            </w:pPr>
            <w:r w:rsidRPr="00687A1C">
              <w:t>Fixed term</w:t>
            </w:r>
            <w:r w:rsidRPr="00687A1C">
              <w:br/>
              <w:t>and casual</w:t>
            </w:r>
          </w:p>
        </w:tc>
      </w:tr>
      <w:tr w:rsidR="004630EB" w:rsidRPr="00687A1C" w:rsidTr="004630EB">
        <w:trPr>
          <w:cantSplit/>
        </w:trPr>
        <w:tc>
          <w:tcPr>
            <w:tcW w:w="1483" w:type="dxa"/>
            <w:shd w:val="clear" w:color="auto" w:fill="auto"/>
          </w:tcPr>
          <w:p w:rsidR="004630EB" w:rsidRPr="00687A1C" w:rsidRDefault="004630EB" w:rsidP="004630EB">
            <w:pPr>
              <w:pStyle w:val="Tabletext"/>
            </w:pPr>
          </w:p>
        </w:tc>
        <w:tc>
          <w:tcPr>
            <w:tcW w:w="950"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FTE</w:t>
            </w:r>
          </w:p>
        </w:tc>
        <w:tc>
          <w:tcPr>
            <w:tcW w:w="979"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4630EB" w:rsidRPr="00687A1C" w:rsidRDefault="004630EB" w:rsidP="004630EB">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shd w:val="clear" w:color="auto" w:fill="auto"/>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shd w:val="clear" w:color="auto" w:fill="auto"/>
            <w:noWrap/>
            <w:vAlign w:val="bottom"/>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shd w:val="clear" w:color="auto" w:fill="auto"/>
            <w:vAlign w:val="bottom"/>
          </w:tcPr>
          <w:p w:rsidR="004630EB" w:rsidRPr="00687A1C" w:rsidRDefault="004630EB" w:rsidP="004630EB">
            <w:pPr>
              <w:pStyle w:val="Tabletextheadingright"/>
              <w:rPr>
                <w:rFonts w:cstheme="minorHAnsi"/>
              </w:rPr>
            </w:pPr>
            <w:r w:rsidRPr="00687A1C">
              <w:rPr>
                <w:rFonts w:cstheme="minorHAnsi"/>
              </w:rPr>
              <w:t>FTE</w:t>
            </w:r>
          </w:p>
        </w:tc>
        <w:tc>
          <w:tcPr>
            <w:tcW w:w="979" w:type="dxa"/>
            <w:shd w:val="clear" w:color="auto" w:fill="auto"/>
            <w:noWrap/>
            <w:vAlign w:val="bottom"/>
          </w:tcPr>
          <w:p w:rsidR="004630EB" w:rsidRPr="00687A1C" w:rsidRDefault="004630EB" w:rsidP="004630EB">
            <w:pPr>
              <w:pStyle w:val="Tabletextheadingright"/>
              <w:rPr>
                <w:rFonts w:cstheme="minorHAnsi"/>
              </w:rPr>
            </w:pPr>
            <w:r w:rsidRPr="00687A1C">
              <w:rPr>
                <w:rFonts w:cstheme="minorHAnsi"/>
              </w:rPr>
              <w:t>Full</w:t>
            </w:r>
            <w:r w:rsidRPr="00687A1C">
              <w:rPr>
                <w:rFonts w:cstheme="minorHAnsi"/>
              </w:rPr>
              <w:noBreakHyphen/>
              <w:t xml:space="preserve">time </w:t>
            </w:r>
            <w:r w:rsidRPr="00687A1C">
              <w:rPr>
                <w:rFonts w:cstheme="minorHAnsi"/>
                <w:sz w:val="14"/>
              </w:rPr>
              <w:t>(headcount)</w:t>
            </w:r>
          </w:p>
        </w:tc>
        <w:tc>
          <w:tcPr>
            <w:tcW w:w="979" w:type="dxa"/>
            <w:shd w:val="clear" w:color="auto" w:fill="auto"/>
          </w:tcPr>
          <w:p w:rsidR="004630EB" w:rsidRPr="00687A1C" w:rsidRDefault="004630EB" w:rsidP="004630EB">
            <w:pPr>
              <w:pStyle w:val="Tabletextheadingright"/>
              <w:rPr>
                <w:rFonts w:cstheme="minorHAnsi"/>
              </w:rPr>
            </w:pPr>
            <w:r w:rsidRPr="00687A1C">
              <w:rPr>
                <w:rFonts w:cstheme="minorHAnsi"/>
              </w:rPr>
              <w:t>Part</w:t>
            </w:r>
            <w:r w:rsidRPr="00687A1C">
              <w:rPr>
                <w:rFonts w:cstheme="minorHAnsi"/>
              </w:rPr>
              <w:noBreakHyphen/>
              <w:t>time</w:t>
            </w:r>
            <w:r w:rsidRPr="00687A1C">
              <w:rPr>
                <w:rFonts w:cstheme="minorHAnsi"/>
              </w:rPr>
              <w:br/>
            </w:r>
            <w:r w:rsidRPr="00687A1C">
              <w:rPr>
                <w:rFonts w:cstheme="minorHAnsi"/>
                <w:sz w:val="14"/>
              </w:rPr>
              <w:t>(headcount)</w:t>
            </w:r>
          </w:p>
        </w:tc>
        <w:tc>
          <w:tcPr>
            <w:tcW w:w="778" w:type="dxa"/>
            <w:shd w:val="clear" w:color="auto" w:fill="auto"/>
          </w:tcPr>
          <w:p w:rsidR="004630EB" w:rsidRPr="00687A1C" w:rsidRDefault="004630EB" w:rsidP="004630EB">
            <w:pPr>
              <w:pStyle w:val="Tabletextheadingright"/>
              <w:rPr>
                <w:rFonts w:cstheme="minorHAnsi"/>
              </w:rPr>
            </w:pPr>
            <w:r w:rsidRPr="00687A1C">
              <w:rPr>
                <w:rFonts w:cstheme="minorHAnsi"/>
              </w:rPr>
              <w:t>FTE</w:t>
            </w:r>
          </w:p>
        </w:tc>
        <w:tc>
          <w:tcPr>
            <w:tcW w:w="950" w:type="dxa"/>
          </w:tcPr>
          <w:p w:rsidR="004630EB" w:rsidRPr="00687A1C" w:rsidRDefault="004630EB" w:rsidP="004630EB">
            <w:pPr>
              <w:pStyle w:val="Tabletextheadingright"/>
              <w:rPr>
                <w:rFonts w:cstheme="minorHAnsi"/>
              </w:rPr>
            </w:pPr>
            <w:r w:rsidRPr="00687A1C">
              <w:rPr>
                <w:rFonts w:cstheme="minorHAnsi"/>
              </w:rPr>
              <w:t xml:space="preserve">Number </w:t>
            </w:r>
            <w:r w:rsidRPr="00687A1C">
              <w:rPr>
                <w:rFonts w:cstheme="minorHAnsi"/>
                <w:sz w:val="14"/>
              </w:rPr>
              <w:t>(headcount)</w:t>
            </w:r>
          </w:p>
        </w:tc>
        <w:tc>
          <w:tcPr>
            <w:tcW w:w="778" w:type="dxa"/>
          </w:tcPr>
          <w:p w:rsidR="004630EB" w:rsidRPr="00687A1C" w:rsidRDefault="004630EB" w:rsidP="004630EB">
            <w:pPr>
              <w:pStyle w:val="Tabletextheadingright"/>
              <w:rPr>
                <w:rFonts w:cstheme="minorHAnsi"/>
              </w:rPr>
            </w:pPr>
            <w:r w:rsidRPr="00687A1C">
              <w:rPr>
                <w:rFonts w:cstheme="minorHAnsi"/>
              </w:rPr>
              <w:t>FTE</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rPr>
              <w:t>Gender</w:t>
            </w:r>
          </w:p>
        </w:tc>
        <w:tc>
          <w:tcPr>
            <w:tcW w:w="950" w:type="dxa"/>
            <w:shd w:val="clear" w:color="auto" w:fill="E0E0E0"/>
            <w:vAlign w:val="bottom"/>
          </w:tcPr>
          <w:p w:rsidR="004630EB" w:rsidRPr="00687A1C" w:rsidRDefault="004630EB" w:rsidP="004630EB">
            <w:pPr>
              <w:pStyle w:val="Tabletextright"/>
              <w:rPr>
                <w:rFonts w:cstheme="minorHAnsi"/>
              </w:rPr>
            </w:pPr>
          </w:p>
        </w:tc>
        <w:tc>
          <w:tcPr>
            <w:tcW w:w="778" w:type="dxa"/>
            <w:shd w:val="clear" w:color="auto" w:fill="E0E0E0"/>
            <w:vAlign w:val="bottom"/>
          </w:tcPr>
          <w:p w:rsidR="004630EB" w:rsidRPr="00687A1C" w:rsidRDefault="004630EB" w:rsidP="004630EB">
            <w:pPr>
              <w:pStyle w:val="Tabletextright"/>
              <w:rPr>
                <w:rFonts w:cstheme="minorHAnsi"/>
              </w:rPr>
            </w:pPr>
          </w:p>
        </w:tc>
        <w:tc>
          <w:tcPr>
            <w:tcW w:w="979" w:type="dxa"/>
            <w:shd w:val="clear" w:color="auto" w:fill="auto"/>
            <w:vAlign w:val="bottom"/>
          </w:tcPr>
          <w:p w:rsidR="004630EB" w:rsidRPr="00687A1C" w:rsidRDefault="004630EB" w:rsidP="004630EB">
            <w:pPr>
              <w:pStyle w:val="Tabletextright"/>
              <w:rPr>
                <w:rFonts w:cstheme="minorHAnsi"/>
              </w:rPr>
            </w:pPr>
          </w:p>
        </w:tc>
        <w:tc>
          <w:tcPr>
            <w:tcW w:w="979" w:type="dxa"/>
            <w:shd w:val="clear" w:color="auto" w:fill="auto"/>
          </w:tcPr>
          <w:p w:rsidR="004630EB" w:rsidRPr="00687A1C" w:rsidRDefault="004630EB" w:rsidP="004630EB">
            <w:pPr>
              <w:pStyle w:val="Tabletextright"/>
            </w:pPr>
          </w:p>
        </w:tc>
        <w:tc>
          <w:tcPr>
            <w:tcW w:w="778" w:type="dxa"/>
            <w:shd w:val="clear" w:color="auto" w:fill="auto"/>
          </w:tcPr>
          <w:p w:rsidR="004630EB" w:rsidRPr="00687A1C" w:rsidRDefault="004630EB" w:rsidP="004630EB">
            <w:pPr>
              <w:pStyle w:val="Tabletextright"/>
            </w:pPr>
          </w:p>
        </w:tc>
        <w:tc>
          <w:tcPr>
            <w:tcW w:w="950"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shd w:val="clear" w:color="auto" w:fill="auto"/>
            <w:noWrap/>
            <w:vAlign w:val="bottom"/>
          </w:tcPr>
          <w:p w:rsidR="004630EB" w:rsidRPr="00687A1C" w:rsidRDefault="004630EB" w:rsidP="004630EB">
            <w:pPr>
              <w:pStyle w:val="Tabletextright"/>
              <w:rPr>
                <w:rFonts w:cstheme="minorHAnsi"/>
              </w:rPr>
            </w:pPr>
          </w:p>
        </w:tc>
        <w:tc>
          <w:tcPr>
            <w:tcW w:w="778" w:type="dxa"/>
            <w:shd w:val="clear" w:color="auto" w:fill="auto"/>
            <w:vAlign w:val="bottom"/>
          </w:tcPr>
          <w:p w:rsidR="004630EB" w:rsidRPr="00687A1C" w:rsidRDefault="004630EB" w:rsidP="004630EB">
            <w:pPr>
              <w:pStyle w:val="Tabletextright"/>
              <w:rPr>
                <w:rFonts w:cstheme="minorHAnsi"/>
              </w:rPr>
            </w:pPr>
          </w:p>
        </w:tc>
        <w:tc>
          <w:tcPr>
            <w:tcW w:w="979" w:type="dxa"/>
            <w:shd w:val="clear" w:color="auto" w:fill="E0E0E0"/>
            <w:noWrap/>
            <w:vAlign w:val="bottom"/>
          </w:tcPr>
          <w:p w:rsidR="004630EB" w:rsidRPr="00687A1C" w:rsidRDefault="004630EB" w:rsidP="004630EB">
            <w:pPr>
              <w:pStyle w:val="Tabletextright"/>
              <w:rPr>
                <w:rFonts w:cstheme="minorHAnsi"/>
              </w:rPr>
            </w:pPr>
          </w:p>
        </w:tc>
        <w:tc>
          <w:tcPr>
            <w:tcW w:w="979"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tcPr>
          <w:p w:rsidR="004630EB" w:rsidRPr="00687A1C" w:rsidRDefault="004630EB" w:rsidP="004630EB">
            <w:pPr>
              <w:pStyle w:val="Tabletextright"/>
            </w:pPr>
          </w:p>
        </w:tc>
        <w:tc>
          <w:tcPr>
            <w:tcW w:w="778" w:type="dxa"/>
          </w:tcPr>
          <w:p w:rsidR="004630EB" w:rsidRPr="00687A1C" w:rsidRDefault="004630EB" w:rsidP="004630EB">
            <w:pPr>
              <w:pStyle w:val="Tabletextright"/>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Male</w:t>
            </w:r>
          </w:p>
        </w:tc>
        <w:tc>
          <w:tcPr>
            <w:tcW w:w="950" w:type="dxa"/>
            <w:shd w:val="clear" w:color="auto" w:fill="E0E0E0"/>
            <w:vAlign w:val="bottom"/>
          </w:tcPr>
          <w:p w:rsidR="004630EB" w:rsidRPr="00687A1C" w:rsidRDefault="004630EB" w:rsidP="004630EB">
            <w:pPr>
              <w:pStyle w:val="Tabletextright"/>
            </w:pPr>
            <w:r w:rsidRPr="00687A1C">
              <w:t>73</w:t>
            </w:r>
          </w:p>
        </w:tc>
        <w:tc>
          <w:tcPr>
            <w:tcW w:w="778" w:type="dxa"/>
            <w:shd w:val="clear" w:color="auto" w:fill="E0E0E0"/>
            <w:vAlign w:val="bottom"/>
          </w:tcPr>
          <w:p w:rsidR="004630EB" w:rsidRPr="00687A1C" w:rsidRDefault="004630EB" w:rsidP="004630EB">
            <w:pPr>
              <w:pStyle w:val="Tabletextright"/>
            </w:pPr>
            <w:r w:rsidRPr="00687A1C">
              <w:t>71.40</w:t>
            </w:r>
          </w:p>
        </w:tc>
        <w:tc>
          <w:tcPr>
            <w:tcW w:w="979" w:type="dxa"/>
            <w:shd w:val="clear" w:color="auto" w:fill="auto"/>
            <w:vAlign w:val="bottom"/>
          </w:tcPr>
          <w:p w:rsidR="004630EB" w:rsidRPr="00687A1C" w:rsidRDefault="004630EB" w:rsidP="004630EB">
            <w:pPr>
              <w:pStyle w:val="Tabletextright"/>
            </w:pPr>
            <w:r w:rsidRPr="00687A1C">
              <w:t>60</w:t>
            </w:r>
          </w:p>
        </w:tc>
        <w:tc>
          <w:tcPr>
            <w:tcW w:w="979" w:type="dxa"/>
            <w:shd w:val="clear" w:color="auto" w:fill="auto"/>
            <w:vAlign w:val="bottom"/>
          </w:tcPr>
          <w:p w:rsidR="004630EB" w:rsidRPr="00687A1C" w:rsidRDefault="004630EB" w:rsidP="004630EB">
            <w:pPr>
              <w:pStyle w:val="Tabletextright"/>
            </w:pPr>
            <w:r w:rsidRPr="00687A1C">
              <w:t>5</w:t>
            </w:r>
          </w:p>
        </w:tc>
        <w:tc>
          <w:tcPr>
            <w:tcW w:w="778" w:type="dxa"/>
            <w:shd w:val="clear" w:color="auto" w:fill="auto"/>
            <w:vAlign w:val="bottom"/>
          </w:tcPr>
          <w:p w:rsidR="004630EB" w:rsidRPr="00687A1C" w:rsidRDefault="004630EB" w:rsidP="004630EB">
            <w:pPr>
              <w:pStyle w:val="Tabletextright"/>
            </w:pPr>
            <w:r w:rsidRPr="00687A1C">
              <w:t>63.90</w:t>
            </w:r>
          </w:p>
        </w:tc>
        <w:tc>
          <w:tcPr>
            <w:tcW w:w="950" w:type="dxa"/>
            <w:shd w:val="clear" w:color="auto" w:fill="E0E0E0"/>
            <w:vAlign w:val="bottom"/>
          </w:tcPr>
          <w:p w:rsidR="004630EB" w:rsidRPr="00687A1C" w:rsidRDefault="004630EB" w:rsidP="004630EB">
            <w:pPr>
              <w:pStyle w:val="Tabletextright"/>
            </w:pPr>
            <w:r w:rsidRPr="00687A1C">
              <w:t>8</w:t>
            </w:r>
          </w:p>
        </w:tc>
        <w:tc>
          <w:tcPr>
            <w:tcW w:w="778" w:type="dxa"/>
            <w:shd w:val="clear" w:color="auto" w:fill="E0E0E0"/>
            <w:vAlign w:val="bottom"/>
          </w:tcPr>
          <w:p w:rsidR="004630EB" w:rsidRPr="00687A1C" w:rsidRDefault="004630EB" w:rsidP="004630EB">
            <w:pPr>
              <w:pStyle w:val="Tabletextright"/>
            </w:pPr>
            <w:r w:rsidRPr="00687A1C">
              <w:t>7.50</w:t>
            </w:r>
          </w:p>
        </w:tc>
        <w:tc>
          <w:tcPr>
            <w:tcW w:w="950" w:type="dxa"/>
            <w:shd w:val="clear" w:color="auto" w:fill="auto"/>
            <w:noWrap/>
          </w:tcPr>
          <w:p w:rsidR="004630EB" w:rsidRPr="00687A1C" w:rsidRDefault="004630EB" w:rsidP="004630EB">
            <w:pPr>
              <w:pStyle w:val="Tabletextright"/>
            </w:pPr>
            <w:r w:rsidRPr="00687A1C">
              <w:t>82</w:t>
            </w:r>
          </w:p>
        </w:tc>
        <w:tc>
          <w:tcPr>
            <w:tcW w:w="778" w:type="dxa"/>
            <w:shd w:val="clear" w:color="auto" w:fill="auto"/>
          </w:tcPr>
          <w:p w:rsidR="004630EB" w:rsidRPr="00687A1C" w:rsidRDefault="004630EB" w:rsidP="004630EB">
            <w:pPr>
              <w:pStyle w:val="Tabletextright"/>
            </w:pPr>
            <w:r w:rsidRPr="00687A1C">
              <w:t>78.62</w:t>
            </w:r>
          </w:p>
        </w:tc>
        <w:tc>
          <w:tcPr>
            <w:tcW w:w="979" w:type="dxa"/>
            <w:shd w:val="clear" w:color="auto" w:fill="E0E0E0"/>
            <w:noWrap/>
          </w:tcPr>
          <w:p w:rsidR="004630EB" w:rsidRPr="00687A1C" w:rsidRDefault="004630EB" w:rsidP="004630EB">
            <w:pPr>
              <w:pStyle w:val="Tabletextright"/>
            </w:pPr>
            <w:r w:rsidRPr="00687A1C">
              <w:t>72</w:t>
            </w:r>
          </w:p>
        </w:tc>
        <w:tc>
          <w:tcPr>
            <w:tcW w:w="979" w:type="dxa"/>
            <w:shd w:val="clear" w:color="auto" w:fill="E0E0E0"/>
          </w:tcPr>
          <w:p w:rsidR="004630EB" w:rsidRPr="00687A1C" w:rsidRDefault="004630EB" w:rsidP="004630EB">
            <w:pPr>
              <w:pStyle w:val="Tabletextright"/>
            </w:pPr>
            <w:r w:rsidRPr="00687A1C">
              <w:t>5</w:t>
            </w:r>
          </w:p>
        </w:tc>
        <w:tc>
          <w:tcPr>
            <w:tcW w:w="778" w:type="dxa"/>
            <w:shd w:val="clear" w:color="auto" w:fill="E0E0E0"/>
          </w:tcPr>
          <w:p w:rsidR="004630EB" w:rsidRPr="00687A1C" w:rsidRDefault="004630EB" w:rsidP="004630EB">
            <w:pPr>
              <w:pStyle w:val="Tabletextright"/>
            </w:pPr>
            <w:r w:rsidRPr="00687A1C">
              <w:t>75.90</w:t>
            </w:r>
          </w:p>
        </w:tc>
        <w:tc>
          <w:tcPr>
            <w:tcW w:w="950" w:type="dxa"/>
          </w:tcPr>
          <w:p w:rsidR="004630EB" w:rsidRPr="00687A1C" w:rsidRDefault="004630EB" w:rsidP="004630EB">
            <w:pPr>
              <w:pStyle w:val="Tabletextright"/>
            </w:pPr>
            <w:r w:rsidRPr="00687A1C">
              <w:t>5</w:t>
            </w:r>
          </w:p>
        </w:tc>
        <w:tc>
          <w:tcPr>
            <w:tcW w:w="778" w:type="dxa"/>
          </w:tcPr>
          <w:p w:rsidR="004630EB" w:rsidRPr="00687A1C" w:rsidRDefault="004630EB" w:rsidP="004630EB">
            <w:pPr>
              <w:pStyle w:val="Tabletextright"/>
            </w:pPr>
            <w:r w:rsidRPr="00687A1C">
              <w:t>2.72</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Female</w:t>
            </w:r>
          </w:p>
        </w:tc>
        <w:tc>
          <w:tcPr>
            <w:tcW w:w="950" w:type="dxa"/>
            <w:shd w:val="clear" w:color="auto" w:fill="E0E0E0"/>
            <w:vAlign w:val="bottom"/>
          </w:tcPr>
          <w:p w:rsidR="004630EB" w:rsidRPr="00687A1C" w:rsidRDefault="004630EB" w:rsidP="004630EB">
            <w:pPr>
              <w:pStyle w:val="Tabletextright"/>
            </w:pPr>
            <w:r w:rsidRPr="00687A1C">
              <w:t>77</w:t>
            </w:r>
          </w:p>
        </w:tc>
        <w:tc>
          <w:tcPr>
            <w:tcW w:w="778" w:type="dxa"/>
            <w:shd w:val="clear" w:color="auto" w:fill="E0E0E0"/>
            <w:vAlign w:val="bottom"/>
          </w:tcPr>
          <w:p w:rsidR="004630EB" w:rsidRPr="00687A1C" w:rsidRDefault="004630EB" w:rsidP="004630EB">
            <w:pPr>
              <w:pStyle w:val="Tabletextright"/>
            </w:pPr>
            <w:r w:rsidRPr="00687A1C">
              <w:t>69.35</w:t>
            </w:r>
          </w:p>
        </w:tc>
        <w:tc>
          <w:tcPr>
            <w:tcW w:w="979" w:type="dxa"/>
            <w:shd w:val="clear" w:color="auto" w:fill="auto"/>
            <w:vAlign w:val="bottom"/>
          </w:tcPr>
          <w:p w:rsidR="004630EB" w:rsidRPr="00687A1C" w:rsidRDefault="004630EB" w:rsidP="004630EB">
            <w:pPr>
              <w:pStyle w:val="Tabletextright"/>
            </w:pPr>
            <w:r w:rsidRPr="00687A1C">
              <w:t>54</w:t>
            </w:r>
          </w:p>
        </w:tc>
        <w:tc>
          <w:tcPr>
            <w:tcW w:w="979" w:type="dxa"/>
            <w:shd w:val="clear" w:color="auto" w:fill="auto"/>
            <w:vAlign w:val="bottom"/>
          </w:tcPr>
          <w:p w:rsidR="004630EB" w:rsidRPr="00687A1C" w:rsidRDefault="004630EB" w:rsidP="004630EB">
            <w:pPr>
              <w:pStyle w:val="Tabletextright"/>
            </w:pPr>
            <w:r w:rsidRPr="00687A1C">
              <w:t>18</w:t>
            </w:r>
          </w:p>
        </w:tc>
        <w:tc>
          <w:tcPr>
            <w:tcW w:w="778" w:type="dxa"/>
            <w:shd w:val="clear" w:color="auto" w:fill="auto"/>
            <w:vAlign w:val="bottom"/>
          </w:tcPr>
          <w:p w:rsidR="004630EB" w:rsidRPr="00687A1C" w:rsidRDefault="004630EB" w:rsidP="004630EB">
            <w:pPr>
              <w:pStyle w:val="Tabletextright"/>
            </w:pPr>
            <w:r w:rsidRPr="00687A1C">
              <w:t>64.99</w:t>
            </w:r>
          </w:p>
        </w:tc>
        <w:tc>
          <w:tcPr>
            <w:tcW w:w="950" w:type="dxa"/>
            <w:shd w:val="clear" w:color="auto" w:fill="E0E0E0"/>
            <w:vAlign w:val="bottom"/>
          </w:tcPr>
          <w:p w:rsidR="004630EB" w:rsidRPr="00687A1C" w:rsidRDefault="004630EB" w:rsidP="004630EB">
            <w:pPr>
              <w:pStyle w:val="Tabletextright"/>
            </w:pPr>
            <w:r w:rsidRPr="00687A1C">
              <w:t>5</w:t>
            </w:r>
          </w:p>
        </w:tc>
        <w:tc>
          <w:tcPr>
            <w:tcW w:w="778" w:type="dxa"/>
            <w:shd w:val="clear" w:color="auto" w:fill="E0E0E0"/>
            <w:vAlign w:val="bottom"/>
          </w:tcPr>
          <w:p w:rsidR="004630EB" w:rsidRPr="00687A1C" w:rsidRDefault="004630EB" w:rsidP="004630EB">
            <w:pPr>
              <w:pStyle w:val="Tabletextright"/>
            </w:pPr>
            <w:r w:rsidRPr="00687A1C">
              <w:t>4.36</w:t>
            </w:r>
          </w:p>
        </w:tc>
        <w:tc>
          <w:tcPr>
            <w:tcW w:w="950" w:type="dxa"/>
            <w:shd w:val="clear" w:color="auto" w:fill="auto"/>
            <w:noWrap/>
          </w:tcPr>
          <w:p w:rsidR="004630EB" w:rsidRPr="00687A1C" w:rsidRDefault="004630EB" w:rsidP="004630EB">
            <w:pPr>
              <w:pStyle w:val="Tabletextright"/>
            </w:pPr>
            <w:r w:rsidRPr="00687A1C">
              <w:t>83</w:t>
            </w:r>
          </w:p>
        </w:tc>
        <w:tc>
          <w:tcPr>
            <w:tcW w:w="778" w:type="dxa"/>
            <w:shd w:val="clear" w:color="auto" w:fill="auto"/>
          </w:tcPr>
          <w:p w:rsidR="004630EB" w:rsidRPr="00687A1C" w:rsidRDefault="004630EB" w:rsidP="004630EB">
            <w:pPr>
              <w:pStyle w:val="Tabletextright"/>
            </w:pPr>
            <w:r w:rsidRPr="00687A1C">
              <w:t>75.79</w:t>
            </w:r>
          </w:p>
        </w:tc>
        <w:tc>
          <w:tcPr>
            <w:tcW w:w="979" w:type="dxa"/>
            <w:shd w:val="clear" w:color="auto" w:fill="E0E0E0"/>
            <w:noWrap/>
          </w:tcPr>
          <w:p w:rsidR="004630EB" w:rsidRPr="00687A1C" w:rsidRDefault="004630EB" w:rsidP="004630EB">
            <w:pPr>
              <w:pStyle w:val="Tabletextright"/>
            </w:pPr>
            <w:r w:rsidRPr="00687A1C">
              <w:t>59</w:t>
            </w:r>
          </w:p>
        </w:tc>
        <w:tc>
          <w:tcPr>
            <w:tcW w:w="979" w:type="dxa"/>
            <w:shd w:val="clear" w:color="auto" w:fill="E0E0E0"/>
          </w:tcPr>
          <w:p w:rsidR="004630EB" w:rsidRPr="00687A1C" w:rsidRDefault="004630EB" w:rsidP="004630EB">
            <w:pPr>
              <w:pStyle w:val="Tabletextright"/>
            </w:pPr>
            <w:r w:rsidRPr="00687A1C">
              <w:t>22</w:t>
            </w:r>
          </w:p>
        </w:tc>
        <w:tc>
          <w:tcPr>
            <w:tcW w:w="778" w:type="dxa"/>
            <w:shd w:val="clear" w:color="auto" w:fill="E0E0E0"/>
          </w:tcPr>
          <w:p w:rsidR="004630EB" w:rsidRPr="00687A1C" w:rsidRDefault="004630EB" w:rsidP="004630EB">
            <w:pPr>
              <w:pStyle w:val="Tabletextright"/>
            </w:pPr>
            <w:r w:rsidRPr="00687A1C">
              <w:t>74.59</w:t>
            </w:r>
          </w:p>
        </w:tc>
        <w:tc>
          <w:tcPr>
            <w:tcW w:w="950" w:type="dxa"/>
          </w:tcPr>
          <w:p w:rsidR="004630EB" w:rsidRPr="00687A1C" w:rsidRDefault="004630EB" w:rsidP="004630EB">
            <w:pPr>
              <w:pStyle w:val="Tabletextright"/>
            </w:pPr>
            <w:r w:rsidRPr="00687A1C">
              <w:t>2</w:t>
            </w:r>
          </w:p>
        </w:tc>
        <w:tc>
          <w:tcPr>
            <w:tcW w:w="778" w:type="dxa"/>
          </w:tcPr>
          <w:p w:rsidR="004630EB" w:rsidRPr="00687A1C" w:rsidRDefault="004630EB" w:rsidP="004630EB">
            <w:pPr>
              <w:pStyle w:val="Tabletextright"/>
            </w:pPr>
            <w:r w:rsidRPr="00687A1C">
              <w:t>1.20</w:t>
            </w:r>
          </w:p>
        </w:tc>
      </w:tr>
      <w:tr w:rsidR="004630EB" w:rsidRPr="00687A1C" w:rsidTr="004630EB">
        <w:trPr>
          <w:cantSplit/>
        </w:trPr>
        <w:tc>
          <w:tcPr>
            <w:tcW w:w="1483" w:type="dxa"/>
            <w:shd w:val="clear" w:color="auto" w:fill="auto"/>
          </w:tcPr>
          <w:p w:rsidR="004630EB" w:rsidRPr="00687A1C" w:rsidRDefault="004630EB" w:rsidP="004630EB">
            <w:pPr>
              <w:pStyle w:val="Tabletext"/>
              <w:rPr>
                <w:rFonts w:cstheme="minorHAnsi"/>
              </w:rPr>
            </w:pPr>
            <w:r w:rsidRPr="00687A1C">
              <w:rPr>
                <w:rFonts w:cstheme="minorHAnsi"/>
              </w:rPr>
              <w:t>Self-described</w:t>
            </w:r>
          </w:p>
        </w:tc>
        <w:tc>
          <w:tcPr>
            <w:tcW w:w="950"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w:t>
            </w:r>
          </w:p>
        </w:tc>
        <w:tc>
          <w:tcPr>
            <w:tcW w:w="979" w:type="dxa"/>
            <w:shd w:val="clear" w:color="auto" w:fill="auto"/>
            <w:vAlign w:val="bottom"/>
          </w:tcPr>
          <w:p w:rsidR="004630EB" w:rsidRPr="00687A1C" w:rsidRDefault="004630EB" w:rsidP="004630EB">
            <w:pPr>
              <w:pStyle w:val="Tabletextright"/>
            </w:pPr>
            <w:r w:rsidRPr="00687A1C">
              <w:t>–</w:t>
            </w:r>
          </w:p>
        </w:tc>
        <w:tc>
          <w:tcPr>
            <w:tcW w:w="979" w:type="dxa"/>
            <w:shd w:val="clear" w:color="auto" w:fill="auto"/>
            <w:vAlign w:val="bottom"/>
          </w:tcPr>
          <w:p w:rsidR="004630EB" w:rsidRPr="00687A1C" w:rsidRDefault="004630EB"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w:t>
            </w:r>
          </w:p>
        </w:tc>
        <w:tc>
          <w:tcPr>
            <w:tcW w:w="950" w:type="dxa"/>
            <w:shd w:val="clear" w:color="auto" w:fill="E0E0E0"/>
            <w:vAlign w:val="bottom"/>
          </w:tcPr>
          <w:p w:rsidR="004630EB" w:rsidRPr="00687A1C" w:rsidRDefault="004630EB" w:rsidP="004630EB">
            <w:pPr>
              <w:pStyle w:val="Tabletextright"/>
            </w:pPr>
            <w:r w:rsidRPr="00687A1C">
              <w:t>–</w:t>
            </w:r>
          </w:p>
        </w:tc>
        <w:tc>
          <w:tcPr>
            <w:tcW w:w="778" w:type="dxa"/>
            <w:shd w:val="clear" w:color="auto" w:fill="E0E0E0"/>
            <w:vAlign w:val="bottom"/>
          </w:tcPr>
          <w:p w:rsidR="004630EB" w:rsidRPr="00687A1C" w:rsidRDefault="004630EB" w:rsidP="004630EB">
            <w:pPr>
              <w:pStyle w:val="Tabletextright"/>
            </w:pPr>
            <w:r w:rsidRPr="00687A1C">
              <w:t>–</w:t>
            </w:r>
          </w:p>
        </w:tc>
        <w:tc>
          <w:tcPr>
            <w:tcW w:w="950" w:type="dxa"/>
            <w:shd w:val="clear" w:color="auto" w:fill="auto"/>
            <w:noWrap/>
          </w:tcPr>
          <w:p w:rsidR="004630EB" w:rsidRPr="00687A1C" w:rsidRDefault="004630EB" w:rsidP="004630EB">
            <w:pPr>
              <w:pStyle w:val="Tabletextright"/>
            </w:pPr>
            <w:r w:rsidRPr="00687A1C">
              <w:t>–</w:t>
            </w:r>
          </w:p>
        </w:tc>
        <w:tc>
          <w:tcPr>
            <w:tcW w:w="778" w:type="dxa"/>
            <w:shd w:val="clear" w:color="auto" w:fill="auto"/>
          </w:tcPr>
          <w:p w:rsidR="004630EB" w:rsidRPr="00687A1C" w:rsidRDefault="004630EB" w:rsidP="004630EB">
            <w:pPr>
              <w:pStyle w:val="Tabletextright"/>
            </w:pPr>
            <w:r w:rsidRPr="00687A1C">
              <w:t>–</w:t>
            </w:r>
          </w:p>
        </w:tc>
        <w:tc>
          <w:tcPr>
            <w:tcW w:w="979" w:type="dxa"/>
            <w:shd w:val="clear" w:color="auto" w:fill="E0E0E0"/>
            <w:noWrap/>
          </w:tcPr>
          <w:p w:rsidR="004630EB" w:rsidRPr="00687A1C" w:rsidRDefault="004630EB" w:rsidP="004630EB">
            <w:pPr>
              <w:pStyle w:val="Tabletextright"/>
            </w:pPr>
            <w:r w:rsidRPr="00687A1C">
              <w:t>–</w:t>
            </w:r>
          </w:p>
        </w:tc>
        <w:tc>
          <w:tcPr>
            <w:tcW w:w="979" w:type="dxa"/>
            <w:shd w:val="clear" w:color="auto" w:fill="E0E0E0"/>
          </w:tcPr>
          <w:p w:rsidR="004630EB" w:rsidRPr="00687A1C" w:rsidRDefault="004630EB" w:rsidP="004630EB">
            <w:pPr>
              <w:pStyle w:val="Tabletextright"/>
            </w:pPr>
            <w:r w:rsidRPr="00687A1C">
              <w:t>–</w:t>
            </w:r>
          </w:p>
        </w:tc>
        <w:tc>
          <w:tcPr>
            <w:tcW w:w="778" w:type="dxa"/>
            <w:shd w:val="clear" w:color="auto" w:fill="E0E0E0"/>
          </w:tcPr>
          <w:p w:rsidR="004630EB" w:rsidRPr="00687A1C" w:rsidRDefault="004630EB" w:rsidP="004630EB">
            <w:pPr>
              <w:pStyle w:val="Tabletextright"/>
            </w:pPr>
            <w:r w:rsidRPr="00687A1C">
              <w:t>–</w:t>
            </w:r>
          </w:p>
        </w:tc>
        <w:tc>
          <w:tcPr>
            <w:tcW w:w="950" w:type="dxa"/>
          </w:tcPr>
          <w:p w:rsidR="004630EB" w:rsidRPr="00687A1C" w:rsidRDefault="004630EB" w:rsidP="004630EB">
            <w:pPr>
              <w:pStyle w:val="Tabletextright"/>
            </w:pPr>
            <w:r w:rsidRPr="00687A1C">
              <w:t>–</w:t>
            </w:r>
          </w:p>
        </w:tc>
        <w:tc>
          <w:tcPr>
            <w:tcW w:w="778" w:type="dxa"/>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rPr>
              <w:t>Age</w:t>
            </w:r>
          </w:p>
        </w:tc>
        <w:tc>
          <w:tcPr>
            <w:tcW w:w="950" w:type="dxa"/>
            <w:shd w:val="clear" w:color="auto" w:fill="E0E0E0"/>
          </w:tcPr>
          <w:p w:rsidR="004630EB" w:rsidRPr="00687A1C" w:rsidRDefault="004630EB" w:rsidP="004630EB">
            <w:pPr>
              <w:pStyle w:val="Tabletextright"/>
              <w:rPr>
                <w:rFonts w:cstheme="minorHAnsi"/>
              </w:rPr>
            </w:pPr>
          </w:p>
        </w:tc>
        <w:tc>
          <w:tcPr>
            <w:tcW w:w="778" w:type="dxa"/>
            <w:shd w:val="clear" w:color="auto" w:fill="E0E0E0"/>
          </w:tcPr>
          <w:p w:rsidR="004630EB" w:rsidRPr="00687A1C" w:rsidRDefault="004630EB" w:rsidP="004630EB">
            <w:pPr>
              <w:pStyle w:val="Tabletextright"/>
              <w:rPr>
                <w:rFonts w:cstheme="minorHAnsi"/>
              </w:rPr>
            </w:pPr>
          </w:p>
        </w:tc>
        <w:tc>
          <w:tcPr>
            <w:tcW w:w="979" w:type="dxa"/>
            <w:shd w:val="clear" w:color="auto" w:fill="auto"/>
          </w:tcPr>
          <w:p w:rsidR="004630EB" w:rsidRPr="00687A1C" w:rsidRDefault="004630EB" w:rsidP="004630EB">
            <w:pPr>
              <w:pStyle w:val="Tabletextright"/>
              <w:rPr>
                <w:rFonts w:cstheme="minorHAnsi"/>
              </w:rPr>
            </w:pPr>
          </w:p>
        </w:tc>
        <w:tc>
          <w:tcPr>
            <w:tcW w:w="979" w:type="dxa"/>
            <w:shd w:val="clear" w:color="auto" w:fill="auto"/>
          </w:tcPr>
          <w:p w:rsidR="004630EB" w:rsidRPr="00687A1C" w:rsidRDefault="004630EB" w:rsidP="004630EB">
            <w:pPr>
              <w:pStyle w:val="Tabletextright"/>
            </w:pPr>
          </w:p>
        </w:tc>
        <w:tc>
          <w:tcPr>
            <w:tcW w:w="778" w:type="dxa"/>
            <w:shd w:val="clear" w:color="auto" w:fill="auto"/>
          </w:tcPr>
          <w:p w:rsidR="004630EB" w:rsidRPr="00687A1C" w:rsidRDefault="004630EB" w:rsidP="004630EB">
            <w:pPr>
              <w:pStyle w:val="Tabletextright"/>
            </w:pPr>
          </w:p>
        </w:tc>
        <w:tc>
          <w:tcPr>
            <w:tcW w:w="950"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shd w:val="clear" w:color="auto" w:fill="auto"/>
            <w:noWrap/>
          </w:tcPr>
          <w:p w:rsidR="004630EB" w:rsidRPr="00687A1C" w:rsidRDefault="004630EB" w:rsidP="004630EB">
            <w:pPr>
              <w:pStyle w:val="Tabletextright"/>
              <w:rPr>
                <w:rFonts w:cstheme="minorHAnsi"/>
              </w:rPr>
            </w:pPr>
          </w:p>
        </w:tc>
        <w:tc>
          <w:tcPr>
            <w:tcW w:w="778" w:type="dxa"/>
            <w:shd w:val="clear" w:color="auto" w:fill="auto"/>
          </w:tcPr>
          <w:p w:rsidR="004630EB" w:rsidRPr="00687A1C" w:rsidRDefault="004630EB" w:rsidP="004630EB">
            <w:pPr>
              <w:pStyle w:val="Tabletextright"/>
              <w:rPr>
                <w:rFonts w:cstheme="minorHAnsi"/>
              </w:rPr>
            </w:pPr>
          </w:p>
        </w:tc>
        <w:tc>
          <w:tcPr>
            <w:tcW w:w="979" w:type="dxa"/>
            <w:shd w:val="clear" w:color="auto" w:fill="E0E0E0"/>
            <w:noWrap/>
          </w:tcPr>
          <w:p w:rsidR="004630EB" w:rsidRPr="00687A1C" w:rsidRDefault="004630EB" w:rsidP="004630EB">
            <w:pPr>
              <w:pStyle w:val="Tabletextright"/>
              <w:rPr>
                <w:rFonts w:cstheme="minorHAnsi"/>
              </w:rPr>
            </w:pPr>
          </w:p>
        </w:tc>
        <w:tc>
          <w:tcPr>
            <w:tcW w:w="979" w:type="dxa"/>
            <w:shd w:val="clear" w:color="auto" w:fill="E0E0E0"/>
          </w:tcPr>
          <w:p w:rsidR="004630EB" w:rsidRPr="00687A1C" w:rsidRDefault="004630EB" w:rsidP="004630EB">
            <w:pPr>
              <w:pStyle w:val="Tabletextright"/>
            </w:pPr>
          </w:p>
        </w:tc>
        <w:tc>
          <w:tcPr>
            <w:tcW w:w="778" w:type="dxa"/>
            <w:shd w:val="clear" w:color="auto" w:fill="E0E0E0"/>
          </w:tcPr>
          <w:p w:rsidR="004630EB" w:rsidRPr="00687A1C" w:rsidRDefault="004630EB" w:rsidP="004630EB">
            <w:pPr>
              <w:pStyle w:val="Tabletextright"/>
            </w:pPr>
          </w:p>
        </w:tc>
        <w:tc>
          <w:tcPr>
            <w:tcW w:w="950" w:type="dxa"/>
          </w:tcPr>
          <w:p w:rsidR="004630EB" w:rsidRPr="00687A1C" w:rsidRDefault="004630EB" w:rsidP="004630EB">
            <w:pPr>
              <w:pStyle w:val="Tabletextright"/>
            </w:pPr>
          </w:p>
        </w:tc>
        <w:tc>
          <w:tcPr>
            <w:tcW w:w="778" w:type="dxa"/>
          </w:tcPr>
          <w:p w:rsidR="004630EB" w:rsidRPr="00687A1C" w:rsidRDefault="004630EB" w:rsidP="004630EB">
            <w:pPr>
              <w:pStyle w:val="Tabletextright"/>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15–24</w:t>
            </w:r>
          </w:p>
        </w:tc>
        <w:tc>
          <w:tcPr>
            <w:tcW w:w="950" w:type="dxa"/>
            <w:shd w:val="clear" w:color="auto" w:fill="E0E0E0"/>
            <w:vAlign w:val="bottom"/>
          </w:tcPr>
          <w:p w:rsidR="004630EB" w:rsidRPr="00687A1C" w:rsidRDefault="004630EB" w:rsidP="004630EB">
            <w:pPr>
              <w:pStyle w:val="Tabletextright"/>
            </w:pPr>
            <w:r w:rsidRPr="00687A1C">
              <w:t>7</w:t>
            </w:r>
          </w:p>
        </w:tc>
        <w:tc>
          <w:tcPr>
            <w:tcW w:w="778" w:type="dxa"/>
            <w:shd w:val="clear" w:color="auto" w:fill="E0E0E0"/>
            <w:vAlign w:val="bottom"/>
          </w:tcPr>
          <w:p w:rsidR="004630EB" w:rsidRPr="00687A1C" w:rsidRDefault="004630EB" w:rsidP="004630EB">
            <w:pPr>
              <w:pStyle w:val="Tabletextright"/>
            </w:pPr>
            <w:r w:rsidRPr="00687A1C">
              <w:t>6.06</w:t>
            </w:r>
          </w:p>
        </w:tc>
        <w:tc>
          <w:tcPr>
            <w:tcW w:w="979" w:type="dxa"/>
            <w:shd w:val="clear" w:color="auto" w:fill="auto"/>
            <w:vAlign w:val="bottom"/>
          </w:tcPr>
          <w:p w:rsidR="004630EB" w:rsidRPr="00687A1C" w:rsidRDefault="004630EB" w:rsidP="004630EB">
            <w:pPr>
              <w:pStyle w:val="Tabletextright"/>
            </w:pPr>
            <w:r w:rsidRPr="00687A1C">
              <w:t>4</w:t>
            </w:r>
          </w:p>
        </w:tc>
        <w:tc>
          <w:tcPr>
            <w:tcW w:w="979" w:type="dxa"/>
            <w:shd w:val="clear" w:color="auto" w:fill="auto"/>
            <w:vAlign w:val="bottom"/>
          </w:tcPr>
          <w:p w:rsidR="004630EB" w:rsidRPr="00687A1C" w:rsidRDefault="008A4D17"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4.00</w:t>
            </w:r>
          </w:p>
        </w:tc>
        <w:tc>
          <w:tcPr>
            <w:tcW w:w="950" w:type="dxa"/>
            <w:shd w:val="clear" w:color="auto" w:fill="E0E0E0"/>
            <w:vAlign w:val="bottom"/>
          </w:tcPr>
          <w:p w:rsidR="004630EB" w:rsidRPr="00687A1C" w:rsidRDefault="004630EB" w:rsidP="004630EB">
            <w:pPr>
              <w:pStyle w:val="Tabletextright"/>
            </w:pPr>
            <w:r w:rsidRPr="00687A1C">
              <w:t>3</w:t>
            </w:r>
          </w:p>
        </w:tc>
        <w:tc>
          <w:tcPr>
            <w:tcW w:w="778" w:type="dxa"/>
            <w:shd w:val="clear" w:color="auto" w:fill="E0E0E0"/>
            <w:vAlign w:val="bottom"/>
          </w:tcPr>
          <w:p w:rsidR="004630EB" w:rsidRPr="00687A1C" w:rsidRDefault="004630EB" w:rsidP="004630EB">
            <w:pPr>
              <w:pStyle w:val="Tabletextright"/>
            </w:pPr>
            <w:r w:rsidRPr="00687A1C">
              <w:t>2.06</w:t>
            </w:r>
          </w:p>
        </w:tc>
        <w:tc>
          <w:tcPr>
            <w:tcW w:w="950" w:type="dxa"/>
            <w:shd w:val="clear" w:color="auto" w:fill="auto"/>
            <w:noWrap/>
          </w:tcPr>
          <w:p w:rsidR="004630EB" w:rsidRPr="00687A1C" w:rsidRDefault="004630EB" w:rsidP="004630EB">
            <w:pPr>
              <w:pStyle w:val="Tabletextright"/>
            </w:pPr>
            <w:r w:rsidRPr="00687A1C">
              <w:t>10</w:t>
            </w:r>
          </w:p>
        </w:tc>
        <w:tc>
          <w:tcPr>
            <w:tcW w:w="778" w:type="dxa"/>
            <w:shd w:val="clear" w:color="auto" w:fill="auto"/>
          </w:tcPr>
          <w:p w:rsidR="004630EB" w:rsidRPr="00687A1C" w:rsidRDefault="004630EB" w:rsidP="004630EB">
            <w:pPr>
              <w:pStyle w:val="Tabletextright"/>
            </w:pPr>
            <w:r w:rsidRPr="00687A1C">
              <w:t>7.42</w:t>
            </w:r>
          </w:p>
        </w:tc>
        <w:tc>
          <w:tcPr>
            <w:tcW w:w="979" w:type="dxa"/>
            <w:shd w:val="clear" w:color="auto" w:fill="E0E0E0"/>
            <w:noWrap/>
          </w:tcPr>
          <w:p w:rsidR="004630EB" w:rsidRPr="00687A1C" w:rsidRDefault="004630EB" w:rsidP="004630EB">
            <w:pPr>
              <w:pStyle w:val="Tabletextright"/>
            </w:pPr>
            <w:r w:rsidRPr="00687A1C">
              <w:t>5</w:t>
            </w:r>
          </w:p>
        </w:tc>
        <w:tc>
          <w:tcPr>
            <w:tcW w:w="979" w:type="dxa"/>
            <w:shd w:val="clear" w:color="auto" w:fill="E0E0E0"/>
          </w:tcPr>
          <w:p w:rsidR="004630EB" w:rsidRPr="00687A1C" w:rsidRDefault="004630EB" w:rsidP="004630EB">
            <w:pPr>
              <w:pStyle w:val="Tabletextright"/>
            </w:pPr>
            <w:r w:rsidRPr="00687A1C">
              <w:t>–</w:t>
            </w:r>
          </w:p>
        </w:tc>
        <w:tc>
          <w:tcPr>
            <w:tcW w:w="778" w:type="dxa"/>
            <w:shd w:val="clear" w:color="auto" w:fill="E0E0E0"/>
          </w:tcPr>
          <w:p w:rsidR="004630EB" w:rsidRPr="00687A1C" w:rsidRDefault="004630EB" w:rsidP="004630EB">
            <w:pPr>
              <w:pStyle w:val="Tabletextright"/>
            </w:pPr>
            <w:r w:rsidRPr="00687A1C">
              <w:t>5.00</w:t>
            </w:r>
          </w:p>
        </w:tc>
        <w:tc>
          <w:tcPr>
            <w:tcW w:w="950" w:type="dxa"/>
          </w:tcPr>
          <w:p w:rsidR="004630EB" w:rsidRPr="00687A1C" w:rsidRDefault="004630EB" w:rsidP="004630EB">
            <w:pPr>
              <w:pStyle w:val="Tabletextright"/>
            </w:pPr>
            <w:r w:rsidRPr="00687A1C">
              <w:t>5</w:t>
            </w:r>
          </w:p>
        </w:tc>
        <w:tc>
          <w:tcPr>
            <w:tcW w:w="778" w:type="dxa"/>
          </w:tcPr>
          <w:p w:rsidR="004630EB" w:rsidRPr="00687A1C" w:rsidRDefault="004630EB" w:rsidP="004630EB">
            <w:pPr>
              <w:pStyle w:val="Tabletextright"/>
            </w:pPr>
            <w:r w:rsidRPr="00687A1C">
              <w:t>2.42</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25</w:t>
            </w:r>
            <w:r w:rsidRPr="00687A1C">
              <w:rPr>
                <w:rFonts w:cstheme="minorHAnsi"/>
              </w:rPr>
              <w:noBreakHyphen/>
              <w:t>34</w:t>
            </w:r>
          </w:p>
        </w:tc>
        <w:tc>
          <w:tcPr>
            <w:tcW w:w="950" w:type="dxa"/>
            <w:shd w:val="clear" w:color="auto" w:fill="E0E0E0"/>
            <w:vAlign w:val="bottom"/>
          </w:tcPr>
          <w:p w:rsidR="004630EB" w:rsidRPr="00687A1C" w:rsidRDefault="004630EB" w:rsidP="004630EB">
            <w:pPr>
              <w:pStyle w:val="Tabletextright"/>
            </w:pPr>
            <w:r w:rsidRPr="00687A1C">
              <w:t>31</w:t>
            </w:r>
          </w:p>
        </w:tc>
        <w:tc>
          <w:tcPr>
            <w:tcW w:w="778" w:type="dxa"/>
            <w:shd w:val="clear" w:color="auto" w:fill="E0E0E0"/>
            <w:vAlign w:val="bottom"/>
          </w:tcPr>
          <w:p w:rsidR="004630EB" w:rsidRPr="00687A1C" w:rsidRDefault="004630EB" w:rsidP="004630EB">
            <w:pPr>
              <w:pStyle w:val="Tabletextright"/>
            </w:pPr>
            <w:r w:rsidRPr="00687A1C">
              <w:t>29.80</w:t>
            </w:r>
          </w:p>
        </w:tc>
        <w:tc>
          <w:tcPr>
            <w:tcW w:w="979" w:type="dxa"/>
            <w:shd w:val="clear" w:color="auto" w:fill="auto"/>
            <w:vAlign w:val="bottom"/>
          </w:tcPr>
          <w:p w:rsidR="004630EB" w:rsidRPr="00687A1C" w:rsidRDefault="004630EB" w:rsidP="004630EB">
            <w:pPr>
              <w:pStyle w:val="Tabletextright"/>
            </w:pPr>
            <w:r w:rsidRPr="00687A1C">
              <w:t>26</w:t>
            </w:r>
          </w:p>
        </w:tc>
        <w:tc>
          <w:tcPr>
            <w:tcW w:w="979" w:type="dxa"/>
            <w:shd w:val="clear" w:color="auto" w:fill="auto"/>
            <w:vAlign w:val="bottom"/>
          </w:tcPr>
          <w:p w:rsidR="004630EB" w:rsidRPr="00687A1C" w:rsidRDefault="004630EB" w:rsidP="004630EB">
            <w:pPr>
              <w:pStyle w:val="Tabletextright"/>
            </w:pPr>
            <w:r w:rsidRPr="00687A1C">
              <w:t>3</w:t>
            </w:r>
          </w:p>
        </w:tc>
        <w:tc>
          <w:tcPr>
            <w:tcW w:w="778" w:type="dxa"/>
            <w:shd w:val="clear" w:color="auto" w:fill="auto"/>
            <w:vAlign w:val="bottom"/>
          </w:tcPr>
          <w:p w:rsidR="004630EB" w:rsidRPr="00687A1C" w:rsidRDefault="004630EB" w:rsidP="004630EB">
            <w:pPr>
              <w:pStyle w:val="Tabletextright"/>
            </w:pPr>
            <w:r w:rsidRPr="00687A1C">
              <w:t>27.80</w:t>
            </w:r>
          </w:p>
        </w:tc>
        <w:tc>
          <w:tcPr>
            <w:tcW w:w="950" w:type="dxa"/>
            <w:shd w:val="clear" w:color="auto" w:fill="E0E0E0"/>
            <w:vAlign w:val="bottom"/>
          </w:tcPr>
          <w:p w:rsidR="004630EB" w:rsidRPr="00687A1C" w:rsidRDefault="004630EB" w:rsidP="004630EB">
            <w:pPr>
              <w:pStyle w:val="Tabletextright"/>
            </w:pPr>
            <w:r w:rsidRPr="00687A1C">
              <w:t>2</w:t>
            </w:r>
          </w:p>
        </w:tc>
        <w:tc>
          <w:tcPr>
            <w:tcW w:w="778" w:type="dxa"/>
            <w:shd w:val="clear" w:color="auto" w:fill="E0E0E0"/>
            <w:vAlign w:val="bottom"/>
          </w:tcPr>
          <w:p w:rsidR="004630EB" w:rsidRPr="00687A1C" w:rsidRDefault="004630EB" w:rsidP="004630EB">
            <w:pPr>
              <w:pStyle w:val="Tabletextright"/>
            </w:pPr>
            <w:r w:rsidRPr="00687A1C">
              <w:t>2.00</w:t>
            </w:r>
          </w:p>
        </w:tc>
        <w:tc>
          <w:tcPr>
            <w:tcW w:w="950" w:type="dxa"/>
            <w:shd w:val="clear" w:color="auto" w:fill="auto"/>
            <w:noWrap/>
          </w:tcPr>
          <w:p w:rsidR="004630EB" w:rsidRPr="00687A1C" w:rsidRDefault="004630EB" w:rsidP="004630EB">
            <w:pPr>
              <w:pStyle w:val="Tabletextright"/>
            </w:pPr>
            <w:r w:rsidRPr="00687A1C">
              <w:t>40</w:t>
            </w:r>
          </w:p>
        </w:tc>
        <w:tc>
          <w:tcPr>
            <w:tcW w:w="778" w:type="dxa"/>
            <w:shd w:val="clear" w:color="auto" w:fill="auto"/>
          </w:tcPr>
          <w:p w:rsidR="004630EB" w:rsidRPr="00687A1C" w:rsidRDefault="004630EB" w:rsidP="004630EB">
            <w:pPr>
              <w:pStyle w:val="Tabletextright"/>
            </w:pPr>
            <w:r w:rsidRPr="00687A1C">
              <w:t>38.73</w:t>
            </w:r>
          </w:p>
        </w:tc>
        <w:tc>
          <w:tcPr>
            <w:tcW w:w="979" w:type="dxa"/>
            <w:shd w:val="clear" w:color="auto" w:fill="E0E0E0"/>
            <w:noWrap/>
          </w:tcPr>
          <w:p w:rsidR="004630EB" w:rsidRPr="00687A1C" w:rsidRDefault="004630EB" w:rsidP="004630EB">
            <w:pPr>
              <w:pStyle w:val="Tabletextright"/>
            </w:pPr>
            <w:r w:rsidRPr="00687A1C">
              <w:t>34</w:t>
            </w:r>
          </w:p>
        </w:tc>
        <w:tc>
          <w:tcPr>
            <w:tcW w:w="979" w:type="dxa"/>
            <w:shd w:val="clear" w:color="auto" w:fill="E0E0E0"/>
          </w:tcPr>
          <w:p w:rsidR="004630EB" w:rsidRPr="00687A1C" w:rsidRDefault="004630EB" w:rsidP="004630EB">
            <w:pPr>
              <w:pStyle w:val="Tabletextright"/>
            </w:pPr>
            <w:r w:rsidRPr="00687A1C">
              <w:t>5</w:t>
            </w:r>
          </w:p>
        </w:tc>
        <w:tc>
          <w:tcPr>
            <w:tcW w:w="778" w:type="dxa"/>
            <w:shd w:val="clear" w:color="auto" w:fill="E0E0E0"/>
          </w:tcPr>
          <w:p w:rsidR="004630EB" w:rsidRPr="00687A1C" w:rsidRDefault="004630EB" w:rsidP="004630EB">
            <w:pPr>
              <w:pStyle w:val="Tabletextright"/>
            </w:pPr>
            <w:r w:rsidRPr="00687A1C">
              <w:t>37.73</w:t>
            </w:r>
          </w:p>
        </w:tc>
        <w:tc>
          <w:tcPr>
            <w:tcW w:w="950" w:type="dxa"/>
          </w:tcPr>
          <w:p w:rsidR="004630EB" w:rsidRPr="00687A1C" w:rsidRDefault="004630EB" w:rsidP="004630EB">
            <w:pPr>
              <w:pStyle w:val="Tabletextright"/>
            </w:pPr>
            <w:r w:rsidRPr="00687A1C">
              <w:t>1</w:t>
            </w:r>
          </w:p>
        </w:tc>
        <w:tc>
          <w:tcPr>
            <w:tcW w:w="778" w:type="dxa"/>
          </w:tcPr>
          <w:p w:rsidR="004630EB" w:rsidRPr="00687A1C" w:rsidRDefault="004630EB" w:rsidP="004630EB">
            <w:pPr>
              <w:pStyle w:val="Tabletextright"/>
            </w:pPr>
            <w:r w:rsidRPr="00687A1C">
              <w:t>1.00</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35</w:t>
            </w:r>
            <w:r w:rsidRPr="00687A1C">
              <w:rPr>
                <w:rFonts w:cstheme="minorHAnsi"/>
              </w:rPr>
              <w:noBreakHyphen/>
              <w:t>44</w:t>
            </w:r>
          </w:p>
        </w:tc>
        <w:tc>
          <w:tcPr>
            <w:tcW w:w="950" w:type="dxa"/>
            <w:shd w:val="clear" w:color="auto" w:fill="E0E0E0"/>
            <w:vAlign w:val="bottom"/>
          </w:tcPr>
          <w:p w:rsidR="004630EB" w:rsidRPr="00687A1C" w:rsidRDefault="004630EB" w:rsidP="004630EB">
            <w:pPr>
              <w:pStyle w:val="Tabletextright"/>
            </w:pPr>
            <w:r w:rsidRPr="00687A1C">
              <w:t>48</w:t>
            </w:r>
          </w:p>
        </w:tc>
        <w:tc>
          <w:tcPr>
            <w:tcW w:w="778" w:type="dxa"/>
            <w:shd w:val="clear" w:color="auto" w:fill="E0E0E0"/>
            <w:vAlign w:val="bottom"/>
          </w:tcPr>
          <w:p w:rsidR="004630EB" w:rsidRPr="00687A1C" w:rsidRDefault="004630EB" w:rsidP="004630EB">
            <w:pPr>
              <w:pStyle w:val="Tabletextright"/>
            </w:pPr>
            <w:r w:rsidRPr="00687A1C">
              <w:t>44.82</w:t>
            </w:r>
          </w:p>
        </w:tc>
        <w:tc>
          <w:tcPr>
            <w:tcW w:w="979" w:type="dxa"/>
            <w:shd w:val="clear" w:color="auto" w:fill="auto"/>
            <w:vAlign w:val="bottom"/>
          </w:tcPr>
          <w:p w:rsidR="004630EB" w:rsidRPr="00687A1C" w:rsidRDefault="004630EB" w:rsidP="004630EB">
            <w:pPr>
              <w:pStyle w:val="Tabletextright"/>
            </w:pPr>
            <w:r w:rsidRPr="00687A1C">
              <w:t>39</w:t>
            </w:r>
          </w:p>
        </w:tc>
        <w:tc>
          <w:tcPr>
            <w:tcW w:w="979" w:type="dxa"/>
            <w:shd w:val="clear" w:color="auto" w:fill="auto"/>
            <w:vAlign w:val="bottom"/>
          </w:tcPr>
          <w:p w:rsidR="004630EB" w:rsidRPr="00687A1C" w:rsidRDefault="004630EB" w:rsidP="004630EB">
            <w:pPr>
              <w:pStyle w:val="Tabletextright"/>
            </w:pPr>
            <w:r w:rsidRPr="00687A1C">
              <w:t>7</w:t>
            </w:r>
          </w:p>
        </w:tc>
        <w:tc>
          <w:tcPr>
            <w:tcW w:w="778" w:type="dxa"/>
            <w:shd w:val="clear" w:color="auto" w:fill="auto"/>
            <w:vAlign w:val="bottom"/>
          </w:tcPr>
          <w:p w:rsidR="004630EB" w:rsidRPr="00687A1C" w:rsidRDefault="004630EB" w:rsidP="004630EB">
            <w:pPr>
              <w:pStyle w:val="Tabletextright"/>
            </w:pPr>
            <w:r w:rsidRPr="00687A1C">
              <w:t>43.02</w:t>
            </w:r>
          </w:p>
        </w:tc>
        <w:tc>
          <w:tcPr>
            <w:tcW w:w="950" w:type="dxa"/>
            <w:shd w:val="clear" w:color="auto" w:fill="E0E0E0"/>
            <w:vAlign w:val="bottom"/>
          </w:tcPr>
          <w:p w:rsidR="004630EB" w:rsidRPr="00687A1C" w:rsidRDefault="004630EB" w:rsidP="004630EB">
            <w:pPr>
              <w:pStyle w:val="Tabletextright"/>
            </w:pPr>
            <w:r w:rsidRPr="00687A1C">
              <w:t>2</w:t>
            </w:r>
          </w:p>
        </w:tc>
        <w:tc>
          <w:tcPr>
            <w:tcW w:w="778" w:type="dxa"/>
            <w:shd w:val="clear" w:color="auto" w:fill="E0E0E0"/>
            <w:vAlign w:val="bottom"/>
          </w:tcPr>
          <w:p w:rsidR="004630EB" w:rsidRPr="00687A1C" w:rsidRDefault="004630EB" w:rsidP="004630EB">
            <w:pPr>
              <w:pStyle w:val="Tabletextright"/>
            </w:pPr>
            <w:r w:rsidRPr="00687A1C">
              <w:t>1.80</w:t>
            </w:r>
          </w:p>
        </w:tc>
        <w:tc>
          <w:tcPr>
            <w:tcW w:w="950" w:type="dxa"/>
            <w:shd w:val="clear" w:color="auto" w:fill="auto"/>
            <w:noWrap/>
          </w:tcPr>
          <w:p w:rsidR="004630EB" w:rsidRPr="00687A1C" w:rsidRDefault="004630EB" w:rsidP="004630EB">
            <w:pPr>
              <w:pStyle w:val="Tabletextright"/>
            </w:pPr>
            <w:r w:rsidRPr="00687A1C">
              <w:t>50</w:t>
            </w:r>
          </w:p>
        </w:tc>
        <w:tc>
          <w:tcPr>
            <w:tcW w:w="778" w:type="dxa"/>
            <w:shd w:val="clear" w:color="auto" w:fill="auto"/>
          </w:tcPr>
          <w:p w:rsidR="004630EB" w:rsidRPr="00687A1C" w:rsidRDefault="004630EB" w:rsidP="004630EB">
            <w:pPr>
              <w:pStyle w:val="Tabletextright"/>
            </w:pPr>
            <w:r w:rsidRPr="00687A1C">
              <w:t>46.89</w:t>
            </w:r>
          </w:p>
        </w:tc>
        <w:tc>
          <w:tcPr>
            <w:tcW w:w="979" w:type="dxa"/>
            <w:shd w:val="clear" w:color="auto" w:fill="E0E0E0"/>
            <w:noWrap/>
          </w:tcPr>
          <w:p w:rsidR="004630EB" w:rsidRPr="00687A1C" w:rsidRDefault="004630EB" w:rsidP="004630EB">
            <w:pPr>
              <w:pStyle w:val="Tabletextright"/>
            </w:pPr>
            <w:r w:rsidRPr="00687A1C">
              <w:t>40</w:t>
            </w:r>
          </w:p>
        </w:tc>
        <w:tc>
          <w:tcPr>
            <w:tcW w:w="979" w:type="dxa"/>
            <w:shd w:val="clear" w:color="auto" w:fill="E0E0E0"/>
          </w:tcPr>
          <w:p w:rsidR="004630EB" w:rsidRPr="00687A1C" w:rsidRDefault="004630EB" w:rsidP="004630EB">
            <w:pPr>
              <w:pStyle w:val="Tabletextright"/>
            </w:pPr>
            <w:r w:rsidRPr="00687A1C">
              <w:t>10</w:t>
            </w:r>
          </w:p>
        </w:tc>
        <w:tc>
          <w:tcPr>
            <w:tcW w:w="778" w:type="dxa"/>
            <w:shd w:val="clear" w:color="auto" w:fill="E0E0E0"/>
          </w:tcPr>
          <w:p w:rsidR="004630EB" w:rsidRPr="00687A1C" w:rsidRDefault="004630EB" w:rsidP="004630EB">
            <w:pPr>
              <w:pStyle w:val="Tabletextright"/>
            </w:pPr>
            <w:r w:rsidRPr="00687A1C">
              <w:t>46.89</w:t>
            </w:r>
          </w:p>
        </w:tc>
        <w:tc>
          <w:tcPr>
            <w:tcW w:w="950" w:type="dxa"/>
          </w:tcPr>
          <w:p w:rsidR="004630EB" w:rsidRPr="00687A1C" w:rsidRDefault="004630EB" w:rsidP="004630EB">
            <w:pPr>
              <w:pStyle w:val="Tabletextright"/>
            </w:pPr>
            <w:r w:rsidRPr="00687A1C">
              <w:t>–</w:t>
            </w:r>
          </w:p>
        </w:tc>
        <w:tc>
          <w:tcPr>
            <w:tcW w:w="778" w:type="dxa"/>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45</w:t>
            </w:r>
            <w:r w:rsidRPr="00687A1C">
              <w:rPr>
                <w:rFonts w:cstheme="minorHAnsi"/>
              </w:rPr>
              <w:noBreakHyphen/>
              <w:t>54</w:t>
            </w:r>
          </w:p>
        </w:tc>
        <w:tc>
          <w:tcPr>
            <w:tcW w:w="950" w:type="dxa"/>
            <w:shd w:val="clear" w:color="auto" w:fill="E0E0E0"/>
            <w:vAlign w:val="bottom"/>
          </w:tcPr>
          <w:p w:rsidR="004630EB" w:rsidRPr="00687A1C" w:rsidRDefault="004630EB" w:rsidP="004630EB">
            <w:pPr>
              <w:pStyle w:val="Tabletextright"/>
            </w:pPr>
            <w:r w:rsidRPr="00687A1C">
              <w:t>34</w:t>
            </w:r>
          </w:p>
        </w:tc>
        <w:tc>
          <w:tcPr>
            <w:tcW w:w="778" w:type="dxa"/>
            <w:shd w:val="clear" w:color="auto" w:fill="E0E0E0"/>
            <w:vAlign w:val="bottom"/>
          </w:tcPr>
          <w:p w:rsidR="004630EB" w:rsidRPr="00687A1C" w:rsidRDefault="004630EB" w:rsidP="004630EB">
            <w:pPr>
              <w:pStyle w:val="Tabletextright"/>
            </w:pPr>
            <w:r w:rsidRPr="00687A1C">
              <w:t>31.41</w:t>
            </w:r>
          </w:p>
        </w:tc>
        <w:tc>
          <w:tcPr>
            <w:tcW w:w="979" w:type="dxa"/>
            <w:shd w:val="clear" w:color="auto" w:fill="auto"/>
            <w:vAlign w:val="bottom"/>
          </w:tcPr>
          <w:p w:rsidR="004630EB" w:rsidRPr="00687A1C" w:rsidRDefault="004630EB" w:rsidP="004630EB">
            <w:pPr>
              <w:pStyle w:val="Tabletextright"/>
            </w:pPr>
            <w:r w:rsidRPr="00687A1C">
              <w:t>24</w:t>
            </w:r>
          </w:p>
        </w:tc>
        <w:tc>
          <w:tcPr>
            <w:tcW w:w="979" w:type="dxa"/>
            <w:shd w:val="clear" w:color="auto" w:fill="auto"/>
            <w:vAlign w:val="bottom"/>
          </w:tcPr>
          <w:p w:rsidR="004630EB" w:rsidRPr="00687A1C" w:rsidRDefault="004630EB" w:rsidP="004630EB">
            <w:pPr>
              <w:pStyle w:val="Tabletextright"/>
            </w:pPr>
            <w:r w:rsidRPr="00687A1C">
              <w:t>7</w:t>
            </w:r>
          </w:p>
        </w:tc>
        <w:tc>
          <w:tcPr>
            <w:tcW w:w="778" w:type="dxa"/>
            <w:shd w:val="clear" w:color="auto" w:fill="auto"/>
            <w:vAlign w:val="bottom"/>
          </w:tcPr>
          <w:p w:rsidR="004630EB" w:rsidRPr="00687A1C" w:rsidRDefault="004630EB" w:rsidP="004630EB">
            <w:pPr>
              <w:pStyle w:val="Tabletextright"/>
            </w:pPr>
            <w:r w:rsidRPr="00687A1C">
              <w:t>28.41</w:t>
            </w:r>
          </w:p>
        </w:tc>
        <w:tc>
          <w:tcPr>
            <w:tcW w:w="950" w:type="dxa"/>
            <w:shd w:val="clear" w:color="auto" w:fill="E0E0E0"/>
            <w:vAlign w:val="bottom"/>
          </w:tcPr>
          <w:p w:rsidR="004630EB" w:rsidRPr="00687A1C" w:rsidRDefault="004630EB" w:rsidP="004630EB">
            <w:pPr>
              <w:pStyle w:val="Tabletextright"/>
            </w:pPr>
            <w:r w:rsidRPr="00687A1C">
              <w:t>3</w:t>
            </w:r>
          </w:p>
        </w:tc>
        <w:tc>
          <w:tcPr>
            <w:tcW w:w="778" w:type="dxa"/>
            <w:shd w:val="clear" w:color="auto" w:fill="E0E0E0"/>
            <w:vAlign w:val="bottom"/>
          </w:tcPr>
          <w:p w:rsidR="004630EB" w:rsidRPr="00687A1C" w:rsidRDefault="004630EB" w:rsidP="004630EB">
            <w:pPr>
              <w:pStyle w:val="Tabletextright"/>
            </w:pPr>
            <w:r w:rsidRPr="00687A1C">
              <w:t>3.00</w:t>
            </w:r>
          </w:p>
        </w:tc>
        <w:tc>
          <w:tcPr>
            <w:tcW w:w="950" w:type="dxa"/>
            <w:shd w:val="clear" w:color="auto" w:fill="auto"/>
            <w:noWrap/>
          </w:tcPr>
          <w:p w:rsidR="004630EB" w:rsidRPr="00687A1C" w:rsidRDefault="004630EB" w:rsidP="004630EB">
            <w:pPr>
              <w:pStyle w:val="Tabletextright"/>
            </w:pPr>
            <w:r w:rsidRPr="00687A1C">
              <w:t>36</w:t>
            </w:r>
          </w:p>
        </w:tc>
        <w:tc>
          <w:tcPr>
            <w:tcW w:w="778" w:type="dxa"/>
            <w:shd w:val="clear" w:color="auto" w:fill="auto"/>
          </w:tcPr>
          <w:p w:rsidR="004630EB" w:rsidRPr="00687A1C" w:rsidRDefault="004630EB" w:rsidP="004630EB">
            <w:pPr>
              <w:pStyle w:val="Tabletextright"/>
            </w:pPr>
            <w:r w:rsidRPr="00687A1C">
              <w:t>33.81</w:t>
            </w:r>
          </w:p>
        </w:tc>
        <w:tc>
          <w:tcPr>
            <w:tcW w:w="979" w:type="dxa"/>
            <w:shd w:val="clear" w:color="auto" w:fill="E0E0E0"/>
            <w:noWrap/>
          </w:tcPr>
          <w:p w:rsidR="004630EB" w:rsidRPr="00687A1C" w:rsidRDefault="004630EB" w:rsidP="004630EB">
            <w:pPr>
              <w:pStyle w:val="Tabletextright"/>
            </w:pPr>
            <w:r w:rsidRPr="00687A1C">
              <w:t>29</w:t>
            </w:r>
          </w:p>
        </w:tc>
        <w:tc>
          <w:tcPr>
            <w:tcW w:w="979" w:type="dxa"/>
            <w:shd w:val="clear" w:color="auto" w:fill="E0E0E0"/>
          </w:tcPr>
          <w:p w:rsidR="004630EB" w:rsidRPr="00687A1C" w:rsidRDefault="004630EB" w:rsidP="004630EB">
            <w:pPr>
              <w:pStyle w:val="Tabletextright"/>
            </w:pPr>
            <w:r w:rsidRPr="00687A1C">
              <w:t>7</w:t>
            </w:r>
          </w:p>
        </w:tc>
        <w:tc>
          <w:tcPr>
            <w:tcW w:w="778" w:type="dxa"/>
            <w:shd w:val="clear" w:color="auto" w:fill="E0E0E0"/>
          </w:tcPr>
          <w:p w:rsidR="004630EB" w:rsidRPr="00687A1C" w:rsidRDefault="004630EB" w:rsidP="004630EB">
            <w:pPr>
              <w:pStyle w:val="Tabletextright"/>
            </w:pPr>
            <w:r w:rsidRPr="00687A1C">
              <w:t>33.81</w:t>
            </w:r>
          </w:p>
        </w:tc>
        <w:tc>
          <w:tcPr>
            <w:tcW w:w="950" w:type="dxa"/>
          </w:tcPr>
          <w:p w:rsidR="004630EB" w:rsidRPr="00687A1C" w:rsidRDefault="004630EB" w:rsidP="004630EB">
            <w:pPr>
              <w:pStyle w:val="Tabletextright"/>
            </w:pPr>
            <w:r w:rsidRPr="00687A1C">
              <w:t>–</w:t>
            </w:r>
          </w:p>
        </w:tc>
        <w:tc>
          <w:tcPr>
            <w:tcW w:w="778" w:type="dxa"/>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rPr>
              <w:t>55</w:t>
            </w:r>
            <w:r w:rsidRPr="00687A1C">
              <w:rPr>
                <w:rFonts w:cstheme="minorHAnsi"/>
              </w:rPr>
              <w:noBreakHyphen/>
              <w:t>64</w:t>
            </w:r>
          </w:p>
        </w:tc>
        <w:tc>
          <w:tcPr>
            <w:tcW w:w="950" w:type="dxa"/>
            <w:shd w:val="clear" w:color="auto" w:fill="E0E0E0"/>
            <w:vAlign w:val="bottom"/>
          </w:tcPr>
          <w:p w:rsidR="004630EB" w:rsidRPr="00687A1C" w:rsidRDefault="004630EB" w:rsidP="004630EB">
            <w:pPr>
              <w:pStyle w:val="Tabletextright"/>
            </w:pPr>
            <w:r w:rsidRPr="00687A1C">
              <w:t>22</w:t>
            </w:r>
          </w:p>
        </w:tc>
        <w:tc>
          <w:tcPr>
            <w:tcW w:w="778" w:type="dxa"/>
            <w:shd w:val="clear" w:color="auto" w:fill="E0E0E0"/>
            <w:vAlign w:val="bottom"/>
          </w:tcPr>
          <w:p w:rsidR="004630EB" w:rsidRPr="00687A1C" w:rsidRDefault="004630EB" w:rsidP="004630EB">
            <w:pPr>
              <w:pStyle w:val="Tabletextright"/>
            </w:pPr>
            <w:r w:rsidRPr="00687A1C">
              <w:t>21.06</w:t>
            </w:r>
          </w:p>
        </w:tc>
        <w:tc>
          <w:tcPr>
            <w:tcW w:w="979" w:type="dxa"/>
            <w:shd w:val="clear" w:color="auto" w:fill="auto"/>
            <w:vAlign w:val="bottom"/>
          </w:tcPr>
          <w:p w:rsidR="004630EB" w:rsidRPr="00687A1C" w:rsidRDefault="004630EB" w:rsidP="004630EB">
            <w:pPr>
              <w:pStyle w:val="Tabletextright"/>
            </w:pPr>
            <w:r w:rsidRPr="00687A1C">
              <w:t>14</w:t>
            </w:r>
          </w:p>
        </w:tc>
        <w:tc>
          <w:tcPr>
            <w:tcW w:w="979" w:type="dxa"/>
            <w:shd w:val="clear" w:color="auto" w:fill="auto"/>
            <w:vAlign w:val="bottom"/>
          </w:tcPr>
          <w:p w:rsidR="004630EB" w:rsidRPr="00687A1C" w:rsidRDefault="004630EB" w:rsidP="004630EB">
            <w:pPr>
              <w:pStyle w:val="Tabletextright"/>
            </w:pPr>
            <w:r w:rsidRPr="00687A1C">
              <w:t>5</w:t>
            </w:r>
          </w:p>
        </w:tc>
        <w:tc>
          <w:tcPr>
            <w:tcW w:w="778" w:type="dxa"/>
            <w:shd w:val="clear" w:color="auto" w:fill="auto"/>
            <w:vAlign w:val="bottom"/>
          </w:tcPr>
          <w:p w:rsidR="004630EB" w:rsidRPr="00687A1C" w:rsidRDefault="004630EB" w:rsidP="004630EB">
            <w:pPr>
              <w:pStyle w:val="Tabletextright"/>
            </w:pPr>
            <w:r w:rsidRPr="00687A1C">
              <w:t>18.06</w:t>
            </w:r>
          </w:p>
        </w:tc>
        <w:tc>
          <w:tcPr>
            <w:tcW w:w="950" w:type="dxa"/>
            <w:shd w:val="clear" w:color="auto" w:fill="E0E0E0"/>
            <w:vAlign w:val="bottom"/>
          </w:tcPr>
          <w:p w:rsidR="004630EB" w:rsidRPr="00687A1C" w:rsidRDefault="004630EB" w:rsidP="004630EB">
            <w:pPr>
              <w:pStyle w:val="Tabletextright"/>
            </w:pPr>
            <w:r w:rsidRPr="00687A1C">
              <w:t>3</w:t>
            </w:r>
          </w:p>
        </w:tc>
        <w:tc>
          <w:tcPr>
            <w:tcW w:w="778" w:type="dxa"/>
            <w:shd w:val="clear" w:color="auto" w:fill="E0E0E0"/>
            <w:vAlign w:val="bottom"/>
          </w:tcPr>
          <w:p w:rsidR="004630EB" w:rsidRPr="00687A1C" w:rsidRDefault="004630EB" w:rsidP="004630EB">
            <w:pPr>
              <w:pStyle w:val="Tabletextright"/>
            </w:pPr>
            <w:r w:rsidRPr="00687A1C">
              <w:t>3.00</w:t>
            </w:r>
          </w:p>
        </w:tc>
        <w:tc>
          <w:tcPr>
            <w:tcW w:w="950" w:type="dxa"/>
            <w:shd w:val="clear" w:color="auto" w:fill="auto"/>
            <w:noWrap/>
          </w:tcPr>
          <w:p w:rsidR="004630EB" w:rsidRPr="00687A1C" w:rsidRDefault="004630EB" w:rsidP="004630EB">
            <w:pPr>
              <w:pStyle w:val="Tabletextright"/>
            </w:pPr>
            <w:r w:rsidRPr="00687A1C">
              <w:t>22</w:t>
            </w:r>
          </w:p>
        </w:tc>
        <w:tc>
          <w:tcPr>
            <w:tcW w:w="778" w:type="dxa"/>
            <w:shd w:val="clear" w:color="auto" w:fill="auto"/>
          </w:tcPr>
          <w:p w:rsidR="004630EB" w:rsidRPr="00687A1C" w:rsidRDefault="004630EB" w:rsidP="004630EB">
            <w:pPr>
              <w:pStyle w:val="Tabletextright"/>
            </w:pPr>
            <w:r w:rsidRPr="00687A1C">
              <w:t>20.96</w:t>
            </w:r>
          </w:p>
        </w:tc>
        <w:tc>
          <w:tcPr>
            <w:tcW w:w="979" w:type="dxa"/>
            <w:shd w:val="clear" w:color="auto" w:fill="E0E0E0"/>
            <w:noWrap/>
          </w:tcPr>
          <w:p w:rsidR="004630EB" w:rsidRPr="00687A1C" w:rsidRDefault="004630EB" w:rsidP="004630EB">
            <w:pPr>
              <w:pStyle w:val="Tabletextright"/>
            </w:pPr>
            <w:r w:rsidRPr="00687A1C">
              <w:t>17</w:t>
            </w:r>
          </w:p>
        </w:tc>
        <w:tc>
          <w:tcPr>
            <w:tcW w:w="979" w:type="dxa"/>
            <w:shd w:val="clear" w:color="auto" w:fill="E0E0E0"/>
          </w:tcPr>
          <w:p w:rsidR="004630EB" w:rsidRPr="00687A1C" w:rsidRDefault="004630EB" w:rsidP="004630EB">
            <w:pPr>
              <w:pStyle w:val="Tabletextright"/>
            </w:pPr>
            <w:r w:rsidRPr="00687A1C">
              <w:t>4</w:t>
            </w:r>
          </w:p>
        </w:tc>
        <w:tc>
          <w:tcPr>
            <w:tcW w:w="778" w:type="dxa"/>
            <w:shd w:val="clear" w:color="auto" w:fill="E0E0E0"/>
          </w:tcPr>
          <w:p w:rsidR="004630EB" w:rsidRPr="00687A1C" w:rsidRDefault="004630EB" w:rsidP="004630EB">
            <w:pPr>
              <w:pStyle w:val="Tabletextright"/>
            </w:pPr>
            <w:r w:rsidRPr="00687A1C">
              <w:t>20.46</w:t>
            </w:r>
          </w:p>
        </w:tc>
        <w:tc>
          <w:tcPr>
            <w:tcW w:w="950" w:type="dxa"/>
          </w:tcPr>
          <w:p w:rsidR="004630EB" w:rsidRPr="00687A1C" w:rsidRDefault="004630EB" w:rsidP="004630EB">
            <w:pPr>
              <w:pStyle w:val="Tabletextright"/>
            </w:pPr>
            <w:r w:rsidRPr="00687A1C">
              <w:t>1</w:t>
            </w:r>
          </w:p>
        </w:tc>
        <w:tc>
          <w:tcPr>
            <w:tcW w:w="778" w:type="dxa"/>
          </w:tcPr>
          <w:p w:rsidR="004630EB" w:rsidRPr="00687A1C" w:rsidRDefault="004630EB" w:rsidP="004630EB">
            <w:pPr>
              <w:pStyle w:val="Tabletextright"/>
            </w:pPr>
            <w:r w:rsidRPr="00687A1C">
              <w:t>0.50</w:t>
            </w:r>
          </w:p>
        </w:tc>
      </w:tr>
      <w:tr w:rsidR="004630EB" w:rsidRPr="00687A1C" w:rsidTr="004630EB">
        <w:trPr>
          <w:cantSplit/>
        </w:trPr>
        <w:tc>
          <w:tcPr>
            <w:tcW w:w="1483" w:type="dxa"/>
            <w:shd w:val="clear" w:color="auto" w:fill="auto"/>
          </w:tcPr>
          <w:p w:rsidR="004630EB" w:rsidRPr="00687A1C" w:rsidRDefault="007B0CEF" w:rsidP="004630EB">
            <w:pPr>
              <w:pStyle w:val="Tabletext"/>
            </w:pPr>
            <w:r w:rsidRPr="00687A1C">
              <w:rPr>
                <w:rFonts w:cstheme="minorHAnsi"/>
              </w:rPr>
              <w:t>65+</w:t>
            </w:r>
          </w:p>
        </w:tc>
        <w:tc>
          <w:tcPr>
            <w:tcW w:w="950" w:type="dxa"/>
            <w:shd w:val="clear" w:color="auto" w:fill="E0E0E0"/>
            <w:vAlign w:val="bottom"/>
          </w:tcPr>
          <w:p w:rsidR="004630EB" w:rsidRPr="00687A1C" w:rsidRDefault="004630EB" w:rsidP="004630EB">
            <w:pPr>
              <w:pStyle w:val="Tabletextright"/>
            </w:pPr>
            <w:r w:rsidRPr="00687A1C">
              <w:t>8</w:t>
            </w:r>
          </w:p>
        </w:tc>
        <w:tc>
          <w:tcPr>
            <w:tcW w:w="778" w:type="dxa"/>
            <w:shd w:val="clear" w:color="auto" w:fill="E0E0E0"/>
            <w:vAlign w:val="bottom"/>
          </w:tcPr>
          <w:p w:rsidR="004630EB" w:rsidRPr="00687A1C" w:rsidRDefault="004630EB" w:rsidP="004630EB">
            <w:pPr>
              <w:pStyle w:val="Tabletextright"/>
            </w:pPr>
            <w:r w:rsidRPr="00687A1C">
              <w:t>7.60</w:t>
            </w:r>
          </w:p>
        </w:tc>
        <w:tc>
          <w:tcPr>
            <w:tcW w:w="979" w:type="dxa"/>
            <w:shd w:val="clear" w:color="auto" w:fill="auto"/>
            <w:vAlign w:val="bottom"/>
          </w:tcPr>
          <w:p w:rsidR="004630EB" w:rsidRPr="00687A1C" w:rsidRDefault="004630EB" w:rsidP="004630EB">
            <w:pPr>
              <w:pStyle w:val="Tabletextright"/>
            </w:pPr>
            <w:r w:rsidRPr="00687A1C">
              <w:t>7</w:t>
            </w:r>
          </w:p>
        </w:tc>
        <w:tc>
          <w:tcPr>
            <w:tcW w:w="979" w:type="dxa"/>
            <w:shd w:val="clear" w:color="auto" w:fill="auto"/>
            <w:vAlign w:val="bottom"/>
          </w:tcPr>
          <w:p w:rsidR="004630EB" w:rsidRPr="00687A1C" w:rsidRDefault="004630EB" w:rsidP="004630EB">
            <w:pPr>
              <w:pStyle w:val="Tabletextright"/>
            </w:pPr>
            <w:r w:rsidRPr="00687A1C">
              <w:t>1</w:t>
            </w:r>
          </w:p>
        </w:tc>
        <w:tc>
          <w:tcPr>
            <w:tcW w:w="778" w:type="dxa"/>
            <w:shd w:val="clear" w:color="auto" w:fill="auto"/>
            <w:vAlign w:val="bottom"/>
          </w:tcPr>
          <w:p w:rsidR="004630EB" w:rsidRPr="00687A1C" w:rsidRDefault="004630EB" w:rsidP="004630EB">
            <w:pPr>
              <w:pStyle w:val="Tabletextright"/>
            </w:pPr>
            <w:r w:rsidRPr="00687A1C">
              <w:t>7.60</w:t>
            </w:r>
          </w:p>
        </w:tc>
        <w:tc>
          <w:tcPr>
            <w:tcW w:w="950" w:type="dxa"/>
            <w:shd w:val="clear" w:color="auto" w:fill="E0E0E0"/>
            <w:vAlign w:val="bottom"/>
          </w:tcPr>
          <w:p w:rsidR="004630EB" w:rsidRPr="00687A1C" w:rsidRDefault="004630EB" w:rsidP="004630EB">
            <w:pPr>
              <w:pStyle w:val="Tabletextright"/>
            </w:pPr>
            <w:r w:rsidRPr="00687A1C">
              <w:t>0</w:t>
            </w:r>
          </w:p>
        </w:tc>
        <w:tc>
          <w:tcPr>
            <w:tcW w:w="778" w:type="dxa"/>
            <w:shd w:val="clear" w:color="auto" w:fill="E0E0E0"/>
            <w:vAlign w:val="bottom"/>
          </w:tcPr>
          <w:p w:rsidR="004630EB" w:rsidRPr="00687A1C" w:rsidRDefault="004630EB" w:rsidP="004630EB">
            <w:pPr>
              <w:pStyle w:val="Tabletextright"/>
            </w:pPr>
            <w:r w:rsidRPr="00687A1C">
              <w:t>0.00</w:t>
            </w:r>
          </w:p>
        </w:tc>
        <w:tc>
          <w:tcPr>
            <w:tcW w:w="950" w:type="dxa"/>
            <w:shd w:val="clear" w:color="auto" w:fill="auto"/>
            <w:noWrap/>
          </w:tcPr>
          <w:p w:rsidR="004630EB" w:rsidRPr="00687A1C" w:rsidRDefault="004630EB" w:rsidP="004630EB">
            <w:pPr>
              <w:pStyle w:val="Tabletextright"/>
            </w:pPr>
            <w:r w:rsidRPr="00687A1C">
              <w:t>7</w:t>
            </w:r>
          </w:p>
        </w:tc>
        <w:tc>
          <w:tcPr>
            <w:tcW w:w="778" w:type="dxa"/>
            <w:shd w:val="clear" w:color="auto" w:fill="auto"/>
          </w:tcPr>
          <w:p w:rsidR="004630EB" w:rsidRPr="00687A1C" w:rsidRDefault="004630EB" w:rsidP="004630EB">
            <w:pPr>
              <w:pStyle w:val="Tabletextright"/>
            </w:pPr>
            <w:r w:rsidRPr="00687A1C">
              <w:t>6.60</w:t>
            </w:r>
          </w:p>
        </w:tc>
        <w:tc>
          <w:tcPr>
            <w:tcW w:w="979" w:type="dxa"/>
            <w:shd w:val="clear" w:color="auto" w:fill="E0E0E0"/>
            <w:noWrap/>
          </w:tcPr>
          <w:p w:rsidR="004630EB" w:rsidRPr="00687A1C" w:rsidRDefault="004630EB" w:rsidP="004630EB">
            <w:pPr>
              <w:pStyle w:val="Tabletextright"/>
            </w:pPr>
            <w:r w:rsidRPr="00687A1C">
              <w:t>6</w:t>
            </w:r>
          </w:p>
        </w:tc>
        <w:tc>
          <w:tcPr>
            <w:tcW w:w="979" w:type="dxa"/>
            <w:shd w:val="clear" w:color="auto" w:fill="E0E0E0"/>
          </w:tcPr>
          <w:p w:rsidR="004630EB" w:rsidRPr="00687A1C" w:rsidRDefault="004630EB" w:rsidP="004630EB">
            <w:pPr>
              <w:pStyle w:val="Tabletextright"/>
            </w:pPr>
            <w:r w:rsidRPr="00687A1C">
              <w:t>1</w:t>
            </w:r>
          </w:p>
        </w:tc>
        <w:tc>
          <w:tcPr>
            <w:tcW w:w="778" w:type="dxa"/>
            <w:shd w:val="clear" w:color="auto" w:fill="E0E0E0"/>
          </w:tcPr>
          <w:p w:rsidR="004630EB" w:rsidRPr="00687A1C" w:rsidRDefault="004630EB" w:rsidP="004630EB">
            <w:pPr>
              <w:pStyle w:val="Tabletextright"/>
            </w:pPr>
            <w:r w:rsidRPr="00687A1C">
              <w:t>6.60</w:t>
            </w:r>
          </w:p>
        </w:tc>
        <w:tc>
          <w:tcPr>
            <w:tcW w:w="950" w:type="dxa"/>
          </w:tcPr>
          <w:p w:rsidR="004630EB" w:rsidRPr="00687A1C" w:rsidRDefault="004630EB" w:rsidP="004630EB">
            <w:pPr>
              <w:pStyle w:val="Tabletextright"/>
            </w:pPr>
            <w:r w:rsidRPr="00687A1C">
              <w:t>–</w:t>
            </w:r>
          </w:p>
        </w:tc>
        <w:tc>
          <w:tcPr>
            <w:tcW w:w="778" w:type="dxa"/>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szCs w:val="18"/>
              </w:rPr>
              <w:t>ESS1–4 grade</w:t>
            </w:r>
          </w:p>
        </w:tc>
        <w:tc>
          <w:tcPr>
            <w:tcW w:w="950" w:type="dxa"/>
            <w:shd w:val="clear" w:color="auto" w:fill="E0E0E0"/>
            <w:vAlign w:val="bottom"/>
          </w:tcPr>
          <w:p w:rsidR="004630EB" w:rsidRPr="00687A1C" w:rsidRDefault="004630EB" w:rsidP="004630EB">
            <w:pPr>
              <w:pStyle w:val="Tabletextrightbold"/>
            </w:pPr>
            <w:r w:rsidRPr="00687A1C">
              <w:t>144</w:t>
            </w:r>
          </w:p>
        </w:tc>
        <w:tc>
          <w:tcPr>
            <w:tcW w:w="778" w:type="dxa"/>
            <w:shd w:val="clear" w:color="auto" w:fill="E0E0E0"/>
            <w:vAlign w:val="bottom"/>
          </w:tcPr>
          <w:p w:rsidR="004630EB" w:rsidRPr="00687A1C" w:rsidRDefault="004630EB" w:rsidP="004630EB">
            <w:pPr>
              <w:pStyle w:val="Tabletextrightbold"/>
            </w:pPr>
            <w:r w:rsidRPr="00687A1C">
              <w:t>134.75</w:t>
            </w:r>
          </w:p>
        </w:tc>
        <w:tc>
          <w:tcPr>
            <w:tcW w:w="979" w:type="dxa"/>
            <w:shd w:val="clear" w:color="auto" w:fill="auto"/>
            <w:vAlign w:val="bottom"/>
          </w:tcPr>
          <w:p w:rsidR="004630EB" w:rsidRPr="00687A1C" w:rsidRDefault="004630EB" w:rsidP="004630EB">
            <w:pPr>
              <w:pStyle w:val="Tabletextrightbold"/>
            </w:pPr>
            <w:r w:rsidRPr="00687A1C">
              <w:t>114</w:t>
            </w:r>
          </w:p>
        </w:tc>
        <w:tc>
          <w:tcPr>
            <w:tcW w:w="979" w:type="dxa"/>
            <w:shd w:val="clear" w:color="auto" w:fill="auto"/>
            <w:vAlign w:val="bottom"/>
          </w:tcPr>
          <w:p w:rsidR="004630EB" w:rsidRPr="00687A1C" w:rsidRDefault="004630EB" w:rsidP="004630EB">
            <w:pPr>
              <w:pStyle w:val="Tabletextrightbold"/>
            </w:pPr>
            <w:r w:rsidRPr="00687A1C">
              <w:t>23</w:t>
            </w:r>
          </w:p>
        </w:tc>
        <w:tc>
          <w:tcPr>
            <w:tcW w:w="778" w:type="dxa"/>
            <w:shd w:val="clear" w:color="auto" w:fill="auto"/>
            <w:vAlign w:val="bottom"/>
          </w:tcPr>
          <w:p w:rsidR="004630EB" w:rsidRPr="00687A1C" w:rsidRDefault="004630EB" w:rsidP="004630EB">
            <w:pPr>
              <w:pStyle w:val="Tabletextrightbold"/>
            </w:pPr>
            <w:r w:rsidRPr="00687A1C">
              <w:t>128.89</w:t>
            </w:r>
          </w:p>
        </w:tc>
        <w:tc>
          <w:tcPr>
            <w:tcW w:w="950" w:type="dxa"/>
            <w:shd w:val="clear" w:color="auto" w:fill="E0E0E0"/>
            <w:vAlign w:val="bottom"/>
          </w:tcPr>
          <w:p w:rsidR="004630EB" w:rsidRPr="00687A1C" w:rsidRDefault="004630EB" w:rsidP="004630EB">
            <w:pPr>
              <w:pStyle w:val="Tabletextrightbold"/>
            </w:pPr>
            <w:r w:rsidRPr="00687A1C">
              <w:t>7</w:t>
            </w:r>
          </w:p>
        </w:tc>
        <w:tc>
          <w:tcPr>
            <w:tcW w:w="778" w:type="dxa"/>
            <w:shd w:val="clear" w:color="auto" w:fill="E0E0E0"/>
            <w:vAlign w:val="bottom"/>
          </w:tcPr>
          <w:p w:rsidR="004630EB" w:rsidRPr="00687A1C" w:rsidRDefault="004630EB" w:rsidP="004630EB">
            <w:pPr>
              <w:pStyle w:val="Tabletextrightbold"/>
            </w:pPr>
            <w:r w:rsidRPr="00687A1C">
              <w:t>5.86</w:t>
            </w:r>
          </w:p>
        </w:tc>
        <w:tc>
          <w:tcPr>
            <w:tcW w:w="950" w:type="dxa"/>
            <w:shd w:val="clear" w:color="auto" w:fill="auto"/>
            <w:noWrap/>
          </w:tcPr>
          <w:p w:rsidR="004630EB" w:rsidRPr="00687A1C" w:rsidRDefault="004630EB" w:rsidP="004630EB">
            <w:pPr>
              <w:pStyle w:val="Tabletextrightbold"/>
            </w:pPr>
            <w:r w:rsidRPr="00687A1C">
              <w:t>157</w:t>
            </w:r>
          </w:p>
        </w:tc>
        <w:tc>
          <w:tcPr>
            <w:tcW w:w="778" w:type="dxa"/>
            <w:shd w:val="clear" w:color="auto" w:fill="auto"/>
          </w:tcPr>
          <w:p w:rsidR="004630EB" w:rsidRPr="00687A1C" w:rsidRDefault="004630EB" w:rsidP="004630EB">
            <w:pPr>
              <w:pStyle w:val="Tabletextrightbold"/>
            </w:pPr>
            <w:r w:rsidRPr="00687A1C">
              <w:t>146.91</w:t>
            </w:r>
          </w:p>
        </w:tc>
        <w:tc>
          <w:tcPr>
            <w:tcW w:w="979" w:type="dxa"/>
            <w:shd w:val="clear" w:color="auto" w:fill="E0E0E0"/>
            <w:noWrap/>
          </w:tcPr>
          <w:p w:rsidR="004630EB" w:rsidRPr="00687A1C" w:rsidRDefault="004630EB" w:rsidP="004630EB">
            <w:pPr>
              <w:pStyle w:val="Tabletextrightbold"/>
            </w:pPr>
            <w:r w:rsidRPr="00687A1C">
              <w:t>124</w:t>
            </w:r>
          </w:p>
        </w:tc>
        <w:tc>
          <w:tcPr>
            <w:tcW w:w="979" w:type="dxa"/>
            <w:shd w:val="clear" w:color="auto" w:fill="E0E0E0"/>
          </w:tcPr>
          <w:p w:rsidR="004630EB" w:rsidRPr="00687A1C" w:rsidRDefault="004630EB" w:rsidP="004630EB">
            <w:pPr>
              <w:pStyle w:val="Tabletextrightbold"/>
            </w:pPr>
            <w:r w:rsidRPr="00687A1C">
              <w:t>27</w:t>
            </w:r>
          </w:p>
        </w:tc>
        <w:tc>
          <w:tcPr>
            <w:tcW w:w="778" w:type="dxa"/>
            <w:shd w:val="clear" w:color="auto" w:fill="E0E0E0"/>
          </w:tcPr>
          <w:p w:rsidR="004630EB" w:rsidRPr="00687A1C" w:rsidRDefault="004630EB" w:rsidP="004630EB">
            <w:pPr>
              <w:pStyle w:val="Tabletextrightbold"/>
            </w:pPr>
            <w:r w:rsidRPr="00687A1C">
              <w:t>143.49</w:t>
            </w:r>
          </w:p>
        </w:tc>
        <w:tc>
          <w:tcPr>
            <w:tcW w:w="950" w:type="dxa"/>
          </w:tcPr>
          <w:p w:rsidR="004630EB" w:rsidRPr="00687A1C" w:rsidRDefault="004630EB" w:rsidP="004630EB">
            <w:pPr>
              <w:pStyle w:val="Tabletextrightbold"/>
            </w:pPr>
            <w:r w:rsidRPr="00687A1C">
              <w:t>6</w:t>
            </w:r>
          </w:p>
        </w:tc>
        <w:tc>
          <w:tcPr>
            <w:tcW w:w="778" w:type="dxa"/>
          </w:tcPr>
          <w:p w:rsidR="004630EB" w:rsidRPr="00687A1C" w:rsidRDefault="004630EB" w:rsidP="004630EB">
            <w:pPr>
              <w:pStyle w:val="Tabletextrightbold"/>
            </w:pPr>
            <w:r w:rsidRPr="00687A1C">
              <w:t>3.42</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t>ESS 1</w:t>
            </w:r>
          </w:p>
        </w:tc>
        <w:tc>
          <w:tcPr>
            <w:tcW w:w="950" w:type="dxa"/>
            <w:shd w:val="clear" w:color="auto" w:fill="E0E0E0"/>
            <w:vAlign w:val="bottom"/>
          </w:tcPr>
          <w:p w:rsidR="004630EB" w:rsidRPr="00687A1C" w:rsidRDefault="004630EB" w:rsidP="004630EB">
            <w:pPr>
              <w:pStyle w:val="Tabletextright"/>
            </w:pPr>
            <w:r w:rsidRPr="00687A1C">
              <w:t>40</w:t>
            </w:r>
          </w:p>
        </w:tc>
        <w:tc>
          <w:tcPr>
            <w:tcW w:w="778" w:type="dxa"/>
            <w:shd w:val="clear" w:color="auto" w:fill="E0E0E0"/>
            <w:vAlign w:val="bottom"/>
          </w:tcPr>
          <w:p w:rsidR="004630EB" w:rsidRPr="00687A1C" w:rsidRDefault="004630EB" w:rsidP="004630EB">
            <w:pPr>
              <w:pStyle w:val="Tabletextright"/>
            </w:pPr>
            <w:r w:rsidRPr="00687A1C">
              <w:t>36.25</w:t>
            </w:r>
          </w:p>
        </w:tc>
        <w:tc>
          <w:tcPr>
            <w:tcW w:w="979" w:type="dxa"/>
            <w:shd w:val="clear" w:color="auto" w:fill="auto"/>
            <w:vAlign w:val="bottom"/>
          </w:tcPr>
          <w:p w:rsidR="004630EB" w:rsidRPr="00687A1C" w:rsidRDefault="004630EB" w:rsidP="004630EB">
            <w:pPr>
              <w:pStyle w:val="Tabletextright"/>
            </w:pPr>
            <w:r w:rsidRPr="00687A1C">
              <w:t>28</w:t>
            </w:r>
          </w:p>
        </w:tc>
        <w:tc>
          <w:tcPr>
            <w:tcW w:w="979" w:type="dxa"/>
            <w:shd w:val="clear" w:color="auto" w:fill="auto"/>
            <w:vAlign w:val="bottom"/>
          </w:tcPr>
          <w:p w:rsidR="004630EB" w:rsidRPr="00687A1C" w:rsidRDefault="004630EB" w:rsidP="004630EB">
            <w:pPr>
              <w:pStyle w:val="Tabletextright"/>
            </w:pPr>
            <w:r w:rsidRPr="00687A1C">
              <w:t>8</w:t>
            </w:r>
          </w:p>
        </w:tc>
        <w:tc>
          <w:tcPr>
            <w:tcW w:w="778" w:type="dxa"/>
            <w:shd w:val="clear" w:color="auto" w:fill="auto"/>
            <w:vAlign w:val="bottom"/>
          </w:tcPr>
          <w:p w:rsidR="004630EB" w:rsidRPr="00687A1C" w:rsidRDefault="004630EB" w:rsidP="004630EB">
            <w:pPr>
              <w:pStyle w:val="Tabletextright"/>
            </w:pPr>
            <w:r w:rsidRPr="00687A1C">
              <w:t>33.19</w:t>
            </w:r>
          </w:p>
        </w:tc>
        <w:tc>
          <w:tcPr>
            <w:tcW w:w="950" w:type="dxa"/>
            <w:shd w:val="clear" w:color="auto" w:fill="E0E0E0"/>
            <w:vAlign w:val="bottom"/>
          </w:tcPr>
          <w:p w:rsidR="004630EB" w:rsidRPr="00687A1C" w:rsidRDefault="004630EB" w:rsidP="004630EB">
            <w:pPr>
              <w:pStyle w:val="Tabletextright"/>
            </w:pPr>
            <w:r w:rsidRPr="00687A1C">
              <w:t>4</w:t>
            </w:r>
          </w:p>
        </w:tc>
        <w:tc>
          <w:tcPr>
            <w:tcW w:w="778" w:type="dxa"/>
            <w:shd w:val="clear" w:color="auto" w:fill="E0E0E0"/>
            <w:vAlign w:val="bottom"/>
          </w:tcPr>
          <w:p w:rsidR="004630EB" w:rsidRPr="00687A1C" w:rsidRDefault="004630EB" w:rsidP="004630EB">
            <w:pPr>
              <w:pStyle w:val="Tabletextright"/>
            </w:pPr>
            <w:r w:rsidRPr="00687A1C">
              <w:t>3.06</w:t>
            </w:r>
          </w:p>
        </w:tc>
        <w:tc>
          <w:tcPr>
            <w:tcW w:w="950" w:type="dxa"/>
            <w:shd w:val="clear" w:color="auto" w:fill="auto"/>
            <w:noWrap/>
          </w:tcPr>
          <w:p w:rsidR="004630EB" w:rsidRPr="00687A1C" w:rsidRDefault="004630EB" w:rsidP="004630EB">
            <w:pPr>
              <w:pStyle w:val="Tabletextright"/>
            </w:pPr>
            <w:r w:rsidRPr="00687A1C">
              <w:t>38</w:t>
            </w:r>
          </w:p>
        </w:tc>
        <w:tc>
          <w:tcPr>
            <w:tcW w:w="778" w:type="dxa"/>
            <w:shd w:val="clear" w:color="auto" w:fill="auto"/>
          </w:tcPr>
          <w:p w:rsidR="004630EB" w:rsidRPr="00687A1C" w:rsidRDefault="004630EB" w:rsidP="004630EB">
            <w:pPr>
              <w:pStyle w:val="Tabletextright"/>
            </w:pPr>
            <w:r w:rsidRPr="00687A1C">
              <w:t>33.01</w:t>
            </w:r>
          </w:p>
        </w:tc>
        <w:tc>
          <w:tcPr>
            <w:tcW w:w="979" w:type="dxa"/>
            <w:shd w:val="clear" w:color="auto" w:fill="E0E0E0"/>
            <w:noWrap/>
          </w:tcPr>
          <w:p w:rsidR="004630EB" w:rsidRPr="00687A1C" w:rsidRDefault="004630EB" w:rsidP="004630EB">
            <w:pPr>
              <w:pStyle w:val="Tabletextright"/>
            </w:pPr>
            <w:r w:rsidRPr="00687A1C">
              <w:t>25</w:t>
            </w:r>
          </w:p>
        </w:tc>
        <w:tc>
          <w:tcPr>
            <w:tcW w:w="979" w:type="dxa"/>
            <w:shd w:val="clear" w:color="auto" w:fill="E0E0E0"/>
          </w:tcPr>
          <w:p w:rsidR="004630EB" w:rsidRPr="00687A1C" w:rsidRDefault="004630EB" w:rsidP="004630EB">
            <w:pPr>
              <w:pStyle w:val="Tabletextright"/>
            </w:pPr>
            <w:r w:rsidRPr="00687A1C">
              <w:t>7</w:t>
            </w:r>
          </w:p>
        </w:tc>
        <w:tc>
          <w:tcPr>
            <w:tcW w:w="778" w:type="dxa"/>
            <w:shd w:val="clear" w:color="auto" w:fill="E0E0E0"/>
          </w:tcPr>
          <w:p w:rsidR="004630EB" w:rsidRPr="00687A1C" w:rsidRDefault="004630EB" w:rsidP="004630EB">
            <w:pPr>
              <w:pStyle w:val="Tabletextright"/>
            </w:pPr>
            <w:r w:rsidRPr="00687A1C">
              <w:t>29.59</w:t>
            </w:r>
          </w:p>
        </w:tc>
        <w:tc>
          <w:tcPr>
            <w:tcW w:w="950" w:type="dxa"/>
          </w:tcPr>
          <w:p w:rsidR="004630EB" w:rsidRPr="00687A1C" w:rsidRDefault="004630EB" w:rsidP="004630EB">
            <w:pPr>
              <w:pStyle w:val="Tabletextright"/>
            </w:pPr>
            <w:r w:rsidRPr="00687A1C">
              <w:t>6</w:t>
            </w:r>
          </w:p>
        </w:tc>
        <w:tc>
          <w:tcPr>
            <w:tcW w:w="778" w:type="dxa"/>
          </w:tcPr>
          <w:p w:rsidR="004630EB" w:rsidRPr="00687A1C" w:rsidRDefault="004630EB" w:rsidP="004630EB">
            <w:pPr>
              <w:pStyle w:val="Tabletextright"/>
            </w:pPr>
            <w:r w:rsidRPr="00687A1C">
              <w:t>3.42</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t>ESS 2</w:t>
            </w:r>
          </w:p>
        </w:tc>
        <w:tc>
          <w:tcPr>
            <w:tcW w:w="950" w:type="dxa"/>
            <w:shd w:val="clear" w:color="auto" w:fill="E0E0E0"/>
            <w:vAlign w:val="bottom"/>
          </w:tcPr>
          <w:p w:rsidR="004630EB" w:rsidRPr="00687A1C" w:rsidRDefault="004630EB" w:rsidP="004630EB">
            <w:pPr>
              <w:pStyle w:val="Tabletextright"/>
            </w:pPr>
            <w:r w:rsidRPr="00687A1C">
              <w:t>34</w:t>
            </w:r>
          </w:p>
        </w:tc>
        <w:tc>
          <w:tcPr>
            <w:tcW w:w="778" w:type="dxa"/>
            <w:shd w:val="clear" w:color="auto" w:fill="E0E0E0"/>
            <w:vAlign w:val="bottom"/>
          </w:tcPr>
          <w:p w:rsidR="004630EB" w:rsidRPr="00687A1C" w:rsidRDefault="004630EB" w:rsidP="004630EB">
            <w:pPr>
              <w:pStyle w:val="Tabletextright"/>
            </w:pPr>
            <w:r w:rsidRPr="00687A1C">
              <w:t>30.20</w:t>
            </w:r>
          </w:p>
        </w:tc>
        <w:tc>
          <w:tcPr>
            <w:tcW w:w="979" w:type="dxa"/>
            <w:shd w:val="clear" w:color="auto" w:fill="auto"/>
            <w:vAlign w:val="bottom"/>
          </w:tcPr>
          <w:p w:rsidR="004630EB" w:rsidRPr="00687A1C" w:rsidRDefault="004630EB" w:rsidP="004630EB">
            <w:pPr>
              <w:pStyle w:val="Tabletextright"/>
            </w:pPr>
            <w:r w:rsidRPr="00687A1C">
              <w:t>25</w:t>
            </w:r>
          </w:p>
        </w:tc>
        <w:tc>
          <w:tcPr>
            <w:tcW w:w="979" w:type="dxa"/>
            <w:shd w:val="clear" w:color="auto" w:fill="auto"/>
            <w:vAlign w:val="bottom"/>
          </w:tcPr>
          <w:p w:rsidR="004630EB" w:rsidRPr="00687A1C" w:rsidRDefault="004630EB" w:rsidP="004630EB">
            <w:pPr>
              <w:pStyle w:val="Tabletextright"/>
            </w:pPr>
            <w:r w:rsidRPr="00687A1C">
              <w:t>9</w:t>
            </w:r>
          </w:p>
        </w:tc>
        <w:tc>
          <w:tcPr>
            <w:tcW w:w="778" w:type="dxa"/>
            <w:shd w:val="clear" w:color="auto" w:fill="auto"/>
            <w:vAlign w:val="bottom"/>
          </w:tcPr>
          <w:p w:rsidR="004630EB" w:rsidRPr="00687A1C" w:rsidRDefault="004630EB" w:rsidP="004630EB">
            <w:pPr>
              <w:pStyle w:val="Tabletextright"/>
            </w:pPr>
            <w:r w:rsidRPr="00687A1C">
              <w:t>30.20</w:t>
            </w:r>
          </w:p>
        </w:tc>
        <w:tc>
          <w:tcPr>
            <w:tcW w:w="950" w:type="dxa"/>
            <w:shd w:val="clear" w:color="auto" w:fill="E0E0E0"/>
            <w:vAlign w:val="bottom"/>
          </w:tcPr>
          <w:p w:rsidR="004630EB" w:rsidRPr="00687A1C" w:rsidRDefault="004630EB" w:rsidP="004630EB">
            <w:pPr>
              <w:pStyle w:val="Tabletextright"/>
            </w:pPr>
            <w:r w:rsidRPr="00687A1C">
              <w:t>0</w:t>
            </w:r>
          </w:p>
        </w:tc>
        <w:tc>
          <w:tcPr>
            <w:tcW w:w="778" w:type="dxa"/>
            <w:shd w:val="clear" w:color="auto" w:fill="E0E0E0"/>
            <w:vAlign w:val="bottom"/>
          </w:tcPr>
          <w:p w:rsidR="004630EB" w:rsidRPr="00687A1C" w:rsidRDefault="004630EB" w:rsidP="004630EB">
            <w:pPr>
              <w:pStyle w:val="Tabletextright"/>
            </w:pPr>
            <w:r w:rsidRPr="00687A1C">
              <w:t>0.00</w:t>
            </w:r>
          </w:p>
        </w:tc>
        <w:tc>
          <w:tcPr>
            <w:tcW w:w="950" w:type="dxa"/>
            <w:shd w:val="clear" w:color="auto" w:fill="auto"/>
            <w:noWrap/>
          </w:tcPr>
          <w:p w:rsidR="004630EB" w:rsidRPr="00687A1C" w:rsidRDefault="004630EB" w:rsidP="004630EB">
            <w:pPr>
              <w:pStyle w:val="Tabletextright"/>
            </w:pPr>
            <w:r w:rsidRPr="00687A1C">
              <w:t>48</w:t>
            </w:r>
          </w:p>
        </w:tc>
        <w:tc>
          <w:tcPr>
            <w:tcW w:w="778" w:type="dxa"/>
            <w:shd w:val="clear" w:color="auto" w:fill="auto"/>
          </w:tcPr>
          <w:p w:rsidR="004630EB" w:rsidRPr="00687A1C" w:rsidRDefault="004630EB" w:rsidP="004630EB">
            <w:pPr>
              <w:pStyle w:val="Tabletextright"/>
            </w:pPr>
            <w:r w:rsidRPr="00687A1C">
              <w:t>44.60</w:t>
            </w:r>
          </w:p>
        </w:tc>
        <w:tc>
          <w:tcPr>
            <w:tcW w:w="979" w:type="dxa"/>
            <w:shd w:val="clear" w:color="auto" w:fill="E0E0E0"/>
            <w:noWrap/>
          </w:tcPr>
          <w:p w:rsidR="004630EB" w:rsidRPr="00687A1C" w:rsidRDefault="004630EB" w:rsidP="004630EB">
            <w:pPr>
              <w:pStyle w:val="Tabletextright"/>
            </w:pPr>
            <w:r w:rsidRPr="00687A1C">
              <w:t>38</w:t>
            </w:r>
          </w:p>
        </w:tc>
        <w:tc>
          <w:tcPr>
            <w:tcW w:w="979" w:type="dxa"/>
            <w:shd w:val="clear" w:color="auto" w:fill="E0E0E0"/>
          </w:tcPr>
          <w:p w:rsidR="004630EB" w:rsidRPr="00687A1C" w:rsidRDefault="004630EB" w:rsidP="004630EB">
            <w:pPr>
              <w:pStyle w:val="Tabletextright"/>
            </w:pPr>
            <w:r w:rsidRPr="00687A1C">
              <w:t>10</w:t>
            </w:r>
          </w:p>
        </w:tc>
        <w:tc>
          <w:tcPr>
            <w:tcW w:w="778" w:type="dxa"/>
            <w:shd w:val="clear" w:color="auto" w:fill="E0E0E0"/>
          </w:tcPr>
          <w:p w:rsidR="004630EB" w:rsidRPr="00687A1C" w:rsidRDefault="004630EB" w:rsidP="004630EB">
            <w:pPr>
              <w:pStyle w:val="Tabletextright"/>
            </w:pPr>
            <w:r w:rsidRPr="00687A1C">
              <w:t>44.60</w:t>
            </w:r>
          </w:p>
        </w:tc>
        <w:tc>
          <w:tcPr>
            <w:tcW w:w="950" w:type="dxa"/>
          </w:tcPr>
          <w:p w:rsidR="004630EB" w:rsidRPr="00687A1C" w:rsidRDefault="004630EB" w:rsidP="004630EB">
            <w:pPr>
              <w:pStyle w:val="Tabletextright"/>
            </w:pPr>
            <w:r w:rsidRPr="00687A1C">
              <w:t>–</w:t>
            </w:r>
          </w:p>
        </w:tc>
        <w:tc>
          <w:tcPr>
            <w:tcW w:w="778" w:type="dxa"/>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t>ESS 3</w:t>
            </w:r>
          </w:p>
        </w:tc>
        <w:tc>
          <w:tcPr>
            <w:tcW w:w="950" w:type="dxa"/>
            <w:shd w:val="clear" w:color="auto" w:fill="E0E0E0"/>
            <w:vAlign w:val="bottom"/>
          </w:tcPr>
          <w:p w:rsidR="004630EB" w:rsidRPr="00687A1C" w:rsidRDefault="004630EB" w:rsidP="004630EB">
            <w:pPr>
              <w:pStyle w:val="Tabletextright"/>
            </w:pPr>
            <w:r w:rsidRPr="00687A1C">
              <w:t>48</w:t>
            </w:r>
          </w:p>
        </w:tc>
        <w:tc>
          <w:tcPr>
            <w:tcW w:w="778" w:type="dxa"/>
            <w:shd w:val="clear" w:color="auto" w:fill="E0E0E0"/>
            <w:vAlign w:val="bottom"/>
          </w:tcPr>
          <w:p w:rsidR="004630EB" w:rsidRPr="00687A1C" w:rsidRDefault="004630EB" w:rsidP="004630EB">
            <w:pPr>
              <w:pStyle w:val="Tabletextright"/>
            </w:pPr>
            <w:r w:rsidRPr="00687A1C">
              <w:t>46.40</w:t>
            </w:r>
          </w:p>
        </w:tc>
        <w:tc>
          <w:tcPr>
            <w:tcW w:w="979" w:type="dxa"/>
            <w:shd w:val="clear" w:color="auto" w:fill="auto"/>
            <w:vAlign w:val="bottom"/>
          </w:tcPr>
          <w:p w:rsidR="004630EB" w:rsidRPr="00687A1C" w:rsidRDefault="004630EB" w:rsidP="004630EB">
            <w:pPr>
              <w:pStyle w:val="Tabletextright"/>
            </w:pPr>
            <w:r w:rsidRPr="00687A1C">
              <w:t>41</w:t>
            </w:r>
          </w:p>
        </w:tc>
        <w:tc>
          <w:tcPr>
            <w:tcW w:w="979" w:type="dxa"/>
            <w:shd w:val="clear" w:color="auto" w:fill="auto"/>
            <w:vAlign w:val="bottom"/>
          </w:tcPr>
          <w:p w:rsidR="004630EB" w:rsidRPr="00687A1C" w:rsidRDefault="004630EB" w:rsidP="004630EB">
            <w:pPr>
              <w:pStyle w:val="Tabletextright"/>
            </w:pPr>
            <w:r w:rsidRPr="00687A1C">
              <w:t>5</w:t>
            </w:r>
          </w:p>
        </w:tc>
        <w:tc>
          <w:tcPr>
            <w:tcW w:w="778" w:type="dxa"/>
            <w:shd w:val="clear" w:color="auto" w:fill="auto"/>
            <w:vAlign w:val="bottom"/>
          </w:tcPr>
          <w:p w:rsidR="004630EB" w:rsidRPr="00687A1C" w:rsidRDefault="004630EB" w:rsidP="004630EB">
            <w:pPr>
              <w:pStyle w:val="Tabletextright"/>
            </w:pPr>
            <w:r w:rsidRPr="00687A1C">
              <w:t>44.60</w:t>
            </w:r>
          </w:p>
        </w:tc>
        <w:tc>
          <w:tcPr>
            <w:tcW w:w="950" w:type="dxa"/>
            <w:shd w:val="clear" w:color="auto" w:fill="E0E0E0"/>
            <w:vAlign w:val="bottom"/>
          </w:tcPr>
          <w:p w:rsidR="004630EB" w:rsidRPr="00687A1C" w:rsidRDefault="004630EB" w:rsidP="004630EB">
            <w:pPr>
              <w:pStyle w:val="Tabletextright"/>
            </w:pPr>
            <w:r w:rsidRPr="00687A1C">
              <w:t>2</w:t>
            </w:r>
          </w:p>
        </w:tc>
        <w:tc>
          <w:tcPr>
            <w:tcW w:w="778" w:type="dxa"/>
            <w:shd w:val="clear" w:color="auto" w:fill="E0E0E0"/>
            <w:vAlign w:val="bottom"/>
          </w:tcPr>
          <w:p w:rsidR="004630EB" w:rsidRPr="00687A1C" w:rsidRDefault="004630EB" w:rsidP="004630EB">
            <w:pPr>
              <w:pStyle w:val="Tabletextright"/>
            </w:pPr>
            <w:r w:rsidRPr="00687A1C">
              <w:t>1.80</w:t>
            </w:r>
          </w:p>
        </w:tc>
        <w:tc>
          <w:tcPr>
            <w:tcW w:w="950" w:type="dxa"/>
            <w:shd w:val="clear" w:color="auto" w:fill="auto"/>
            <w:noWrap/>
          </w:tcPr>
          <w:p w:rsidR="004630EB" w:rsidRPr="00687A1C" w:rsidRDefault="004630EB" w:rsidP="004630EB">
            <w:pPr>
              <w:pStyle w:val="Tabletextright"/>
            </w:pPr>
            <w:r w:rsidRPr="00687A1C">
              <w:t>46</w:t>
            </w:r>
          </w:p>
        </w:tc>
        <w:tc>
          <w:tcPr>
            <w:tcW w:w="778" w:type="dxa"/>
            <w:shd w:val="clear" w:color="auto" w:fill="auto"/>
          </w:tcPr>
          <w:p w:rsidR="004630EB" w:rsidRPr="00687A1C" w:rsidRDefault="004630EB" w:rsidP="004630EB">
            <w:pPr>
              <w:pStyle w:val="Tabletextright"/>
            </w:pPr>
            <w:r w:rsidRPr="00687A1C">
              <w:t>44.90</w:t>
            </w:r>
          </w:p>
        </w:tc>
        <w:tc>
          <w:tcPr>
            <w:tcW w:w="979" w:type="dxa"/>
            <w:shd w:val="clear" w:color="auto" w:fill="E0E0E0"/>
            <w:noWrap/>
          </w:tcPr>
          <w:p w:rsidR="004630EB" w:rsidRPr="00687A1C" w:rsidRDefault="004630EB" w:rsidP="004630EB">
            <w:pPr>
              <w:pStyle w:val="Tabletextright"/>
            </w:pPr>
            <w:r w:rsidRPr="00687A1C">
              <w:t>40</w:t>
            </w:r>
          </w:p>
        </w:tc>
        <w:tc>
          <w:tcPr>
            <w:tcW w:w="979" w:type="dxa"/>
            <w:shd w:val="clear" w:color="auto" w:fill="E0E0E0"/>
          </w:tcPr>
          <w:p w:rsidR="004630EB" w:rsidRPr="00687A1C" w:rsidRDefault="004630EB" w:rsidP="004630EB">
            <w:pPr>
              <w:pStyle w:val="Tabletextright"/>
            </w:pPr>
            <w:r w:rsidRPr="00687A1C">
              <w:t>6</w:t>
            </w:r>
          </w:p>
        </w:tc>
        <w:tc>
          <w:tcPr>
            <w:tcW w:w="778" w:type="dxa"/>
            <w:shd w:val="clear" w:color="auto" w:fill="E0E0E0"/>
          </w:tcPr>
          <w:p w:rsidR="004630EB" w:rsidRPr="00687A1C" w:rsidRDefault="004630EB" w:rsidP="004630EB">
            <w:pPr>
              <w:pStyle w:val="Tabletextright"/>
            </w:pPr>
            <w:r w:rsidRPr="00687A1C">
              <w:t>44.90</w:t>
            </w:r>
          </w:p>
        </w:tc>
        <w:tc>
          <w:tcPr>
            <w:tcW w:w="950" w:type="dxa"/>
          </w:tcPr>
          <w:p w:rsidR="004630EB" w:rsidRPr="00687A1C" w:rsidRDefault="004630EB" w:rsidP="004630EB">
            <w:pPr>
              <w:pStyle w:val="Tabletextright"/>
            </w:pPr>
            <w:r w:rsidRPr="00687A1C">
              <w:t>–</w:t>
            </w:r>
          </w:p>
        </w:tc>
        <w:tc>
          <w:tcPr>
            <w:tcW w:w="778" w:type="dxa"/>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t>ESS 4</w:t>
            </w:r>
          </w:p>
        </w:tc>
        <w:tc>
          <w:tcPr>
            <w:tcW w:w="950" w:type="dxa"/>
            <w:shd w:val="clear" w:color="auto" w:fill="E0E0E0"/>
            <w:vAlign w:val="bottom"/>
          </w:tcPr>
          <w:p w:rsidR="004630EB" w:rsidRPr="00687A1C" w:rsidRDefault="004630EB" w:rsidP="004630EB">
            <w:pPr>
              <w:pStyle w:val="Tabletextright"/>
            </w:pPr>
            <w:r w:rsidRPr="00687A1C">
              <w:t>22</w:t>
            </w:r>
          </w:p>
        </w:tc>
        <w:tc>
          <w:tcPr>
            <w:tcW w:w="778" w:type="dxa"/>
            <w:shd w:val="clear" w:color="auto" w:fill="E0E0E0"/>
            <w:vAlign w:val="bottom"/>
          </w:tcPr>
          <w:p w:rsidR="004630EB" w:rsidRPr="00687A1C" w:rsidRDefault="004630EB" w:rsidP="004630EB">
            <w:pPr>
              <w:pStyle w:val="Tabletextright"/>
            </w:pPr>
            <w:r w:rsidRPr="00687A1C">
              <w:t>21.90</w:t>
            </w:r>
          </w:p>
        </w:tc>
        <w:tc>
          <w:tcPr>
            <w:tcW w:w="979" w:type="dxa"/>
            <w:shd w:val="clear" w:color="auto" w:fill="auto"/>
            <w:vAlign w:val="bottom"/>
          </w:tcPr>
          <w:p w:rsidR="004630EB" w:rsidRPr="00687A1C" w:rsidRDefault="004630EB" w:rsidP="004630EB">
            <w:pPr>
              <w:pStyle w:val="Tabletextright"/>
            </w:pPr>
            <w:r w:rsidRPr="00687A1C">
              <w:t>20</w:t>
            </w:r>
          </w:p>
        </w:tc>
        <w:tc>
          <w:tcPr>
            <w:tcW w:w="979" w:type="dxa"/>
            <w:shd w:val="clear" w:color="auto" w:fill="auto"/>
            <w:vAlign w:val="bottom"/>
          </w:tcPr>
          <w:p w:rsidR="004630EB" w:rsidRPr="00687A1C" w:rsidRDefault="004630EB" w:rsidP="004630EB">
            <w:pPr>
              <w:pStyle w:val="Tabletextright"/>
            </w:pPr>
            <w:r w:rsidRPr="00687A1C">
              <w:t>1</w:t>
            </w:r>
          </w:p>
        </w:tc>
        <w:tc>
          <w:tcPr>
            <w:tcW w:w="778" w:type="dxa"/>
            <w:shd w:val="clear" w:color="auto" w:fill="auto"/>
            <w:vAlign w:val="bottom"/>
          </w:tcPr>
          <w:p w:rsidR="004630EB" w:rsidRPr="00687A1C" w:rsidRDefault="004630EB" w:rsidP="004630EB">
            <w:pPr>
              <w:pStyle w:val="Tabletextright"/>
            </w:pPr>
            <w:r w:rsidRPr="00687A1C">
              <w:t>20.90</w:t>
            </w:r>
          </w:p>
        </w:tc>
        <w:tc>
          <w:tcPr>
            <w:tcW w:w="950" w:type="dxa"/>
            <w:shd w:val="clear" w:color="auto" w:fill="E0E0E0"/>
            <w:vAlign w:val="bottom"/>
          </w:tcPr>
          <w:p w:rsidR="004630EB" w:rsidRPr="00687A1C" w:rsidRDefault="004630EB" w:rsidP="004630EB">
            <w:pPr>
              <w:pStyle w:val="Tabletextright"/>
            </w:pPr>
            <w:r w:rsidRPr="00687A1C">
              <w:t>1</w:t>
            </w:r>
          </w:p>
        </w:tc>
        <w:tc>
          <w:tcPr>
            <w:tcW w:w="778" w:type="dxa"/>
            <w:shd w:val="clear" w:color="auto" w:fill="E0E0E0"/>
            <w:vAlign w:val="bottom"/>
          </w:tcPr>
          <w:p w:rsidR="004630EB" w:rsidRPr="00687A1C" w:rsidRDefault="004630EB" w:rsidP="004630EB">
            <w:pPr>
              <w:pStyle w:val="Tabletextright"/>
            </w:pPr>
            <w:r w:rsidRPr="00687A1C">
              <w:t>1.00</w:t>
            </w:r>
          </w:p>
        </w:tc>
        <w:tc>
          <w:tcPr>
            <w:tcW w:w="950" w:type="dxa"/>
            <w:shd w:val="clear" w:color="auto" w:fill="auto"/>
            <w:noWrap/>
          </w:tcPr>
          <w:p w:rsidR="004630EB" w:rsidRPr="00687A1C" w:rsidRDefault="004630EB" w:rsidP="004630EB">
            <w:pPr>
              <w:pStyle w:val="Tabletextright"/>
            </w:pPr>
            <w:r w:rsidRPr="00687A1C">
              <w:t>25</w:t>
            </w:r>
          </w:p>
        </w:tc>
        <w:tc>
          <w:tcPr>
            <w:tcW w:w="778" w:type="dxa"/>
            <w:shd w:val="clear" w:color="auto" w:fill="auto"/>
          </w:tcPr>
          <w:p w:rsidR="004630EB" w:rsidRPr="00687A1C" w:rsidRDefault="004630EB" w:rsidP="004630EB">
            <w:pPr>
              <w:pStyle w:val="Tabletextright"/>
            </w:pPr>
            <w:r w:rsidRPr="00687A1C">
              <w:t>24.40</w:t>
            </w:r>
          </w:p>
        </w:tc>
        <w:tc>
          <w:tcPr>
            <w:tcW w:w="979" w:type="dxa"/>
            <w:shd w:val="clear" w:color="auto" w:fill="E0E0E0"/>
            <w:noWrap/>
          </w:tcPr>
          <w:p w:rsidR="004630EB" w:rsidRPr="00687A1C" w:rsidRDefault="004630EB" w:rsidP="004630EB">
            <w:pPr>
              <w:pStyle w:val="Tabletextright"/>
            </w:pPr>
            <w:r w:rsidRPr="00687A1C">
              <w:t>21</w:t>
            </w:r>
          </w:p>
        </w:tc>
        <w:tc>
          <w:tcPr>
            <w:tcW w:w="979" w:type="dxa"/>
            <w:shd w:val="clear" w:color="auto" w:fill="E0E0E0"/>
          </w:tcPr>
          <w:p w:rsidR="004630EB" w:rsidRPr="00687A1C" w:rsidRDefault="004630EB" w:rsidP="004630EB">
            <w:pPr>
              <w:pStyle w:val="Tabletextright"/>
            </w:pPr>
            <w:r w:rsidRPr="00687A1C">
              <w:t>4</w:t>
            </w:r>
          </w:p>
        </w:tc>
        <w:tc>
          <w:tcPr>
            <w:tcW w:w="778" w:type="dxa"/>
            <w:shd w:val="clear" w:color="auto" w:fill="E0E0E0"/>
          </w:tcPr>
          <w:p w:rsidR="004630EB" w:rsidRPr="00687A1C" w:rsidRDefault="004630EB" w:rsidP="004630EB">
            <w:pPr>
              <w:pStyle w:val="Tabletextright"/>
            </w:pPr>
            <w:r w:rsidRPr="00687A1C">
              <w:t>24.40</w:t>
            </w:r>
          </w:p>
        </w:tc>
        <w:tc>
          <w:tcPr>
            <w:tcW w:w="950" w:type="dxa"/>
          </w:tcPr>
          <w:p w:rsidR="004630EB" w:rsidRPr="00687A1C" w:rsidRDefault="004630EB" w:rsidP="004630EB">
            <w:pPr>
              <w:pStyle w:val="Tabletextright"/>
            </w:pPr>
            <w:r w:rsidRPr="00687A1C">
              <w:t>–</w:t>
            </w:r>
          </w:p>
        </w:tc>
        <w:tc>
          <w:tcPr>
            <w:tcW w:w="778" w:type="dxa"/>
          </w:tcPr>
          <w:p w:rsidR="004630EB" w:rsidRPr="00687A1C" w:rsidRDefault="004630EB" w:rsidP="004630EB">
            <w:pPr>
              <w:pStyle w:val="Tabletextright"/>
            </w:pPr>
            <w:r w:rsidRPr="00687A1C">
              <w:t>–</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tcPr>
          <w:p w:rsidR="004630EB" w:rsidRPr="00687A1C" w:rsidRDefault="004630EB" w:rsidP="004630EB">
            <w:pPr>
              <w:pStyle w:val="Tabletext"/>
            </w:pPr>
            <w:r w:rsidRPr="00687A1C">
              <w:rPr>
                <w:rFonts w:cstheme="minorHAnsi"/>
                <w:b/>
                <w:szCs w:val="18"/>
              </w:rPr>
              <w:t>Senior employees</w:t>
            </w:r>
          </w:p>
        </w:tc>
        <w:tc>
          <w:tcPr>
            <w:tcW w:w="950" w:type="dxa"/>
            <w:shd w:val="clear" w:color="auto" w:fill="E0E0E0"/>
            <w:vAlign w:val="bottom"/>
          </w:tcPr>
          <w:p w:rsidR="004630EB" w:rsidRPr="00687A1C" w:rsidRDefault="004630EB" w:rsidP="004630EB">
            <w:pPr>
              <w:pStyle w:val="Tabletextrightbold"/>
            </w:pPr>
            <w:r w:rsidRPr="00687A1C">
              <w:t>6</w:t>
            </w:r>
          </w:p>
        </w:tc>
        <w:tc>
          <w:tcPr>
            <w:tcW w:w="778" w:type="dxa"/>
            <w:shd w:val="clear" w:color="auto" w:fill="E0E0E0"/>
            <w:vAlign w:val="bottom"/>
          </w:tcPr>
          <w:p w:rsidR="004630EB" w:rsidRPr="00687A1C" w:rsidRDefault="004630EB" w:rsidP="004630EB">
            <w:pPr>
              <w:pStyle w:val="Tabletextrightbold"/>
            </w:pPr>
            <w:r w:rsidRPr="00687A1C">
              <w:t>6.00</w:t>
            </w:r>
          </w:p>
        </w:tc>
        <w:tc>
          <w:tcPr>
            <w:tcW w:w="979" w:type="dxa"/>
            <w:shd w:val="clear" w:color="auto" w:fill="auto"/>
            <w:vAlign w:val="bottom"/>
          </w:tcPr>
          <w:p w:rsidR="004630EB" w:rsidRPr="00687A1C" w:rsidRDefault="004630EB" w:rsidP="004630EB">
            <w:pPr>
              <w:pStyle w:val="Tabletextrightbold"/>
            </w:pPr>
            <w:r w:rsidRPr="00687A1C">
              <w:t>–</w:t>
            </w:r>
          </w:p>
        </w:tc>
        <w:tc>
          <w:tcPr>
            <w:tcW w:w="979" w:type="dxa"/>
            <w:shd w:val="clear" w:color="auto" w:fill="auto"/>
            <w:vAlign w:val="bottom"/>
          </w:tcPr>
          <w:p w:rsidR="004630EB" w:rsidRPr="00687A1C" w:rsidRDefault="004630EB" w:rsidP="004630EB">
            <w:pPr>
              <w:pStyle w:val="Tabletextrightbold"/>
            </w:pPr>
            <w:r w:rsidRPr="00687A1C">
              <w:t>–</w:t>
            </w:r>
          </w:p>
        </w:tc>
        <w:tc>
          <w:tcPr>
            <w:tcW w:w="778" w:type="dxa"/>
            <w:shd w:val="clear" w:color="auto" w:fill="auto"/>
            <w:vAlign w:val="bottom"/>
          </w:tcPr>
          <w:p w:rsidR="004630EB" w:rsidRPr="00687A1C" w:rsidRDefault="004630EB" w:rsidP="004630EB">
            <w:pPr>
              <w:pStyle w:val="Tabletextrightbold"/>
            </w:pPr>
            <w:r w:rsidRPr="00687A1C">
              <w:t>–</w:t>
            </w:r>
          </w:p>
        </w:tc>
        <w:tc>
          <w:tcPr>
            <w:tcW w:w="950" w:type="dxa"/>
            <w:shd w:val="clear" w:color="auto" w:fill="E0E0E0"/>
            <w:vAlign w:val="bottom"/>
          </w:tcPr>
          <w:p w:rsidR="004630EB" w:rsidRPr="00687A1C" w:rsidRDefault="004630EB" w:rsidP="004630EB">
            <w:pPr>
              <w:pStyle w:val="Tabletextrightbold"/>
            </w:pPr>
            <w:r w:rsidRPr="00687A1C">
              <w:t>6</w:t>
            </w:r>
          </w:p>
        </w:tc>
        <w:tc>
          <w:tcPr>
            <w:tcW w:w="778" w:type="dxa"/>
            <w:shd w:val="clear" w:color="auto" w:fill="E0E0E0"/>
            <w:vAlign w:val="bottom"/>
          </w:tcPr>
          <w:p w:rsidR="004630EB" w:rsidRPr="00687A1C" w:rsidRDefault="004630EB" w:rsidP="004630EB">
            <w:pPr>
              <w:pStyle w:val="Tabletextrightbold"/>
            </w:pPr>
            <w:r w:rsidRPr="00687A1C">
              <w:t>6.00</w:t>
            </w:r>
          </w:p>
        </w:tc>
        <w:tc>
          <w:tcPr>
            <w:tcW w:w="950" w:type="dxa"/>
            <w:shd w:val="clear" w:color="auto" w:fill="auto"/>
            <w:noWrap/>
          </w:tcPr>
          <w:p w:rsidR="004630EB" w:rsidRPr="00687A1C" w:rsidRDefault="004630EB" w:rsidP="004630EB">
            <w:pPr>
              <w:pStyle w:val="Tabletextrightbold"/>
            </w:pPr>
            <w:r w:rsidRPr="00687A1C">
              <w:t>8</w:t>
            </w:r>
          </w:p>
        </w:tc>
        <w:tc>
          <w:tcPr>
            <w:tcW w:w="778" w:type="dxa"/>
            <w:shd w:val="clear" w:color="auto" w:fill="auto"/>
          </w:tcPr>
          <w:p w:rsidR="004630EB" w:rsidRPr="00687A1C" w:rsidRDefault="004630EB" w:rsidP="004630EB">
            <w:pPr>
              <w:pStyle w:val="Tabletextrightbold"/>
            </w:pPr>
            <w:r w:rsidRPr="00687A1C">
              <w:t>7.50</w:t>
            </w:r>
          </w:p>
        </w:tc>
        <w:tc>
          <w:tcPr>
            <w:tcW w:w="979" w:type="dxa"/>
            <w:shd w:val="clear" w:color="auto" w:fill="E0E0E0"/>
            <w:noWrap/>
          </w:tcPr>
          <w:p w:rsidR="004630EB" w:rsidRPr="00687A1C" w:rsidRDefault="004630EB" w:rsidP="004630EB">
            <w:pPr>
              <w:pStyle w:val="Tabletextrightbold"/>
            </w:pPr>
            <w:r w:rsidRPr="00687A1C">
              <w:t>7</w:t>
            </w:r>
          </w:p>
        </w:tc>
        <w:tc>
          <w:tcPr>
            <w:tcW w:w="979" w:type="dxa"/>
            <w:shd w:val="clear" w:color="auto" w:fill="E0E0E0"/>
          </w:tcPr>
          <w:p w:rsidR="004630EB" w:rsidRPr="00687A1C" w:rsidRDefault="004630EB" w:rsidP="004630EB">
            <w:pPr>
              <w:pStyle w:val="Tabletextrightbold"/>
            </w:pPr>
            <w:r w:rsidRPr="00687A1C">
              <w:t>–</w:t>
            </w:r>
          </w:p>
        </w:tc>
        <w:tc>
          <w:tcPr>
            <w:tcW w:w="778" w:type="dxa"/>
            <w:shd w:val="clear" w:color="auto" w:fill="E0E0E0"/>
          </w:tcPr>
          <w:p w:rsidR="004630EB" w:rsidRPr="00687A1C" w:rsidRDefault="004630EB" w:rsidP="004630EB">
            <w:pPr>
              <w:pStyle w:val="Tabletextrightbold"/>
            </w:pPr>
            <w:r w:rsidRPr="00687A1C">
              <w:t>7.00</w:t>
            </w:r>
          </w:p>
        </w:tc>
        <w:tc>
          <w:tcPr>
            <w:tcW w:w="950" w:type="dxa"/>
          </w:tcPr>
          <w:p w:rsidR="004630EB" w:rsidRPr="00687A1C" w:rsidRDefault="004630EB" w:rsidP="004630EB">
            <w:pPr>
              <w:pStyle w:val="Tabletextrightbold"/>
            </w:pPr>
            <w:r w:rsidRPr="00687A1C">
              <w:t>1</w:t>
            </w:r>
          </w:p>
        </w:tc>
        <w:tc>
          <w:tcPr>
            <w:tcW w:w="778" w:type="dxa"/>
          </w:tcPr>
          <w:p w:rsidR="004630EB" w:rsidRPr="00687A1C" w:rsidRDefault="004630EB" w:rsidP="004630EB">
            <w:pPr>
              <w:pStyle w:val="Tabletextrightbold"/>
            </w:pPr>
            <w:r w:rsidRPr="00687A1C">
              <w:t>0.50</w:t>
            </w: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t>Executives</w:t>
            </w:r>
          </w:p>
        </w:tc>
        <w:tc>
          <w:tcPr>
            <w:tcW w:w="950" w:type="dxa"/>
            <w:shd w:val="clear" w:color="auto" w:fill="E0E0E0"/>
            <w:vAlign w:val="bottom"/>
          </w:tcPr>
          <w:p w:rsidR="004630EB" w:rsidRPr="00687A1C" w:rsidRDefault="004630EB" w:rsidP="004630EB">
            <w:pPr>
              <w:pStyle w:val="Tabletextright"/>
            </w:pPr>
            <w:r w:rsidRPr="00687A1C">
              <w:t>6</w:t>
            </w:r>
          </w:p>
        </w:tc>
        <w:tc>
          <w:tcPr>
            <w:tcW w:w="778" w:type="dxa"/>
            <w:shd w:val="clear" w:color="auto" w:fill="E0E0E0"/>
            <w:vAlign w:val="bottom"/>
          </w:tcPr>
          <w:p w:rsidR="004630EB" w:rsidRPr="00687A1C" w:rsidRDefault="004630EB" w:rsidP="004630EB">
            <w:pPr>
              <w:pStyle w:val="Tabletextright"/>
            </w:pPr>
            <w:r w:rsidRPr="00687A1C">
              <w:t>6.00</w:t>
            </w:r>
          </w:p>
        </w:tc>
        <w:tc>
          <w:tcPr>
            <w:tcW w:w="979" w:type="dxa"/>
            <w:shd w:val="clear" w:color="auto" w:fill="auto"/>
            <w:vAlign w:val="bottom"/>
          </w:tcPr>
          <w:p w:rsidR="004630EB" w:rsidRPr="00687A1C" w:rsidRDefault="004630EB" w:rsidP="004630EB">
            <w:pPr>
              <w:pStyle w:val="Tabletextright"/>
            </w:pPr>
            <w:r w:rsidRPr="00687A1C">
              <w:t>–</w:t>
            </w:r>
          </w:p>
        </w:tc>
        <w:tc>
          <w:tcPr>
            <w:tcW w:w="979" w:type="dxa"/>
            <w:shd w:val="clear" w:color="auto" w:fill="auto"/>
            <w:vAlign w:val="bottom"/>
          </w:tcPr>
          <w:p w:rsidR="004630EB" w:rsidRPr="00687A1C" w:rsidRDefault="004630EB" w:rsidP="004630EB">
            <w:pPr>
              <w:pStyle w:val="Tabletextright"/>
            </w:pPr>
            <w:r w:rsidRPr="00687A1C">
              <w:t>–</w:t>
            </w:r>
          </w:p>
        </w:tc>
        <w:tc>
          <w:tcPr>
            <w:tcW w:w="778" w:type="dxa"/>
            <w:shd w:val="clear" w:color="auto" w:fill="auto"/>
            <w:vAlign w:val="bottom"/>
          </w:tcPr>
          <w:p w:rsidR="004630EB" w:rsidRPr="00687A1C" w:rsidRDefault="004630EB" w:rsidP="004630EB">
            <w:pPr>
              <w:pStyle w:val="Tabletextright"/>
            </w:pPr>
            <w:r w:rsidRPr="00687A1C">
              <w:t>–</w:t>
            </w:r>
          </w:p>
        </w:tc>
        <w:tc>
          <w:tcPr>
            <w:tcW w:w="950" w:type="dxa"/>
            <w:shd w:val="clear" w:color="auto" w:fill="E0E0E0"/>
            <w:vAlign w:val="bottom"/>
          </w:tcPr>
          <w:p w:rsidR="004630EB" w:rsidRPr="00687A1C" w:rsidRDefault="004630EB" w:rsidP="004630EB">
            <w:pPr>
              <w:pStyle w:val="Tabletextright"/>
            </w:pPr>
            <w:r w:rsidRPr="00687A1C">
              <w:t>6</w:t>
            </w:r>
          </w:p>
        </w:tc>
        <w:tc>
          <w:tcPr>
            <w:tcW w:w="778" w:type="dxa"/>
            <w:shd w:val="clear" w:color="auto" w:fill="E0E0E0"/>
            <w:vAlign w:val="bottom"/>
          </w:tcPr>
          <w:p w:rsidR="004630EB" w:rsidRPr="00687A1C" w:rsidRDefault="004630EB" w:rsidP="004630EB">
            <w:pPr>
              <w:pStyle w:val="Tabletextright"/>
            </w:pPr>
            <w:r w:rsidRPr="00687A1C">
              <w:t>6.00</w:t>
            </w:r>
          </w:p>
        </w:tc>
        <w:tc>
          <w:tcPr>
            <w:tcW w:w="950" w:type="dxa"/>
            <w:shd w:val="clear" w:color="auto" w:fill="auto"/>
            <w:noWrap/>
          </w:tcPr>
          <w:p w:rsidR="004630EB" w:rsidRPr="00687A1C" w:rsidRDefault="004630EB" w:rsidP="004630EB">
            <w:pPr>
              <w:pStyle w:val="Tabletextright"/>
            </w:pPr>
            <w:r w:rsidRPr="00687A1C">
              <w:t>8</w:t>
            </w:r>
          </w:p>
        </w:tc>
        <w:tc>
          <w:tcPr>
            <w:tcW w:w="778" w:type="dxa"/>
            <w:shd w:val="clear" w:color="auto" w:fill="auto"/>
          </w:tcPr>
          <w:p w:rsidR="004630EB" w:rsidRPr="00687A1C" w:rsidRDefault="004630EB" w:rsidP="004630EB">
            <w:pPr>
              <w:pStyle w:val="Tabletextright"/>
            </w:pPr>
            <w:r w:rsidRPr="00687A1C">
              <w:t>7.50</w:t>
            </w:r>
          </w:p>
        </w:tc>
        <w:tc>
          <w:tcPr>
            <w:tcW w:w="979" w:type="dxa"/>
            <w:shd w:val="clear" w:color="auto" w:fill="E0E0E0"/>
            <w:noWrap/>
          </w:tcPr>
          <w:p w:rsidR="004630EB" w:rsidRPr="00687A1C" w:rsidRDefault="004630EB" w:rsidP="004630EB">
            <w:pPr>
              <w:pStyle w:val="Tabletextright"/>
            </w:pPr>
            <w:r w:rsidRPr="00687A1C">
              <w:t>7</w:t>
            </w:r>
          </w:p>
        </w:tc>
        <w:tc>
          <w:tcPr>
            <w:tcW w:w="979" w:type="dxa"/>
            <w:shd w:val="clear" w:color="auto" w:fill="E0E0E0"/>
          </w:tcPr>
          <w:p w:rsidR="004630EB" w:rsidRPr="00687A1C" w:rsidRDefault="004630EB" w:rsidP="004630EB">
            <w:pPr>
              <w:pStyle w:val="Tabletextright"/>
            </w:pPr>
            <w:r w:rsidRPr="00687A1C">
              <w:t>–</w:t>
            </w:r>
          </w:p>
        </w:tc>
        <w:tc>
          <w:tcPr>
            <w:tcW w:w="778" w:type="dxa"/>
            <w:shd w:val="clear" w:color="auto" w:fill="E0E0E0"/>
          </w:tcPr>
          <w:p w:rsidR="004630EB" w:rsidRPr="00687A1C" w:rsidRDefault="004630EB" w:rsidP="004630EB">
            <w:pPr>
              <w:pStyle w:val="Tabletextright"/>
            </w:pPr>
            <w:r w:rsidRPr="00687A1C">
              <w:t>7.00</w:t>
            </w:r>
          </w:p>
        </w:tc>
        <w:tc>
          <w:tcPr>
            <w:tcW w:w="950" w:type="dxa"/>
          </w:tcPr>
          <w:p w:rsidR="004630EB" w:rsidRPr="00687A1C" w:rsidRDefault="004630EB" w:rsidP="004630EB">
            <w:pPr>
              <w:pStyle w:val="Tabletextright"/>
            </w:pPr>
            <w:r w:rsidRPr="00687A1C">
              <w:t>1</w:t>
            </w:r>
          </w:p>
        </w:tc>
        <w:tc>
          <w:tcPr>
            <w:tcW w:w="778" w:type="dxa"/>
          </w:tcPr>
          <w:p w:rsidR="004630EB" w:rsidRPr="00687A1C" w:rsidRDefault="004630EB" w:rsidP="004630EB">
            <w:pPr>
              <w:pStyle w:val="Tabletextright"/>
            </w:pPr>
            <w:r w:rsidRPr="00687A1C">
              <w:t>0.50</w:t>
            </w:r>
          </w:p>
        </w:tc>
      </w:tr>
      <w:tr w:rsidR="004630EB" w:rsidRPr="00687A1C" w:rsidTr="004630EB">
        <w:trPr>
          <w:cantSplit/>
        </w:trPr>
        <w:tc>
          <w:tcPr>
            <w:tcW w:w="1483" w:type="dxa"/>
            <w:shd w:val="clear" w:color="auto" w:fill="auto"/>
          </w:tcPr>
          <w:p w:rsidR="004630EB" w:rsidRPr="00687A1C" w:rsidRDefault="004630EB" w:rsidP="004630EB">
            <w:pPr>
              <w:pStyle w:val="Tabletext"/>
              <w:rPr>
                <w:sz w:val="6"/>
              </w:rPr>
            </w:pPr>
          </w:p>
        </w:tc>
        <w:tc>
          <w:tcPr>
            <w:tcW w:w="950" w:type="dxa"/>
            <w:shd w:val="clear" w:color="auto" w:fill="E0E0E0"/>
          </w:tcPr>
          <w:p w:rsidR="004630EB" w:rsidRPr="00687A1C" w:rsidRDefault="004630EB" w:rsidP="004630EB">
            <w:pPr>
              <w:pStyle w:val="Tabletextright"/>
              <w:rPr>
                <w:rFonts w:cstheme="minorHAnsi"/>
                <w:sz w:val="6"/>
              </w:rPr>
            </w:pPr>
          </w:p>
        </w:tc>
        <w:tc>
          <w:tcPr>
            <w:tcW w:w="778" w:type="dxa"/>
            <w:shd w:val="clear" w:color="auto" w:fill="E0E0E0"/>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rFonts w:cstheme="minorHAnsi"/>
                <w:sz w:val="6"/>
              </w:rPr>
            </w:pPr>
          </w:p>
        </w:tc>
        <w:tc>
          <w:tcPr>
            <w:tcW w:w="979" w:type="dxa"/>
            <w:shd w:val="clear" w:color="auto" w:fill="auto"/>
          </w:tcPr>
          <w:p w:rsidR="004630EB" w:rsidRPr="00687A1C" w:rsidRDefault="004630EB" w:rsidP="004630EB">
            <w:pPr>
              <w:pStyle w:val="Tabletextright"/>
              <w:rPr>
                <w:sz w:val="6"/>
              </w:rPr>
            </w:pPr>
          </w:p>
        </w:tc>
        <w:tc>
          <w:tcPr>
            <w:tcW w:w="778" w:type="dxa"/>
            <w:shd w:val="clear" w:color="auto" w:fill="auto"/>
          </w:tcPr>
          <w:p w:rsidR="004630EB" w:rsidRPr="00687A1C" w:rsidRDefault="004630EB" w:rsidP="004630EB">
            <w:pPr>
              <w:pStyle w:val="Tabletextright"/>
              <w:rPr>
                <w:sz w:val="6"/>
              </w:rPr>
            </w:pPr>
          </w:p>
        </w:tc>
        <w:tc>
          <w:tcPr>
            <w:tcW w:w="950"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shd w:val="clear" w:color="auto" w:fill="auto"/>
            <w:noWrap/>
          </w:tcPr>
          <w:p w:rsidR="004630EB" w:rsidRPr="00687A1C" w:rsidRDefault="004630EB" w:rsidP="004630EB">
            <w:pPr>
              <w:pStyle w:val="Tabletextright"/>
              <w:rPr>
                <w:rFonts w:cstheme="minorHAnsi"/>
                <w:sz w:val="6"/>
              </w:rPr>
            </w:pPr>
          </w:p>
        </w:tc>
        <w:tc>
          <w:tcPr>
            <w:tcW w:w="778" w:type="dxa"/>
            <w:shd w:val="clear" w:color="auto" w:fill="auto"/>
          </w:tcPr>
          <w:p w:rsidR="004630EB" w:rsidRPr="00687A1C" w:rsidRDefault="004630EB" w:rsidP="004630EB">
            <w:pPr>
              <w:pStyle w:val="Tabletextright"/>
              <w:rPr>
                <w:rFonts w:cstheme="minorHAnsi"/>
                <w:sz w:val="6"/>
              </w:rPr>
            </w:pPr>
          </w:p>
        </w:tc>
        <w:tc>
          <w:tcPr>
            <w:tcW w:w="979" w:type="dxa"/>
            <w:shd w:val="clear" w:color="auto" w:fill="E0E0E0"/>
            <w:noWrap/>
          </w:tcPr>
          <w:p w:rsidR="004630EB" w:rsidRPr="00687A1C" w:rsidRDefault="004630EB" w:rsidP="004630EB">
            <w:pPr>
              <w:pStyle w:val="Tabletextright"/>
              <w:rPr>
                <w:rFonts w:cstheme="minorHAnsi"/>
                <w:sz w:val="6"/>
              </w:rPr>
            </w:pPr>
          </w:p>
        </w:tc>
        <w:tc>
          <w:tcPr>
            <w:tcW w:w="979" w:type="dxa"/>
            <w:shd w:val="clear" w:color="auto" w:fill="E0E0E0"/>
          </w:tcPr>
          <w:p w:rsidR="004630EB" w:rsidRPr="00687A1C" w:rsidRDefault="004630EB" w:rsidP="004630EB">
            <w:pPr>
              <w:pStyle w:val="Tabletextright"/>
              <w:rPr>
                <w:sz w:val="6"/>
              </w:rPr>
            </w:pPr>
          </w:p>
        </w:tc>
        <w:tc>
          <w:tcPr>
            <w:tcW w:w="778" w:type="dxa"/>
            <w:shd w:val="clear" w:color="auto" w:fill="E0E0E0"/>
          </w:tcPr>
          <w:p w:rsidR="004630EB" w:rsidRPr="00687A1C" w:rsidRDefault="004630EB" w:rsidP="004630EB">
            <w:pPr>
              <w:pStyle w:val="Tabletextright"/>
              <w:rPr>
                <w:sz w:val="6"/>
              </w:rPr>
            </w:pPr>
          </w:p>
        </w:tc>
        <w:tc>
          <w:tcPr>
            <w:tcW w:w="950" w:type="dxa"/>
          </w:tcPr>
          <w:p w:rsidR="004630EB" w:rsidRPr="00687A1C" w:rsidRDefault="004630EB" w:rsidP="004630EB">
            <w:pPr>
              <w:pStyle w:val="Tabletextright"/>
              <w:rPr>
                <w:sz w:val="6"/>
              </w:rPr>
            </w:pPr>
          </w:p>
        </w:tc>
        <w:tc>
          <w:tcPr>
            <w:tcW w:w="778" w:type="dxa"/>
          </w:tcPr>
          <w:p w:rsidR="004630EB" w:rsidRPr="00687A1C" w:rsidRDefault="004630EB" w:rsidP="004630EB">
            <w:pPr>
              <w:pStyle w:val="Tabletextright"/>
              <w:rPr>
                <w:sz w:val="6"/>
              </w:rPr>
            </w:pPr>
          </w:p>
        </w:tc>
      </w:tr>
      <w:tr w:rsidR="004630EB" w:rsidRPr="00687A1C" w:rsidTr="004630EB">
        <w:trPr>
          <w:cantSplit/>
        </w:trPr>
        <w:tc>
          <w:tcPr>
            <w:tcW w:w="1483" w:type="dxa"/>
            <w:shd w:val="clear" w:color="auto" w:fill="auto"/>
            <w:vAlign w:val="bottom"/>
          </w:tcPr>
          <w:p w:rsidR="004630EB" w:rsidRPr="00687A1C" w:rsidRDefault="004630EB" w:rsidP="004630EB">
            <w:pPr>
              <w:pStyle w:val="Tabletext"/>
            </w:pPr>
            <w:r w:rsidRPr="00687A1C">
              <w:rPr>
                <w:rFonts w:cstheme="minorHAnsi"/>
                <w:b/>
              </w:rPr>
              <w:t>Total employees</w:t>
            </w:r>
          </w:p>
        </w:tc>
        <w:tc>
          <w:tcPr>
            <w:tcW w:w="950" w:type="dxa"/>
            <w:shd w:val="clear" w:color="auto" w:fill="E0E0E0"/>
            <w:vAlign w:val="bottom"/>
          </w:tcPr>
          <w:p w:rsidR="004630EB" w:rsidRPr="00687A1C" w:rsidRDefault="004630EB" w:rsidP="004630EB">
            <w:pPr>
              <w:pStyle w:val="Tabletextrightbold"/>
            </w:pPr>
            <w:r w:rsidRPr="00687A1C">
              <w:t>150</w:t>
            </w:r>
          </w:p>
        </w:tc>
        <w:tc>
          <w:tcPr>
            <w:tcW w:w="778" w:type="dxa"/>
            <w:shd w:val="clear" w:color="auto" w:fill="E0E0E0"/>
            <w:vAlign w:val="bottom"/>
          </w:tcPr>
          <w:p w:rsidR="004630EB" w:rsidRPr="00687A1C" w:rsidRDefault="004630EB" w:rsidP="004630EB">
            <w:pPr>
              <w:pStyle w:val="Tabletextrightbold"/>
            </w:pPr>
            <w:r w:rsidRPr="00687A1C">
              <w:t>140.75</w:t>
            </w:r>
          </w:p>
        </w:tc>
        <w:tc>
          <w:tcPr>
            <w:tcW w:w="979" w:type="dxa"/>
            <w:shd w:val="clear" w:color="auto" w:fill="auto"/>
            <w:vAlign w:val="bottom"/>
          </w:tcPr>
          <w:p w:rsidR="004630EB" w:rsidRPr="00687A1C" w:rsidRDefault="004630EB" w:rsidP="004630EB">
            <w:pPr>
              <w:pStyle w:val="Tabletextrightbold"/>
            </w:pPr>
            <w:r w:rsidRPr="00687A1C">
              <w:t>114</w:t>
            </w:r>
          </w:p>
        </w:tc>
        <w:tc>
          <w:tcPr>
            <w:tcW w:w="979" w:type="dxa"/>
            <w:shd w:val="clear" w:color="auto" w:fill="auto"/>
            <w:vAlign w:val="bottom"/>
          </w:tcPr>
          <w:p w:rsidR="004630EB" w:rsidRPr="00687A1C" w:rsidRDefault="004630EB" w:rsidP="004630EB">
            <w:pPr>
              <w:pStyle w:val="Tabletextrightbold"/>
            </w:pPr>
            <w:r w:rsidRPr="00687A1C">
              <w:t>23</w:t>
            </w:r>
          </w:p>
        </w:tc>
        <w:tc>
          <w:tcPr>
            <w:tcW w:w="778" w:type="dxa"/>
            <w:shd w:val="clear" w:color="auto" w:fill="auto"/>
            <w:vAlign w:val="bottom"/>
          </w:tcPr>
          <w:p w:rsidR="004630EB" w:rsidRPr="00687A1C" w:rsidRDefault="004630EB" w:rsidP="004630EB">
            <w:pPr>
              <w:pStyle w:val="Tabletextrightbold"/>
            </w:pPr>
            <w:r w:rsidRPr="00687A1C">
              <w:t>128.89</w:t>
            </w:r>
          </w:p>
        </w:tc>
        <w:tc>
          <w:tcPr>
            <w:tcW w:w="950" w:type="dxa"/>
            <w:shd w:val="clear" w:color="auto" w:fill="E0E0E0"/>
            <w:vAlign w:val="bottom"/>
          </w:tcPr>
          <w:p w:rsidR="004630EB" w:rsidRPr="00687A1C" w:rsidRDefault="004630EB" w:rsidP="004630EB">
            <w:pPr>
              <w:pStyle w:val="Tabletextrightbold"/>
            </w:pPr>
            <w:r w:rsidRPr="00687A1C">
              <w:t>13</w:t>
            </w:r>
          </w:p>
        </w:tc>
        <w:tc>
          <w:tcPr>
            <w:tcW w:w="778" w:type="dxa"/>
            <w:shd w:val="clear" w:color="auto" w:fill="E0E0E0"/>
            <w:vAlign w:val="bottom"/>
          </w:tcPr>
          <w:p w:rsidR="004630EB" w:rsidRPr="00687A1C" w:rsidRDefault="004630EB" w:rsidP="004630EB">
            <w:pPr>
              <w:pStyle w:val="Tabletextrightbold"/>
            </w:pPr>
            <w:r w:rsidRPr="00687A1C">
              <w:t>11.86</w:t>
            </w:r>
          </w:p>
        </w:tc>
        <w:tc>
          <w:tcPr>
            <w:tcW w:w="950" w:type="dxa"/>
            <w:shd w:val="clear" w:color="auto" w:fill="auto"/>
            <w:noWrap/>
          </w:tcPr>
          <w:p w:rsidR="004630EB" w:rsidRPr="00687A1C" w:rsidRDefault="004630EB" w:rsidP="004630EB">
            <w:pPr>
              <w:pStyle w:val="Tabletextrightbold"/>
            </w:pPr>
            <w:r w:rsidRPr="00687A1C">
              <w:t>165</w:t>
            </w:r>
          </w:p>
        </w:tc>
        <w:tc>
          <w:tcPr>
            <w:tcW w:w="778" w:type="dxa"/>
            <w:shd w:val="clear" w:color="auto" w:fill="auto"/>
          </w:tcPr>
          <w:p w:rsidR="004630EB" w:rsidRPr="00687A1C" w:rsidRDefault="004630EB" w:rsidP="004630EB">
            <w:pPr>
              <w:pStyle w:val="Tabletextrightbold"/>
            </w:pPr>
            <w:r w:rsidRPr="00687A1C">
              <w:t>154.41</w:t>
            </w:r>
          </w:p>
        </w:tc>
        <w:tc>
          <w:tcPr>
            <w:tcW w:w="979" w:type="dxa"/>
            <w:shd w:val="clear" w:color="auto" w:fill="E0E0E0"/>
            <w:noWrap/>
          </w:tcPr>
          <w:p w:rsidR="004630EB" w:rsidRPr="00687A1C" w:rsidRDefault="004630EB" w:rsidP="004630EB">
            <w:pPr>
              <w:pStyle w:val="Tabletextrightbold"/>
            </w:pPr>
            <w:r w:rsidRPr="00687A1C">
              <w:t>131</w:t>
            </w:r>
          </w:p>
        </w:tc>
        <w:tc>
          <w:tcPr>
            <w:tcW w:w="979" w:type="dxa"/>
            <w:shd w:val="clear" w:color="auto" w:fill="E0E0E0"/>
          </w:tcPr>
          <w:p w:rsidR="004630EB" w:rsidRPr="00687A1C" w:rsidRDefault="004630EB" w:rsidP="004630EB">
            <w:pPr>
              <w:pStyle w:val="Tabletextrightbold"/>
            </w:pPr>
            <w:r w:rsidRPr="00687A1C">
              <w:t>27</w:t>
            </w:r>
          </w:p>
        </w:tc>
        <w:tc>
          <w:tcPr>
            <w:tcW w:w="778" w:type="dxa"/>
            <w:shd w:val="clear" w:color="auto" w:fill="E0E0E0"/>
          </w:tcPr>
          <w:p w:rsidR="004630EB" w:rsidRPr="00687A1C" w:rsidRDefault="004630EB" w:rsidP="004630EB">
            <w:pPr>
              <w:pStyle w:val="Tabletextrightbold"/>
            </w:pPr>
            <w:r w:rsidRPr="00687A1C">
              <w:t>150.49</w:t>
            </w:r>
          </w:p>
        </w:tc>
        <w:tc>
          <w:tcPr>
            <w:tcW w:w="950" w:type="dxa"/>
          </w:tcPr>
          <w:p w:rsidR="004630EB" w:rsidRPr="00687A1C" w:rsidRDefault="004630EB" w:rsidP="004630EB">
            <w:pPr>
              <w:pStyle w:val="Tabletextrightbold"/>
            </w:pPr>
            <w:r w:rsidRPr="00687A1C">
              <w:t>7</w:t>
            </w:r>
          </w:p>
        </w:tc>
        <w:tc>
          <w:tcPr>
            <w:tcW w:w="778" w:type="dxa"/>
          </w:tcPr>
          <w:p w:rsidR="004630EB" w:rsidRPr="00687A1C" w:rsidRDefault="004630EB" w:rsidP="004630EB">
            <w:pPr>
              <w:pStyle w:val="Tabletextrightbold"/>
            </w:pPr>
            <w:r w:rsidRPr="00687A1C">
              <w:t>3.92</w:t>
            </w:r>
          </w:p>
        </w:tc>
      </w:tr>
    </w:tbl>
    <w:p w:rsidR="00874541" w:rsidRPr="00687A1C" w:rsidRDefault="00874541" w:rsidP="00874541"/>
    <w:p w:rsidR="0021241E" w:rsidRPr="00687A1C" w:rsidRDefault="0021241E" w:rsidP="0021241E"/>
    <w:p w:rsidR="0021241E" w:rsidRPr="00687A1C" w:rsidRDefault="0021241E" w:rsidP="0021241E">
      <w:pPr>
        <w:sectPr w:rsidR="0021241E" w:rsidRPr="00687A1C" w:rsidSect="009D6CB6">
          <w:headerReference w:type="even" r:id="rId120"/>
          <w:headerReference w:type="default" r:id="rId121"/>
          <w:footerReference w:type="even" r:id="rId122"/>
          <w:footerReference w:type="default" r:id="rId123"/>
          <w:pgSz w:w="16834" w:h="11909" w:orient="landscape" w:code="9"/>
          <w:pgMar w:top="1152" w:right="1440" w:bottom="994" w:left="1728" w:header="720" w:footer="288" w:gutter="0"/>
          <w:cols w:space="720"/>
          <w:noEndnote/>
        </w:sectPr>
      </w:pPr>
    </w:p>
    <w:p w:rsidR="005E7978" w:rsidRPr="00687A1C" w:rsidRDefault="005E7978" w:rsidP="005E7978">
      <w:pPr>
        <w:pStyle w:val="Tableheading"/>
      </w:pPr>
      <w:r w:rsidRPr="00687A1C">
        <w:lastRenderedPageBreak/>
        <w:t>Annualised total salary, by $20</w:t>
      </w:r>
      <w:r w:rsidRPr="00687A1C">
        <w:rPr>
          <w:rFonts w:ascii="Calibri" w:hAnsi="Calibri" w:cs="Calibri"/>
        </w:rPr>
        <w:t> </w:t>
      </w:r>
      <w:r w:rsidRPr="00687A1C">
        <w:t>000 bands, for executives and other senior non</w:t>
      </w:r>
      <w:r w:rsidR="00B336DF" w:rsidRPr="00687A1C">
        <w:noBreakHyphen/>
      </w:r>
      <w:r w:rsidRPr="00687A1C">
        <w:t>executive staff</w:t>
      </w:r>
      <w:r w:rsidR="000A7CE4" w:rsidRPr="00687A1C">
        <w:t xml:space="preserve"> – Emergency Services and State Super</w:t>
      </w:r>
    </w:p>
    <w:tbl>
      <w:tblPr>
        <w:tblW w:w="0" w:type="auto"/>
        <w:tblInd w:w="108" w:type="dxa"/>
        <w:tblLayout w:type="fixed"/>
        <w:tblLook w:val="0000" w:firstRow="0" w:lastRow="0" w:firstColumn="0" w:lastColumn="0" w:noHBand="0" w:noVBand="0"/>
      </w:tblPr>
      <w:tblGrid>
        <w:gridCol w:w="2700"/>
        <w:gridCol w:w="1440"/>
        <w:gridCol w:w="1440"/>
      </w:tblGrid>
      <w:tr w:rsidR="005E7978" w:rsidRPr="00687A1C" w:rsidTr="006B6C15">
        <w:tc>
          <w:tcPr>
            <w:tcW w:w="2700" w:type="dxa"/>
            <w:vAlign w:val="bottom"/>
          </w:tcPr>
          <w:p w:rsidR="005E7978" w:rsidRPr="00687A1C" w:rsidRDefault="005E7978" w:rsidP="006B6C15">
            <w:pPr>
              <w:pStyle w:val="Tabletextheadingleft"/>
            </w:pPr>
            <w:r w:rsidRPr="00687A1C">
              <w:t>Income band (salary)</w:t>
            </w:r>
          </w:p>
        </w:tc>
        <w:tc>
          <w:tcPr>
            <w:tcW w:w="1440" w:type="dxa"/>
            <w:shd w:val="clear" w:color="auto" w:fill="auto"/>
            <w:vAlign w:val="bottom"/>
          </w:tcPr>
          <w:p w:rsidR="005E7978" w:rsidRPr="00687A1C" w:rsidRDefault="005E7978" w:rsidP="006B6C15">
            <w:pPr>
              <w:pStyle w:val="Tabletextheadingcentred"/>
            </w:pPr>
            <w:r w:rsidRPr="00687A1C">
              <w:t>Executives</w:t>
            </w:r>
          </w:p>
        </w:tc>
        <w:tc>
          <w:tcPr>
            <w:tcW w:w="1440" w:type="dxa"/>
            <w:shd w:val="clear" w:color="auto" w:fill="auto"/>
          </w:tcPr>
          <w:p w:rsidR="005E7978" w:rsidRPr="00687A1C" w:rsidRDefault="00150383" w:rsidP="001B1C65">
            <w:pPr>
              <w:pStyle w:val="Tabletextheadingcentred"/>
            </w:pPr>
            <w:r w:rsidRPr="00687A1C">
              <w:t xml:space="preserve">Senior </w:t>
            </w:r>
            <w:r w:rsidRPr="00687A1C">
              <w:br/>
              <w:t>non</w:t>
            </w:r>
            <w:r w:rsidR="00B336DF" w:rsidRPr="00687A1C">
              <w:noBreakHyphen/>
            </w:r>
            <w:r w:rsidRPr="00687A1C">
              <w:t>execut</w:t>
            </w:r>
            <w:r w:rsidR="005E7978" w:rsidRPr="00687A1C">
              <w:t>ive</w:t>
            </w:r>
          </w:p>
        </w:tc>
      </w:tr>
      <w:tr w:rsidR="00542B90" w:rsidRPr="00687A1C" w:rsidTr="006B6C15">
        <w:tc>
          <w:tcPr>
            <w:tcW w:w="2700" w:type="dxa"/>
            <w:vAlign w:val="bottom"/>
          </w:tcPr>
          <w:p w:rsidR="00542B90" w:rsidRPr="00687A1C" w:rsidRDefault="00542B90" w:rsidP="001B1C65">
            <w:pPr>
              <w:pStyle w:val="Tabletext"/>
            </w:pPr>
            <w:r w:rsidRPr="00687A1C">
              <w:t>&lt;$160</w:t>
            </w:r>
            <w:r w:rsidRPr="00687A1C">
              <w:rPr>
                <w:rFonts w:ascii="Calibri" w:hAnsi="Calibri" w:cs="Calibri"/>
              </w:rPr>
              <w:t> </w:t>
            </w:r>
            <w:r w:rsidRPr="00687A1C">
              <w:t>000</w:t>
            </w:r>
          </w:p>
        </w:tc>
        <w:tc>
          <w:tcPr>
            <w:tcW w:w="1440" w:type="dxa"/>
            <w:shd w:val="clear" w:color="auto" w:fill="E0E0E0"/>
            <w:vAlign w:val="bottom"/>
          </w:tcPr>
          <w:p w:rsidR="00542B90" w:rsidRPr="00687A1C" w:rsidRDefault="00542B90" w:rsidP="00EB2016">
            <w:pPr>
              <w:pStyle w:val="Tabletextright"/>
            </w:pPr>
            <w:r w:rsidRPr="00687A1C">
              <w:t>1</w:t>
            </w: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$160</w:t>
            </w:r>
            <w:r w:rsidRPr="00687A1C">
              <w:rPr>
                <w:rFonts w:ascii="Calibri" w:hAnsi="Calibri" w:cs="Calibri"/>
              </w:rPr>
              <w:t> </w:t>
            </w:r>
            <w:r w:rsidRPr="00687A1C">
              <w:t>000–$179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r w:rsidRPr="00687A1C">
              <w:t>1</w:t>
            </w: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$180</w:t>
            </w:r>
            <w:r w:rsidRPr="00687A1C">
              <w:rPr>
                <w:rFonts w:ascii="Calibri" w:hAnsi="Calibri" w:cs="Calibri"/>
              </w:rPr>
              <w:t> </w:t>
            </w:r>
            <w:r w:rsidRPr="00687A1C">
              <w:t>000–$199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r w:rsidRPr="00687A1C">
              <w:t>1</w:t>
            </w: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$200</w:t>
            </w:r>
            <w:r w:rsidRPr="00687A1C">
              <w:rPr>
                <w:rFonts w:ascii="Calibri" w:hAnsi="Calibri" w:cs="Calibri"/>
              </w:rPr>
              <w:t> </w:t>
            </w:r>
            <w:r w:rsidRPr="00687A1C">
              <w:t>000–$219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r w:rsidRPr="00687A1C">
              <w:t>1</w:t>
            </w: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$220</w:t>
            </w:r>
            <w:r w:rsidRPr="00687A1C">
              <w:rPr>
                <w:rFonts w:ascii="Calibri" w:hAnsi="Calibri" w:cs="Calibri"/>
              </w:rPr>
              <w:t> </w:t>
            </w:r>
            <w:r w:rsidRPr="00687A1C">
              <w:t>000–$239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r w:rsidRPr="00687A1C">
              <w:t>1</w:t>
            </w: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$240</w:t>
            </w:r>
            <w:r w:rsidRPr="00687A1C">
              <w:rPr>
                <w:rFonts w:ascii="Calibri" w:hAnsi="Calibri" w:cs="Calibri"/>
              </w:rPr>
              <w:t> </w:t>
            </w:r>
            <w:r w:rsidRPr="00687A1C">
              <w:t>000–$259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$260</w:t>
            </w:r>
            <w:r w:rsidRPr="00687A1C">
              <w:rPr>
                <w:rFonts w:ascii="Calibri" w:hAnsi="Calibri" w:cs="Calibri"/>
              </w:rPr>
              <w:t> </w:t>
            </w:r>
            <w:r w:rsidRPr="00687A1C">
              <w:t>000–$279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$280</w:t>
            </w:r>
            <w:r w:rsidRPr="00687A1C">
              <w:rPr>
                <w:rFonts w:ascii="Calibri" w:hAnsi="Calibri" w:cs="Calibri"/>
              </w:rPr>
              <w:t> </w:t>
            </w:r>
            <w:r w:rsidRPr="00687A1C">
              <w:t>000–$299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$300</w:t>
            </w:r>
            <w:r w:rsidRPr="00687A1C">
              <w:rPr>
                <w:rFonts w:ascii="Calibri" w:hAnsi="Calibri" w:cs="Calibri"/>
              </w:rPr>
              <w:t> </w:t>
            </w:r>
            <w:r w:rsidRPr="00687A1C">
              <w:t>000–$319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
            </w:pPr>
            <w:r w:rsidRPr="00687A1C">
              <w:t>$320</w:t>
            </w:r>
            <w:r w:rsidRPr="00687A1C">
              <w:rPr>
                <w:rFonts w:ascii="Calibri" w:hAnsi="Calibri" w:cs="Calibri"/>
              </w:rPr>
              <w:t> </w:t>
            </w:r>
            <w:r w:rsidRPr="00687A1C">
              <w:t>000–$339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$340</w:t>
            </w:r>
            <w:r w:rsidRPr="00687A1C">
              <w:rPr>
                <w:rFonts w:ascii="Calibri" w:hAnsi="Calibri" w:cs="Calibri"/>
              </w:rPr>
              <w:t> </w:t>
            </w:r>
            <w:r w:rsidRPr="00687A1C">
              <w:t>000–$359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EB2016">
            <w:pPr>
              <w:pStyle w:val="Tabletextright"/>
            </w:pPr>
            <w:r w:rsidRPr="00687A1C">
              <w:t>1</w:t>
            </w: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$360</w:t>
            </w:r>
            <w:r w:rsidRPr="00687A1C">
              <w:rPr>
                <w:rFonts w:ascii="Calibri" w:hAnsi="Calibri" w:cs="Calibri"/>
              </w:rPr>
              <w:t> </w:t>
            </w:r>
            <w:r w:rsidRPr="00687A1C">
              <w:t>000–$379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1B1C65">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$380</w:t>
            </w:r>
            <w:r w:rsidRPr="00687A1C">
              <w:rPr>
                <w:rFonts w:ascii="Calibri" w:hAnsi="Calibri" w:cs="Calibri"/>
              </w:rPr>
              <w:t> </w:t>
            </w:r>
            <w:r w:rsidRPr="00687A1C">
              <w:t>000–$399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1B1C65">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$400</w:t>
            </w:r>
            <w:r w:rsidRPr="00687A1C">
              <w:rPr>
                <w:rFonts w:ascii="Calibri" w:hAnsi="Calibri" w:cs="Calibri"/>
              </w:rPr>
              <w:t> </w:t>
            </w:r>
            <w:r w:rsidRPr="00687A1C">
              <w:t>000–$419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1B1C65">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$420</w:t>
            </w:r>
            <w:r w:rsidRPr="00687A1C">
              <w:rPr>
                <w:rFonts w:ascii="Calibri" w:hAnsi="Calibri" w:cs="Calibri"/>
              </w:rPr>
              <w:t> </w:t>
            </w:r>
            <w:r w:rsidRPr="00687A1C">
              <w:t>000–$439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1B1C65">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$440</w:t>
            </w:r>
            <w:r w:rsidRPr="00687A1C">
              <w:rPr>
                <w:rFonts w:ascii="Calibri" w:hAnsi="Calibri" w:cs="Calibri"/>
              </w:rPr>
              <w:t> </w:t>
            </w:r>
            <w:r w:rsidRPr="00687A1C">
              <w:t>000–$459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1B1C65">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$460</w:t>
            </w:r>
            <w:r w:rsidRPr="00687A1C">
              <w:rPr>
                <w:rFonts w:ascii="Calibri" w:hAnsi="Calibri" w:cs="Calibri"/>
              </w:rPr>
              <w:t> </w:t>
            </w:r>
            <w:r w:rsidRPr="00687A1C">
              <w:t>000–$479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1B1C65">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tcPr>
          <w:p w:rsidR="00542B90" w:rsidRPr="00687A1C" w:rsidRDefault="00542B90" w:rsidP="001B1C65">
            <w:pPr>
              <w:pStyle w:val="Tabletext"/>
            </w:pPr>
            <w:r w:rsidRPr="00687A1C">
              <w:t>$480</w:t>
            </w:r>
            <w:r w:rsidRPr="00687A1C">
              <w:rPr>
                <w:rFonts w:ascii="Calibri" w:hAnsi="Calibri" w:cs="Calibri"/>
              </w:rPr>
              <w:t> </w:t>
            </w:r>
            <w:r w:rsidRPr="00687A1C">
              <w:t>000–$499</w:t>
            </w:r>
            <w:r w:rsidRPr="00687A1C">
              <w:rPr>
                <w:rFonts w:ascii="Calibri" w:hAnsi="Calibri" w:cs="Calibri"/>
              </w:rPr>
              <w:t> </w:t>
            </w:r>
            <w:r w:rsidRPr="00687A1C">
              <w:t>999</w:t>
            </w:r>
          </w:p>
        </w:tc>
        <w:tc>
          <w:tcPr>
            <w:tcW w:w="1440" w:type="dxa"/>
            <w:shd w:val="clear" w:color="auto" w:fill="E0E0E0"/>
            <w:vAlign w:val="bottom"/>
          </w:tcPr>
          <w:p w:rsidR="00542B90" w:rsidRPr="00687A1C" w:rsidRDefault="00542B90" w:rsidP="001B1C65">
            <w:pPr>
              <w:pStyle w:val="Tabletextright"/>
            </w:pPr>
          </w:p>
        </w:tc>
        <w:tc>
          <w:tcPr>
            <w:tcW w:w="1440" w:type="dxa"/>
            <w:shd w:val="clear" w:color="auto" w:fill="auto"/>
            <w:vAlign w:val="bottom"/>
          </w:tcPr>
          <w:p w:rsidR="00542B90" w:rsidRPr="00687A1C" w:rsidRDefault="00542B90" w:rsidP="001B1C65">
            <w:pPr>
              <w:pStyle w:val="Tabletextright"/>
            </w:pPr>
          </w:p>
        </w:tc>
      </w:tr>
      <w:tr w:rsidR="00542B90" w:rsidRPr="00687A1C" w:rsidTr="006B6C15">
        <w:tc>
          <w:tcPr>
            <w:tcW w:w="2700" w:type="dxa"/>
            <w:vAlign w:val="bottom"/>
          </w:tcPr>
          <w:p w:rsidR="00542B90" w:rsidRPr="00687A1C" w:rsidRDefault="00542B90" w:rsidP="001B1C65">
            <w:pPr>
              <w:pStyle w:val="Tabletextbold"/>
            </w:pPr>
            <w:r w:rsidRPr="00687A1C">
              <w:t xml:space="preserve">Total </w:t>
            </w:r>
          </w:p>
        </w:tc>
        <w:tc>
          <w:tcPr>
            <w:tcW w:w="1440" w:type="dxa"/>
            <w:shd w:val="clear" w:color="auto" w:fill="E0E0E0"/>
            <w:vAlign w:val="bottom"/>
          </w:tcPr>
          <w:p w:rsidR="00542B90" w:rsidRPr="00687A1C" w:rsidRDefault="00542B90" w:rsidP="001B1C65">
            <w:pPr>
              <w:pStyle w:val="Tabletextrightbold"/>
            </w:pPr>
            <w:r w:rsidRPr="00687A1C">
              <w:t>6</w:t>
            </w:r>
          </w:p>
        </w:tc>
        <w:tc>
          <w:tcPr>
            <w:tcW w:w="1440" w:type="dxa"/>
            <w:shd w:val="clear" w:color="auto" w:fill="auto"/>
            <w:vAlign w:val="bottom"/>
          </w:tcPr>
          <w:p w:rsidR="00542B90" w:rsidRPr="00687A1C" w:rsidRDefault="00542B90" w:rsidP="001B1C65">
            <w:pPr>
              <w:pStyle w:val="Tabletextrightbold"/>
            </w:pPr>
          </w:p>
        </w:tc>
      </w:tr>
    </w:tbl>
    <w:p w:rsidR="005E7978" w:rsidRPr="00687A1C" w:rsidRDefault="005E7978" w:rsidP="005E7978"/>
    <w:p w:rsidR="00542B90" w:rsidRPr="00687A1C" w:rsidRDefault="00542B90" w:rsidP="005E7978"/>
    <w:p w:rsidR="00A5358C" w:rsidRPr="00687A1C" w:rsidRDefault="007F665C" w:rsidP="007F665C">
      <w:pPr>
        <w:pStyle w:val="Heading2"/>
      </w:pPr>
      <w:r w:rsidRPr="00687A1C">
        <w:t>Workforce inclusion policy</w:t>
      </w:r>
    </w:p>
    <w:p w:rsidR="00E460B4" w:rsidRPr="00687A1C" w:rsidRDefault="004E666E" w:rsidP="00E460B4">
      <w:r w:rsidRPr="00687A1C">
        <w:t xml:space="preserve">The Department </w:t>
      </w:r>
      <w:r w:rsidR="00E460B4" w:rsidRPr="00687A1C">
        <w:t xml:space="preserve">is working towards creating a balanced working environment where equal opportunity and diversity are valued. As part of our </w:t>
      </w:r>
      <w:r w:rsidRPr="00687A1C">
        <w:t xml:space="preserve">People Matter </w:t>
      </w:r>
      <w:r w:rsidR="009253F0" w:rsidRPr="00687A1C">
        <w:t>Action Plan, DTF has a 50:</w:t>
      </w:r>
      <w:r w:rsidR="00E460B4" w:rsidRPr="00687A1C">
        <w:t xml:space="preserve">50 target </w:t>
      </w:r>
      <w:r w:rsidRPr="00687A1C">
        <w:t xml:space="preserve">for </w:t>
      </w:r>
      <w:r w:rsidR="00E460B4" w:rsidRPr="00687A1C">
        <w:t xml:space="preserve">the executive gender profile. The following table outlines the </w:t>
      </w:r>
      <w:r w:rsidR="00D74564" w:rsidRPr="00687A1C">
        <w:t>Department</w:t>
      </w:r>
      <w:r w:rsidR="009469FE" w:rsidRPr="00687A1C">
        <w:t>’</w:t>
      </w:r>
      <w:r w:rsidR="00D74564" w:rsidRPr="00687A1C">
        <w:t xml:space="preserve">s </w:t>
      </w:r>
      <w:r w:rsidR="00E460B4" w:rsidRPr="00687A1C">
        <w:t>progr</w:t>
      </w:r>
      <w:r w:rsidR="009E6C16" w:rsidRPr="00687A1C">
        <w:t>ess against this target for 2017</w:t>
      </w:r>
      <w:r w:rsidR="00B336DF" w:rsidRPr="00687A1C">
        <w:noBreakHyphen/>
      </w:r>
      <w:r w:rsidR="00E460B4" w:rsidRPr="00687A1C">
        <w:t>1</w:t>
      </w:r>
      <w:r w:rsidR="009E6C16" w:rsidRPr="00687A1C">
        <w:t>8</w:t>
      </w:r>
      <w:r w:rsidR="00E460B4" w:rsidRPr="00687A1C">
        <w:t>.</w:t>
      </w:r>
    </w:p>
    <w:tbl>
      <w:tblPr>
        <w:tblStyle w:val="AnnualReporttexttable"/>
        <w:tblW w:w="9288" w:type="dxa"/>
        <w:tblLayout w:type="fixed"/>
        <w:tblLook w:val="0620" w:firstRow="1" w:lastRow="0" w:firstColumn="0" w:lastColumn="0" w:noHBand="1" w:noVBand="1"/>
      </w:tblPr>
      <w:tblGrid>
        <w:gridCol w:w="2322"/>
        <w:gridCol w:w="2322"/>
        <w:gridCol w:w="2322"/>
        <w:gridCol w:w="2322"/>
      </w:tblGrid>
      <w:tr w:rsidR="007F665C" w:rsidRPr="00687A1C" w:rsidTr="007F665C">
        <w:trPr>
          <w:cnfStyle w:val="100000000000" w:firstRow="1" w:lastRow="0" w:firstColumn="0" w:lastColumn="0" w:oddVBand="0" w:evenVBand="0" w:oddHBand="0" w:evenHBand="0" w:firstRowFirstColumn="0" w:firstRowLastColumn="0" w:lastRowFirstColumn="0" w:lastRowLastColumn="0"/>
          <w:trHeight w:val="313"/>
        </w:trPr>
        <w:tc>
          <w:tcPr>
            <w:tcW w:w="2322" w:type="dxa"/>
            <w:hideMark/>
          </w:tcPr>
          <w:p w:rsidR="007F665C" w:rsidRPr="00687A1C" w:rsidRDefault="007F665C" w:rsidP="007F665C">
            <w:pPr>
              <w:pStyle w:val="Tableheader"/>
              <w:jc w:val="left"/>
            </w:pPr>
            <w:r w:rsidRPr="00687A1C">
              <w:t>Workforce inclusion policy initiative</w:t>
            </w:r>
          </w:p>
        </w:tc>
        <w:tc>
          <w:tcPr>
            <w:tcW w:w="2322" w:type="dxa"/>
            <w:hideMark/>
          </w:tcPr>
          <w:p w:rsidR="007F665C" w:rsidRPr="00687A1C" w:rsidRDefault="007F665C" w:rsidP="007F665C">
            <w:pPr>
              <w:pStyle w:val="Tableheader"/>
              <w:jc w:val="left"/>
            </w:pPr>
            <w:r w:rsidRPr="00687A1C">
              <w:t>Target</w:t>
            </w:r>
          </w:p>
        </w:tc>
        <w:tc>
          <w:tcPr>
            <w:tcW w:w="2322" w:type="dxa"/>
            <w:hideMark/>
          </w:tcPr>
          <w:p w:rsidR="007F665C" w:rsidRPr="00687A1C" w:rsidRDefault="007F665C" w:rsidP="00352A50">
            <w:pPr>
              <w:pStyle w:val="Tableheader"/>
              <w:jc w:val="left"/>
            </w:pPr>
            <w:r w:rsidRPr="00687A1C">
              <w:t>Actual progress in 201</w:t>
            </w:r>
            <w:r w:rsidR="00352A50" w:rsidRPr="00687A1C">
              <w:t>7</w:t>
            </w:r>
            <w:r w:rsidR="00B336DF" w:rsidRPr="00687A1C">
              <w:noBreakHyphen/>
            </w:r>
            <w:r w:rsidR="00352A50" w:rsidRPr="00687A1C">
              <w:t>18</w:t>
            </w:r>
          </w:p>
        </w:tc>
        <w:tc>
          <w:tcPr>
            <w:tcW w:w="2322" w:type="dxa"/>
          </w:tcPr>
          <w:p w:rsidR="007F665C" w:rsidRPr="00687A1C" w:rsidRDefault="007F665C" w:rsidP="007F665C">
            <w:pPr>
              <w:pStyle w:val="Tableheader"/>
              <w:jc w:val="left"/>
            </w:pPr>
            <w:r w:rsidRPr="00687A1C">
              <w:t>A</w:t>
            </w:r>
            <w:r w:rsidR="00352A50" w:rsidRPr="00687A1C">
              <w:t>ctual progress in 2016</w:t>
            </w:r>
            <w:r w:rsidR="00B336DF" w:rsidRPr="00687A1C">
              <w:noBreakHyphen/>
            </w:r>
            <w:r w:rsidR="00352A50" w:rsidRPr="00687A1C">
              <w:t>17</w:t>
            </w:r>
          </w:p>
        </w:tc>
      </w:tr>
      <w:tr w:rsidR="007F665C" w:rsidRPr="00687A1C" w:rsidTr="00CD72C6">
        <w:tc>
          <w:tcPr>
            <w:tcW w:w="2322" w:type="dxa"/>
            <w:vMerge w:val="restart"/>
            <w:shd w:val="clear" w:color="auto" w:fill="E0E0E0"/>
            <w:vAlign w:val="center"/>
            <w:hideMark/>
          </w:tcPr>
          <w:p w:rsidR="007F665C" w:rsidRPr="00687A1C" w:rsidRDefault="007F665C" w:rsidP="007F665C">
            <w:pPr>
              <w:pStyle w:val="Tabletext"/>
            </w:pPr>
            <w:r w:rsidRPr="00687A1C">
              <w:t>Gender diversity at executive levels</w:t>
            </w:r>
          </w:p>
        </w:tc>
        <w:tc>
          <w:tcPr>
            <w:tcW w:w="2322" w:type="dxa"/>
            <w:hideMark/>
          </w:tcPr>
          <w:p w:rsidR="007F665C" w:rsidRPr="00687A1C" w:rsidRDefault="007F665C" w:rsidP="00CD72C6">
            <w:pPr>
              <w:pStyle w:val="Tabletext"/>
              <w:spacing w:after="0"/>
              <w:rPr>
                <w:b/>
              </w:rPr>
            </w:pPr>
            <w:r w:rsidRPr="00687A1C">
              <w:rPr>
                <w:b/>
              </w:rPr>
              <w:t xml:space="preserve">Executive </w:t>
            </w:r>
            <w:r w:rsidR="00CD72C6" w:rsidRPr="00687A1C">
              <w:rPr>
                <w:b/>
              </w:rPr>
              <w:t>officers</w:t>
            </w:r>
            <w:r w:rsidRPr="00687A1C">
              <w:rPr>
                <w:b/>
              </w:rPr>
              <w:t>:</w:t>
            </w:r>
          </w:p>
        </w:tc>
        <w:tc>
          <w:tcPr>
            <w:tcW w:w="2322" w:type="dxa"/>
            <w:hideMark/>
          </w:tcPr>
          <w:p w:rsidR="007F665C" w:rsidRPr="00687A1C" w:rsidRDefault="007F665C" w:rsidP="00CD72C6">
            <w:pPr>
              <w:pStyle w:val="Tabletext"/>
              <w:spacing w:after="0"/>
              <w:rPr>
                <w:b/>
              </w:rPr>
            </w:pPr>
            <w:r w:rsidRPr="00687A1C">
              <w:rPr>
                <w:b/>
              </w:rPr>
              <w:t xml:space="preserve">Executive </w:t>
            </w:r>
            <w:r w:rsidR="00CD72C6" w:rsidRPr="00687A1C">
              <w:rPr>
                <w:b/>
              </w:rPr>
              <w:t>officers</w:t>
            </w:r>
            <w:r w:rsidRPr="00687A1C">
              <w:rPr>
                <w:b/>
              </w:rPr>
              <w:t>:</w:t>
            </w:r>
          </w:p>
        </w:tc>
        <w:tc>
          <w:tcPr>
            <w:tcW w:w="2322" w:type="dxa"/>
          </w:tcPr>
          <w:p w:rsidR="007F665C" w:rsidRPr="00687A1C" w:rsidDel="002E5D8B" w:rsidRDefault="007F665C" w:rsidP="00CD72C6">
            <w:pPr>
              <w:pStyle w:val="Tabletext"/>
              <w:spacing w:after="0"/>
              <w:rPr>
                <w:b/>
              </w:rPr>
            </w:pPr>
            <w:r w:rsidRPr="00687A1C">
              <w:rPr>
                <w:b/>
              </w:rPr>
              <w:t xml:space="preserve">Executive </w:t>
            </w:r>
            <w:r w:rsidR="00CD72C6" w:rsidRPr="00687A1C">
              <w:rPr>
                <w:b/>
              </w:rPr>
              <w:t>officers</w:t>
            </w:r>
            <w:r w:rsidRPr="00687A1C">
              <w:rPr>
                <w:b/>
              </w:rPr>
              <w:t>:</w:t>
            </w:r>
          </w:p>
        </w:tc>
      </w:tr>
      <w:tr w:rsidR="007F665C" w:rsidRPr="00687A1C" w:rsidTr="00CD72C6">
        <w:tc>
          <w:tcPr>
            <w:tcW w:w="2322" w:type="dxa"/>
            <w:vMerge/>
            <w:shd w:val="clear" w:color="auto" w:fill="E0E0E0"/>
          </w:tcPr>
          <w:p w:rsidR="007F665C" w:rsidRPr="00687A1C" w:rsidRDefault="007F665C" w:rsidP="007F665C">
            <w:pPr>
              <w:pStyle w:val="Tabletext"/>
            </w:pPr>
          </w:p>
        </w:tc>
        <w:tc>
          <w:tcPr>
            <w:tcW w:w="2322" w:type="dxa"/>
          </w:tcPr>
          <w:p w:rsidR="009E6C16" w:rsidRPr="00687A1C" w:rsidRDefault="009E6C16" w:rsidP="009E6C16">
            <w:pPr>
              <w:pStyle w:val="Tabletext"/>
            </w:pPr>
            <w:r w:rsidRPr="00687A1C">
              <w:t>50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CD72C6" w:rsidRPr="00687A1C">
              <w:t xml:space="preserve"> male</w:t>
            </w:r>
          </w:p>
          <w:p w:rsidR="007F665C" w:rsidRPr="00687A1C" w:rsidRDefault="009E6C16" w:rsidP="009E6C16">
            <w:pPr>
              <w:pStyle w:val="Tabletext"/>
            </w:pPr>
            <w:r w:rsidRPr="00687A1C">
              <w:t>50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female</w:t>
            </w:r>
          </w:p>
        </w:tc>
        <w:tc>
          <w:tcPr>
            <w:tcW w:w="2322" w:type="dxa"/>
          </w:tcPr>
          <w:p w:rsidR="009E6C16" w:rsidRPr="00687A1C" w:rsidRDefault="007205C0" w:rsidP="009E6C16">
            <w:pPr>
              <w:pStyle w:val="Tabletext"/>
            </w:pPr>
            <w:r w:rsidRPr="00687A1C">
              <w:t>57</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CD72C6" w:rsidRPr="00687A1C">
              <w:t xml:space="preserve"> male</w:t>
            </w:r>
          </w:p>
          <w:p w:rsidR="007F665C" w:rsidRPr="00687A1C" w:rsidRDefault="007205C0" w:rsidP="009E6C16">
            <w:pPr>
              <w:pStyle w:val="Tabletext"/>
            </w:pPr>
            <w:r w:rsidRPr="00687A1C">
              <w:t>43</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9E6C16" w:rsidRPr="00687A1C">
              <w:t xml:space="preserve"> female</w:t>
            </w:r>
          </w:p>
        </w:tc>
        <w:tc>
          <w:tcPr>
            <w:tcW w:w="2322" w:type="dxa"/>
          </w:tcPr>
          <w:p w:rsidR="009E6C16" w:rsidRPr="00687A1C" w:rsidRDefault="009E6C16" w:rsidP="009E6C16">
            <w:pPr>
              <w:pStyle w:val="Tabletext"/>
            </w:pPr>
            <w:r w:rsidRPr="00687A1C">
              <w:t>65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CD72C6" w:rsidRPr="00687A1C">
              <w:t xml:space="preserve"> male</w:t>
            </w:r>
          </w:p>
          <w:p w:rsidR="007F665C" w:rsidRPr="00687A1C" w:rsidRDefault="009E6C16" w:rsidP="009E6C16">
            <w:pPr>
              <w:pStyle w:val="Tabletext"/>
            </w:pPr>
            <w:r w:rsidRPr="00687A1C">
              <w:t>35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female</w:t>
            </w:r>
          </w:p>
        </w:tc>
      </w:tr>
    </w:tbl>
    <w:p w:rsidR="00A044E3" w:rsidRPr="00687A1C" w:rsidRDefault="007205C0" w:rsidP="007205C0">
      <w:pPr>
        <w:pStyle w:val="Notes"/>
      </w:pPr>
      <w:r w:rsidRPr="00687A1C">
        <w:t xml:space="preserve">Note: The actual gender diversity reported excludes executives seconded to other agencies (five executives in total: four male, one female). </w:t>
      </w:r>
    </w:p>
    <w:p w:rsidR="00542B90" w:rsidRPr="00687A1C" w:rsidRDefault="00542B90" w:rsidP="007F665C">
      <w:pPr>
        <w:pStyle w:val="Notes"/>
      </w:pPr>
    </w:p>
    <w:p w:rsidR="00A044E3" w:rsidRPr="00687A1C" w:rsidRDefault="00A044E3" w:rsidP="007F665C">
      <w:pPr>
        <w:pStyle w:val="Heading2"/>
        <w:sectPr w:rsidR="00A044E3" w:rsidRPr="00687A1C" w:rsidSect="00BB311C">
          <w:headerReference w:type="even" r:id="rId124"/>
          <w:headerReference w:type="default" r:id="rId125"/>
          <w:footerReference w:type="even" r:id="rId126"/>
          <w:footerReference w:type="default" r:id="rId127"/>
          <w:pgSz w:w="11909" w:h="16834" w:code="9"/>
          <w:pgMar w:top="1728" w:right="1152" w:bottom="1260" w:left="1152" w:header="720" w:footer="288" w:gutter="0"/>
          <w:cols w:space="720"/>
          <w:noEndnote/>
        </w:sectPr>
      </w:pPr>
      <w:bookmarkStart w:id="170" w:name="_Toc477967497"/>
    </w:p>
    <w:p w:rsidR="007F665C" w:rsidRPr="00687A1C" w:rsidRDefault="007F665C" w:rsidP="007F665C">
      <w:pPr>
        <w:pStyle w:val="Heading2"/>
      </w:pPr>
      <w:r w:rsidRPr="00687A1C">
        <w:t>Executive officer data</w:t>
      </w:r>
      <w:bookmarkEnd w:id="170"/>
    </w:p>
    <w:p w:rsidR="001206C6" w:rsidRPr="00687A1C" w:rsidRDefault="001206C6" w:rsidP="001206C6">
      <w:r w:rsidRPr="00687A1C">
        <w:t xml:space="preserve">For a </w:t>
      </w:r>
      <w:r w:rsidR="009253F0" w:rsidRPr="00687A1C">
        <w:t>department</w:t>
      </w:r>
      <w:r w:rsidRPr="00687A1C">
        <w:t xml:space="preserve">, an executive officer (EO) is defined as a person employed as an executive under Part 3 of the </w:t>
      </w:r>
      <w:r w:rsidRPr="00687A1C">
        <w:rPr>
          <w:i/>
        </w:rPr>
        <w:t>Public Administration Act 2004</w:t>
      </w:r>
      <w:r w:rsidRPr="00687A1C">
        <w:t xml:space="preserve"> (PAA). For a public body, an EO is defined as an executive under Part 3 of the PAA or a person to whom the Victorian Government's Policy on Executive Remuneration in </w:t>
      </w:r>
      <w:r w:rsidR="009253F0" w:rsidRPr="00687A1C">
        <w:t xml:space="preserve">public </w:t>
      </w:r>
      <w:r w:rsidRPr="00687A1C">
        <w:t xml:space="preserve">entities applies. All figures reflect employment levels at the last full pay period in June of the current and corresponding previous reporting year. </w:t>
      </w:r>
    </w:p>
    <w:p w:rsidR="001C184C" w:rsidRDefault="001206C6" w:rsidP="001206C6">
      <w:r w:rsidRPr="00687A1C">
        <w:t>The definition of an EO does not include a statutory office holder or an Accountable Officer.</w:t>
      </w:r>
    </w:p>
    <w:p w:rsidR="001206C6" w:rsidRPr="00687A1C" w:rsidRDefault="001206C6" w:rsidP="001206C6">
      <w:r w:rsidRPr="00687A1C">
        <w:br w:type="column"/>
      </w:r>
      <w:r w:rsidRPr="00687A1C">
        <w:t>The following tables disclose the EOs of the Department and it</w:t>
      </w:r>
      <w:r w:rsidR="007205C0" w:rsidRPr="00687A1C">
        <w:t>s</w:t>
      </w:r>
      <w:r w:rsidRPr="00687A1C">
        <w:t xml:space="preserve"> portfolio agencies for </w:t>
      </w:r>
      <w:r w:rsidRPr="00687A1C">
        <w:br/>
        <w:t>30 June 2018:</w:t>
      </w:r>
    </w:p>
    <w:p w:rsidR="001206C6" w:rsidRPr="00687A1C" w:rsidRDefault="001206C6" w:rsidP="001206C6">
      <w:pPr>
        <w:pStyle w:val="Bullet"/>
      </w:pPr>
      <w:r w:rsidRPr="00687A1C">
        <w:t>Table 1 discloses the total numbers of EOs for the Department, broken down by gender;</w:t>
      </w:r>
    </w:p>
    <w:p w:rsidR="001206C6" w:rsidRPr="00687A1C" w:rsidRDefault="001206C6" w:rsidP="001206C6">
      <w:pPr>
        <w:pStyle w:val="Bullet"/>
      </w:pPr>
      <w:r w:rsidRPr="00687A1C">
        <w:t>Table 2 provides a reconciliation of executive numbers presented between the report of operations and Note 9.8 'Remuneration of executives' in the financial statements;</w:t>
      </w:r>
    </w:p>
    <w:p w:rsidR="001206C6" w:rsidRPr="00687A1C" w:rsidRDefault="001206C6" w:rsidP="001206C6">
      <w:pPr>
        <w:pStyle w:val="Bullet"/>
      </w:pPr>
      <w:r w:rsidRPr="00687A1C">
        <w:t>Table 3 provides the total executive numbers for all of the Department's portfolio agencies; and</w:t>
      </w:r>
    </w:p>
    <w:p w:rsidR="007F665C" w:rsidRPr="00687A1C" w:rsidRDefault="001206C6" w:rsidP="007F665C">
      <w:pPr>
        <w:pStyle w:val="Bullet"/>
      </w:pPr>
      <w:r w:rsidRPr="00687A1C">
        <w:t xml:space="preserve">Tables 1 to 3 also disclose the variations, denoted by 'var', between the current and previous reporting periods. </w:t>
      </w:r>
    </w:p>
    <w:p w:rsidR="00A044E3" w:rsidRPr="00687A1C" w:rsidRDefault="00A044E3" w:rsidP="007F665C">
      <w:pPr>
        <w:pStyle w:val="Tableheading"/>
        <w:sectPr w:rsidR="00A044E3" w:rsidRPr="00687A1C" w:rsidSect="00A044E3">
          <w:type w:val="continuous"/>
          <w:pgSz w:w="11909" w:h="16834" w:code="9"/>
          <w:pgMar w:top="1728" w:right="1152" w:bottom="1260" w:left="1152" w:header="720" w:footer="288" w:gutter="0"/>
          <w:cols w:num="2" w:space="720"/>
          <w:noEndnote/>
        </w:sectPr>
      </w:pPr>
    </w:p>
    <w:p w:rsidR="007F665C" w:rsidRPr="00687A1C" w:rsidRDefault="007F665C" w:rsidP="007F665C">
      <w:pPr>
        <w:pStyle w:val="Tableheading"/>
      </w:pPr>
      <w:r w:rsidRPr="00687A1C">
        <w:lastRenderedPageBreak/>
        <w:t>Total number of EOs for the Department, broken down into gender</w:t>
      </w:r>
    </w:p>
    <w:tbl>
      <w:tblPr>
        <w:tblStyle w:val="AnnualReporttexttable"/>
        <w:tblW w:w="6324" w:type="dxa"/>
        <w:tblLayout w:type="fixed"/>
        <w:tblCellMar>
          <w:left w:w="86" w:type="dxa"/>
          <w:right w:w="86" w:type="dxa"/>
        </w:tblCellMar>
        <w:tblLook w:val="06E0" w:firstRow="1" w:lastRow="1" w:firstColumn="1" w:lastColumn="0" w:noHBand="1" w:noVBand="1"/>
      </w:tblPr>
      <w:tblGrid>
        <w:gridCol w:w="2146"/>
        <w:gridCol w:w="693"/>
        <w:gridCol w:w="693"/>
        <w:gridCol w:w="693"/>
        <w:gridCol w:w="585"/>
        <w:gridCol w:w="790"/>
        <w:gridCol w:w="724"/>
      </w:tblGrid>
      <w:tr w:rsidR="00313C69" w:rsidRPr="00687A1C" w:rsidTr="004A5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rsidR="00313C69" w:rsidRPr="00687A1C" w:rsidRDefault="00313C69" w:rsidP="00501934">
            <w:pPr>
              <w:pStyle w:val="Tabletext"/>
            </w:pPr>
          </w:p>
        </w:tc>
        <w:tc>
          <w:tcPr>
            <w:tcW w:w="1386" w:type="dxa"/>
            <w:gridSpan w:val="2"/>
            <w:shd w:val="clear" w:color="auto" w:fill="E0E0E0"/>
          </w:tcPr>
          <w:p w:rsidR="00313C69" w:rsidRPr="00687A1C" w:rsidRDefault="00313C69" w:rsidP="00501934">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All</w:t>
            </w:r>
          </w:p>
        </w:tc>
        <w:tc>
          <w:tcPr>
            <w:tcW w:w="1278" w:type="dxa"/>
            <w:gridSpan w:val="2"/>
          </w:tcPr>
          <w:p w:rsidR="00313C69" w:rsidRPr="00687A1C" w:rsidRDefault="00313C69" w:rsidP="00501934">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Male</w:t>
            </w:r>
          </w:p>
        </w:tc>
        <w:tc>
          <w:tcPr>
            <w:tcW w:w="1514" w:type="dxa"/>
            <w:gridSpan w:val="2"/>
            <w:shd w:val="clear" w:color="auto" w:fill="E0E0E0"/>
          </w:tcPr>
          <w:p w:rsidR="00313C69" w:rsidRPr="00687A1C" w:rsidRDefault="00313C69" w:rsidP="00501934">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Female</w:t>
            </w:r>
          </w:p>
        </w:tc>
      </w:tr>
      <w:tr w:rsidR="00313C69" w:rsidRPr="00687A1C" w:rsidTr="004A523B">
        <w:tc>
          <w:tcPr>
            <w:cnfStyle w:val="001000000000" w:firstRow="0" w:lastRow="0" w:firstColumn="1" w:lastColumn="0" w:oddVBand="0" w:evenVBand="0" w:oddHBand="0" w:evenHBand="0" w:firstRowFirstColumn="0" w:firstRowLastColumn="0" w:lastRowFirstColumn="0" w:lastRowLastColumn="0"/>
            <w:tcW w:w="2146" w:type="dxa"/>
          </w:tcPr>
          <w:p w:rsidR="00313C69" w:rsidRPr="00687A1C" w:rsidRDefault="00313C69" w:rsidP="00501934">
            <w:pPr>
              <w:pStyle w:val="Tabletextheadingleft"/>
            </w:pPr>
            <w:r w:rsidRPr="00687A1C">
              <w:t>Class</w:t>
            </w:r>
          </w:p>
        </w:tc>
        <w:tc>
          <w:tcPr>
            <w:tcW w:w="693" w:type="dxa"/>
            <w:shd w:val="clear" w:color="auto" w:fill="E0E0E0"/>
          </w:tcPr>
          <w:p w:rsidR="00313C69" w:rsidRPr="00687A1C" w:rsidRDefault="00313C69"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No.</w:t>
            </w:r>
          </w:p>
        </w:tc>
        <w:tc>
          <w:tcPr>
            <w:tcW w:w="693" w:type="dxa"/>
            <w:shd w:val="clear" w:color="auto" w:fill="E0E0E0"/>
          </w:tcPr>
          <w:p w:rsidR="00313C69" w:rsidRPr="00687A1C" w:rsidRDefault="00313C69"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Var.</w:t>
            </w:r>
          </w:p>
        </w:tc>
        <w:tc>
          <w:tcPr>
            <w:tcW w:w="693" w:type="dxa"/>
          </w:tcPr>
          <w:p w:rsidR="00313C69" w:rsidRPr="00687A1C" w:rsidRDefault="00313C69"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No.</w:t>
            </w:r>
          </w:p>
        </w:tc>
        <w:tc>
          <w:tcPr>
            <w:tcW w:w="585" w:type="dxa"/>
          </w:tcPr>
          <w:p w:rsidR="00313C69" w:rsidRPr="00687A1C" w:rsidRDefault="00313C69" w:rsidP="004A523B">
            <w:pPr>
              <w:pStyle w:val="Tabletextheadingright"/>
              <w:cnfStyle w:val="000000000000" w:firstRow="0" w:lastRow="0" w:firstColumn="0" w:lastColumn="0" w:oddVBand="0" w:evenVBand="0" w:oddHBand="0" w:evenHBand="0" w:firstRowFirstColumn="0" w:firstRowLastColumn="0" w:lastRowFirstColumn="0" w:lastRowLastColumn="0"/>
            </w:pPr>
            <w:r w:rsidRPr="00687A1C">
              <w:t>Var.</w:t>
            </w:r>
          </w:p>
        </w:tc>
        <w:tc>
          <w:tcPr>
            <w:tcW w:w="790" w:type="dxa"/>
            <w:shd w:val="clear" w:color="auto" w:fill="E0E0E0"/>
          </w:tcPr>
          <w:p w:rsidR="00313C69" w:rsidRPr="00687A1C" w:rsidRDefault="00313C69" w:rsidP="004A523B">
            <w:pPr>
              <w:pStyle w:val="Tabletextheadingright"/>
              <w:cnfStyle w:val="000000000000" w:firstRow="0" w:lastRow="0" w:firstColumn="0" w:lastColumn="0" w:oddVBand="0" w:evenVBand="0" w:oddHBand="0" w:evenHBand="0" w:firstRowFirstColumn="0" w:firstRowLastColumn="0" w:lastRowFirstColumn="0" w:lastRowLastColumn="0"/>
            </w:pPr>
            <w:r w:rsidRPr="00687A1C">
              <w:t>No.</w:t>
            </w:r>
          </w:p>
        </w:tc>
        <w:tc>
          <w:tcPr>
            <w:tcW w:w="724" w:type="dxa"/>
            <w:shd w:val="clear" w:color="auto" w:fill="E0E0E0"/>
          </w:tcPr>
          <w:p w:rsidR="00313C69" w:rsidRPr="00687A1C" w:rsidRDefault="00313C69" w:rsidP="004A523B">
            <w:pPr>
              <w:pStyle w:val="Tabletextheadingright"/>
              <w:cnfStyle w:val="000000000000" w:firstRow="0" w:lastRow="0" w:firstColumn="0" w:lastColumn="0" w:oddVBand="0" w:evenVBand="0" w:oddHBand="0" w:evenHBand="0" w:firstRowFirstColumn="0" w:firstRowLastColumn="0" w:lastRowFirstColumn="0" w:lastRowLastColumn="0"/>
            </w:pPr>
            <w:r w:rsidRPr="00687A1C">
              <w:t>Var.</w:t>
            </w:r>
          </w:p>
        </w:tc>
      </w:tr>
      <w:tr w:rsidR="00282661" w:rsidRPr="00687A1C" w:rsidTr="007C1C44">
        <w:tc>
          <w:tcPr>
            <w:cnfStyle w:val="001000000000" w:firstRow="0" w:lastRow="0" w:firstColumn="1" w:lastColumn="0" w:oddVBand="0" w:evenVBand="0" w:oddHBand="0" w:evenHBand="0" w:firstRowFirstColumn="0" w:firstRowLastColumn="0" w:lastRowFirstColumn="0" w:lastRowLastColumn="0"/>
            <w:tcW w:w="2146" w:type="dxa"/>
          </w:tcPr>
          <w:p w:rsidR="00282661" w:rsidRPr="00687A1C" w:rsidRDefault="00282661" w:rsidP="00501934">
            <w:pPr>
              <w:pStyle w:val="Tabletext"/>
            </w:pPr>
            <w:r w:rsidRPr="00687A1C">
              <w:t>EO</w:t>
            </w:r>
            <w:r w:rsidRPr="00687A1C">
              <w:noBreakHyphen/>
              <w:t>1</w:t>
            </w:r>
          </w:p>
        </w:tc>
        <w:tc>
          <w:tcPr>
            <w:tcW w:w="693"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4</w:t>
            </w:r>
          </w:p>
        </w:tc>
        <w:tc>
          <w:tcPr>
            <w:tcW w:w="693"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93" w:type="dxa"/>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c>
          <w:tcPr>
            <w:tcW w:w="585" w:type="dxa"/>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90"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c>
          <w:tcPr>
            <w:tcW w:w="724"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282661" w:rsidRPr="00687A1C" w:rsidTr="007C1C44">
        <w:tc>
          <w:tcPr>
            <w:cnfStyle w:val="001000000000" w:firstRow="0" w:lastRow="0" w:firstColumn="1" w:lastColumn="0" w:oddVBand="0" w:evenVBand="0" w:oddHBand="0" w:evenHBand="0" w:firstRowFirstColumn="0" w:firstRowLastColumn="0" w:lastRowFirstColumn="0" w:lastRowLastColumn="0"/>
            <w:tcW w:w="2146" w:type="dxa"/>
          </w:tcPr>
          <w:p w:rsidR="00282661" w:rsidRPr="00687A1C" w:rsidRDefault="00282661" w:rsidP="00501934">
            <w:pPr>
              <w:pStyle w:val="Tabletext"/>
            </w:pPr>
            <w:r w:rsidRPr="00687A1C">
              <w:t>EO</w:t>
            </w:r>
            <w:r w:rsidRPr="00687A1C">
              <w:noBreakHyphen/>
              <w:t>2</w:t>
            </w:r>
          </w:p>
        </w:tc>
        <w:tc>
          <w:tcPr>
            <w:tcW w:w="693"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20</w:t>
            </w:r>
          </w:p>
        </w:tc>
        <w:tc>
          <w:tcPr>
            <w:tcW w:w="693"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93" w:type="dxa"/>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12</w:t>
            </w:r>
          </w:p>
        </w:tc>
        <w:tc>
          <w:tcPr>
            <w:tcW w:w="585" w:type="dxa"/>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790"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8</w:t>
            </w:r>
          </w:p>
        </w:tc>
        <w:tc>
          <w:tcPr>
            <w:tcW w:w="724"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r>
      <w:tr w:rsidR="00282661" w:rsidRPr="00687A1C" w:rsidTr="007C1C44">
        <w:tc>
          <w:tcPr>
            <w:cnfStyle w:val="001000000000" w:firstRow="0" w:lastRow="0" w:firstColumn="1" w:lastColumn="0" w:oddVBand="0" w:evenVBand="0" w:oddHBand="0" w:evenHBand="0" w:firstRowFirstColumn="0" w:firstRowLastColumn="0" w:lastRowFirstColumn="0" w:lastRowLastColumn="0"/>
            <w:tcW w:w="2146" w:type="dxa"/>
          </w:tcPr>
          <w:p w:rsidR="00282661" w:rsidRPr="00687A1C" w:rsidRDefault="00282661" w:rsidP="00501934">
            <w:pPr>
              <w:pStyle w:val="Tabletext"/>
            </w:pPr>
            <w:r w:rsidRPr="00687A1C">
              <w:t>EO</w:t>
            </w:r>
            <w:r w:rsidRPr="00687A1C">
              <w:noBreakHyphen/>
              <w:t>3</w:t>
            </w:r>
          </w:p>
        </w:tc>
        <w:tc>
          <w:tcPr>
            <w:tcW w:w="693"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53</w:t>
            </w:r>
          </w:p>
        </w:tc>
        <w:tc>
          <w:tcPr>
            <w:tcW w:w="693"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12</w:t>
            </w:r>
          </w:p>
        </w:tc>
        <w:tc>
          <w:tcPr>
            <w:tcW w:w="693" w:type="dxa"/>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30</w:t>
            </w:r>
          </w:p>
        </w:tc>
        <w:tc>
          <w:tcPr>
            <w:tcW w:w="585" w:type="dxa"/>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5</w:t>
            </w:r>
          </w:p>
        </w:tc>
        <w:tc>
          <w:tcPr>
            <w:tcW w:w="790"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23</w:t>
            </w:r>
          </w:p>
        </w:tc>
        <w:tc>
          <w:tcPr>
            <w:tcW w:w="724" w:type="dxa"/>
            <w:shd w:val="clear" w:color="auto" w:fill="E0E0E0"/>
            <w:vAlign w:val="bottom"/>
          </w:tcPr>
          <w:p w:rsidR="00282661" w:rsidRPr="00687A1C" w:rsidRDefault="00282661" w:rsidP="0038487C">
            <w:pPr>
              <w:pStyle w:val="Tabletextright"/>
              <w:cnfStyle w:val="000000000000" w:firstRow="0" w:lastRow="0" w:firstColumn="0" w:lastColumn="0" w:oddVBand="0" w:evenVBand="0" w:oddHBand="0" w:evenHBand="0" w:firstRowFirstColumn="0" w:firstRowLastColumn="0" w:lastRowFirstColumn="0" w:lastRowLastColumn="0"/>
            </w:pPr>
            <w:r w:rsidRPr="00687A1C">
              <w:t>7</w:t>
            </w:r>
          </w:p>
        </w:tc>
      </w:tr>
      <w:tr w:rsidR="00282661" w:rsidRPr="00687A1C" w:rsidTr="007C1C44">
        <w:tc>
          <w:tcPr>
            <w:cnfStyle w:val="001000000000" w:firstRow="0" w:lastRow="0" w:firstColumn="1" w:lastColumn="0" w:oddVBand="0" w:evenVBand="0" w:oddHBand="0" w:evenHBand="0" w:firstRowFirstColumn="0" w:firstRowLastColumn="0" w:lastRowFirstColumn="0" w:lastRowLastColumn="0"/>
            <w:tcW w:w="2146" w:type="dxa"/>
          </w:tcPr>
          <w:p w:rsidR="00282661" w:rsidRPr="00687A1C" w:rsidRDefault="00282661" w:rsidP="00501934">
            <w:pPr>
              <w:pStyle w:val="Tabletext"/>
              <w:rPr>
                <w:b/>
              </w:rPr>
            </w:pPr>
            <w:r w:rsidRPr="00687A1C">
              <w:rPr>
                <w:b/>
              </w:rPr>
              <w:t>Total</w:t>
            </w:r>
          </w:p>
        </w:tc>
        <w:tc>
          <w:tcPr>
            <w:tcW w:w="693" w:type="dxa"/>
            <w:shd w:val="clear" w:color="auto" w:fill="E0E0E0"/>
            <w:vAlign w:val="bottom"/>
          </w:tcPr>
          <w:p w:rsidR="00282661" w:rsidRPr="00687A1C" w:rsidRDefault="00282661" w:rsidP="0038487C">
            <w:pPr>
              <w:pStyle w:val="Tabletextrightbold"/>
              <w:cnfStyle w:val="000000000000" w:firstRow="0" w:lastRow="0" w:firstColumn="0" w:lastColumn="0" w:oddVBand="0" w:evenVBand="0" w:oddHBand="0" w:evenHBand="0" w:firstRowFirstColumn="0" w:firstRowLastColumn="0" w:lastRowFirstColumn="0" w:lastRowLastColumn="0"/>
            </w:pPr>
            <w:r w:rsidRPr="00687A1C">
              <w:t>77</w:t>
            </w:r>
          </w:p>
        </w:tc>
        <w:tc>
          <w:tcPr>
            <w:tcW w:w="693" w:type="dxa"/>
            <w:shd w:val="clear" w:color="auto" w:fill="E0E0E0"/>
            <w:vAlign w:val="bottom"/>
          </w:tcPr>
          <w:p w:rsidR="00282661" w:rsidRPr="00687A1C" w:rsidRDefault="00282661" w:rsidP="0038487C">
            <w:pPr>
              <w:pStyle w:val="Tabletextrightbold"/>
              <w:cnfStyle w:val="000000000000" w:firstRow="0" w:lastRow="0" w:firstColumn="0" w:lastColumn="0" w:oddVBand="0" w:evenVBand="0" w:oddHBand="0" w:evenHBand="0" w:firstRowFirstColumn="0" w:firstRowLastColumn="0" w:lastRowFirstColumn="0" w:lastRowLastColumn="0"/>
            </w:pPr>
            <w:r w:rsidRPr="00687A1C">
              <w:t>10</w:t>
            </w:r>
          </w:p>
        </w:tc>
        <w:tc>
          <w:tcPr>
            <w:tcW w:w="693" w:type="dxa"/>
            <w:vAlign w:val="bottom"/>
          </w:tcPr>
          <w:p w:rsidR="00282661" w:rsidRPr="00687A1C" w:rsidRDefault="00282661" w:rsidP="0038487C">
            <w:pPr>
              <w:pStyle w:val="Tabletextrightbold"/>
              <w:cnfStyle w:val="000000000000" w:firstRow="0" w:lastRow="0" w:firstColumn="0" w:lastColumn="0" w:oddVBand="0" w:evenVBand="0" w:oddHBand="0" w:evenHBand="0" w:firstRowFirstColumn="0" w:firstRowLastColumn="0" w:lastRowFirstColumn="0" w:lastRowLastColumn="0"/>
            </w:pPr>
            <w:r w:rsidRPr="00687A1C">
              <w:t>42</w:t>
            </w:r>
          </w:p>
        </w:tc>
        <w:tc>
          <w:tcPr>
            <w:tcW w:w="585" w:type="dxa"/>
            <w:vAlign w:val="bottom"/>
          </w:tcPr>
          <w:p w:rsidR="00282661" w:rsidRPr="00687A1C" w:rsidRDefault="00282661" w:rsidP="0038487C">
            <w:pPr>
              <w:pStyle w:val="Tabletextrightbold"/>
              <w:cnfStyle w:val="000000000000" w:firstRow="0" w:lastRow="0" w:firstColumn="0" w:lastColumn="0" w:oddVBand="0" w:evenVBand="0" w:oddHBand="0" w:evenHBand="0" w:firstRowFirstColumn="0" w:firstRowLastColumn="0" w:lastRowFirstColumn="0" w:lastRowLastColumn="0"/>
            </w:pPr>
            <w:r w:rsidRPr="00687A1C">
              <w:t>1</w:t>
            </w:r>
          </w:p>
        </w:tc>
        <w:tc>
          <w:tcPr>
            <w:tcW w:w="790" w:type="dxa"/>
            <w:shd w:val="clear" w:color="auto" w:fill="E0E0E0"/>
            <w:vAlign w:val="bottom"/>
          </w:tcPr>
          <w:p w:rsidR="00282661" w:rsidRPr="00687A1C" w:rsidRDefault="00282661" w:rsidP="0038487C">
            <w:pPr>
              <w:pStyle w:val="Tabletextrightbold"/>
              <w:cnfStyle w:val="000000000000" w:firstRow="0" w:lastRow="0" w:firstColumn="0" w:lastColumn="0" w:oddVBand="0" w:evenVBand="0" w:oddHBand="0" w:evenHBand="0" w:firstRowFirstColumn="0" w:firstRowLastColumn="0" w:lastRowFirstColumn="0" w:lastRowLastColumn="0"/>
            </w:pPr>
            <w:r w:rsidRPr="00687A1C">
              <w:t>33</w:t>
            </w:r>
          </w:p>
        </w:tc>
        <w:tc>
          <w:tcPr>
            <w:tcW w:w="724" w:type="dxa"/>
            <w:shd w:val="clear" w:color="auto" w:fill="E0E0E0"/>
            <w:vAlign w:val="bottom"/>
          </w:tcPr>
          <w:p w:rsidR="00282661" w:rsidRPr="00687A1C" w:rsidRDefault="00282661" w:rsidP="0038487C">
            <w:pPr>
              <w:pStyle w:val="Tabletextrightbold"/>
              <w:cnfStyle w:val="000000000000" w:firstRow="0" w:lastRow="0" w:firstColumn="0" w:lastColumn="0" w:oddVBand="0" w:evenVBand="0" w:oddHBand="0" w:evenHBand="0" w:firstRowFirstColumn="0" w:firstRowLastColumn="0" w:lastRowFirstColumn="0" w:lastRowLastColumn="0"/>
            </w:pPr>
            <w:r w:rsidRPr="00687A1C">
              <w:t>9</w:t>
            </w:r>
          </w:p>
        </w:tc>
      </w:tr>
    </w:tbl>
    <w:p w:rsidR="00E83046" w:rsidRPr="00687A1C" w:rsidRDefault="00E83046" w:rsidP="00E83046">
      <w:pPr>
        <w:pStyle w:val="Notes"/>
      </w:pPr>
      <w:r w:rsidRPr="00687A1C">
        <w:t>Table excludes the Essential Services Commission and the State Revenue Office.</w:t>
      </w:r>
    </w:p>
    <w:p w:rsidR="00E83046" w:rsidRPr="00687A1C" w:rsidRDefault="00E83046" w:rsidP="00E83046">
      <w:pPr>
        <w:pStyle w:val="Notes"/>
      </w:pPr>
      <w:r w:rsidRPr="00687A1C">
        <w:t>Table excludes the Secretary (Accountable Officer).</w:t>
      </w:r>
    </w:p>
    <w:p w:rsidR="00282661" w:rsidRPr="00687A1C" w:rsidRDefault="00282661" w:rsidP="00282661">
      <w:pPr>
        <w:pStyle w:val="Notes"/>
      </w:pPr>
      <w:r w:rsidRPr="00687A1C">
        <w:t>Table excludes five EOs seconded to other agencies (one female EO-2, two male EO-2s and two male EO-3s).</w:t>
      </w:r>
    </w:p>
    <w:p w:rsidR="00E460B4" w:rsidRPr="00687A1C" w:rsidRDefault="00E83046" w:rsidP="00E83046">
      <w:pPr>
        <w:pStyle w:val="Notes"/>
      </w:pPr>
      <w:r w:rsidRPr="00687A1C">
        <w:t>Var column indicates the variation between the current and previous reporting periods.</w:t>
      </w:r>
    </w:p>
    <w:p w:rsidR="00E83046" w:rsidRPr="00687A1C" w:rsidRDefault="00E83046" w:rsidP="008326E8">
      <w:pPr>
        <w:pStyle w:val="Spacer"/>
      </w:pPr>
    </w:p>
    <w:p w:rsidR="00A044E3" w:rsidRPr="00687A1C" w:rsidRDefault="00A044E3" w:rsidP="007F665C">
      <w:pPr>
        <w:sectPr w:rsidR="00A044E3" w:rsidRPr="00687A1C" w:rsidSect="00A044E3">
          <w:pgSz w:w="11909" w:h="16834" w:code="9"/>
          <w:pgMar w:top="1728" w:right="1152" w:bottom="1267" w:left="1152" w:header="720" w:footer="288" w:gutter="0"/>
          <w:cols w:space="720"/>
          <w:noEndnote/>
        </w:sectPr>
      </w:pPr>
    </w:p>
    <w:p w:rsidR="00A044E3" w:rsidRPr="00687A1C" w:rsidRDefault="007F665C" w:rsidP="007F665C">
      <w:r w:rsidRPr="00687A1C">
        <w:t>The number of executives in the Report of Operations is based on the number of executive positions that are occupied at the end of the financial year. Note 9.</w:t>
      </w:r>
      <w:r w:rsidR="00DF015F" w:rsidRPr="00687A1C">
        <w:t>3</w:t>
      </w:r>
      <w:r w:rsidRPr="00687A1C">
        <w:t xml:space="preserve"> in the financial statements lists the actual number of EOs and the total remuneration paid to EOs over the course of the reporting period. </w:t>
      </w:r>
    </w:p>
    <w:p w:rsidR="007F665C" w:rsidRPr="00687A1C" w:rsidRDefault="00A044E3" w:rsidP="007F665C">
      <w:r w:rsidRPr="00687A1C">
        <w:br w:type="column"/>
      </w:r>
      <w:r w:rsidR="007F665C" w:rsidRPr="00687A1C">
        <w:t>The financial statements note does not include the Accountable Officer, nor does it distinguish between executive levels or disclose separations. Separations are executives who have left the Department during the relevant reporting period. To assist readers, these two disclosures are reconciled below.</w:t>
      </w:r>
    </w:p>
    <w:p w:rsidR="00A044E3" w:rsidRPr="00687A1C" w:rsidRDefault="00A044E3" w:rsidP="004A523B">
      <w:pPr>
        <w:pStyle w:val="Tableheading"/>
        <w:sectPr w:rsidR="00A044E3" w:rsidRPr="00687A1C" w:rsidSect="00A044E3">
          <w:type w:val="continuous"/>
          <w:pgSz w:w="11909" w:h="16834" w:code="9"/>
          <w:pgMar w:top="1728" w:right="1152" w:bottom="1260" w:left="1152" w:header="720" w:footer="288" w:gutter="0"/>
          <w:cols w:num="2" w:space="720"/>
          <w:noEndnote/>
        </w:sectPr>
      </w:pPr>
    </w:p>
    <w:p w:rsidR="004A523B" w:rsidRPr="00687A1C" w:rsidRDefault="004A523B" w:rsidP="004A523B">
      <w:pPr>
        <w:pStyle w:val="Tableheading"/>
      </w:pPr>
      <w:r w:rsidRPr="00687A1C">
        <w:t xml:space="preserve">Reconciliation of DTF </w:t>
      </w:r>
      <w:r w:rsidR="00CD72C6" w:rsidRPr="00687A1C">
        <w:t>executive officer</w:t>
      </w:r>
      <w:r w:rsidRPr="00687A1C">
        <w:t xml:space="preserve"> numbers: June 201</w:t>
      </w:r>
      <w:r w:rsidR="00BA5247" w:rsidRPr="00687A1C">
        <w:t>8</w:t>
      </w:r>
    </w:p>
    <w:tbl>
      <w:tblPr>
        <w:tblW w:w="5598" w:type="dxa"/>
        <w:tblLook w:val="01E0" w:firstRow="1" w:lastRow="1" w:firstColumn="1" w:lastColumn="1" w:noHBand="0" w:noVBand="0"/>
      </w:tblPr>
      <w:tblGrid>
        <w:gridCol w:w="4788"/>
        <w:gridCol w:w="810"/>
      </w:tblGrid>
      <w:tr w:rsidR="00282661" w:rsidRPr="00687A1C" w:rsidTr="00282661">
        <w:tc>
          <w:tcPr>
            <w:tcW w:w="4788" w:type="dxa"/>
            <w:shd w:val="clear" w:color="auto" w:fill="auto"/>
          </w:tcPr>
          <w:p w:rsidR="00282661" w:rsidRPr="00687A1C" w:rsidRDefault="00282661" w:rsidP="007C1C44">
            <w:pPr>
              <w:pStyle w:val="Tabletext"/>
            </w:pPr>
          </w:p>
        </w:tc>
        <w:tc>
          <w:tcPr>
            <w:tcW w:w="810" w:type="dxa"/>
            <w:shd w:val="clear" w:color="auto" w:fill="auto"/>
            <w:vAlign w:val="bottom"/>
          </w:tcPr>
          <w:p w:rsidR="00282661" w:rsidRPr="00687A1C" w:rsidRDefault="00282661" w:rsidP="00352A50">
            <w:pPr>
              <w:pStyle w:val="Tabletextheadingright"/>
            </w:pPr>
            <w:r w:rsidRPr="00687A1C">
              <w:t>2018</w:t>
            </w:r>
          </w:p>
        </w:tc>
      </w:tr>
      <w:tr w:rsidR="00282661" w:rsidRPr="00687A1C" w:rsidTr="00282661">
        <w:tc>
          <w:tcPr>
            <w:tcW w:w="4788" w:type="dxa"/>
            <w:shd w:val="clear" w:color="auto" w:fill="auto"/>
            <w:vAlign w:val="bottom"/>
          </w:tcPr>
          <w:p w:rsidR="00282661" w:rsidRPr="00687A1C" w:rsidRDefault="00282661" w:rsidP="007C1C44">
            <w:pPr>
              <w:pStyle w:val="Tabletext"/>
            </w:pPr>
            <w:r w:rsidRPr="00687A1C">
              <w:t>Executives</w:t>
            </w:r>
          </w:p>
        </w:tc>
        <w:tc>
          <w:tcPr>
            <w:tcW w:w="810" w:type="dxa"/>
            <w:shd w:val="clear" w:color="auto" w:fill="E0E0E0"/>
            <w:vAlign w:val="bottom"/>
          </w:tcPr>
          <w:p w:rsidR="00282661" w:rsidRPr="00687A1C" w:rsidRDefault="00282661" w:rsidP="0038487C">
            <w:pPr>
              <w:pStyle w:val="Tabletextright"/>
            </w:pPr>
            <w:r w:rsidRPr="00687A1C">
              <w:t>87</w:t>
            </w:r>
          </w:p>
        </w:tc>
      </w:tr>
      <w:tr w:rsidR="00282661" w:rsidRPr="00687A1C" w:rsidTr="00282661">
        <w:tc>
          <w:tcPr>
            <w:tcW w:w="4788" w:type="dxa"/>
            <w:shd w:val="clear" w:color="auto" w:fill="auto"/>
            <w:vAlign w:val="bottom"/>
          </w:tcPr>
          <w:p w:rsidR="00282661" w:rsidRPr="00687A1C" w:rsidRDefault="00282661" w:rsidP="007C1C44">
            <w:pPr>
              <w:pStyle w:val="Tabletext"/>
            </w:pPr>
            <w:r w:rsidRPr="00687A1C">
              <w:t>Accountable Officer (Secretary)</w:t>
            </w:r>
          </w:p>
        </w:tc>
        <w:tc>
          <w:tcPr>
            <w:tcW w:w="810" w:type="dxa"/>
            <w:shd w:val="clear" w:color="auto" w:fill="E0E0E0"/>
            <w:vAlign w:val="bottom"/>
          </w:tcPr>
          <w:p w:rsidR="00282661" w:rsidRPr="00687A1C" w:rsidRDefault="00282661" w:rsidP="0038487C">
            <w:pPr>
              <w:pStyle w:val="Tabletextright"/>
            </w:pPr>
            <w:r w:rsidRPr="00687A1C">
              <w:t>1</w:t>
            </w:r>
          </w:p>
        </w:tc>
      </w:tr>
      <w:tr w:rsidR="00282661" w:rsidRPr="00687A1C" w:rsidTr="00282661">
        <w:tc>
          <w:tcPr>
            <w:tcW w:w="4788" w:type="dxa"/>
            <w:shd w:val="clear" w:color="auto" w:fill="auto"/>
            <w:vAlign w:val="bottom"/>
          </w:tcPr>
          <w:p w:rsidR="00282661" w:rsidRPr="00687A1C" w:rsidRDefault="00282661" w:rsidP="007C1C44">
            <w:pPr>
              <w:pStyle w:val="Tabletext"/>
            </w:pPr>
            <w:r w:rsidRPr="00687A1C">
              <w:t>Separations</w:t>
            </w:r>
          </w:p>
        </w:tc>
        <w:tc>
          <w:tcPr>
            <w:tcW w:w="810" w:type="dxa"/>
            <w:shd w:val="clear" w:color="auto" w:fill="E0E0E0"/>
            <w:vAlign w:val="bottom"/>
          </w:tcPr>
          <w:p w:rsidR="00282661" w:rsidRPr="00687A1C" w:rsidRDefault="00282661" w:rsidP="0038487C">
            <w:pPr>
              <w:pStyle w:val="Tabletextright"/>
            </w:pPr>
            <w:r w:rsidRPr="00687A1C">
              <w:t>-5</w:t>
            </w:r>
          </w:p>
        </w:tc>
      </w:tr>
      <w:tr w:rsidR="00282661" w:rsidRPr="00687A1C" w:rsidTr="00282661">
        <w:tc>
          <w:tcPr>
            <w:tcW w:w="4788" w:type="dxa"/>
            <w:shd w:val="clear" w:color="auto" w:fill="auto"/>
          </w:tcPr>
          <w:p w:rsidR="00282661" w:rsidRPr="00687A1C" w:rsidRDefault="00282661" w:rsidP="007C1C44">
            <w:pPr>
              <w:pStyle w:val="Tabletextbold"/>
            </w:pPr>
            <w:r w:rsidRPr="00687A1C">
              <w:t>Total executive numbers at 30 June</w:t>
            </w:r>
          </w:p>
        </w:tc>
        <w:tc>
          <w:tcPr>
            <w:tcW w:w="810" w:type="dxa"/>
            <w:shd w:val="clear" w:color="auto" w:fill="E0E0E0"/>
            <w:vAlign w:val="bottom"/>
          </w:tcPr>
          <w:p w:rsidR="00282661" w:rsidRPr="00687A1C" w:rsidRDefault="00282661" w:rsidP="0038487C">
            <w:pPr>
              <w:pStyle w:val="Tabletextrightbold"/>
            </w:pPr>
            <w:r w:rsidRPr="00687A1C">
              <w:t>83</w:t>
            </w:r>
          </w:p>
        </w:tc>
      </w:tr>
    </w:tbl>
    <w:p w:rsidR="00282661" w:rsidRPr="00687A1C" w:rsidRDefault="00282661" w:rsidP="00282661">
      <w:pPr>
        <w:pStyle w:val="Notes"/>
      </w:pPr>
      <w:r w:rsidRPr="00687A1C">
        <w:t xml:space="preserve">Total executive numbers includes five executives on secondment to other agencies. </w:t>
      </w:r>
    </w:p>
    <w:p w:rsidR="008326E8" w:rsidRPr="00687A1C" w:rsidRDefault="008326E8" w:rsidP="008326E8">
      <w:pPr>
        <w:pStyle w:val="Spacer"/>
      </w:pPr>
    </w:p>
    <w:p w:rsidR="007A6CEC" w:rsidRPr="00687A1C" w:rsidRDefault="007A6CEC" w:rsidP="004A523B">
      <w:pPr>
        <w:pStyle w:val="Tableheading"/>
      </w:pPr>
      <w:bookmarkStart w:id="171" w:name="DTFPortfolioExecs"/>
      <w:r w:rsidRPr="00687A1C">
        <w:t>DTF Portfolio Executives</w:t>
      </w:r>
      <w:bookmarkStart w:id="172" w:name="Workforce2"/>
      <w:bookmarkEnd w:id="172"/>
    </w:p>
    <w:bookmarkEnd w:id="171"/>
    <w:tbl>
      <w:tblPr>
        <w:tblStyle w:val="AnnualReporttexttable"/>
        <w:tblW w:w="9510" w:type="dxa"/>
        <w:tblLayout w:type="fixed"/>
        <w:tblLook w:val="06E0" w:firstRow="1" w:lastRow="1" w:firstColumn="1" w:lastColumn="0" w:noHBand="1" w:noVBand="1"/>
      </w:tblPr>
      <w:tblGrid>
        <w:gridCol w:w="3798"/>
        <w:gridCol w:w="720"/>
        <w:gridCol w:w="672"/>
        <w:gridCol w:w="768"/>
        <w:gridCol w:w="672"/>
        <w:gridCol w:w="768"/>
        <w:gridCol w:w="672"/>
        <w:gridCol w:w="768"/>
        <w:gridCol w:w="672"/>
      </w:tblGrid>
      <w:tr w:rsidR="0063393D" w:rsidRPr="00687A1C" w:rsidTr="00B8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63393D" w:rsidRPr="00687A1C" w:rsidRDefault="0063393D" w:rsidP="00501934">
            <w:pPr>
              <w:pStyle w:val="Tabletextheadingleft"/>
            </w:pPr>
          </w:p>
        </w:tc>
        <w:tc>
          <w:tcPr>
            <w:tcW w:w="1392" w:type="dxa"/>
            <w:gridSpan w:val="2"/>
            <w:shd w:val="clear" w:color="auto" w:fill="E0E0E0"/>
            <w:vAlign w:val="bottom"/>
          </w:tcPr>
          <w:p w:rsidR="0063393D" w:rsidRPr="00687A1C" w:rsidRDefault="0063393D" w:rsidP="00B84F88">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Total</w:t>
            </w:r>
          </w:p>
        </w:tc>
        <w:tc>
          <w:tcPr>
            <w:tcW w:w="1440" w:type="dxa"/>
            <w:gridSpan w:val="2"/>
            <w:vAlign w:val="bottom"/>
          </w:tcPr>
          <w:p w:rsidR="0063393D" w:rsidRPr="00687A1C" w:rsidRDefault="0063393D" w:rsidP="00B84F88">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Male</w:t>
            </w:r>
          </w:p>
        </w:tc>
        <w:tc>
          <w:tcPr>
            <w:tcW w:w="1440" w:type="dxa"/>
            <w:gridSpan w:val="2"/>
            <w:shd w:val="clear" w:color="auto" w:fill="E0E0E0"/>
            <w:vAlign w:val="bottom"/>
          </w:tcPr>
          <w:p w:rsidR="0063393D" w:rsidRPr="00687A1C" w:rsidRDefault="0063393D" w:rsidP="00B84F88">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Female</w:t>
            </w:r>
          </w:p>
        </w:tc>
        <w:tc>
          <w:tcPr>
            <w:tcW w:w="1440" w:type="dxa"/>
            <w:gridSpan w:val="2"/>
            <w:shd w:val="clear" w:color="auto" w:fill="E0E0E0"/>
          </w:tcPr>
          <w:p w:rsidR="0063393D" w:rsidRPr="00687A1C" w:rsidRDefault="00FF130B" w:rsidP="00FF130B">
            <w:pPr>
              <w:pStyle w:val="Tabletextheadingcentred"/>
              <w:cnfStyle w:val="100000000000" w:firstRow="1" w:lastRow="0" w:firstColumn="0" w:lastColumn="0" w:oddVBand="0" w:evenVBand="0" w:oddHBand="0" w:evenHBand="0" w:firstRowFirstColumn="0" w:firstRowLastColumn="0" w:lastRowFirstColumn="0" w:lastRowLastColumn="0"/>
              <w:rPr>
                <w:b/>
              </w:rPr>
            </w:pPr>
            <w:r w:rsidRPr="00687A1C">
              <w:rPr>
                <w:b/>
              </w:rPr>
              <w:t>Self-described</w:t>
            </w:r>
          </w:p>
        </w:tc>
      </w:tr>
      <w:tr w:rsidR="0063393D" w:rsidRPr="00687A1C" w:rsidTr="00B84F88">
        <w:tc>
          <w:tcPr>
            <w:cnfStyle w:val="001000000000" w:firstRow="0" w:lastRow="0" w:firstColumn="1" w:lastColumn="0" w:oddVBand="0" w:evenVBand="0" w:oddHBand="0" w:evenHBand="0" w:firstRowFirstColumn="0" w:firstRowLastColumn="0" w:lastRowFirstColumn="0" w:lastRowLastColumn="0"/>
            <w:tcW w:w="3798" w:type="dxa"/>
          </w:tcPr>
          <w:p w:rsidR="0063393D" w:rsidRPr="00687A1C" w:rsidRDefault="0063393D" w:rsidP="00501934">
            <w:pPr>
              <w:pStyle w:val="Tabletextheadingleft"/>
            </w:pPr>
            <w:r w:rsidRPr="00687A1C">
              <w:t>Portfolio agencies</w:t>
            </w:r>
          </w:p>
        </w:tc>
        <w:tc>
          <w:tcPr>
            <w:tcW w:w="720" w:type="dxa"/>
            <w:shd w:val="clear" w:color="auto" w:fill="E0E0E0"/>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No.</w:t>
            </w:r>
          </w:p>
        </w:tc>
        <w:tc>
          <w:tcPr>
            <w:tcW w:w="672" w:type="dxa"/>
            <w:shd w:val="clear" w:color="auto" w:fill="E0E0E0"/>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Var.</w:t>
            </w:r>
          </w:p>
        </w:tc>
        <w:tc>
          <w:tcPr>
            <w:tcW w:w="768" w:type="dxa"/>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No.</w:t>
            </w:r>
          </w:p>
        </w:tc>
        <w:tc>
          <w:tcPr>
            <w:tcW w:w="672" w:type="dxa"/>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Var.</w:t>
            </w:r>
          </w:p>
        </w:tc>
        <w:tc>
          <w:tcPr>
            <w:tcW w:w="768" w:type="dxa"/>
            <w:shd w:val="clear" w:color="auto" w:fill="E0E0E0"/>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No.</w:t>
            </w:r>
          </w:p>
        </w:tc>
        <w:tc>
          <w:tcPr>
            <w:tcW w:w="672" w:type="dxa"/>
            <w:shd w:val="clear" w:color="auto" w:fill="E0E0E0"/>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r w:rsidRPr="00687A1C">
              <w:t>Var.</w:t>
            </w:r>
          </w:p>
        </w:tc>
        <w:tc>
          <w:tcPr>
            <w:tcW w:w="768" w:type="dxa"/>
            <w:shd w:val="clear" w:color="auto" w:fill="E0E0E0"/>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p>
        </w:tc>
        <w:tc>
          <w:tcPr>
            <w:tcW w:w="672" w:type="dxa"/>
            <w:shd w:val="clear" w:color="auto" w:fill="E0E0E0"/>
          </w:tcPr>
          <w:p w:rsidR="0063393D" w:rsidRPr="00687A1C" w:rsidRDefault="0063393D" w:rsidP="00501934">
            <w:pPr>
              <w:pStyle w:val="Tabletextheadingright"/>
              <w:cnfStyle w:val="000000000000" w:firstRow="0" w:lastRow="0" w:firstColumn="0" w:lastColumn="0" w:oddVBand="0" w:evenVBand="0" w:oddHBand="0" w:evenHBand="0" w:firstRowFirstColumn="0" w:firstRowLastColumn="0" w:lastRowFirstColumn="0" w:lastRowLastColumn="0"/>
            </w:pPr>
          </w:p>
        </w:tc>
      </w:tr>
      <w:tr w:rsidR="00B84F88"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B84F88" w:rsidRPr="00687A1C" w:rsidRDefault="0027531A" w:rsidP="004E5F10">
            <w:pPr>
              <w:pStyle w:val="Tabletext"/>
            </w:pPr>
            <w:r w:rsidRPr="00687A1C">
              <w:t>Cenitex</w:t>
            </w:r>
          </w:p>
        </w:tc>
        <w:tc>
          <w:tcPr>
            <w:tcW w:w="720"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5</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c>
          <w:tcPr>
            <w:tcW w:w="672"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B84F88"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B84F88" w:rsidRPr="00687A1C" w:rsidRDefault="00B84F88" w:rsidP="004E5F10">
            <w:pPr>
              <w:pStyle w:val="Tabletext"/>
            </w:pPr>
            <w:r w:rsidRPr="00687A1C">
              <w:t>Emergency Services and State Super</w:t>
            </w:r>
          </w:p>
        </w:tc>
        <w:tc>
          <w:tcPr>
            <w:tcW w:w="720"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5</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c>
          <w:tcPr>
            <w:tcW w:w="768"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72"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4</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B84F88"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B84F88" w:rsidRPr="00687A1C" w:rsidRDefault="00B84F88" w:rsidP="004E5F10">
            <w:pPr>
              <w:pStyle w:val="Tabletext"/>
            </w:pPr>
            <w:r w:rsidRPr="00687A1C">
              <w:t>Essential Services Commission</w:t>
            </w:r>
          </w:p>
        </w:tc>
        <w:tc>
          <w:tcPr>
            <w:tcW w:w="720"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8</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672"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5</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B84F88"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B84F88" w:rsidRPr="00687A1C" w:rsidRDefault="00B84F88" w:rsidP="004E5F10">
            <w:pPr>
              <w:pStyle w:val="Tabletext"/>
            </w:pPr>
            <w:r w:rsidRPr="00687A1C">
              <w:t>Office of Projects Victoria</w:t>
            </w:r>
          </w:p>
        </w:tc>
        <w:tc>
          <w:tcPr>
            <w:tcW w:w="720"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c>
          <w:tcPr>
            <w:tcW w:w="672" w:type="dxa"/>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B84F88" w:rsidRPr="00687A1C" w:rsidRDefault="00B84F88"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B820C5">
            <w:pPr>
              <w:pStyle w:val="Tabletext"/>
            </w:pPr>
            <w:r w:rsidRPr="00687A1C">
              <w:t>State Electricity Commission of Victoria</w:t>
            </w:r>
            <w:r w:rsidRPr="00687A1C">
              <w:rPr>
                <w:vertAlign w:val="superscript"/>
              </w:rPr>
              <w:t>(a)</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4E5F10">
            <w:pPr>
              <w:pStyle w:val="Tabletext"/>
            </w:pPr>
            <w:r w:rsidRPr="00687A1C">
              <w:t>State Trustees Limited</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7</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6</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B820C5">
            <w:pPr>
              <w:pStyle w:val="Tabletext"/>
            </w:pPr>
            <w:r w:rsidRPr="00687A1C">
              <w:t>Transport Accident Commission</w:t>
            </w:r>
            <w:r w:rsidRPr="00687A1C">
              <w:rPr>
                <w:vertAlign w:val="superscript"/>
              </w:rPr>
              <w:t>(b)</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62</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7</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28</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4</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34</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4E5F10">
            <w:pPr>
              <w:pStyle w:val="Tabletext"/>
            </w:pPr>
            <w:r w:rsidRPr="00687A1C">
              <w:t>Treasury Corporation of Victoria</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6</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5</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4E5F10">
            <w:pPr>
              <w:pStyle w:val="Tabletext"/>
            </w:pPr>
            <w:r w:rsidRPr="00687A1C">
              <w:t>Victorian Asbestos Eradication Agency</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4E5F10">
            <w:pPr>
              <w:pStyle w:val="Tabletext"/>
            </w:pPr>
            <w:r w:rsidRPr="00687A1C">
              <w:t>Victorian Funds Management Corporation</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7</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4</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B820C5">
            <w:pPr>
              <w:pStyle w:val="Tabletext"/>
            </w:pPr>
            <w:r w:rsidRPr="00687A1C">
              <w:t>Victorian Managed Insurance Authority</w:t>
            </w:r>
            <w:r w:rsidRPr="00687A1C">
              <w:rPr>
                <w:vertAlign w:val="superscript"/>
              </w:rPr>
              <w:t>(c)</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10</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5</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5</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-2</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4E5F10">
            <w:pPr>
              <w:pStyle w:val="Tabletext"/>
            </w:pPr>
            <w:r w:rsidRPr="00687A1C">
              <w:t>Victorian WorkCover Authority</w:t>
            </w:r>
          </w:p>
        </w:tc>
        <w:tc>
          <w:tcPr>
            <w:tcW w:w="720"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61</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24</w:t>
            </w:r>
          </w:p>
        </w:tc>
        <w:tc>
          <w:tcPr>
            <w:tcW w:w="672" w:type="dxa"/>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37</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1</w:t>
            </w:r>
          </w:p>
        </w:tc>
        <w:tc>
          <w:tcPr>
            <w:tcW w:w="768"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
              <w:cnfStyle w:val="000000000000" w:firstRow="0" w:lastRow="0" w:firstColumn="0" w:lastColumn="0" w:oddVBand="0" w:evenVBand="0" w:oddHBand="0" w:evenHBand="0" w:firstRowFirstColumn="0" w:firstRowLastColumn="0" w:lastRowFirstColumn="0" w:lastRowLastColumn="0"/>
            </w:pPr>
            <w:r w:rsidRPr="00687A1C">
              <w:t>–</w:t>
            </w:r>
          </w:p>
        </w:tc>
      </w:tr>
      <w:tr w:rsidR="00794AF0" w:rsidRPr="00687A1C" w:rsidTr="00B84F88">
        <w:tc>
          <w:tcPr>
            <w:cnfStyle w:val="001000000000" w:firstRow="0" w:lastRow="0" w:firstColumn="1" w:lastColumn="0" w:oddVBand="0" w:evenVBand="0" w:oddHBand="0" w:evenHBand="0" w:firstRowFirstColumn="0" w:firstRowLastColumn="0" w:lastRowFirstColumn="0" w:lastRowLastColumn="0"/>
            <w:tcW w:w="3798" w:type="dxa"/>
            <w:vAlign w:val="bottom"/>
          </w:tcPr>
          <w:p w:rsidR="00794AF0" w:rsidRPr="00687A1C" w:rsidRDefault="00794AF0" w:rsidP="004E5F10">
            <w:pPr>
              <w:pStyle w:val="Tabletextbold"/>
            </w:pPr>
            <w:r w:rsidRPr="00687A1C">
              <w:t>Total</w:t>
            </w:r>
          </w:p>
        </w:tc>
        <w:tc>
          <w:tcPr>
            <w:tcW w:w="720" w:type="dxa"/>
            <w:shd w:val="clear" w:color="auto" w:fill="E0E0E0"/>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175</w:t>
            </w:r>
          </w:p>
        </w:tc>
        <w:tc>
          <w:tcPr>
            <w:tcW w:w="672" w:type="dxa"/>
            <w:shd w:val="clear" w:color="auto" w:fill="E0E0E0"/>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8</w:t>
            </w:r>
          </w:p>
        </w:tc>
        <w:tc>
          <w:tcPr>
            <w:tcW w:w="768" w:type="dxa"/>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77</w:t>
            </w:r>
          </w:p>
        </w:tc>
        <w:tc>
          <w:tcPr>
            <w:tcW w:w="672" w:type="dxa"/>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10</w:t>
            </w:r>
          </w:p>
        </w:tc>
        <w:tc>
          <w:tcPr>
            <w:tcW w:w="768" w:type="dxa"/>
            <w:shd w:val="clear" w:color="auto" w:fill="E0E0E0"/>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98</w:t>
            </w:r>
          </w:p>
        </w:tc>
        <w:tc>
          <w:tcPr>
            <w:tcW w:w="672" w:type="dxa"/>
            <w:shd w:val="clear" w:color="auto" w:fill="E0E0E0"/>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-2</w:t>
            </w:r>
          </w:p>
        </w:tc>
        <w:tc>
          <w:tcPr>
            <w:tcW w:w="768" w:type="dxa"/>
            <w:shd w:val="clear" w:color="auto" w:fill="E0E0E0"/>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c>
          <w:tcPr>
            <w:tcW w:w="672" w:type="dxa"/>
            <w:shd w:val="clear" w:color="auto" w:fill="E0E0E0"/>
            <w:vAlign w:val="bottom"/>
          </w:tcPr>
          <w:p w:rsidR="00794AF0" w:rsidRPr="00687A1C" w:rsidRDefault="00794AF0" w:rsidP="004E5F10">
            <w:pPr>
              <w:pStyle w:val="Tabletextrightbold"/>
              <w:cnfStyle w:val="000000000000" w:firstRow="0" w:lastRow="0" w:firstColumn="0" w:lastColumn="0" w:oddVBand="0" w:evenVBand="0" w:oddHBand="0" w:evenHBand="0" w:firstRowFirstColumn="0" w:firstRowLastColumn="0" w:lastRowFirstColumn="0" w:lastRowLastColumn="0"/>
            </w:pPr>
            <w:r w:rsidRPr="00687A1C">
              <w:t>–</w:t>
            </w:r>
          </w:p>
        </w:tc>
      </w:tr>
    </w:tbl>
    <w:p w:rsidR="00B862C1" w:rsidRPr="00687A1C" w:rsidRDefault="00B862C1" w:rsidP="00E83046">
      <w:pPr>
        <w:pStyle w:val="Notes"/>
      </w:pPr>
      <w:r w:rsidRPr="00687A1C">
        <w:t xml:space="preserve">For the purpose of this table, </w:t>
      </w:r>
      <w:r w:rsidR="00CD72C6" w:rsidRPr="00687A1C">
        <w:t>executive officer</w:t>
      </w:r>
      <w:r w:rsidRPr="00687A1C">
        <w:t xml:space="preserve">s are defined as employees who have significant management responsibility </w:t>
      </w:r>
      <w:r w:rsidR="00D00B76" w:rsidRPr="00687A1C">
        <w:t xml:space="preserve">and </w:t>
      </w:r>
      <w:r w:rsidRPr="00687A1C">
        <w:t>receive a TRP of $159 501 or more.</w:t>
      </w:r>
    </w:p>
    <w:p w:rsidR="00B862C1" w:rsidRPr="00687A1C" w:rsidRDefault="00B862C1" w:rsidP="00E83046">
      <w:pPr>
        <w:pStyle w:val="Notes"/>
      </w:pPr>
      <w:r w:rsidRPr="00687A1C">
        <w:t>All figures reflect employment levels as at 30 June 2018 unless otherwise stated.</w:t>
      </w:r>
    </w:p>
    <w:p w:rsidR="00B862C1" w:rsidRPr="00687A1C" w:rsidRDefault="00B862C1" w:rsidP="00E83046">
      <w:pPr>
        <w:pStyle w:val="Notes"/>
      </w:pPr>
      <w:r w:rsidRPr="00687A1C">
        <w:t>Excluded are those on leave without pay or absent on secondment, external contractors/consultants and temporary staff employed by employment agencies.</w:t>
      </w:r>
    </w:p>
    <w:p w:rsidR="00B862C1" w:rsidRPr="00687A1C" w:rsidRDefault="00B862C1" w:rsidP="002C5485">
      <w:pPr>
        <w:pStyle w:val="Notes"/>
      </w:pPr>
      <w:r w:rsidRPr="00687A1C">
        <w:t>Notes:</w:t>
      </w:r>
    </w:p>
    <w:p w:rsidR="00794AF0" w:rsidRPr="00687A1C" w:rsidRDefault="00794AF0" w:rsidP="00794AF0">
      <w:pPr>
        <w:pStyle w:val="Notes"/>
      </w:pPr>
      <w:r w:rsidRPr="00687A1C">
        <w:t>(a) State Electricity Commission of Victoria has wound up.</w:t>
      </w:r>
    </w:p>
    <w:p w:rsidR="00B862C1" w:rsidRPr="00687A1C" w:rsidRDefault="00B862C1" w:rsidP="00794AF0">
      <w:pPr>
        <w:pStyle w:val="Notes"/>
      </w:pPr>
      <w:r w:rsidRPr="00687A1C">
        <w:t>(</w:t>
      </w:r>
      <w:r w:rsidR="00794AF0" w:rsidRPr="00687A1C">
        <w:t>b</w:t>
      </w:r>
      <w:r w:rsidRPr="00687A1C">
        <w:t xml:space="preserve">) Transport Accident Commission excludes </w:t>
      </w:r>
      <w:r w:rsidR="009253F0" w:rsidRPr="00687A1C">
        <w:t xml:space="preserve">two </w:t>
      </w:r>
      <w:r w:rsidRPr="00687A1C">
        <w:t xml:space="preserve">executives </w:t>
      </w:r>
      <w:r w:rsidR="009253F0" w:rsidRPr="00687A1C">
        <w:t>who</w:t>
      </w:r>
      <w:r w:rsidRPr="00687A1C">
        <w:t xml:space="preserve"> are reported in their annual report but are below the TRP</w:t>
      </w:r>
      <w:r w:rsidR="009253F0" w:rsidRPr="00687A1C">
        <w:t xml:space="preserve"> threshold for our collection (two</w:t>
      </w:r>
      <w:r w:rsidRPr="00687A1C">
        <w:t xml:space="preserve"> males)</w:t>
      </w:r>
      <w:r w:rsidR="00D00B76" w:rsidRPr="00687A1C">
        <w:t>.</w:t>
      </w:r>
    </w:p>
    <w:p w:rsidR="00EC7FDD" w:rsidRPr="00687A1C" w:rsidRDefault="0063393D" w:rsidP="002C5485">
      <w:pPr>
        <w:pStyle w:val="Notes"/>
      </w:pPr>
      <w:r w:rsidRPr="00687A1C">
        <w:t>(</w:t>
      </w:r>
      <w:r w:rsidR="00794AF0" w:rsidRPr="00687A1C">
        <w:t>c</w:t>
      </w:r>
      <w:r w:rsidR="00B862C1" w:rsidRPr="00687A1C">
        <w:t>) Victorian Managed Insurance Authority (VMIA) will report in their annual report (</w:t>
      </w:r>
      <w:r w:rsidR="00D00B76" w:rsidRPr="00687A1C">
        <w:t>six</w:t>
      </w:r>
      <w:r w:rsidR="00B862C1" w:rsidRPr="00687A1C">
        <w:t xml:space="preserve"> females and </w:t>
      </w:r>
      <w:r w:rsidR="00D00B76" w:rsidRPr="00687A1C">
        <w:t xml:space="preserve">four </w:t>
      </w:r>
      <w:r w:rsidR="00B862C1" w:rsidRPr="00687A1C">
        <w:t>male</w:t>
      </w:r>
      <w:r w:rsidR="00D00B76" w:rsidRPr="00687A1C">
        <w:t>s</w:t>
      </w:r>
      <w:r w:rsidR="00B862C1" w:rsidRPr="00687A1C">
        <w:t xml:space="preserve">) as they are on executive contracts but not on </w:t>
      </w:r>
      <w:r w:rsidR="00B820C5" w:rsidRPr="00687A1C">
        <w:t>Government Sector Executive Remuneration Panel</w:t>
      </w:r>
      <w:r w:rsidR="00B862C1" w:rsidRPr="00687A1C">
        <w:t xml:space="preserve"> contracts</w:t>
      </w:r>
      <w:r w:rsidR="00D00B76" w:rsidRPr="00687A1C">
        <w:t>.</w:t>
      </w:r>
    </w:p>
    <w:p w:rsidR="0011669B" w:rsidRPr="00687A1C" w:rsidRDefault="0011669B" w:rsidP="00C8160C">
      <w:pPr>
        <w:pStyle w:val="Heading1App"/>
        <w:sectPr w:rsidR="0011669B" w:rsidRPr="00687A1C" w:rsidSect="00A044E3">
          <w:type w:val="continuous"/>
          <w:pgSz w:w="11909" w:h="16834" w:code="9"/>
          <w:pgMar w:top="1728" w:right="1152" w:bottom="1260" w:left="1152" w:header="720" w:footer="288" w:gutter="0"/>
          <w:cols w:space="720"/>
          <w:noEndnote/>
        </w:sectPr>
      </w:pPr>
    </w:p>
    <w:p w:rsidR="005F7D48" w:rsidRPr="00687A1C" w:rsidRDefault="005F7D48" w:rsidP="00C8160C">
      <w:pPr>
        <w:pStyle w:val="Heading1App"/>
      </w:pPr>
      <w:bookmarkStart w:id="173" w:name="_Toc525026159"/>
      <w:bookmarkStart w:id="174" w:name="_Toc525026257"/>
      <w:r w:rsidRPr="00687A1C">
        <w:lastRenderedPageBreak/>
        <w:t xml:space="preserve">Appendix </w:t>
      </w:r>
      <w:r w:rsidR="007D55CC" w:rsidRPr="00687A1C">
        <w:t>2</w:t>
      </w:r>
      <w:r w:rsidRPr="00687A1C">
        <w:tab/>
      </w:r>
      <w:bookmarkStart w:id="175" w:name="OHSPolicy_start"/>
      <w:r w:rsidR="00823F9B" w:rsidRPr="00687A1C">
        <w:t xml:space="preserve">DTF occupational health and safety </w:t>
      </w:r>
      <w:bookmarkEnd w:id="175"/>
      <w:r w:rsidR="00823F9B" w:rsidRPr="00687A1C">
        <w:t xml:space="preserve">report </w:t>
      </w:r>
      <w:r w:rsidR="000A0A30" w:rsidRPr="00687A1C">
        <w:t>30 June 201</w:t>
      </w:r>
      <w:r w:rsidR="00D10C24" w:rsidRPr="00687A1C">
        <w:t>8</w:t>
      </w:r>
      <w:bookmarkEnd w:id="173"/>
      <w:bookmarkEnd w:id="174"/>
    </w:p>
    <w:p w:rsidR="0011669B" w:rsidRPr="00687A1C" w:rsidRDefault="0011669B" w:rsidP="005F7D48">
      <w:pPr>
        <w:sectPr w:rsidR="0011669B" w:rsidRPr="00687A1C" w:rsidSect="00BB311C">
          <w:pgSz w:w="11909" w:h="16834" w:code="9"/>
          <w:pgMar w:top="1728" w:right="1152" w:bottom="1260" w:left="1152" w:header="720" w:footer="288" w:gutter="0"/>
          <w:cols w:space="720"/>
          <w:noEndnote/>
        </w:sectPr>
      </w:pPr>
    </w:p>
    <w:p w:rsidR="00B7196D" w:rsidRPr="00687A1C" w:rsidRDefault="00343238" w:rsidP="00343238">
      <w:pPr>
        <w:rPr>
          <w:rFonts w:cstheme="minorHAnsi"/>
        </w:rPr>
      </w:pPr>
      <w:r w:rsidRPr="00687A1C">
        <w:t>The Department has continued its commitment to occupational health and safety (OHS) during the financial year, with a number of key achievements:</w:t>
      </w:r>
    </w:p>
    <w:p w:rsidR="005D1FC8" w:rsidRPr="00687A1C" w:rsidRDefault="005D1FC8" w:rsidP="00343238">
      <w:pPr>
        <w:pStyle w:val="Bullet"/>
        <w:sectPr w:rsidR="005D1FC8" w:rsidRPr="00687A1C" w:rsidSect="0028555D">
          <w:type w:val="continuous"/>
          <w:pgSz w:w="11909" w:h="16834" w:code="9"/>
          <w:pgMar w:top="1728" w:right="1152" w:bottom="1260" w:left="1152" w:header="720" w:footer="288" w:gutter="0"/>
          <w:cols w:num="2" w:space="720"/>
          <w:noEndnote/>
        </w:sectPr>
      </w:pPr>
    </w:p>
    <w:p w:rsidR="00F22C07" w:rsidRPr="00687A1C" w:rsidRDefault="00F22C07" w:rsidP="00F22C07">
      <w:pPr>
        <w:pStyle w:val="Bullet"/>
      </w:pPr>
      <w:r w:rsidRPr="00687A1C">
        <w:t>four quarterly Health and Safety Committee meetings held during the year. A quarterly OHS newsletter is produced and distributed to all staff;</w:t>
      </w:r>
    </w:p>
    <w:p w:rsidR="00F22C07" w:rsidRPr="00687A1C" w:rsidRDefault="00F22C07" w:rsidP="00F22C07">
      <w:pPr>
        <w:pStyle w:val="Bullet"/>
      </w:pPr>
      <w:r w:rsidRPr="00687A1C">
        <w:t xml:space="preserve">a Safety Month program held during October </w:t>
      </w:r>
      <w:r w:rsidR="00FE3D28" w:rsidRPr="00687A1C">
        <w:br/>
      </w:r>
      <w:r w:rsidRPr="00687A1C">
        <w:t>(in alignment with Safe Work Australia and WorkSafe Victoria). This program involved health and wellbeing seminars on fitness, roving ergonomic</w:t>
      </w:r>
      <w:r w:rsidR="009469FE" w:rsidRPr="00687A1C">
        <w:t xml:space="preserve"> </w:t>
      </w:r>
      <w:r w:rsidRPr="00687A1C">
        <w:t xml:space="preserve">assessments, blood testing, a </w:t>
      </w:r>
      <w:r w:rsidR="00FE3D28" w:rsidRPr="00687A1C">
        <w:br/>
      </w:r>
      <w:r w:rsidRPr="00687A1C">
        <w:t>St John CPR van on-site to support drop</w:t>
      </w:r>
      <w:r w:rsidR="00456B85" w:rsidRPr="00687A1C">
        <w:t>-</w:t>
      </w:r>
      <w:r w:rsidRPr="00687A1C">
        <w:t>in training sessions, and OHS awareness activities;</w:t>
      </w:r>
    </w:p>
    <w:p w:rsidR="00F22C07" w:rsidRPr="00687A1C" w:rsidRDefault="00F22C07" w:rsidP="00F22C07">
      <w:pPr>
        <w:pStyle w:val="Bullet"/>
      </w:pPr>
      <w:r w:rsidRPr="00687A1C">
        <w:t>four First Aid Officer information and support meetings held during the year. Four existing First Aid officers have been accredited in Mental Health First Aid;</w:t>
      </w:r>
    </w:p>
    <w:p w:rsidR="00F22C07" w:rsidRPr="00687A1C" w:rsidRDefault="00F22C07" w:rsidP="00F22C07">
      <w:pPr>
        <w:pStyle w:val="Bullet"/>
      </w:pPr>
      <w:r w:rsidRPr="00687A1C">
        <w:t xml:space="preserve">provision of workstation ergonomic assessments. In total, 267 work station ergonomic assessments were conducted (a </w:t>
      </w:r>
      <w:r w:rsidRPr="00687A1C">
        <w:br/>
        <w:t>14</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increase on 2016-17). These included 189 face-to-face assessments and 77 online assessments via DTF</w:t>
      </w:r>
      <w:r w:rsidR="009469FE" w:rsidRPr="00687A1C">
        <w:t>’</w:t>
      </w:r>
      <w:r w:rsidRPr="00687A1C">
        <w:t>s safe workstation setup online module;</w:t>
      </w:r>
    </w:p>
    <w:p w:rsidR="00456B85" w:rsidRPr="00687A1C" w:rsidRDefault="00F22C07" w:rsidP="00456B85">
      <w:pPr>
        <w:pStyle w:val="Bullet"/>
      </w:pPr>
      <w:r w:rsidRPr="00687A1C">
        <w:t xml:space="preserve">managing psychological conditions in the workplace training was provided to 197 </w:t>
      </w:r>
      <w:r w:rsidR="00CD72C6" w:rsidRPr="00687A1C">
        <w:t>executive officer</w:t>
      </w:r>
      <w:r w:rsidRPr="00687A1C">
        <w:t>s;</w:t>
      </w:r>
      <w:r w:rsidR="00CA7CBB" w:rsidRPr="00687A1C">
        <w:t xml:space="preserve"> </w:t>
      </w:r>
    </w:p>
    <w:p w:rsidR="00F22C07" w:rsidRPr="00687A1C" w:rsidRDefault="00CA7CBB" w:rsidP="00456B85">
      <w:pPr>
        <w:pStyle w:val="Bullet"/>
      </w:pPr>
      <w:r w:rsidRPr="00687A1C">
        <w:br w:type="column"/>
      </w:r>
      <w:r w:rsidR="00F22C07" w:rsidRPr="00687A1C">
        <w:t>DTF has purchased and commissioned sit-stand desks to support office-based workers to adjust between a sitting and standing working posture;</w:t>
      </w:r>
    </w:p>
    <w:p w:rsidR="00F22C07" w:rsidRPr="00687A1C" w:rsidRDefault="00F22C07" w:rsidP="00F22C07">
      <w:pPr>
        <w:pStyle w:val="Bullet"/>
      </w:pPr>
      <w:r w:rsidRPr="00687A1C">
        <w:t>annual on-site flu vaccination program held, with 269 employees receiving flu vaccinations;</w:t>
      </w:r>
    </w:p>
    <w:p w:rsidR="00F22C07" w:rsidRPr="00687A1C" w:rsidRDefault="00F22C07" w:rsidP="00F22C07">
      <w:pPr>
        <w:pStyle w:val="Bullet"/>
      </w:pPr>
      <w:r w:rsidRPr="00687A1C">
        <w:t>provision of DTF</w:t>
      </w:r>
      <w:r w:rsidR="009469FE" w:rsidRPr="00687A1C">
        <w:t>’</w:t>
      </w:r>
      <w:r w:rsidRPr="00687A1C">
        <w:t xml:space="preserve">s eye testing procedure, with </w:t>
      </w:r>
      <w:r w:rsidR="00FE3D28" w:rsidRPr="00687A1C">
        <w:br/>
      </w:r>
      <w:r w:rsidRPr="00687A1C">
        <w:t>31 eyewear reimbursements claimed. This is an increase of five reimbursements compared to 2016-17;</w:t>
      </w:r>
    </w:p>
    <w:p w:rsidR="00F22C07" w:rsidRPr="00687A1C" w:rsidRDefault="00F22C07" w:rsidP="00F22C07">
      <w:pPr>
        <w:pStyle w:val="Bullet"/>
      </w:pPr>
      <w:r w:rsidRPr="00687A1C">
        <w:t>promotion of DTF</w:t>
      </w:r>
      <w:r w:rsidR="009469FE" w:rsidRPr="00687A1C">
        <w:t>’</w:t>
      </w:r>
      <w:r w:rsidRPr="00687A1C">
        <w:t xml:space="preserve">s Employee Assistance Program. In total, 113 staff used the service, with 79 of these being new referrals; and </w:t>
      </w:r>
    </w:p>
    <w:p w:rsidR="00343238" w:rsidRPr="00687A1C" w:rsidRDefault="00F22C07" w:rsidP="00F22C07">
      <w:pPr>
        <w:pStyle w:val="Bullet"/>
      </w:pPr>
      <w:r w:rsidRPr="00687A1C">
        <w:t>as part of DTF</w:t>
      </w:r>
      <w:r w:rsidR="009469FE" w:rsidRPr="00687A1C">
        <w:t>’</w:t>
      </w:r>
      <w:r w:rsidRPr="00687A1C">
        <w:t>s commitment to staff wellbeing, a Safe Space program was established to provide alternative support options for staff who may be experiencing unreasonable workplace behaviour. The program builds on the actions already underway to address bullying and sexual harassment in the workplace.</w:t>
      </w:r>
    </w:p>
    <w:p w:rsidR="00CA7CBB" w:rsidRPr="00687A1C" w:rsidRDefault="00CA7CBB" w:rsidP="00CA7CBB">
      <w:pPr>
        <w:pStyle w:val="Heading3"/>
      </w:pPr>
      <w:r w:rsidRPr="00687A1C">
        <w:t>Incident management</w:t>
      </w:r>
    </w:p>
    <w:p w:rsidR="00B7196D" w:rsidRPr="00687A1C" w:rsidRDefault="00CA7CBB" w:rsidP="00CA7CBB">
      <w:r w:rsidRPr="00687A1C">
        <w:t xml:space="preserve">During 2017-18, the number of incidents across the Department increased by seven. The number of claims increased from two in 2016-17 to four in </w:t>
      </w:r>
      <w:r w:rsidR="00351BB0" w:rsidRPr="00687A1C">
        <w:br/>
      </w:r>
      <w:r w:rsidRPr="00687A1C">
        <w:t>2017-18. The Department</w:t>
      </w:r>
      <w:r w:rsidR="009469FE" w:rsidRPr="00687A1C">
        <w:t xml:space="preserve"> </w:t>
      </w:r>
      <w:r w:rsidRPr="00687A1C">
        <w:t xml:space="preserve">had no notifiable incidents during 2017-18. </w:t>
      </w:r>
    </w:p>
    <w:p w:rsidR="00B7196D" w:rsidRPr="00687A1C" w:rsidRDefault="00B7196D" w:rsidP="00F93A60">
      <w:pPr>
        <w:pStyle w:val="Heading2"/>
        <w:sectPr w:rsidR="00B7196D" w:rsidRPr="00687A1C" w:rsidSect="0028555D">
          <w:type w:val="continuous"/>
          <w:pgSz w:w="11909" w:h="16834" w:code="9"/>
          <w:pgMar w:top="1728" w:right="1152" w:bottom="1260" w:left="1152" w:header="720" w:footer="288" w:gutter="0"/>
          <w:cols w:num="2" w:space="720"/>
          <w:noEndnote/>
        </w:sectPr>
      </w:pPr>
    </w:p>
    <w:p w:rsidR="005D1FC8" w:rsidRPr="00687A1C" w:rsidRDefault="005D1FC8" w:rsidP="005D1FC8">
      <w:pPr>
        <w:pStyle w:val="Spacer"/>
      </w:pPr>
    </w:p>
    <w:p w:rsidR="00B7196D" w:rsidRPr="00687A1C" w:rsidRDefault="00B7196D" w:rsidP="00F93A60">
      <w:pPr>
        <w:pStyle w:val="Heading2"/>
      </w:pPr>
      <w:r w:rsidRPr="00687A1C">
        <w:t>DTF</w:t>
      </w:r>
      <w:r w:rsidR="009469FE" w:rsidRPr="00687A1C">
        <w:t>’</w:t>
      </w:r>
      <w:r w:rsidRPr="00687A1C">
        <w:t>s performance against OHS management measures</w:t>
      </w:r>
    </w:p>
    <w:tbl>
      <w:tblPr>
        <w:tblStyle w:val="AnnualReporttexttable"/>
        <w:tblW w:w="10033" w:type="dxa"/>
        <w:tblLayout w:type="fixed"/>
        <w:tblCellMar>
          <w:left w:w="43" w:type="dxa"/>
          <w:right w:w="43" w:type="dxa"/>
        </w:tblCellMar>
        <w:tblLook w:val="04A0" w:firstRow="1" w:lastRow="0" w:firstColumn="1" w:lastColumn="0" w:noHBand="0" w:noVBand="1"/>
      </w:tblPr>
      <w:tblGrid>
        <w:gridCol w:w="1213"/>
        <w:gridCol w:w="2250"/>
        <w:gridCol w:w="2190"/>
        <w:gridCol w:w="2190"/>
        <w:gridCol w:w="2190"/>
      </w:tblGrid>
      <w:tr w:rsidR="00071696" w:rsidRPr="00687A1C" w:rsidTr="006617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3" w:type="dxa"/>
            <w:hideMark/>
          </w:tcPr>
          <w:p w:rsidR="00071696" w:rsidRPr="00687A1C" w:rsidRDefault="00071696" w:rsidP="00271AF2">
            <w:pPr>
              <w:pStyle w:val="Tabletextheadingleft"/>
              <w:rPr>
                <w:b/>
              </w:rPr>
            </w:pPr>
            <w:r w:rsidRPr="00687A1C">
              <w:rPr>
                <w:b/>
              </w:rPr>
              <w:t>Measure</w:t>
            </w:r>
          </w:p>
        </w:tc>
        <w:tc>
          <w:tcPr>
            <w:tcW w:w="2250" w:type="dxa"/>
            <w:shd w:val="clear" w:color="auto" w:fill="D9D9D9" w:themeFill="background1" w:themeFillShade="D9"/>
            <w:hideMark/>
          </w:tcPr>
          <w:p w:rsidR="00071696" w:rsidRPr="00687A1C" w:rsidRDefault="00071696" w:rsidP="00271AF2">
            <w:pPr>
              <w:pStyle w:val="Tabletextheadingleft"/>
              <w:cnfStyle w:val="100000000000" w:firstRow="1" w:lastRow="0" w:firstColumn="0" w:lastColumn="0" w:oddVBand="0" w:evenVBand="0" w:oddHBand="0" w:evenHBand="0" w:firstRowFirstColumn="0" w:firstRowLastColumn="0" w:lastRowFirstColumn="0" w:lastRowLastColumn="0"/>
              <w:rPr>
                <w:b/>
              </w:rPr>
            </w:pPr>
            <w:r w:rsidRPr="00687A1C">
              <w:rPr>
                <w:b/>
              </w:rPr>
              <w:t>KPI</w:t>
            </w:r>
          </w:p>
        </w:tc>
        <w:tc>
          <w:tcPr>
            <w:tcW w:w="2190" w:type="dxa"/>
            <w:hideMark/>
          </w:tcPr>
          <w:p w:rsidR="00071696" w:rsidRPr="00687A1C" w:rsidRDefault="00071696" w:rsidP="00271AF2">
            <w:pPr>
              <w:pStyle w:val="Tabletextheadingleft"/>
              <w:cnfStyle w:val="100000000000" w:firstRow="1" w:lastRow="0" w:firstColumn="0" w:lastColumn="0" w:oddVBand="0" w:evenVBand="0" w:oddHBand="0" w:evenHBand="0" w:firstRowFirstColumn="0" w:firstRowLastColumn="0" w:lastRowFirstColumn="0" w:lastRowLastColumn="0"/>
              <w:rPr>
                <w:b/>
              </w:rPr>
            </w:pPr>
            <w:r w:rsidRPr="00687A1C">
              <w:rPr>
                <w:b/>
              </w:rPr>
              <w:t>2015</w:t>
            </w:r>
            <w:r w:rsidRPr="00687A1C">
              <w:rPr>
                <w:b/>
              </w:rPr>
              <w:noBreakHyphen/>
              <w:t>16</w:t>
            </w:r>
          </w:p>
        </w:tc>
        <w:tc>
          <w:tcPr>
            <w:tcW w:w="2190" w:type="dxa"/>
            <w:hideMark/>
          </w:tcPr>
          <w:p w:rsidR="00071696" w:rsidRPr="00687A1C" w:rsidRDefault="00071696" w:rsidP="00271AF2">
            <w:pPr>
              <w:pStyle w:val="Tabletextheadingleft"/>
              <w:cnfStyle w:val="100000000000" w:firstRow="1" w:lastRow="0" w:firstColumn="0" w:lastColumn="0" w:oddVBand="0" w:evenVBand="0" w:oddHBand="0" w:evenHBand="0" w:firstRowFirstColumn="0" w:firstRowLastColumn="0" w:lastRowFirstColumn="0" w:lastRowLastColumn="0"/>
              <w:rPr>
                <w:b/>
              </w:rPr>
            </w:pPr>
            <w:r w:rsidRPr="00687A1C">
              <w:rPr>
                <w:b/>
              </w:rPr>
              <w:t>2016</w:t>
            </w:r>
            <w:r w:rsidRPr="00687A1C">
              <w:rPr>
                <w:b/>
              </w:rPr>
              <w:noBreakHyphen/>
              <w:t>17</w:t>
            </w:r>
          </w:p>
        </w:tc>
        <w:tc>
          <w:tcPr>
            <w:tcW w:w="2190" w:type="dxa"/>
            <w:hideMark/>
          </w:tcPr>
          <w:p w:rsidR="00071696" w:rsidRPr="00687A1C" w:rsidRDefault="00071696" w:rsidP="00271AF2">
            <w:pPr>
              <w:pStyle w:val="Tabletextheadingleft"/>
              <w:cnfStyle w:val="100000000000" w:firstRow="1" w:lastRow="0" w:firstColumn="0" w:lastColumn="0" w:oddVBand="0" w:evenVBand="0" w:oddHBand="0" w:evenHBand="0" w:firstRowFirstColumn="0" w:firstRowLastColumn="0" w:lastRowFirstColumn="0" w:lastRowLastColumn="0"/>
              <w:rPr>
                <w:b/>
              </w:rPr>
            </w:pPr>
            <w:r w:rsidRPr="00687A1C">
              <w:rPr>
                <w:b/>
              </w:rPr>
              <w:t>2017-18</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val="restart"/>
            <w:hideMark/>
          </w:tcPr>
          <w:p w:rsidR="00071696" w:rsidRPr="00687A1C" w:rsidRDefault="00071696" w:rsidP="00271AF2">
            <w:pPr>
              <w:pStyle w:val="Tabletext"/>
            </w:pPr>
            <w:r w:rsidRPr="00687A1C">
              <w:t xml:space="preserve">Incidents </w:t>
            </w:r>
          </w:p>
        </w:tc>
        <w:tc>
          <w:tcPr>
            <w:tcW w:w="2250" w:type="dxa"/>
            <w:shd w:val="clear" w:color="auto" w:fill="D9D9D9" w:themeFill="background1" w:themeFillShade="D9"/>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Number of incidents</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18</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20</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27</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Rate per 100</w:t>
            </w:r>
            <w:r w:rsidR="00E97330" w:rsidRPr="00687A1C">
              <w:rPr>
                <w:rFonts w:ascii="Calibri" w:hAnsi="Calibri" w:cs="Courier New"/>
              </w:rPr>
              <w:t xml:space="preserve"> </w:t>
            </w:r>
            <w:r w:rsidRPr="00687A1C">
              <w:t>FTE</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3.49</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3.44</w:t>
            </w:r>
          </w:p>
        </w:tc>
        <w:tc>
          <w:tcPr>
            <w:tcW w:w="2190" w:type="dxa"/>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4.56</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val="restart"/>
            <w:hideMark/>
          </w:tcPr>
          <w:p w:rsidR="00071696" w:rsidRPr="00687A1C" w:rsidRDefault="00071696" w:rsidP="00271AF2">
            <w:pPr>
              <w:pStyle w:val="Tabletext"/>
            </w:pPr>
            <w:r w:rsidRPr="00687A1C">
              <w:t>Claims</w:t>
            </w:r>
          </w:p>
        </w:tc>
        <w:tc>
          <w:tcPr>
            <w:tcW w:w="2250" w:type="dxa"/>
            <w:shd w:val="clear" w:color="auto" w:fill="D9D9D9" w:themeFill="background1" w:themeFillShade="D9"/>
            <w:hideMark/>
          </w:tcPr>
          <w:p w:rsidR="00071696" w:rsidRPr="00687A1C" w:rsidRDefault="00071696" w:rsidP="00B820C5">
            <w:pPr>
              <w:pStyle w:val="Tabletext"/>
              <w:cnfStyle w:val="000000000000" w:firstRow="0" w:lastRow="0" w:firstColumn="0" w:lastColumn="0" w:oddVBand="0" w:evenVBand="0" w:oddHBand="0" w:evenHBand="0" w:firstRowFirstColumn="0" w:firstRowLastColumn="0" w:lastRowFirstColumn="0" w:lastRowLastColumn="0"/>
            </w:pPr>
            <w:r w:rsidRPr="00687A1C">
              <w:t>Number of standardised claims</w:t>
            </w:r>
            <w:r w:rsidRPr="00687A1C">
              <w:rPr>
                <w:vertAlign w:val="superscript"/>
              </w:rPr>
              <w:t>(a)</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1</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2</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4</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Rate per 100</w:t>
            </w:r>
            <w:r w:rsidR="00E97330" w:rsidRPr="00687A1C">
              <w:t xml:space="preserve"> </w:t>
            </w:r>
            <w:r w:rsidRPr="00687A1C">
              <w:t>FTE</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0.19</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0.34</w:t>
            </w:r>
          </w:p>
        </w:tc>
        <w:tc>
          <w:tcPr>
            <w:tcW w:w="2190" w:type="dxa"/>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0.6</w:t>
            </w:r>
            <w:r w:rsidR="00E97330" w:rsidRPr="00687A1C">
              <w:t>8</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B820C5">
            <w:pPr>
              <w:pStyle w:val="Tabletext"/>
              <w:cnfStyle w:val="000000000000" w:firstRow="0" w:lastRow="0" w:firstColumn="0" w:lastColumn="0" w:oddVBand="0" w:evenVBand="0" w:oddHBand="0" w:evenHBand="0" w:firstRowFirstColumn="0" w:firstRowLastColumn="0" w:lastRowFirstColumn="0" w:lastRowLastColumn="0"/>
            </w:pPr>
            <w:r w:rsidRPr="00687A1C">
              <w:t>Number of lost time claims</w:t>
            </w:r>
            <w:r w:rsidRPr="00687A1C">
              <w:rPr>
                <w:vertAlign w:val="superscript"/>
              </w:rPr>
              <w:t>(b)</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1</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1</w:t>
            </w:r>
          </w:p>
        </w:tc>
        <w:tc>
          <w:tcPr>
            <w:tcW w:w="2190" w:type="dxa"/>
            <w:hideMark/>
          </w:tcPr>
          <w:p w:rsidR="00071696" w:rsidRPr="00687A1C" w:rsidRDefault="0001731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Rate per 100</w:t>
            </w:r>
            <w:r w:rsidR="00E97330" w:rsidRPr="00687A1C">
              <w:t xml:space="preserve"> </w:t>
            </w:r>
            <w:r w:rsidRPr="00687A1C">
              <w:t>FTE</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0.19</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0.17</w:t>
            </w:r>
          </w:p>
        </w:tc>
        <w:tc>
          <w:tcPr>
            <w:tcW w:w="2190" w:type="dxa"/>
            <w:hideMark/>
          </w:tcPr>
          <w:p w:rsidR="00071696" w:rsidRPr="00687A1C" w:rsidRDefault="0001731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Number of claims exceeding</w:t>
            </w:r>
            <w:r w:rsidR="00872E47" w:rsidRPr="00687A1C">
              <w:t xml:space="preserve"> </w:t>
            </w:r>
            <w:r w:rsidRPr="00687A1C">
              <w:t>13</w:t>
            </w:r>
            <w:r w:rsidR="00E97330" w:rsidRPr="00687A1C">
              <w:t xml:space="preserve"> </w:t>
            </w:r>
            <w:r w:rsidRPr="00687A1C">
              <w:t>weeks</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c>
          <w:tcPr>
            <w:tcW w:w="2190" w:type="dxa"/>
            <w:hideMark/>
          </w:tcPr>
          <w:p w:rsidR="00071696" w:rsidRPr="00687A1C" w:rsidRDefault="0001731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Rate per 100</w:t>
            </w:r>
            <w:r w:rsidR="00E97330" w:rsidRPr="00687A1C">
              <w:t xml:space="preserve"> </w:t>
            </w:r>
            <w:r w:rsidRPr="00687A1C">
              <w:t xml:space="preserve">FTE </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c>
          <w:tcPr>
            <w:tcW w:w="2190" w:type="dxa"/>
            <w:hideMark/>
          </w:tcPr>
          <w:p w:rsidR="00071696" w:rsidRPr="00687A1C" w:rsidRDefault="0001731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hideMark/>
          </w:tcPr>
          <w:p w:rsidR="00071696" w:rsidRPr="00687A1C" w:rsidRDefault="00071696" w:rsidP="00271AF2">
            <w:pPr>
              <w:pStyle w:val="Tabletext"/>
            </w:pPr>
            <w:r w:rsidRPr="00687A1C">
              <w:t>Fatalities</w:t>
            </w:r>
          </w:p>
        </w:tc>
        <w:tc>
          <w:tcPr>
            <w:tcW w:w="2250" w:type="dxa"/>
            <w:shd w:val="clear" w:color="auto" w:fill="D9D9D9" w:themeFill="background1" w:themeFillShade="D9"/>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Fatality claims</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c>
          <w:tcPr>
            <w:tcW w:w="2190" w:type="dxa"/>
            <w:hideMark/>
          </w:tcPr>
          <w:p w:rsidR="00071696" w:rsidRPr="00687A1C" w:rsidRDefault="0001731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r>
      <w:tr w:rsidR="009C51BA" w:rsidRPr="00687A1C" w:rsidTr="006617D4">
        <w:tc>
          <w:tcPr>
            <w:cnfStyle w:val="001000000000" w:firstRow="0" w:lastRow="0" w:firstColumn="1" w:lastColumn="0" w:oddVBand="0" w:evenVBand="0" w:oddHBand="0" w:evenHBand="0" w:firstRowFirstColumn="0" w:firstRowLastColumn="0" w:lastRowFirstColumn="0" w:lastRowLastColumn="0"/>
            <w:tcW w:w="1213" w:type="dxa"/>
          </w:tcPr>
          <w:p w:rsidR="009C51BA" w:rsidRPr="00687A1C" w:rsidRDefault="009C51BA" w:rsidP="00271AF2">
            <w:pPr>
              <w:pStyle w:val="Tabletext"/>
            </w:pPr>
            <w:r w:rsidRPr="00687A1C">
              <w:t>Claim costs</w:t>
            </w:r>
          </w:p>
        </w:tc>
        <w:tc>
          <w:tcPr>
            <w:tcW w:w="2250" w:type="dxa"/>
            <w:shd w:val="clear" w:color="auto" w:fill="D9D9D9" w:themeFill="background1" w:themeFillShade="D9"/>
          </w:tcPr>
          <w:p w:rsidR="009C51BA" w:rsidRPr="00687A1C" w:rsidRDefault="009C51BA" w:rsidP="00B820C5">
            <w:pPr>
              <w:pStyle w:val="Tabletext"/>
              <w:cnfStyle w:val="000000000000" w:firstRow="0" w:lastRow="0" w:firstColumn="0" w:lastColumn="0" w:oddVBand="0" w:evenVBand="0" w:oddHBand="0" w:evenHBand="0" w:firstRowFirstColumn="0" w:firstRowLastColumn="0" w:lastRowFirstColumn="0" w:lastRowLastColumn="0"/>
            </w:pPr>
            <w:r w:rsidRPr="00687A1C">
              <w:t>Average cost per standard claim</w:t>
            </w:r>
            <w:r w:rsidRPr="00687A1C">
              <w:rPr>
                <w:vertAlign w:val="superscript"/>
              </w:rPr>
              <w:t>(c)</w:t>
            </w:r>
          </w:p>
        </w:tc>
        <w:tc>
          <w:tcPr>
            <w:tcW w:w="2190" w:type="dxa"/>
          </w:tcPr>
          <w:p w:rsidR="009C51BA" w:rsidRPr="00687A1C" w:rsidRDefault="009C51BA" w:rsidP="00E97330">
            <w:pPr>
              <w:pStyle w:val="Tabletext"/>
              <w:cnfStyle w:val="000000000000" w:firstRow="0" w:lastRow="0" w:firstColumn="0" w:lastColumn="0" w:oddVBand="0" w:evenVBand="0" w:oddHBand="0" w:evenHBand="0" w:firstRowFirstColumn="0" w:firstRowLastColumn="0" w:lastRowFirstColumn="0" w:lastRowLastColumn="0"/>
            </w:pPr>
            <w:r w:rsidRPr="00687A1C">
              <w:t>$5</w:t>
            </w:r>
            <w:r w:rsidR="00E97330" w:rsidRPr="00687A1C">
              <w:t xml:space="preserve"> </w:t>
            </w:r>
            <w:r w:rsidRPr="00687A1C">
              <w:t>108</w:t>
            </w:r>
          </w:p>
        </w:tc>
        <w:tc>
          <w:tcPr>
            <w:tcW w:w="2190" w:type="dxa"/>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$66.50</w:t>
            </w:r>
          </w:p>
        </w:tc>
        <w:tc>
          <w:tcPr>
            <w:tcW w:w="2190" w:type="dxa"/>
          </w:tcPr>
          <w:p w:rsidR="009C51BA" w:rsidRPr="00687A1C" w:rsidRDefault="00A84B8B" w:rsidP="00B820C5">
            <w:pPr>
              <w:pStyle w:val="Tabletext"/>
              <w:cnfStyle w:val="000000000000" w:firstRow="0" w:lastRow="0" w:firstColumn="0" w:lastColumn="0" w:oddVBand="0" w:evenVBand="0" w:oddHBand="0" w:evenHBand="0" w:firstRowFirstColumn="0" w:firstRowLastColumn="0" w:lastRowFirstColumn="0" w:lastRowLastColumn="0"/>
            </w:pPr>
            <w:r w:rsidRPr="00687A1C">
              <w:t>$</w:t>
            </w:r>
            <w:r w:rsidR="009C51BA" w:rsidRPr="00687A1C">
              <w:t>934.66</w:t>
            </w:r>
            <w:r w:rsidRPr="00687A1C">
              <w:rPr>
                <w:vertAlign w:val="superscript"/>
              </w:rPr>
              <w:t>(d)</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hideMark/>
          </w:tcPr>
          <w:p w:rsidR="00071696" w:rsidRPr="00687A1C" w:rsidRDefault="00071696" w:rsidP="00271AF2">
            <w:pPr>
              <w:pStyle w:val="Tabletext"/>
            </w:pPr>
            <w:r w:rsidRPr="00687A1C">
              <w:t>Return to work</w:t>
            </w:r>
          </w:p>
        </w:tc>
        <w:tc>
          <w:tcPr>
            <w:tcW w:w="2250" w:type="dxa"/>
            <w:shd w:val="clear" w:color="auto" w:fill="D9D9D9" w:themeFill="background1" w:themeFillShade="D9"/>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Percentage of claims with return to work plan &lt;30</w:t>
            </w:r>
            <w:r w:rsidR="00E97330" w:rsidRPr="00687A1C">
              <w:t xml:space="preserve"> </w:t>
            </w:r>
            <w:r w:rsidRPr="00687A1C">
              <w:t>days</w:t>
            </w:r>
          </w:p>
        </w:tc>
        <w:tc>
          <w:tcPr>
            <w:tcW w:w="2190" w:type="dxa"/>
            <w:hideMark/>
          </w:tcPr>
          <w:p w:rsidR="00071696" w:rsidRPr="00687A1C" w:rsidRDefault="00071696" w:rsidP="00E97330">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w:t>
            </w:r>
          </w:p>
        </w:tc>
        <w:tc>
          <w:tcPr>
            <w:tcW w:w="2190" w:type="dxa"/>
            <w:hideMark/>
          </w:tcPr>
          <w:p w:rsidR="00071696" w:rsidRPr="00687A1C" w:rsidRDefault="00E97330" w:rsidP="00B820C5">
            <w:pPr>
              <w:pStyle w:val="Tabletext"/>
              <w:cnfStyle w:val="000000000000" w:firstRow="0" w:lastRow="0" w:firstColumn="0" w:lastColumn="0" w:oddVBand="0" w:evenVBand="0" w:oddHBand="0" w:evenHBand="0" w:firstRowFirstColumn="0" w:firstRowLastColumn="0" w:lastRowFirstColumn="0" w:lastRowLastColumn="0"/>
            </w:pPr>
            <w:r w:rsidRPr="00687A1C">
              <w:t>25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941D0A" w:rsidRPr="00687A1C">
              <w:rPr>
                <w:vertAlign w:val="superscript"/>
              </w:rPr>
              <w:t>(e)</w:t>
            </w:r>
          </w:p>
        </w:tc>
      </w:tr>
      <w:tr w:rsidR="00580884" w:rsidRPr="00687A1C" w:rsidTr="006617D4">
        <w:tc>
          <w:tcPr>
            <w:cnfStyle w:val="001000000000" w:firstRow="0" w:lastRow="0" w:firstColumn="1" w:lastColumn="0" w:oddVBand="0" w:evenVBand="0" w:oddHBand="0" w:evenHBand="0" w:firstRowFirstColumn="0" w:firstRowLastColumn="0" w:lastRowFirstColumn="0" w:lastRowLastColumn="0"/>
            <w:tcW w:w="1213" w:type="dxa"/>
            <w:vMerge w:val="restart"/>
            <w:hideMark/>
          </w:tcPr>
          <w:p w:rsidR="00580884" w:rsidRPr="00687A1C" w:rsidRDefault="00580884" w:rsidP="00271AF2">
            <w:pPr>
              <w:pStyle w:val="Tabletext"/>
            </w:pPr>
            <w:r w:rsidRPr="00687A1C">
              <w:lastRenderedPageBreak/>
              <w:t>Management commitment</w:t>
            </w:r>
          </w:p>
        </w:tc>
        <w:tc>
          <w:tcPr>
            <w:tcW w:w="2250" w:type="dxa"/>
            <w:shd w:val="clear" w:color="auto" w:fill="D9D9D9" w:themeFill="background1" w:themeFillShade="D9"/>
            <w:hideMark/>
          </w:tcPr>
          <w:p w:rsidR="00580884" w:rsidRPr="00687A1C" w:rsidRDefault="00580884" w:rsidP="00271AF2">
            <w:pPr>
              <w:pStyle w:val="Tabletext"/>
              <w:cnfStyle w:val="000000000000" w:firstRow="0" w:lastRow="0" w:firstColumn="0" w:lastColumn="0" w:oddVBand="0" w:evenVBand="0" w:oddHBand="0" w:evenHBand="0" w:firstRowFirstColumn="0" w:firstRowLastColumn="0" w:lastRowFirstColumn="0" w:lastRowLastColumn="0"/>
            </w:pPr>
            <w:r w:rsidRPr="00687A1C">
              <w:t>Evidence of OHS policy statement, OHS objectives, regular reporting to senior management on OHS, and OHS plans (signed by CEO or equivalent)</w:t>
            </w:r>
          </w:p>
        </w:tc>
        <w:tc>
          <w:tcPr>
            <w:tcW w:w="2190" w:type="dxa"/>
            <w:hideMark/>
          </w:tcPr>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Statement of Commitment signed by Secretary.</w:t>
            </w:r>
          </w:p>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OHS issues are raised monthly with Directors.</w:t>
            </w:r>
          </w:p>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Increased visibility of OHS reporting and issues for wider Department via OHS newsletter.</w:t>
            </w:r>
          </w:p>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DTF participated in whole of Victorian government interdepartmental Health and Safety Sub</w:t>
            </w:r>
            <w:r w:rsidRPr="00687A1C">
              <w:noBreakHyphen/>
              <w:t>committee, and Sub</w:t>
            </w:r>
            <w:r w:rsidRPr="00687A1C">
              <w:noBreakHyphen/>
              <w:t xml:space="preserve">committee working group. </w:t>
            </w:r>
          </w:p>
        </w:tc>
        <w:tc>
          <w:tcPr>
            <w:tcW w:w="2190" w:type="dxa"/>
            <w:hideMark/>
          </w:tcPr>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Statement of Commitment signed by Secretary.</w:t>
            </w:r>
          </w:p>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 xml:space="preserve">Reinstatement of quarterly DTF Health and </w:t>
            </w:r>
            <w:r w:rsidR="00872E47" w:rsidRPr="00687A1C">
              <w:t>Safety Committee (HSC) meetings</w:t>
            </w:r>
            <w:r w:rsidR="006617D4" w:rsidRPr="00687A1C">
              <w:rPr>
                <w:rFonts w:ascii="Calibri" w:hAnsi="Calibri" w:cs="Calibri"/>
              </w:rPr>
              <w:t> </w:t>
            </w:r>
            <w:r w:rsidRPr="00687A1C">
              <w:t>– following the HSC electing to stop meetings during 2015</w:t>
            </w:r>
            <w:r w:rsidRPr="00687A1C">
              <w:noBreakHyphen/>
              <w:t>16. Head of People and Culture chairs HSC meetings.</w:t>
            </w:r>
          </w:p>
        </w:tc>
        <w:tc>
          <w:tcPr>
            <w:tcW w:w="2190" w:type="dxa"/>
            <w:hideMark/>
          </w:tcPr>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 xml:space="preserve">Statement of Commitment signed by Secretary. </w:t>
            </w:r>
          </w:p>
          <w:p w:rsidR="00580884" w:rsidRPr="00687A1C" w:rsidRDefault="00580884" w:rsidP="00872E47">
            <w:pPr>
              <w:pStyle w:val="Tabletext"/>
              <w:cnfStyle w:val="000000000000" w:firstRow="0" w:lastRow="0" w:firstColumn="0" w:lastColumn="0" w:oddVBand="0" w:evenVBand="0" w:oddHBand="0" w:evenHBand="0" w:firstRowFirstColumn="0" w:firstRowLastColumn="0" w:lastRowFirstColumn="0" w:lastRowLastColumn="0"/>
            </w:pPr>
            <w:r w:rsidRPr="00687A1C">
              <w:t xml:space="preserve">Director of People and Culture continues to chair Quarterly Health and Safety Committee (HSC) meetings. </w:t>
            </w:r>
          </w:p>
          <w:p w:rsidR="00580884" w:rsidRPr="00687A1C" w:rsidRDefault="006C1AB7" w:rsidP="00872E47">
            <w:pPr>
              <w:pStyle w:val="Tabletext"/>
              <w:cnfStyle w:val="000000000000" w:firstRow="0" w:lastRow="0" w:firstColumn="0" w:lastColumn="0" w:oddVBand="0" w:evenVBand="0" w:oddHBand="0" w:evenHBand="0" w:firstRowFirstColumn="0" w:firstRowLastColumn="0" w:lastRowFirstColumn="0" w:lastRowLastColumn="0"/>
            </w:pPr>
            <w:r w:rsidRPr="00687A1C">
              <w:t>DTF participated in w</w:t>
            </w:r>
            <w:r w:rsidR="00580884" w:rsidRPr="00687A1C">
              <w:t xml:space="preserve">hole of Victorian </w:t>
            </w:r>
            <w:r w:rsidR="00D00B76" w:rsidRPr="00687A1C">
              <w:t xml:space="preserve">government </w:t>
            </w:r>
            <w:r w:rsidR="00580884" w:rsidRPr="00687A1C">
              <w:t xml:space="preserve">Inter-departmental Mental Health </w:t>
            </w:r>
            <w:r w:rsidR="00D00B76" w:rsidRPr="00687A1C">
              <w:t>and</w:t>
            </w:r>
            <w:r w:rsidR="00580884" w:rsidRPr="00687A1C">
              <w:t xml:space="preserve"> Wellbeing Charter Committee, Subcommittee and working groups. </w:t>
            </w:r>
          </w:p>
        </w:tc>
      </w:tr>
      <w:tr w:rsidR="00580884"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580884" w:rsidRPr="00687A1C" w:rsidRDefault="00580884" w:rsidP="00271AF2">
            <w:pPr>
              <w:pStyle w:val="Tabletext"/>
            </w:pPr>
          </w:p>
        </w:tc>
        <w:tc>
          <w:tcPr>
            <w:tcW w:w="2250" w:type="dxa"/>
            <w:shd w:val="clear" w:color="auto" w:fill="D9D9D9" w:themeFill="background1" w:themeFillShade="D9"/>
            <w:hideMark/>
          </w:tcPr>
          <w:p w:rsidR="00580884" w:rsidRPr="00687A1C" w:rsidRDefault="00580884" w:rsidP="00271AF2">
            <w:pPr>
              <w:pStyle w:val="Tabletext"/>
              <w:cnfStyle w:val="000000000000" w:firstRow="0" w:lastRow="0" w:firstColumn="0" w:lastColumn="0" w:oddVBand="0" w:evenVBand="0" w:oddHBand="0" w:evenHBand="0" w:firstRowFirstColumn="0" w:firstRowLastColumn="0" w:lastRowFirstColumn="0" w:lastRowLastColumn="0"/>
            </w:pPr>
            <w:r w:rsidRPr="00687A1C">
              <w:t>Evidence of OHS criteria in purchasing guidelines (including goods, services and personnel)</w:t>
            </w:r>
          </w:p>
        </w:tc>
        <w:tc>
          <w:tcPr>
            <w:tcW w:w="2190" w:type="dxa"/>
            <w:hideMark/>
          </w:tcPr>
          <w:p w:rsidR="00580884" w:rsidRPr="00687A1C" w:rsidRDefault="00580884" w:rsidP="00271AF2">
            <w:pPr>
              <w:pStyle w:val="Tabletext"/>
              <w:cnfStyle w:val="000000000000" w:firstRow="0" w:lastRow="0" w:firstColumn="0" w:lastColumn="0" w:oddVBand="0" w:evenVBand="0" w:oddHBand="0" w:evenHBand="0" w:firstRowFirstColumn="0" w:firstRowLastColumn="0" w:lastRowFirstColumn="0" w:lastRowLastColumn="0"/>
            </w:pPr>
            <w:r w:rsidRPr="00687A1C">
              <w:t>Staff engaged through a proactive approach towards workstation assessments, with subsequent purchase of ergonomic workstation related equipment.</w:t>
            </w:r>
          </w:p>
        </w:tc>
        <w:tc>
          <w:tcPr>
            <w:tcW w:w="2190" w:type="dxa"/>
            <w:hideMark/>
          </w:tcPr>
          <w:p w:rsidR="00580884" w:rsidRPr="00687A1C" w:rsidRDefault="00580884" w:rsidP="00271AF2">
            <w:pPr>
              <w:pStyle w:val="Tabletext"/>
              <w:cnfStyle w:val="000000000000" w:firstRow="0" w:lastRow="0" w:firstColumn="0" w:lastColumn="0" w:oddVBand="0" w:evenVBand="0" w:oddHBand="0" w:evenHBand="0" w:firstRowFirstColumn="0" w:firstRowLastColumn="0" w:lastRowFirstColumn="0" w:lastRowLastColumn="0"/>
            </w:pPr>
            <w:r w:rsidRPr="00687A1C">
              <w:t>Purchasing Guidelines contain OHS Criteria.</w:t>
            </w:r>
          </w:p>
          <w:p w:rsidR="00580884" w:rsidRPr="00687A1C" w:rsidRDefault="00580884" w:rsidP="00271AF2">
            <w:pPr>
              <w:pStyle w:val="Tabletext"/>
              <w:cnfStyle w:val="000000000000" w:firstRow="0" w:lastRow="0" w:firstColumn="0" w:lastColumn="0" w:oddVBand="0" w:evenVBand="0" w:oddHBand="0" w:evenHBand="0" w:firstRowFirstColumn="0" w:firstRowLastColumn="0" w:lastRowFirstColumn="0" w:lastRowLastColumn="0"/>
            </w:pPr>
            <w:r w:rsidRPr="00687A1C">
              <w:t>Staff have been engaged through a proactive approach towards workstation assessments. This has resulted in the subsequent purchase of ergonomic workstation</w:t>
            </w:r>
            <w:r w:rsidRPr="00687A1C">
              <w:noBreakHyphen/>
              <w:t>related equipment. Sit</w:t>
            </w:r>
            <w:r w:rsidRPr="00687A1C">
              <w:noBreakHyphen/>
              <w:t>stand desks were purchased that have been built to the appropriate standards. Chairs purchased for staff were minimum quality compliant chairs (Australasian Furnishing Research and Development Institute level 6).</w:t>
            </w:r>
          </w:p>
          <w:p w:rsidR="00580884" w:rsidRPr="00687A1C" w:rsidRDefault="00580884" w:rsidP="00271AF2">
            <w:pPr>
              <w:pStyle w:val="Tabletext"/>
              <w:cnfStyle w:val="000000000000" w:firstRow="0" w:lastRow="0" w:firstColumn="0" w:lastColumn="0" w:oddVBand="0" w:evenVBand="0" w:oddHBand="0" w:evenHBand="0" w:firstRowFirstColumn="0" w:firstRowLastColumn="0" w:lastRowFirstColumn="0" w:lastRowLastColumn="0"/>
            </w:pPr>
            <w:r w:rsidRPr="00687A1C">
              <w:t>Services and personnel engaged to support OHS program (i.e. flu vaccination program, training, etc.) have been required to provide evidence of competency and insurance information.</w:t>
            </w:r>
          </w:p>
        </w:tc>
        <w:tc>
          <w:tcPr>
            <w:tcW w:w="2190" w:type="dxa"/>
            <w:hideMark/>
          </w:tcPr>
          <w:p w:rsidR="00D00B76" w:rsidRPr="00687A1C" w:rsidRDefault="00580884" w:rsidP="00D00B76">
            <w:pPr>
              <w:pStyle w:val="Tabletext"/>
              <w:cnfStyle w:val="000000000000" w:firstRow="0" w:lastRow="0" w:firstColumn="0" w:lastColumn="0" w:oddVBand="0" w:evenVBand="0" w:oddHBand="0" w:evenHBand="0" w:firstRowFirstColumn="0" w:firstRowLastColumn="0" w:lastRowFirstColumn="0" w:lastRowLastColumn="0"/>
            </w:pPr>
            <w:r w:rsidRPr="00687A1C">
              <w:t xml:space="preserve">OHS Advisory was involved in the procurement of </w:t>
            </w:r>
            <w:r w:rsidR="006C1AB7" w:rsidRPr="00687A1C">
              <w:t xml:space="preserve">more than </w:t>
            </w:r>
            <w:r w:rsidRPr="00687A1C">
              <w:t xml:space="preserve">500 </w:t>
            </w:r>
            <w:r w:rsidR="006C1AB7" w:rsidRPr="00687A1C">
              <w:t>o</w:t>
            </w:r>
            <w:r w:rsidRPr="00687A1C">
              <w:t xml:space="preserve">ffice </w:t>
            </w:r>
            <w:r w:rsidR="006C1AB7" w:rsidRPr="00687A1C">
              <w:t>c</w:t>
            </w:r>
            <w:r w:rsidRPr="00687A1C">
              <w:t>hairs.</w:t>
            </w:r>
          </w:p>
          <w:p w:rsidR="00580884" w:rsidRPr="00687A1C" w:rsidRDefault="00580884" w:rsidP="00D00B76">
            <w:pPr>
              <w:pStyle w:val="Tabletext"/>
              <w:cnfStyle w:val="000000000000" w:firstRow="0" w:lastRow="0" w:firstColumn="0" w:lastColumn="0" w:oddVBand="0" w:evenVBand="0" w:oddHBand="0" w:evenHBand="0" w:firstRowFirstColumn="0" w:firstRowLastColumn="0" w:lastRowFirstColumn="0" w:lastRowLastColumn="0"/>
            </w:pPr>
            <w:r w:rsidRPr="00687A1C">
              <w:t xml:space="preserve">OHS Advisory was involved in the procurement </w:t>
            </w:r>
            <w:r w:rsidR="006C1AB7" w:rsidRPr="00687A1C">
              <w:t xml:space="preserve">of </w:t>
            </w:r>
            <w:r w:rsidRPr="00687A1C">
              <w:t>portable sit-stand desks.</w:t>
            </w:r>
          </w:p>
        </w:tc>
      </w:tr>
      <w:tr w:rsidR="009C51BA" w:rsidRPr="00687A1C" w:rsidTr="006617D4">
        <w:tc>
          <w:tcPr>
            <w:cnfStyle w:val="001000000000" w:firstRow="0" w:lastRow="0" w:firstColumn="1" w:lastColumn="0" w:oddVBand="0" w:evenVBand="0" w:oddHBand="0" w:evenHBand="0" w:firstRowFirstColumn="0" w:firstRowLastColumn="0" w:lastRowFirstColumn="0" w:lastRowLastColumn="0"/>
            <w:tcW w:w="1213" w:type="dxa"/>
            <w:vMerge w:val="restart"/>
            <w:hideMark/>
          </w:tcPr>
          <w:p w:rsidR="009C51BA" w:rsidRPr="00687A1C" w:rsidRDefault="009C51BA" w:rsidP="00E327A5">
            <w:pPr>
              <w:pStyle w:val="Tabletext"/>
              <w:pageBreakBefore/>
            </w:pPr>
            <w:r w:rsidRPr="00687A1C">
              <w:lastRenderedPageBreak/>
              <w:t xml:space="preserve">Consultation and participation </w:t>
            </w:r>
          </w:p>
        </w:tc>
        <w:tc>
          <w:tcPr>
            <w:tcW w:w="2250" w:type="dxa"/>
            <w:shd w:val="clear" w:color="auto" w:fill="D9D9D9" w:themeFill="background1" w:themeFillShade="D9"/>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Evidence of agreed structure of designated work groups (DWGs), health and safety representatives (HSRs), and issue resolution procedures (IRPs)</w:t>
            </w:r>
          </w:p>
        </w:tc>
        <w:tc>
          <w:tcPr>
            <w:tcW w:w="2190" w:type="dxa"/>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Review of DTF consultation procedure resulted in replacement of quarterly HSC meeting with the co</w:t>
            </w:r>
            <w:r w:rsidRPr="00687A1C">
              <w:noBreakHyphen/>
              <w:t>production of a quarterly OHS newsletter with input from HSRs, for wider departmental distribution. The first newsletter was released in March 2016 via the employee intranet. The new procedure allows for HSC meetings to be held if requested by a HSR or a DTF employee. In addition, at a minimum, one HSC meeting will be held during the reporting period.</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Two HSC meetings were conducted during this period in August and November 2015.</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HSRs involved in development of OHS newsletter.</w:t>
            </w:r>
          </w:p>
        </w:tc>
        <w:tc>
          <w:tcPr>
            <w:tcW w:w="2190" w:type="dxa"/>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The DTF HSC was re</w:t>
            </w:r>
            <w:r w:rsidRPr="00687A1C">
              <w:noBreakHyphen/>
              <w:t xml:space="preserve">established in consultation with HSRs. The HSC Terms of Reference </w:t>
            </w:r>
            <w:r w:rsidR="00B820C5" w:rsidRPr="00687A1C">
              <w:t>was</w:t>
            </w:r>
            <w:r w:rsidRPr="00687A1C">
              <w:t xml:space="preserve"> reviewed as part of the August 2016 HSC Meeting.</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During the January 2017 HSC meeting, DWGs were reviewed in line with the HSR election process. This review resulted in a rearrangement of DWGs to suit the location where newly elected HSRs were seated.</w:t>
            </w:r>
          </w:p>
        </w:tc>
        <w:tc>
          <w:tcPr>
            <w:tcW w:w="2190" w:type="dxa"/>
            <w:hideMark/>
          </w:tcPr>
          <w:p w:rsidR="009C51BA" w:rsidRPr="00687A1C" w:rsidRDefault="009C51BA" w:rsidP="001C17C3">
            <w:pPr>
              <w:pStyle w:val="Tabletext"/>
              <w:cnfStyle w:val="000000000000" w:firstRow="0" w:lastRow="0" w:firstColumn="0" w:lastColumn="0" w:oddVBand="0" w:evenVBand="0" w:oddHBand="0" w:evenHBand="0" w:firstRowFirstColumn="0" w:firstRowLastColumn="0" w:lastRowFirstColumn="0" w:lastRowLastColumn="0"/>
            </w:pPr>
            <w:r w:rsidRPr="00687A1C">
              <w:t xml:space="preserve">Four OHS Committee </w:t>
            </w:r>
            <w:r w:rsidR="001C17C3" w:rsidRPr="00687A1C">
              <w:t>m</w:t>
            </w:r>
            <w:r w:rsidRPr="00687A1C">
              <w:t xml:space="preserve">eetings were held during this period. OHS </w:t>
            </w:r>
            <w:r w:rsidR="006C1AB7" w:rsidRPr="00687A1C">
              <w:t xml:space="preserve">Advisory </w:t>
            </w:r>
            <w:r w:rsidRPr="00687A1C">
              <w:t>releas</w:t>
            </w:r>
            <w:r w:rsidR="001C17C3" w:rsidRPr="00687A1C">
              <w:t xml:space="preserve">ed four OHS </w:t>
            </w:r>
            <w:r w:rsidR="006617D4" w:rsidRPr="00687A1C">
              <w:t>newsletters</w:t>
            </w:r>
            <w:r w:rsidR="001C17C3" w:rsidRPr="00687A1C">
              <w:t>.</w:t>
            </w:r>
          </w:p>
        </w:tc>
      </w:tr>
      <w:tr w:rsidR="009C51BA"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9C51BA" w:rsidRPr="00687A1C" w:rsidRDefault="009C51BA" w:rsidP="00271AF2">
            <w:pPr>
              <w:pStyle w:val="Tabletext"/>
            </w:pPr>
          </w:p>
        </w:tc>
        <w:tc>
          <w:tcPr>
            <w:tcW w:w="2250" w:type="dxa"/>
            <w:shd w:val="clear" w:color="auto" w:fill="D9D9D9" w:themeFill="background1" w:themeFillShade="D9"/>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Compliance with agreed structure on DWGs, HSRs, and IRPs</w:t>
            </w:r>
          </w:p>
        </w:tc>
        <w:tc>
          <w:tcPr>
            <w:tcW w:w="2190" w:type="dxa"/>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All HSR positions were filled throughout reporting period.</w:t>
            </w:r>
          </w:p>
        </w:tc>
        <w:tc>
          <w:tcPr>
            <w:tcW w:w="2190" w:type="dxa"/>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Re</w:t>
            </w:r>
            <w:r w:rsidRPr="00687A1C">
              <w:noBreakHyphen/>
              <w:t>election of HSRs who had come to the end of their three</w:t>
            </w:r>
            <w:r w:rsidRPr="00687A1C">
              <w:noBreakHyphen/>
              <w:t>year terms in February 2017. All HSR positions were filled.</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DTF HSC meetings were held in August 2016, October 2016, January 2017 and April 2017.</w:t>
            </w:r>
          </w:p>
        </w:tc>
        <w:tc>
          <w:tcPr>
            <w:tcW w:w="2190" w:type="dxa"/>
            <w:hideMark/>
          </w:tcPr>
          <w:p w:rsidR="009C51BA" w:rsidRPr="00687A1C" w:rsidRDefault="009C51BA" w:rsidP="007F53E0">
            <w:pPr>
              <w:pStyle w:val="Tabletext"/>
              <w:cnfStyle w:val="000000000000" w:firstRow="0" w:lastRow="0" w:firstColumn="0" w:lastColumn="0" w:oddVBand="0" w:evenVBand="0" w:oddHBand="0" w:evenHBand="0" w:firstRowFirstColumn="0" w:firstRowLastColumn="0" w:lastRowFirstColumn="0" w:lastRowLastColumn="0"/>
            </w:pPr>
            <w:r w:rsidRPr="00687A1C">
              <w:t>All HSR positions are filled at 30 June 201</w:t>
            </w:r>
            <w:r w:rsidR="007F53E0" w:rsidRPr="00687A1C">
              <w:t>8</w:t>
            </w:r>
            <w:r w:rsidRPr="00687A1C">
              <w:t>.</w:t>
            </w:r>
          </w:p>
        </w:tc>
      </w:tr>
      <w:tr w:rsidR="009C51BA" w:rsidRPr="00687A1C" w:rsidTr="006617D4">
        <w:tc>
          <w:tcPr>
            <w:cnfStyle w:val="001000000000" w:firstRow="0" w:lastRow="0" w:firstColumn="1" w:lastColumn="0" w:oddVBand="0" w:evenVBand="0" w:oddHBand="0" w:evenHBand="0" w:firstRowFirstColumn="0" w:firstRowLastColumn="0" w:lastRowFirstColumn="0" w:lastRowLastColumn="0"/>
            <w:tcW w:w="1213" w:type="dxa"/>
            <w:hideMark/>
          </w:tcPr>
          <w:p w:rsidR="009C51BA" w:rsidRPr="00687A1C" w:rsidRDefault="009C51BA" w:rsidP="00E327A5">
            <w:pPr>
              <w:pStyle w:val="Tabletext"/>
              <w:pageBreakBefore/>
            </w:pPr>
            <w:r w:rsidRPr="00687A1C">
              <w:lastRenderedPageBreak/>
              <w:t>Risk management</w:t>
            </w:r>
          </w:p>
        </w:tc>
        <w:tc>
          <w:tcPr>
            <w:tcW w:w="2250" w:type="dxa"/>
            <w:shd w:val="clear" w:color="auto" w:fill="D9D9D9" w:themeFill="background1" w:themeFillShade="D9"/>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Percentage of internal audits/ inspections conducted as planned</w:t>
            </w:r>
          </w:p>
        </w:tc>
        <w:tc>
          <w:tcPr>
            <w:tcW w:w="2190" w:type="dxa"/>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&gt;95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first aid kits inspected on a quarterly basis with parts replaced within two weeks of ordering.</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Kit inspection checklist was amended to include quarterly assessment of defibrillators.</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completion of first aid room inspection.</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 xml:space="preserve">Review of first aid capability at 121 Exhibition Street resulted in the relocation of a defibrillator from the Car Pool Office on </w:t>
            </w:r>
            <w:r w:rsidR="00B820C5" w:rsidRPr="00687A1C">
              <w:t xml:space="preserve">the </w:t>
            </w:r>
            <w:r w:rsidRPr="00687A1C">
              <w:t xml:space="preserve">ground floor, 1 Treasury Place to level 25, 121 Exhibition Street to ensure coverage for DTF employees. </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60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workplace safety inspections undertaken across DTF workplaces, scheduled to be completed on a quarterly basis. </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DTF OHS Advisory attended 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the quarterly ESC OHS Committee meetings. After each meeting a workplace inspection was undertaken. 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workplace inspections were completed at ESC.</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DTF OHS Advisory and HSR addressed the Shared Service Provider forum on OHS on 29 June 2016.</w:t>
            </w:r>
          </w:p>
          <w:p w:rsidR="009C51BA" w:rsidRPr="00687A1C" w:rsidRDefault="009C51BA" w:rsidP="00580884">
            <w:pPr>
              <w:pStyle w:val="Tabletext"/>
              <w:cnfStyle w:val="000000000000" w:firstRow="0" w:lastRow="0" w:firstColumn="0" w:lastColumn="0" w:oddVBand="0" w:evenVBand="0" w:oddHBand="0" w:evenHBand="0" w:firstRowFirstColumn="0" w:firstRowLastColumn="0" w:lastRowFirstColumn="0" w:lastRowLastColumn="0"/>
            </w:pPr>
            <w:r w:rsidRPr="00687A1C">
              <w:t>118 ergonomic assessm</w:t>
            </w:r>
            <w:r w:rsidR="00580884" w:rsidRPr="00687A1C">
              <w:t>ents were conducted: 62 face</w:t>
            </w:r>
            <w:r w:rsidR="00580884" w:rsidRPr="00687A1C">
              <w:noBreakHyphen/>
              <w:t>to</w:t>
            </w:r>
            <w:r w:rsidR="00580884" w:rsidRPr="00687A1C">
              <w:noBreakHyphen/>
            </w:r>
            <w:r w:rsidRPr="00687A1C">
              <w:t>face (53</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including two for staff home based workstations, and 56 (47</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using DTF</w:t>
            </w:r>
            <w:r w:rsidR="009469FE" w:rsidRPr="00687A1C">
              <w:t>’</w:t>
            </w:r>
            <w:r w:rsidRPr="00687A1C">
              <w:t xml:space="preserve">s </w:t>
            </w:r>
            <w:r w:rsidR="009469FE" w:rsidRPr="00687A1C">
              <w:t>‘</w:t>
            </w:r>
            <w:r w:rsidRPr="00687A1C">
              <w:t>safe workstation setup</w:t>
            </w:r>
            <w:r w:rsidR="009469FE" w:rsidRPr="00687A1C">
              <w:t>’</w:t>
            </w:r>
            <w:r w:rsidRPr="00687A1C">
              <w:t xml:space="preserve"> online module. </w:t>
            </w:r>
          </w:p>
        </w:tc>
        <w:tc>
          <w:tcPr>
            <w:tcW w:w="2190" w:type="dxa"/>
            <w:hideMark/>
          </w:tcPr>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80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workplace inspections were completed within the scheduled quarter.</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 xml:space="preserve">Workplace OHS inspections were completed at the following DTF locations: </w:t>
            </w:r>
            <w:r w:rsidR="006C5542" w:rsidRPr="00687A1C">
              <w:br/>
            </w:r>
            <w:r w:rsidRPr="00687A1C">
              <w:t xml:space="preserve">1 Macarthur Street, 1 Treasury Place, </w:t>
            </w:r>
            <w:r w:rsidR="006C5542" w:rsidRPr="00687A1C">
              <w:br/>
            </w:r>
            <w:r w:rsidRPr="00687A1C">
              <w:t>607 Sneydes Rd, Werribee and 121 Exhibition Street.</w:t>
            </w:r>
          </w:p>
          <w:p w:rsidR="009C51BA" w:rsidRPr="00687A1C" w:rsidRDefault="009C51BA" w:rsidP="00D00B76">
            <w:pPr>
              <w:pStyle w:val="Tabletext"/>
              <w:cnfStyle w:val="000000000000" w:firstRow="0" w:lastRow="0" w:firstColumn="0" w:lastColumn="0" w:oddVBand="0" w:evenVBand="0" w:oddHBand="0" w:evenHBand="0" w:firstRowFirstColumn="0" w:firstRowLastColumn="0" w:lastRowFirstColumn="0" w:lastRowLastColumn="0"/>
            </w:pPr>
            <w:r w:rsidRPr="00687A1C">
              <w:t>70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first aid kits were inspected on a quarterly basis, with first aid items replaced within two weeks of ordering.</w:t>
            </w:r>
          </w:p>
          <w:p w:rsidR="009C51BA" w:rsidRPr="00687A1C" w:rsidRDefault="009C51BA" w:rsidP="00D00B76">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first aid room inspections were completed.</w:t>
            </w:r>
          </w:p>
          <w:p w:rsidR="009C51BA" w:rsidRPr="00687A1C" w:rsidRDefault="009C51BA" w:rsidP="00271AF2">
            <w:pPr>
              <w:pStyle w:val="Tabletext"/>
              <w:cnfStyle w:val="000000000000" w:firstRow="0" w:lastRow="0" w:firstColumn="0" w:lastColumn="0" w:oddVBand="0" w:evenVBand="0" w:oddHBand="0" w:evenHBand="0" w:firstRowFirstColumn="0" w:firstRowLastColumn="0" w:lastRowFirstColumn="0" w:lastRowLastColumn="0"/>
            </w:pPr>
            <w:r w:rsidRPr="00687A1C">
              <w:t xml:space="preserve">The following annual internal audits were completed as planned: (i) OHS Management System Review; (ii) Register Audit; and (iii) Service Level Agreement </w:t>
            </w:r>
            <w:r w:rsidR="00BE3AA1" w:rsidRPr="00687A1C">
              <w:t xml:space="preserve">(SLA) </w:t>
            </w:r>
            <w:r w:rsidRPr="00687A1C">
              <w:t>Audit.</w:t>
            </w:r>
          </w:p>
          <w:p w:rsidR="009C51BA" w:rsidRPr="00687A1C" w:rsidRDefault="009C51BA" w:rsidP="006C5542">
            <w:pPr>
              <w:pStyle w:val="Tabletext"/>
              <w:cnfStyle w:val="000000000000" w:firstRow="0" w:lastRow="0" w:firstColumn="0" w:lastColumn="0" w:oddVBand="0" w:evenVBand="0" w:oddHBand="0" w:evenHBand="0" w:firstRowFirstColumn="0" w:firstRowLastColumn="0" w:lastRowFirstColumn="0" w:lastRowLastColumn="0"/>
            </w:pPr>
            <w:r w:rsidRPr="00687A1C">
              <w:t>In total, 234 ergonomic assessments (workstation audits) were conducted representing a 98</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increase when compared to 2015</w:t>
            </w:r>
            <w:r w:rsidRPr="00687A1C">
              <w:noBreakHyphen/>
              <w:t>16. Of these: (i) 125 were conducted face</w:t>
            </w:r>
            <w:r w:rsidRPr="00687A1C">
              <w:noBreakHyphen/>
              <w:t>to</w:t>
            </w:r>
            <w:r w:rsidRPr="00687A1C">
              <w:noBreakHyphen/>
              <w:t>face (53</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and (ii) 109 were completed using DTF</w:t>
            </w:r>
            <w:r w:rsidR="009469FE" w:rsidRPr="00687A1C">
              <w:t>’</w:t>
            </w:r>
            <w:r w:rsidRPr="00687A1C">
              <w:t xml:space="preserve">s online training module: </w:t>
            </w:r>
            <w:r w:rsidR="009469FE" w:rsidRPr="00687A1C">
              <w:t>‘</w:t>
            </w:r>
            <w:r w:rsidRPr="00687A1C">
              <w:t>safe workstation setup</w:t>
            </w:r>
            <w:r w:rsidR="009469FE" w:rsidRPr="00687A1C">
              <w:t>’</w:t>
            </w:r>
            <w:r w:rsidRPr="00687A1C">
              <w:t xml:space="preserve"> </w:t>
            </w:r>
            <w:r w:rsidR="006C5542" w:rsidRPr="00687A1C">
              <w:br/>
            </w:r>
            <w:r w:rsidRPr="00687A1C">
              <w:t>(47</w:t>
            </w:r>
            <w:r w:rsidR="006C5542" w:rsidRPr="00687A1C">
              <w:t xml:space="preserve"> </w:t>
            </w:r>
            <w:r w:rsidR="006F069A" w:rsidRPr="00687A1C">
              <w:t>per</w:t>
            </w:r>
            <w:r w:rsidR="006C5542" w:rsidRPr="00687A1C">
              <w:t xml:space="preserve"> </w:t>
            </w:r>
            <w:r w:rsidR="006F069A" w:rsidRPr="00687A1C">
              <w:t>cent</w:t>
            </w:r>
            <w:r w:rsidRPr="00687A1C">
              <w:t>).</w:t>
            </w:r>
          </w:p>
        </w:tc>
        <w:tc>
          <w:tcPr>
            <w:tcW w:w="2190" w:type="dxa"/>
            <w:hideMark/>
          </w:tcPr>
          <w:p w:rsidR="00F07512" w:rsidRPr="00687A1C" w:rsidRDefault="009C51BA" w:rsidP="009C51BA">
            <w:pPr>
              <w:pStyle w:val="Tabletext"/>
              <w:cnfStyle w:val="000000000000" w:firstRow="0" w:lastRow="0" w:firstColumn="0" w:lastColumn="0" w:oddVBand="0" w:evenVBand="0" w:oddHBand="0" w:evenHBand="0" w:firstRowFirstColumn="0" w:firstRowLastColumn="0" w:lastRowFirstColumn="0" w:lastRowLastColumn="0"/>
            </w:pPr>
            <w:r w:rsidRPr="00687A1C">
              <w:t>95</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w:t>
            </w:r>
            <w:r w:rsidR="001C17C3" w:rsidRPr="00687A1C">
              <w:t>workplace inspections wh</w:t>
            </w:r>
            <w:r w:rsidRPr="00687A1C">
              <w:t>ere completed quarterly, across the 11 locations where workplace inspection</w:t>
            </w:r>
            <w:r w:rsidR="00F07512" w:rsidRPr="00687A1C">
              <w:t>s were scheduled to take place.</w:t>
            </w:r>
          </w:p>
          <w:p w:rsidR="009C51BA" w:rsidRPr="00687A1C" w:rsidRDefault="009C51BA" w:rsidP="009C51BA">
            <w:pPr>
              <w:pStyle w:val="Tabletext"/>
              <w:cnfStyle w:val="000000000000" w:firstRow="0" w:lastRow="0" w:firstColumn="0" w:lastColumn="0" w:oddVBand="0" w:evenVBand="0" w:oddHBand="0" w:evenHBand="0" w:firstRowFirstColumn="0" w:firstRowLastColumn="0" w:lastRowFirstColumn="0" w:lastRowLastColumn="0"/>
            </w:pPr>
            <w:r w:rsidRPr="00687A1C">
              <w:t xml:space="preserve">Locations included: </w:t>
            </w:r>
          </w:p>
          <w:p w:rsidR="009C51BA" w:rsidRPr="00687A1C" w:rsidRDefault="009C51BA" w:rsidP="009C51BA">
            <w:pPr>
              <w:pStyle w:val="Tablebullet"/>
              <w:cnfStyle w:val="000000000000" w:firstRow="0" w:lastRow="0" w:firstColumn="0" w:lastColumn="0" w:oddVBand="0" w:evenVBand="0" w:oddHBand="0" w:evenHBand="0" w:firstRowFirstColumn="0" w:firstRowLastColumn="0" w:lastRowFirstColumn="0" w:lastRowLastColumn="0"/>
            </w:pPr>
            <w:r w:rsidRPr="00687A1C">
              <w:t>conduct</w:t>
            </w:r>
            <w:r w:rsidR="001C17C3" w:rsidRPr="00687A1C">
              <w:t xml:space="preserve"> workplace inspec</w:t>
            </w:r>
            <w:r w:rsidRPr="00687A1C">
              <w:t xml:space="preserve">tion </w:t>
            </w:r>
            <w:r w:rsidR="00580884" w:rsidRPr="00687A1C">
              <w:t>–</w:t>
            </w:r>
            <w:r w:rsidRPr="00687A1C">
              <w:t xml:space="preserve"> </w:t>
            </w:r>
            <w:r w:rsidR="006C1AB7" w:rsidRPr="00687A1C">
              <w:t>ground floor and base</w:t>
            </w:r>
            <w:r w:rsidRPr="00687A1C">
              <w:t>ment,</w:t>
            </w:r>
            <w:r w:rsidR="00580884" w:rsidRPr="00687A1C">
              <w:t xml:space="preserve"> Level</w:t>
            </w:r>
            <w:r w:rsidR="00053F5C" w:rsidRPr="00687A1C">
              <w:t>s</w:t>
            </w:r>
            <w:r w:rsidR="00580884" w:rsidRPr="00687A1C">
              <w:t xml:space="preserve"> 4, 6, 7, 9, 10, 11 </w:t>
            </w:r>
            <w:r w:rsidR="00CC29F1" w:rsidRPr="00687A1C">
              <w:t>and</w:t>
            </w:r>
            <w:r w:rsidR="00580884" w:rsidRPr="00687A1C">
              <w:t xml:space="preserve"> 12 at</w:t>
            </w:r>
            <w:r w:rsidRPr="00687A1C">
              <w:t xml:space="preserve"> </w:t>
            </w:r>
            <w:r w:rsidR="009253F0" w:rsidRPr="00687A1C">
              <w:br/>
            </w:r>
            <w:r w:rsidRPr="00687A1C">
              <w:t>1 Macarthur Street</w:t>
            </w:r>
          </w:p>
          <w:p w:rsidR="009C51BA" w:rsidRPr="00687A1C" w:rsidRDefault="009C51BA" w:rsidP="009C51BA">
            <w:pPr>
              <w:pStyle w:val="Tablebullet"/>
              <w:cnfStyle w:val="000000000000" w:firstRow="0" w:lastRow="0" w:firstColumn="0" w:lastColumn="0" w:oddVBand="0" w:evenVBand="0" w:oddHBand="0" w:evenHBand="0" w:firstRowFirstColumn="0" w:firstRowLastColumn="0" w:lastRowFirstColumn="0" w:lastRowLastColumn="0"/>
            </w:pPr>
            <w:r w:rsidRPr="00687A1C">
              <w:t xml:space="preserve">conduct </w:t>
            </w:r>
            <w:r w:rsidR="001C17C3" w:rsidRPr="00687A1C">
              <w:t>workplace inspect</w:t>
            </w:r>
            <w:r w:rsidRPr="00687A1C">
              <w:t>ion</w:t>
            </w:r>
            <w:r w:rsidR="00EC565A" w:rsidRPr="00687A1C">
              <w:t xml:space="preserve"> – </w:t>
            </w:r>
            <w:r w:rsidRPr="00687A1C">
              <w:t xml:space="preserve">Level 4 </w:t>
            </w:r>
            <w:r w:rsidR="00CC29F1" w:rsidRPr="00687A1C">
              <w:t>and</w:t>
            </w:r>
            <w:r w:rsidR="006617D4" w:rsidRPr="00687A1C">
              <w:rPr>
                <w:rFonts w:ascii="Calibri" w:hAnsi="Calibri" w:cs="Calibri"/>
              </w:rPr>
              <w:t> </w:t>
            </w:r>
            <w:r w:rsidRPr="00687A1C">
              <w:t>5, 1 Treasury Place</w:t>
            </w:r>
          </w:p>
          <w:p w:rsidR="009C51BA" w:rsidRPr="00687A1C" w:rsidRDefault="009C51BA" w:rsidP="009C51BA">
            <w:pPr>
              <w:pStyle w:val="Tablebullet"/>
              <w:cnfStyle w:val="000000000000" w:firstRow="0" w:lastRow="0" w:firstColumn="0" w:lastColumn="0" w:oddVBand="0" w:evenVBand="0" w:oddHBand="0" w:evenHBand="0" w:firstRowFirstColumn="0" w:firstRowLastColumn="0" w:lastRowFirstColumn="0" w:lastRowLastColumn="0"/>
            </w:pPr>
            <w:r w:rsidRPr="00687A1C">
              <w:t xml:space="preserve">conduct </w:t>
            </w:r>
            <w:r w:rsidR="001C17C3" w:rsidRPr="00687A1C">
              <w:t>workplace inspectio</w:t>
            </w:r>
            <w:r w:rsidRPr="00687A1C">
              <w:t>n – Werribee</w:t>
            </w:r>
          </w:p>
          <w:p w:rsidR="009C51BA" w:rsidRPr="00687A1C" w:rsidRDefault="009C51BA" w:rsidP="009C51BA">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580884" w:rsidRPr="00687A1C">
              <w:t xml:space="preserve"> c</w:t>
            </w:r>
            <w:r w:rsidRPr="00687A1C">
              <w:t>ompletion of quarterly first aid</w:t>
            </w:r>
            <w:r w:rsidR="001D2E8A" w:rsidRPr="00687A1C">
              <w:t xml:space="preserve"> room inspection.</w:t>
            </w:r>
          </w:p>
          <w:p w:rsidR="009C51BA" w:rsidRPr="00687A1C" w:rsidRDefault="00580884" w:rsidP="009C51BA">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c</w:t>
            </w:r>
            <w:r w:rsidR="009C51BA" w:rsidRPr="00687A1C">
              <w:t>ompletion of quarterly first aid kit replenish</w:t>
            </w:r>
            <w:r w:rsidR="006C1AB7" w:rsidRPr="00687A1C">
              <w:t>ment inspections were completed.</w:t>
            </w:r>
          </w:p>
          <w:p w:rsidR="009C51BA" w:rsidRPr="00687A1C" w:rsidRDefault="009C51BA" w:rsidP="00BE3AA1">
            <w:pPr>
              <w:pStyle w:val="Tabletext"/>
              <w:tabs>
                <w:tab w:val="left" w:pos="254"/>
              </w:tabs>
              <w:cnfStyle w:val="000000000000" w:firstRow="0" w:lastRow="0" w:firstColumn="0" w:lastColumn="0" w:oddVBand="0" w:evenVBand="0" w:oddHBand="0" w:evenHBand="0" w:firstRowFirstColumn="0" w:firstRowLastColumn="0" w:lastRowFirstColumn="0" w:lastRowLastColumn="0"/>
            </w:pPr>
            <w:r w:rsidRPr="00687A1C">
              <w:t>The following annual inte</w:t>
            </w:r>
            <w:r w:rsidR="00580884" w:rsidRPr="00687A1C">
              <w:t xml:space="preserve">rnal audits were completed: (i) </w:t>
            </w:r>
            <w:r w:rsidRPr="00687A1C">
              <w:t>OHS Management System Review</w:t>
            </w:r>
            <w:r w:rsidR="00580884" w:rsidRPr="00687A1C">
              <w:t xml:space="preserve">; </w:t>
            </w:r>
            <w:r w:rsidRPr="00687A1C">
              <w:t>(ii)</w:t>
            </w:r>
            <w:r w:rsidR="00580884" w:rsidRPr="00687A1C">
              <w:t xml:space="preserve"> </w:t>
            </w:r>
            <w:r w:rsidRPr="00687A1C">
              <w:t>Register Audit</w:t>
            </w:r>
            <w:r w:rsidR="00BE5D0A" w:rsidRPr="00687A1C">
              <w:t xml:space="preserve">; and </w:t>
            </w:r>
            <w:r w:rsidR="00580884" w:rsidRPr="00687A1C">
              <w:t>(iii)</w:t>
            </w:r>
            <w:r w:rsidR="00BE5D0A" w:rsidRPr="00687A1C">
              <w:t xml:space="preserve"> </w:t>
            </w:r>
            <w:r w:rsidR="00BE3AA1" w:rsidRPr="00687A1C">
              <w:t>SLA</w:t>
            </w:r>
            <w:r w:rsidR="00BE5D0A" w:rsidRPr="00687A1C">
              <w:t xml:space="preserve"> Audit.</w:t>
            </w:r>
            <w:r w:rsidRPr="00687A1C">
              <w:t xml:space="preserve"> </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val="restart"/>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Percentage of issues identified actioned arising from:</w:t>
            </w: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p>
        </w:tc>
        <w:tc>
          <w:tcPr>
            <w:tcW w:w="2190" w:type="dxa"/>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rPr>
                <w:rFonts w:ascii="Calibri" w:hAnsi="Calibri" w:cs="Courier New"/>
              </w:rPr>
              <w:t> </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internal audits</w:t>
            </w:r>
          </w:p>
        </w:tc>
        <w:tc>
          <w:tcPr>
            <w:tcW w:w="2190" w:type="dxa"/>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 xml:space="preserve">annual audit of policies and procedures undertaken in </w:t>
            </w:r>
            <w:r w:rsidR="00FD7531" w:rsidRPr="00687A1C">
              <w:br/>
            </w:r>
            <w:r w:rsidRPr="00687A1C">
              <w:t>January</w:t>
            </w:r>
            <w:r w:rsidR="00FD7531" w:rsidRPr="00687A1C">
              <w:t xml:space="preserve"> </w:t>
            </w:r>
            <w:r w:rsidRPr="00687A1C">
              <w:t>2016. No non</w:t>
            </w:r>
            <w:r w:rsidRPr="00687A1C">
              <w:noBreakHyphen/>
              <w:t>conformances identified.</w:t>
            </w:r>
          </w:p>
        </w:tc>
        <w:tc>
          <w:tcPr>
            <w:tcW w:w="2190" w:type="dxa"/>
            <w:hideMark/>
          </w:tcPr>
          <w:p w:rsidR="00071696" w:rsidRPr="00687A1C" w:rsidRDefault="00071696" w:rsidP="006C5542">
            <w:pPr>
              <w:pStyle w:val="Tabletext"/>
              <w:cnfStyle w:val="000000000000" w:firstRow="0" w:lastRow="0" w:firstColumn="0" w:lastColumn="0" w:oddVBand="0" w:evenVBand="0" w:oddHBand="0" w:evenHBand="0" w:firstRowFirstColumn="0" w:firstRowLastColumn="0" w:lastRowFirstColumn="0" w:lastRowLastColumn="0"/>
            </w:pPr>
            <w:r w:rsidRPr="00687A1C">
              <w:t>A desktop annual audit of OHS policies and procedures was undertaken in January 2017. No non</w:t>
            </w:r>
            <w:r w:rsidRPr="00687A1C">
              <w:noBreakHyphen/>
              <w:t>conformances identified.</w:t>
            </w:r>
          </w:p>
        </w:tc>
        <w:tc>
          <w:tcPr>
            <w:tcW w:w="2190" w:type="dxa"/>
            <w:hideMark/>
          </w:tcPr>
          <w:p w:rsidR="00071696" w:rsidRPr="00687A1C" w:rsidRDefault="00071696" w:rsidP="00BE3AA1">
            <w:pPr>
              <w:pStyle w:val="Tabletext"/>
              <w:cnfStyle w:val="000000000000" w:firstRow="0" w:lastRow="0" w:firstColumn="0" w:lastColumn="0" w:oddVBand="0" w:evenVBand="0" w:oddHBand="0" w:evenHBand="0" w:firstRowFirstColumn="0" w:firstRowLastColumn="0" w:lastRowFirstColumn="0" w:lastRowLastColumn="0"/>
            </w:pPr>
            <w:r w:rsidRPr="00687A1C">
              <w:t>Inte</w:t>
            </w:r>
            <w:r w:rsidR="00FD7531" w:rsidRPr="00687A1C">
              <w:t>r</w:t>
            </w:r>
            <w:r w:rsidRPr="00687A1C">
              <w:t xml:space="preserve">nal </w:t>
            </w:r>
            <w:r w:rsidR="00193F13" w:rsidRPr="00687A1C">
              <w:t xml:space="preserve">audit </w:t>
            </w:r>
            <w:r w:rsidRPr="00687A1C">
              <w:t>against</w:t>
            </w:r>
            <w:r w:rsidR="009469FE" w:rsidRPr="00687A1C">
              <w:t xml:space="preserve"> </w:t>
            </w:r>
            <w:r w:rsidR="00BE3AA1" w:rsidRPr="00687A1C">
              <w:t>SLA</w:t>
            </w:r>
            <w:r w:rsidR="00193F13" w:rsidRPr="00687A1C">
              <w:t>.</w:t>
            </w:r>
            <w:r w:rsidRPr="00687A1C">
              <w:t xml:space="preserve"> Five corrective actions were </w:t>
            </w:r>
            <w:r w:rsidR="00FD7531" w:rsidRPr="00687A1C">
              <w:t>identified</w:t>
            </w:r>
            <w:r w:rsidRPr="00687A1C">
              <w:t xml:space="preserve">. Actions were in place to close these by </w:t>
            </w:r>
            <w:r w:rsidR="006C5542" w:rsidRPr="00687A1C">
              <w:br/>
            </w:r>
            <w:r w:rsidRPr="00687A1C">
              <w:t>30 June 2018.</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HSR provisional improvement notices (PIN)</w:t>
            </w:r>
          </w:p>
        </w:tc>
        <w:tc>
          <w:tcPr>
            <w:tcW w:w="2190" w:type="dxa"/>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nil issued</w:t>
            </w:r>
          </w:p>
        </w:tc>
        <w:tc>
          <w:tcPr>
            <w:tcW w:w="2190" w:type="dxa"/>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nil issued</w:t>
            </w:r>
          </w:p>
        </w:tc>
        <w:tc>
          <w:tcPr>
            <w:tcW w:w="2190" w:type="dxa"/>
            <w:hideMark/>
          </w:tcPr>
          <w:p w:rsidR="00071696" w:rsidRPr="00687A1C" w:rsidRDefault="00372BC7" w:rsidP="00372BC7">
            <w:pPr>
              <w:pStyle w:val="Tablebullet"/>
              <w:cnfStyle w:val="000000000000" w:firstRow="0" w:lastRow="0" w:firstColumn="0" w:lastColumn="0" w:oddVBand="0" w:evenVBand="0" w:oddHBand="0" w:evenHBand="0" w:firstRowFirstColumn="0" w:firstRowLastColumn="0" w:lastRowFirstColumn="0" w:lastRowLastColumn="0"/>
            </w:pPr>
            <w:r w:rsidRPr="00687A1C">
              <w:t>nil issued</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WorkSafe notices</w:t>
            </w:r>
          </w:p>
        </w:tc>
        <w:tc>
          <w:tcPr>
            <w:tcW w:w="2190" w:type="dxa"/>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nil issued</w:t>
            </w:r>
          </w:p>
        </w:tc>
        <w:tc>
          <w:tcPr>
            <w:tcW w:w="2190" w:type="dxa"/>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nil issued</w:t>
            </w:r>
          </w:p>
        </w:tc>
        <w:tc>
          <w:tcPr>
            <w:tcW w:w="2190" w:type="dxa"/>
            <w:hideMark/>
          </w:tcPr>
          <w:p w:rsidR="00071696" w:rsidRPr="00687A1C" w:rsidRDefault="00372BC7" w:rsidP="00372BC7">
            <w:pPr>
              <w:pStyle w:val="Tablebullet"/>
              <w:cnfStyle w:val="000000000000" w:firstRow="0" w:lastRow="0" w:firstColumn="0" w:lastColumn="0" w:oddVBand="0" w:evenVBand="0" w:oddHBand="0" w:evenHBand="0" w:firstRowFirstColumn="0" w:firstRowLastColumn="0" w:lastRowFirstColumn="0" w:lastRowLastColumn="0"/>
            </w:pPr>
            <w:r w:rsidRPr="00687A1C">
              <w:t>nil issued</w:t>
            </w:r>
          </w:p>
        </w:tc>
      </w:tr>
      <w:tr w:rsidR="006554C4" w:rsidRPr="00687A1C" w:rsidTr="006617D4">
        <w:tc>
          <w:tcPr>
            <w:cnfStyle w:val="001000000000" w:firstRow="0" w:lastRow="0" w:firstColumn="1" w:lastColumn="0" w:oddVBand="0" w:evenVBand="0" w:oddHBand="0" w:evenHBand="0" w:firstRowFirstColumn="0" w:firstRowLastColumn="0" w:lastRowFirstColumn="0" w:lastRowLastColumn="0"/>
            <w:tcW w:w="1213" w:type="dxa"/>
            <w:vMerge w:val="restart"/>
            <w:hideMark/>
          </w:tcPr>
          <w:p w:rsidR="006554C4" w:rsidRPr="00687A1C" w:rsidRDefault="006554C4" w:rsidP="00E327A5">
            <w:pPr>
              <w:pStyle w:val="Tabletext"/>
              <w:pageBreakBefore/>
            </w:pPr>
            <w:r w:rsidRPr="00687A1C">
              <w:lastRenderedPageBreak/>
              <w:t>Training</w:t>
            </w:r>
          </w:p>
        </w:tc>
        <w:tc>
          <w:tcPr>
            <w:tcW w:w="2250" w:type="dxa"/>
            <w:shd w:val="clear" w:color="auto" w:fill="D9D9D9" w:themeFill="background1" w:themeFillShade="D9"/>
            <w:hideMark/>
          </w:tcPr>
          <w:p w:rsidR="006554C4" w:rsidRPr="00687A1C" w:rsidRDefault="006554C4" w:rsidP="00271AF2">
            <w:pPr>
              <w:pStyle w:val="Tabletext"/>
              <w:cnfStyle w:val="000000000000" w:firstRow="0" w:lastRow="0" w:firstColumn="0" w:lastColumn="0" w:oddVBand="0" w:evenVBand="0" w:oddHBand="0" w:evenHBand="0" w:firstRowFirstColumn="0" w:firstRowLastColumn="0" w:lastRowFirstColumn="0" w:lastRowLastColumn="0"/>
            </w:pPr>
            <w:r w:rsidRPr="00687A1C">
              <w:t>Percentage of managers and staff that have received OHS training:</w:t>
            </w:r>
          </w:p>
          <w:p w:rsidR="006554C4" w:rsidRPr="00687A1C" w:rsidRDefault="006554C4" w:rsidP="007B64EC">
            <w:pPr>
              <w:pStyle w:val="Tablebullet"/>
              <w:cnfStyle w:val="000000000000" w:firstRow="0" w:lastRow="0" w:firstColumn="0" w:lastColumn="0" w:oddVBand="0" w:evenVBand="0" w:oddHBand="0" w:evenHBand="0" w:firstRowFirstColumn="0" w:firstRowLastColumn="0" w:lastRowFirstColumn="0" w:lastRowLastColumn="0"/>
            </w:pPr>
            <w:r w:rsidRPr="00687A1C">
              <w:t>induction</w:t>
            </w:r>
          </w:p>
          <w:p w:rsidR="006554C4" w:rsidRPr="00687A1C" w:rsidRDefault="006554C4" w:rsidP="007B64EC">
            <w:pPr>
              <w:pStyle w:val="Tablebullet"/>
              <w:cnfStyle w:val="000000000000" w:firstRow="0" w:lastRow="0" w:firstColumn="0" w:lastColumn="0" w:oddVBand="0" w:evenVBand="0" w:oddHBand="0" w:evenHBand="0" w:firstRowFirstColumn="0" w:firstRowLastColumn="0" w:lastRowFirstColumn="0" w:lastRowLastColumn="0"/>
            </w:pPr>
            <w:r w:rsidRPr="00687A1C">
              <w:t>management training</w:t>
            </w:r>
          </w:p>
          <w:p w:rsidR="006554C4" w:rsidRPr="00687A1C" w:rsidRDefault="006554C4" w:rsidP="007B64EC">
            <w:pPr>
              <w:pStyle w:val="Tablebullet"/>
              <w:cnfStyle w:val="000000000000" w:firstRow="0" w:lastRow="0" w:firstColumn="0" w:lastColumn="0" w:oddVBand="0" w:evenVBand="0" w:oddHBand="0" w:evenHBand="0" w:firstRowFirstColumn="0" w:firstRowLastColumn="0" w:lastRowFirstColumn="0" w:lastRowLastColumn="0"/>
            </w:pPr>
            <w:r w:rsidRPr="00687A1C">
              <w:t>contractors, temps and visitors</w:t>
            </w:r>
          </w:p>
        </w:tc>
        <w:tc>
          <w:tcPr>
            <w:tcW w:w="2190" w:type="dxa"/>
            <w:hideMark/>
          </w:tcPr>
          <w:p w:rsidR="006554C4" w:rsidRPr="00687A1C" w:rsidRDefault="006554C4" w:rsidP="00271AF2">
            <w:pPr>
              <w:pStyle w:val="Tabletext"/>
              <w:cnfStyle w:val="000000000000" w:firstRow="0" w:lastRow="0" w:firstColumn="0" w:lastColumn="0" w:oddVBand="0" w:evenVBand="0" w:oddHBand="0" w:evenHBand="0" w:firstRowFirstColumn="0" w:firstRowLastColumn="0" w:lastRowFirstColumn="0" w:lastRowLastColumn="0"/>
            </w:pPr>
            <w:r w:rsidRPr="00687A1C">
              <w:t>143 DTF employees and contractors have successfully completed online OHS learning modules in 2015</w:t>
            </w:r>
            <w:r w:rsidRPr="00687A1C">
              <w:noBreakHyphen/>
              <w:t>16 through ComplianceNet.</w:t>
            </w:r>
          </w:p>
          <w:p w:rsidR="006554C4" w:rsidRPr="00687A1C" w:rsidRDefault="006554C4" w:rsidP="00271AF2">
            <w:pPr>
              <w:pStyle w:val="Tabletext"/>
              <w:cnfStyle w:val="000000000000" w:firstRow="0" w:lastRow="0" w:firstColumn="0" w:lastColumn="0" w:oddVBand="0" w:evenVBand="0" w:oddHBand="0" w:evenHBand="0" w:firstRowFirstColumn="0" w:firstRowLastColumn="0" w:lastRowFirstColumn="0" w:lastRowLastColumn="0"/>
            </w:pPr>
            <w:r w:rsidRPr="00687A1C">
              <w:t>16 DTF staff (including paid First Aid Officers) received first aid training.</w:t>
            </w:r>
          </w:p>
        </w:tc>
        <w:tc>
          <w:tcPr>
            <w:tcW w:w="2190" w:type="dxa"/>
            <w:hideMark/>
          </w:tcPr>
          <w:p w:rsidR="006554C4" w:rsidRPr="00687A1C" w:rsidRDefault="006554C4" w:rsidP="00271AF2">
            <w:pPr>
              <w:pStyle w:val="Tabletext"/>
              <w:cnfStyle w:val="000000000000" w:firstRow="0" w:lastRow="0" w:firstColumn="0" w:lastColumn="0" w:oddVBand="0" w:evenVBand="0" w:oddHBand="0" w:evenHBand="0" w:firstRowFirstColumn="0" w:firstRowLastColumn="0" w:lastRowFirstColumn="0" w:lastRowLastColumn="0"/>
            </w:pPr>
            <w:r w:rsidRPr="00687A1C">
              <w:t>417 DTF employees and contractors have successfully completed the online OHS learning modules through ComplianceNet.</w:t>
            </w:r>
          </w:p>
          <w:p w:rsidR="006554C4" w:rsidRPr="00687A1C" w:rsidRDefault="006554C4" w:rsidP="006C5542">
            <w:pPr>
              <w:pStyle w:val="Tabletext"/>
              <w:cnfStyle w:val="000000000000" w:firstRow="0" w:lastRow="0" w:firstColumn="0" w:lastColumn="0" w:oddVBand="0" w:evenVBand="0" w:oddHBand="0" w:evenHBand="0" w:firstRowFirstColumn="0" w:firstRowLastColumn="0" w:lastRowFirstColumn="0" w:lastRowLastColumn="0"/>
            </w:pPr>
            <w:r w:rsidRPr="00687A1C">
              <w:t>This reflects 72</w:t>
            </w:r>
            <w:r w:rsidR="006C5542" w:rsidRPr="00687A1C">
              <w:t xml:space="preserve"> </w:t>
            </w:r>
            <w:r w:rsidR="006F069A" w:rsidRPr="00687A1C">
              <w:t>per</w:t>
            </w:r>
            <w:r w:rsidR="006C5542" w:rsidRPr="00687A1C">
              <w:t xml:space="preserve"> </w:t>
            </w:r>
            <w:r w:rsidR="006F069A" w:rsidRPr="00687A1C">
              <w:t>cent</w:t>
            </w:r>
            <w:r w:rsidRPr="00687A1C">
              <w:t xml:space="preserve"> of DTF</w:t>
            </w:r>
            <w:r w:rsidR="009469FE" w:rsidRPr="00687A1C">
              <w:t>’</w:t>
            </w:r>
            <w:r w:rsidRPr="00687A1C">
              <w:t>s FTE.</w:t>
            </w:r>
          </w:p>
        </w:tc>
        <w:tc>
          <w:tcPr>
            <w:tcW w:w="2190" w:type="dxa"/>
            <w:hideMark/>
          </w:tcPr>
          <w:p w:rsidR="006554C4" w:rsidRPr="00687A1C" w:rsidRDefault="006554C4" w:rsidP="00372BC7">
            <w:pPr>
              <w:pStyle w:val="Tabletext"/>
              <w:cnfStyle w:val="000000000000" w:firstRow="0" w:lastRow="0" w:firstColumn="0" w:lastColumn="0" w:oddVBand="0" w:evenVBand="0" w:oddHBand="0" w:evenHBand="0" w:firstRowFirstColumn="0" w:firstRowLastColumn="0" w:lastRowFirstColumn="0" w:lastRowLastColumn="0"/>
            </w:pPr>
            <w:r w:rsidRPr="00687A1C">
              <w:t>265 DTF employees and contractors have successfully completed OHS online learning modules through ComplianceNet. This reflects 4</w:t>
            </w:r>
            <w:r w:rsidR="00212645" w:rsidRPr="00687A1C">
              <w:t>4</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DTF</w:t>
            </w:r>
            <w:r w:rsidR="009469FE" w:rsidRPr="00687A1C">
              <w:t>’</w:t>
            </w:r>
            <w:r w:rsidRPr="00687A1C">
              <w:t>s FTE.</w:t>
            </w:r>
          </w:p>
          <w:p w:rsidR="006617D4" w:rsidRPr="00687A1C" w:rsidRDefault="006554C4" w:rsidP="00372BC7">
            <w:pPr>
              <w:pStyle w:val="Tabletext"/>
              <w:cnfStyle w:val="000000000000" w:firstRow="0" w:lastRow="0" w:firstColumn="0" w:lastColumn="0" w:oddVBand="0" w:evenVBand="0" w:oddHBand="0" w:evenHBand="0" w:firstRowFirstColumn="0" w:firstRowLastColumn="0" w:lastRowFirstColumn="0" w:lastRowLastColumn="0"/>
            </w:pPr>
            <w:r w:rsidRPr="00687A1C">
              <w:t xml:space="preserve">Four DTF employees have attended an accredited mental </w:t>
            </w:r>
            <w:r w:rsidR="00EB5E52" w:rsidRPr="00687A1C">
              <w:t xml:space="preserve">health </w:t>
            </w:r>
            <w:r w:rsidRPr="00687A1C">
              <w:t xml:space="preserve">First Aid </w:t>
            </w:r>
            <w:r w:rsidR="00EB5E52" w:rsidRPr="00687A1C">
              <w:t xml:space="preserve">training </w:t>
            </w:r>
            <w:r w:rsidRPr="00687A1C">
              <w:t>course.</w:t>
            </w:r>
          </w:p>
          <w:p w:rsidR="006554C4" w:rsidRPr="00687A1C" w:rsidRDefault="006554C4" w:rsidP="00372BC7">
            <w:pPr>
              <w:pStyle w:val="Tabletext"/>
              <w:cnfStyle w:val="000000000000" w:firstRow="0" w:lastRow="0" w:firstColumn="0" w:lastColumn="0" w:oddVBand="0" w:evenVBand="0" w:oddHBand="0" w:evenHBand="0" w:firstRowFirstColumn="0" w:firstRowLastColumn="0" w:lastRowFirstColumn="0" w:lastRowLastColumn="0"/>
            </w:pPr>
            <w:r w:rsidRPr="00687A1C">
              <w:t>197 (71</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w:t>
            </w:r>
            <w:r w:rsidR="00EB5E52" w:rsidRPr="00687A1C">
              <w:t xml:space="preserve">executive </w:t>
            </w:r>
            <w:r w:rsidRPr="00687A1C">
              <w:t>and senior DTF staff have completed Online Mental Health Training.</w:t>
            </w:r>
          </w:p>
          <w:p w:rsidR="006554C4" w:rsidRPr="00687A1C" w:rsidRDefault="009253F0" w:rsidP="00372BC7">
            <w:pPr>
              <w:pStyle w:val="Tabletext"/>
              <w:cnfStyle w:val="000000000000" w:firstRow="0" w:lastRow="0" w:firstColumn="0" w:lastColumn="0" w:oddVBand="0" w:evenVBand="0" w:oddHBand="0" w:evenHBand="0" w:firstRowFirstColumn="0" w:firstRowLastColumn="0" w:lastRowFirstColumn="0" w:lastRowLastColumn="0"/>
            </w:pPr>
            <w:r w:rsidRPr="00687A1C">
              <w:t>14</w:t>
            </w:r>
            <w:r w:rsidR="006554C4" w:rsidRPr="00687A1C">
              <w:t xml:space="preserve"> workers participated in a combination of First Aid training and CPR </w:t>
            </w:r>
            <w:r w:rsidR="00EB5E52" w:rsidRPr="00687A1C">
              <w:t>training</w:t>
            </w:r>
            <w:r w:rsidR="006554C4" w:rsidRPr="00687A1C">
              <w:t>.</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r w:rsidRPr="00687A1C">
              <w:t>Percentage of HSRs trained:</w:t>
            </w:r>
          </w:p>
        </w:tc>
        <w:tc>
          <w:tcPr>
            <w:tcW w:w="2190" w:type="dxa"/>
            <w:hideMark/>
          </w:tcPr>
          <w:p w:rsidR="006C5542" w:rsidRPr="00687A1C" w:rsidRDefault="006C5542" w:rsidP="006C5542">
            <w:pPr>
              <w:pStyle w:val="Tabletext"/>
              <w:cnfStyle w:val="000000000000" w:firstRow="0" w:lastRow="0" w:firstColumn="0" w:lastColumn="0" w:oddVBand="0" w:evenVBand="0" w:oddHBand="0" w:evenHBand="0" w:firstRowFirstColumn="0" w:firstRowLastColumn="0" w:lastRowFirstColumn="0" w:lastRowLastColumn="0"/>
            </w:pPr>
            <w:r w:rsidRPr="00687A1C">
              <w:t>100 per cent of HSRs are trained.</w:t>
            </w:r>
          </w:p>
        </w:tc>
        <w:tc>
          <w:tcPr>
            <w:tcW w:w="2190" w:type="dxa"/>
            <w:hideMark/>
          </w:tcPr>
          <w:p w:rsidR="00071696" w:rsidRPr="00687A1C" w:rsidRDefault="00071696" w:rsidP="000651F1">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DTF</w:t>
            </w:r>
            <w:r w:rsidR="009469FE" w:rsidRPr="00687A1C">
              <w:t>’</w:t>
            </w:r>
            <w:r w:rsidRPr="00687A1C">
              <w:t>s HSRs have completed the WorkSafe Approved HSR initial OHS training.</w:t>
            </w:r>
          </w:p>
        </w:tc>
        <w:tc>
          <w:tcPr>
            <w:tcW w:w="2190" w:type="dxa"/>
            <w:hideMark/>
          </w:tcPr>
          <w:p w:rsidR="00071696" w:rsidRPr="00687A1C" w:rsidRDefault="00071696" w:rsidP="000651F1">
            <w:pPr>
              <w:pStyle w:val="Tabletext"/>
              <w:cnfStyle w:val="000000000000" w:firstRow="0" w:lastRow="0" w:firstColumn="0" w:lastColumn="0" w:oddVBand="0" w:evenVBand="0" w:oddHBand="0" w:evenHBand="0" w:firstRowFirstColumn="0" w:firstRowLastColumn="0" w:lastRowFirstColumn="0" w:lastRowLastColumn="0"/>
            </w:pPr>
            <w:r w:rsidRPr="00687A1C">
              <w:t>At 30 June 2018, 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0651F1" w:rsidRPr="00687A1C">
              <w:t xml:space="preserve"> </w:t>
            </w:r>
            <w:r w:rsidRPr="00687A1C">
              <w:t>of DTF</w:t>
            </w:r>
            <w:r w:rsidR="009469FE" w:rsidRPr="00687A1C">
              <w:t>’</w:t>
            </w:r>
            <w:r w:rsidRPr="00687A1C">
              <w:t>s HSRs have been provided with the opportunity to complete the WorkSafe Approved HSR initial OHS training as per</w:t>
            </w:r>
            <w:r w:rsidR="000651F1" w:rsidRPr="00687A1C">
              <w:t xml:space="preserve"> DTF</w:t>
            </w:r>
            <w:r w:rsidR="009469FE" w:rsidRPr="00687A1C">
              <w:t>’</w:t>
            </w:r>
            <w:r w:rsidR="000651F1" w:rsidRPr="00687A1C">
              <w:t>s legislative duties</w:t>
            </w:r>
            <w:r w:rsidRPr="00687A1C">
              <w:t>.</w:t>
            </w:r>
          </w:p>
        </w:tc>
      </w:tr>
      <w:tr w:rsidR="00071696"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shd w:val="clear" w:color="auto" w:fill="D9D9D9" w:themeFill="background1" w:themeFillShade="D9"/>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acceptance of role</w:t>
            </w:r>
          </w:p>
        </w:tc>
        <w:tc>
          <w:tcPr>
            <w:tcW w:w="2190" w:type="dxa"/>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no vacancies currently exist</w:t>
            </w:r>
          </w:p>
        </w:tc>
        <w:tc>
          <w:tcPr>
            <w:tcW w:w="2190" w:type="dxa"/>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no vacancies currently exist</w:t>
            </w:r>
          </w:p>
        </w:tc>
        <w:tc>
          <w:tcPr>
            <w:tcW w:w="2190" w:type="dxa"/>
            <w:hideMark/>
          </w:tcPr>
          <w:p w:rsidR="00071696" w:rsidRPr="00687A1C" w:rsidRDefault="006554C4" w:rsidP="006554C4">
            <w:pPr>
              <w:pStyle w:val="Tablebullet"/>
              <w:cnfStyle w:val="000000000000" w:firstRow="0" w:lastRow="0" w:firstColumn="0" w:lastColumn="0" w:oddVBand="0" w:evenVBand="0" w:oddHBand="0" w:evenHBand="0" w:firstRowFirstColumn="0" w:firstRowLastColumn="0" w:lastRowFirstColumn="0" w:lastRowLastColumn="0"/>
            </w:pPr>
            <w:r w:rsidRPr="00687A1C">
              <w:t>no vacancies currently exist</w:t>
            </w:r>
          </w:p>
        </w:tc>
      </w:tr>
      <w:tr w:rsidR="00071696" w:rsidRPr="00687A1C" w:rsidTr="006617D4">
        <w:trPr>
          <w:trHeight w:val="263"/>
        </w:trPr>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vMerge w:val="restart"/>
            <w:shd w:val="clear" w:color="auto" w:fill="D9D9D9" w:themeFill="background1" w:themeFillShade="D9"/>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re</w:t>
            </w:r>
            <w:r w:rsidRPr="00687A1C">
              <w:noBreakHyphen/>
              <w:t>training (refresher)</w:t>
            </w:r>
          </w:p>
        </w:tc>
        <w:tc>
          <w:tcPr>
            <w:tcW w:w="2190" w:type="dxa"/>
            <w:vMerge w:val="restart"/>
            <w:hideMark/>
          </w:tcPr>
          <w:p w:rsidR="00071696" w:rsidRPr="00687A1C" w:rsidRDefault="00071696" w:rsidP="007B64EC">
            <w:pPr>
              <w:pStyle w:val="Tablebullet"/>
              <w:cnfStyle w:val="000000000000" w:firstRow="0" w:lastRow="0" w:firstColumn="0" w:lastColumn="0" w:oddVBand="0" w:evenVBand="0" w:oddHBand="0" w:evenHBand="0" w:firstRowFirstColumn="0" w:firstRowLastColumn="0" w:lastRowFirstColumn="0" w:lastRowLastColumn="0"/>
            </w:pPr>
            <w:r w:rsidRPr="00687A1C">
              <w:t>WorkSafe Approved HSR Refresher training delivered on 13 July 2015.</w:t>
            </w:r>
          </w:p>
        </w:tc>
        <w:tc>
          <w:tcPr>
            <w:tcW w:w="2190" w:type="dxa"/>
            <w:vMerge w:val="restart"/>
            <w:hideMark/>
          </w:tcPr>
          <w:p w:rsidR="00071696" w:rsidRPr="00687A1C" w:rsidRDefault="00071696" w:rsidP="006554C4">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of HSRs were provided with the opportunity to complete the WorkSafe Approved HSR refresher OHS training. All but one HSR attended the training session delivered internally in September 2016. External HSR refresher OHS training was offered to the HSR who did not attend the internal session, however this was not taken up by the HSR.</w:t>
            </w:r>
          </w:p>
        </w:tc>
        <w:tc>
          <w:tcPr>
            <w:tcW w:w="2190" w:type="dxa"/>
            <w:vMerge w:val="restart"/>
            <w:hideMark/>
          </w:tcPr>
          <w:p w:rsidR="00071696" w:rsidRPr="00687A1C" w:rsidRDefault="00071696" w:rsidP="00EB5E52">
            <w:pPr>
              <w:pStyle w:val="Tabletext"/>
              <w:cnfStyle w:val="000000000000" w:firstRow="0" w:lastRow="0" w:firstColumn="0" w:lastColumn="0" w:oddVBand="0" w:evenVBand="0" w:oddHBand="0" w:evenHBand="0" w:firstRowFirstColumn="0" w:firstRowLastColumn="0" w:lastRowFirstColumn="0" w:lastRowLastColumn="0"/>
            </w:pPr>
            <w:r w:rsidRPr="00687A1C">
              <w:t>100</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009D7C0C" w:rsidRPr="00687A1C">
              <w:t xml:space="preserve"> </w:t>
            </w:r>
            <w:r w:rsidRPr="00687A1C">
              <w:t xml:space="preserve">of HSRs were provided with the opportunity to complete the WorkSafe Approved HSR refresher OHS training. Refresher </w:t>
            </w:r>
            <w:r w:rsidR="00FA0EF4" w:rsidRPr="00687A1C">
              <w:t xml:space="preserve">training was completed by </w:t>
            </w:r>
            <w:r w:rsidR="00EB5E52" w:rsidRPr="00687A1C">
              <w:t>three</w:t>
            </w:r>
            <w:r w:rsidR="00FA0EF4" w:rsidRPr="00687A1C">
              <w:t xml:space="preserve"> HSR</w:t>
            </w:r>
            <w:r w:rsidRPr="00687A1C">
              <w:t xml:space="preserve">s. </w:t>
            </w:r>
          </w:p>
        </w:tc>
      </w:tr>
      <w:tr w:rsidR="00071696" w:rsidRPr="00687A1C" w:rsidTr="006617D4">
        <w:trPr>
          <w:trHeight w:val="263"/>
        </w:trPr>
        <w:tc>
          <w:tcPr>
            <w:cnfStyle w:val="001000000000" w:firstRow="0" w:lastRow="0" w:firstColumn="1" w:lastColumn="0" w:oddVBand="0" w:evenVBand="0" w:oddHBand="0" w:evenHBand="0" w:firstRowFirstColumn="0" w:firstRowLastColumn="0" w:lastRowFirstColumn="0" w:lastRowLastColumn="0"/>
            <w:tcW w:w="1213" w:type="dxa"/>
            <w:vMerge/>
            <w:hideMark/>
          </w:tcPr>
          <w:p w:rsidR="00071696" w:rsidRPr="00687A1C" w:rsidRDefault="00071696" w:rsidP="00271AF2">
            <w:pPr>
              <w:pStyle w:val="Tabletext"/>
            </w:pPr>
          </w:p>
        </w:tc>
        <w:tc>
          <w:tcPr>
            <w:tcW w:w="2250" w:type="dxa"/>
            <w:vMerge/>
            <w:shd w:val="clear" w:color="auto" w:fill="D9D9D9" w:themeFill="background1" w:themeFillShade="D9"/>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p>
        </w:tc>
        <w:tc>
          <w:tcPr>
            <w:tcW w:w="2190" w:type="dxa"/>
            <w:vMerge/>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p>
        </w:tc>
        <w:tc>
          <w:tcPr>
            <w:tcW w:w="2190" w:type="dxa"/>
            <w:vMerge/>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p>
        </w:tc>
        <w:tc>
          <w:tcPr>
            <w:tcW w:w="2190" w:type="dxa"/>
            <w:vMerge/>
            <w:hideMark/>
          </w:tcPr>
          <w:p w:rsidR="00071696" w:rsidRPr="00687A1C" w:rsidRDefault="00071696" w:rsidP="00271AF2">
            <w:pPr>
              <w:pStyle w:val="Tabletext"/>
              <w:cnfStyle w:val="000000000000" w:firstRow="0" w:lastRow="0" w:firstColumn="0" w:lastColumn="0" w:oddVBand="0" w:evenVBand="0" w:oddHBand="0" w:evenHBand="0" w:firstRowFirstColumn="0" w:firstRowLastColumn="0" w:lastRowFirstColumn="0" w:lastRowLastColumn="0"/>
            </w:pPr>
          </w:p>
        </w:tc>
      </w:tr>
      <w:tr w:rsidR="003D1814" w:rsidRPr="00687A1C" w:rsidTr="006617D4">
        <w:tc>
          <w:tcPr>
            <w:cnfStyle w:val="001000000000" w:firstRow="0" w:lastRow="0" w:firstColumn="1" w:lastColumn="0" w:oddVBand="0" w:evenVBand="0" w:oddHBand="0" w:evenHBand="0" w:firstRowFirstColumn="0" w:firstRowLastColumn="0" w:lastRowFirstColumn="0" w:lastRowLastColumn="0"/>
            <w:tcW w:w="1213" w:type="dxa"/>
            <w:vMerge/>
            <w:hideMark/>
          </w:tcPr>
          <w:p w:rsidR="003D1814" w:rsidRPr="00687A1C" w:rsidRDefault="003D1814" w:rsidP="00271AF2">
            <w:pPr>
              <w:pStyle w:val="Tabletext"/>
            </w:pPr>
          </w:p>
        </w:tc>
        <w:tc>
          <w:tcPr>
            <w:tcW w:w="2250" w:type="dxa"/>
            <w:shd w:val="clear" w:color="auto" w:fill="D9D9D9" w:themeFill="background1" w:themeFillShade="D9"/>
            <w:hideMark/>
          </w:tcPr>
          <w:p w:rsidR="003D1814" w:rsidRPr="00687A1C" w:rsidRDefault="003D1814" w:rsidP="007B64EC">
            <w:pPr>
              <w:pStyle w:val="Tablebullet"/>
              <w:cnfStyle w:val="000000000000" w:firstRow="0" w:lastRow="0" w:firstColumn="0" w:lastColumn="0" w:oddVBand="0" w:evenVBand="0" w:oddHBand="0" w:evenHBand="0" w:firstRowFirstColumn="0" w:firstRowLastColumn="0" w:lastRowFirstColumn="0" w:lastRowLastColumn="0"/>
            </w:pPr>
            <w:r w:rsidRPr="00687A1C">
              <w:t>reporting of incidents and injuries</w:t>
            </w:r>
          </w:p>
        </w:tc>
        <w:tc>
          <w:tcPr>
            <w:tcW w:w="2190" w:type="dxa"/>
            <w:hideMark/>
          </w:tcPr>
          <w:p w:rsidR="003D1814" w:rsidRPr="00687A1C" w:rsidRDefault="003D1814" w:rsidP="007B64EC">
            <w:pPr>
              <w:pStyle w:val="Tablebullet"/>
              <w:cnfStyle w:val="000000000000" w:firstRow="0" w:lastRow="0" w:firstColumn="0" w:lastColumn="0" w:oddVBand="0" w:evenVBand="0" w:oddHBand="0" w:evenHBand="0" w:firstRowFirstColumn="0" w:firstRowLastColumn="0" w:lastRowFirstColumn="0" w:lastRowLastColumn="0"/>
            </w:pPr>
            <w:r w:rsidRPr="00687A1C">
              <w:t>HSRs trained in reporting of incidents through OHS Committee and HSR refresher training.</w:t>
            </w:r>
          </w:p>
          <w:p w:rsidR="003D1814" w:rsidRPr="00687A1C" w:rsidRDefault="003D1814" w:rsidP="007B64EC">
            <w:pPr>
              <w:pStyle w:val="Tablebullet"/>
              <w:cnfStyle w:val="000000000000" w:firstRow="0" w:lastRow="0" w:firstColumn="0" w:lastColumn="0" w:oddVBand="0" w:evenVBand="0" w:oddHBand="0" w:evenHBand="0" w:firstRowFirstColumn="0" w:firstRowLastColumn="0" w:lastRowFirstColumn="0" w:lastRowLastColumn="0"/>
            </w:pPr>
            <w:r w:rsidRPr="00687A1C">
              <w:t>HSRs alerted to encourage staff take up of online workstation setup.</w:t>
            </w:r>
          </w:p>
        </w:tc>
        <w:tc>
          <w:tcPr>
            <w:tcW w:w="2190" w:type="dxa"/>
            <w:hideMark/>
          </w:tcPr>
          <w:p w:rsidR="003D1814" w:rsidRPr="00687A1C" w:rsidRDefault="003D1814" w:rsidP="00271AF2">
            <w:pPr>
              <w:pStyle w:val="Tabletext"/>
              <w:cnfStyle w:val="000000000000" w:firstRow="0" w:lastRow="0" w:firstColumn="0" w:lastColumn="0" w:oddVBand="0" w:evenVBand="0" w:oddHBand="0" w:evenHBand="0" w:firstRowFirstColumn="0" w:firstRowLastColumn="0" w:lastRowFirstColumn="0" w:lastRowLastColumn="0"/>
            </w:pPr>
            <w:r w:rsidRPr="00687A1C">
              <w:t>Reviewing the Incident Register is part of the HSC meeting agenda. Investigations are led by OHS Advisory in consultation with the HSRs.</w:t>
            </w:r>
          </w:p>
        </w:tc>
        <w:tc>
          <w:tcPr>
            <w:tcW w:w="2190" w:type="dxa"/>
            <w:hideMark/>
          </w:tcPr>
          <w:p w:rsidR="003D1814" w:rsidRPr="00687A1C" w:rsidRDefault="003D1814" w:rsidP="00271AF2">
            <w:pPr>
              <w:pStyle w:val="Tabletext"/>
              <w:cnfStyle w:val="000000000000" w:firstRow="0" w:lastRow="0" w:firstColumn="0" w:lastColumn="0" w:oddVBand="0" w:evenVBand="0" w:oddHBand="0" w:evenHBand="0" w:firstRowFirstColumn="0" w:firstRowLastColumn="0" w:lastRowFirstColumn="0" w:lastRowLastColumn="0"/>
            </w:pPr>
            <w:r w:rsidRPr="00687A1C">
              <w:t>Reviewing the Incident Register is part of the HSC meeting agenda. Investigations are led by OHS Advisory in consultation with the HSRs.</w:t>
            </w:r>
          </w:p>
        </w:tc>
      </w:tr>
    </w:tbl>
    <w:p w:rsidR="007B64EC" w:rsidRPr="00687A1C" w:rsidRDefault="007B64EC" w:rsidP="007B64EC">
      <w:pPr>
        <w:pStyle w:val="Notes"/>
      </w:pPr>
      <w:r w:rsidRPr="00687A1C">
        <w:t>Notes:</w:t>
      </w:r>
    </w:p>
    <w:p w:rsidR="00F45DE3" w:rsidRPr="00687A1C" w:rsidRDefault="00F45DE3" w:rsidP="00F45DE3">
      <w:pPr>
        <w:pStyle w:val="Notes"/>
      </w:pPr>
      <w:r w:rsidRPr="00687A1C">
        <w:t>(a) VWA supplied data. Data for standardised claims, time lost claims and death claims is at 30 June 2018. Standardised claims are those that have exceeded the employer excess or are registered as a standard claim and are open with no payments at the time of extraction.</w:t>
      </w:r>
    </w:p>
    <w:p w:rsidR="00F45DE3" w:rsidRPr="00687A1C" w:rsidRDefault="00F45DE3" w:rsidP="00F45DE3">
      <w:pPr>
        <w:pStyle w:val="Notes"/>
      </w:pPr>
      <w:r w:rsidRPr="00687A1C">
        <w:t>(b) VWA supplied data. A time lost claim is one with one or more days compensated by the VWA (after employer excess) at the time of extraction. They are a subset of standardised claims.</w:t>
      </w:r>
    </w:p>
    <w:p w:rsidR="00B7196D" w:rsidRPr="00687A1C" w:rsidRDefault="00F45DE3" w:rsidP="00F45DE3">
      <w:pPr>
        <w:pStyle w:val="Notes"/>
      </w:pPr>
      <w:r w:rsidRPr="00687A1C">
        <w:t>(c) VWA supplied data based on claims reported between 1 July 2017 and 30 June 2018. Claims include payments to date plus an estimate of outstanding claims costs (further costs as calculated by the VWA</w:t>
      </w:r>
      <w:r w:rsidR="009469FE" w:rsidRPr="00687A1C">
        <w:t>’</w:t>
      </w:r>
      <w:r w:rsidRPr="00687A1C">
        <w:t>s statistical case estimate model).</w:t>
      </w:r>
    </w:p>
    <w:p w:rsidR="00AA1DC0" w:rsidRPr="00687A1C" w:rsidRDefault="00AA1DC0" w:rsidP="00F45DE3">
      <w:pPr>
        <w:pStyle w:val="Notes"/>
      </w:pPr>
      <w:r w:rsidRPr="00687A1C">
        <w:t>(d) The increase in claims cost is associated with two psychological claims.</w:t>
      </w:r>
    </w:p>
    <w:p w:rsidR="00941D0A" w:rsidRPr="00687A1C" w:rsidRDefault="00941D0A" w:rsidP="00F45DE3">
      <w:pPr>
        <w:pStyle w:val="Notes"/>
      </w:pPr>
      <w:r w:rsidRPr="00687A1C">
        <w:t>(e) Of the four OHS claims submitted in 2017-18, one claim required a return to work plan. All other claims were for medical expenses only.</w:t>
      </w:r>
    </w:p>
    <w:p w:rsidR="00D740EE" w:rsidRPr="00687A1C" w:rsidRDefault="00D740EE" w:rsidP="00D740EE">
      <w:pPr>
        <w:pStyle w:val="Notes"/>
        <w:rPr>
          <w:rFonts w:cstheme="minorHAnsi"/>
        </w:rPr>
      </w:pPr>
      <w:bookmarkStart w:id="176" w:name="OHSPolicy_end"/>
    </w:p>
    <w:bookmarkEnd w:id="176"/>
    <w:p w:rsidR="00D740EE" w:rsidRPr="00687A1C" w:rsidRDefault="00D740EE" w:rsidP="00F45DE3">
      <w:pPr>
        <w:pStyle w:val="Notes"/>
      </w:pPr>
    </w:p>
    <w:p w:rsidR="00B7196D" w:rsidRPr="00687A1C" w:rsidRDefault="00B7196D" w:rsidP="00C8160C">
      <w:pPr>
        <w:pStyle w:val="Heading1App"/>
        <w:sectPr w:rsidR="00B7196D" w:rsidRPr="00687A1C" w:rsidSect="005D1FC8">
          <w:type w:val="continuous"/>
          <w:pgSz w:w="11909" w:h="16834" w:code="9"/>
          <w:pgMar w:top="1728" w:right="1152" w:bottom="1267" w:left="1152" w:header="720" w:footer="288" w:gutter="0"/>
          <w:cols w:space="720"/>
          <w:noEndnote/>
        </w:sectPr>
      </w:pPr>
    </w:p>
    <w:p w:rsidR="008A6B78" w:rsidRPr="00687A1C" w:rsidRDefault="008A6B78" w:rsidP="008A6B78">
      <w:pPr>
        <w:pStyle w:val="Heading1App"/>
      </w:pPr>
      <w:bookmarkStart w:id="177" w:name="_Toc525026160"/>
      <w:bookmarkStart w:id="178" w:name="_Toc525026258"/>
      <w:r w:rsidRPr="00687A1C">
        <w:lastRenderedPageBreak/>
        <w:t>Appendix 3</w:t>
      </w:r>
      <w:r w:rsidRPr="00687A1C">
        <w:tab/>
        <w:t>Environmental reporting</w:t>
      </w:r>
      <w:bookmarkEnd w:id="177"/>
      <w:bookmarkEnd w:id="178"/>
    </w:p>
    <w:p w:rsidR="008A6B78" w:rsidRPr="00687A1C" w:rsidRDefault="008A6B78" w:rsidP="008A6B78">
      <w:pPr>
        <w:sectPr w:rsidR="008A6B78" w:rsidRPr="00687A1C" w:rsidSect="00BB311C">
          <w:headerReference w:type="default" r:id="rId128"/>
          <w:footerReference w:type="even" r:id="rId129"/>
          <w:footerReference w:type="default" r:id="rId130"/>
          <w:pgSz w:w="11909" w:h="16834" w:code="9"/>
          <w:pgMar w:top="1728" w:right="1152" w:bottom="1260" w:left="1152" w:header="720" w:footer="288" w:gutter="0"/>
          <w:cols w:space="720"/>
          <w:noEndnote/>
        </w:sectPr>
      </w:pPr>
    </w:p>
    <w:p w:rsidR="008A6B78" w:rsidRPr="00687A1C" w:rsidRDefault="008A6B78" w:rsidP="008A6B78">
      <w:pPr>
        <w:pStyle w:val="Heading3"/>
      </w:pPr>
      <w:bookmarkStart w:id="179" w:name="_Ref492631265"/>
      <w:bookmarkStart w:id="180" w:name="Environmental_start"/>
      <w:r w:rsidRPr="00687A1C">
        <w:t>Office</w:t>
      </w:r>
      <w:r w:rsidRPr="00687A1C">
        <w:noBreakHyphen/>
        <w:t>based environmental impacts</w:t>
      </w:r>
      <w:bookmarkEnd w:id="179"/>
    </w:p>
    <w:bookmarkEnd w:id="180"/>
    <w:p w:rsidR="008A6B78" w:rsidRPr="00687A1C" w:rsidRDefault="008A6B78" w:rsidP="008A6B78">
      <w:pPr>
        <w:rPr>
          <w:rFonts w:cstheme="minorHAnsi"/>
        </w:rPr>
      </w:pPr>
      <w:r w:rsidRPr="00687A1C">
        <w:t>DTF monitored the environmental impacts of its operations during 2017</w:t>
      </w:r>
      <w:r w:rsidRPr="00687A1C">
        <w:noBreakHyphen/>
        <w:t>18. This was undertaken via DTF’s office</w:t>
      </w:r>
      <w:r w:rsidRPr="00687A1C">
        <w:noBreakHyphen/>
        <w:t>based environmental management system (EMS), which is based on international standard AS/NZS ISO14001, Environmental Management Systems Requirements.</w:t>
      </w:r>
    </w:p>
    <w:p w:rsidR="008A6B78" w:rsidRPr="00687A1C" w:rsidRDefault="008A6B78" w:rsidP="008A6B78">
      <w:pPr>
        <w:rPr>
          <w:rFonts w:cstheme="minorHAnsi"/>
        </w:rPr>
      </w:pPr>
      <w:r w:rsidRPr="00687A1C">
        <w:rPr>
          <w:rFonts w:cstheme="minorHAnsi"/>
        </w:rPr>
        <w:br w:type="column"/>
      </w:r>
      <w:r w:rsidRPr="00687A1C">
        <w:t>The office</w:t>
      </w:r>
      <w:r w:rsidRPr="00687A1C">
        <w:noBreakHyphen/>
        <w:t>based EMS controls all operational activities within DTF’s offices and aims to minimise the generation of waste and the use of energy, water, paper, travel, vehicle fleet and greenhouse emissions in the course of operations.</w:t>
      </w:r>
    </w:p>
    <w:p w:rsidR="008A6B78" w:rsidRPr="00687A1C" w:rsidRDefault="008A6B78" w:rsidP="008A6B78">
      <w:pPr>
        <w:rPr>
          <w:rFonts w:cstheme="minorHAnsi"/>
        </w:rPr>
      </w:pPr>
      <w:r w:rsidRPr="00687A1C">
        <w:t>The suite of environmental indicators presented below is based on the Financial Reporting Direction</w:t>
      </w:r>
      <w:r w:rsidRPr="00687A1C">
        <w:rPr>
          <w:rFonts w:ascii="Calibri" w:hAnsi="Calibri" w:cs="Courier New"/>
        </w:rPr>
        <w:t> </w:t>
      </w:r>
      <w:r w:rsidRPr="00687A1C">
        <w:t>24D.</w:t>
      </w:r>
    </w:p>
    <w:p w:rsidR="008A6B78" w:rsidRPr="00687A1C" w:rsidRDefault="008A6B78" w:rsidP="008A6B78">
      <w:pPr>
        <w:rPr>
          <w:rFonts w:cstheme="minorHAnsi"/>
        </w:rPr>
      </w:pPr>
    </w:p>
    <w:p w:rsidR="008A6B78" w:rsidRPr="00687A1C" w:rsidRDefault="008A6B78" w:rsidP="008A6B78">
      <w:pPr>
        <w:rPr>
          <w:rFonts w:cstheme="minorHAnsi"/>
        </w:rPr>
        <w:sectPr w:rsidR="008A6B78" w:rsidRPr="00687A1C" w:rsidSect="0028555D">
          <w:type w:val="continuous"/>
          <w:pgSz w:w="11909" w:h="16834" w:code="9"/>
          <w:pgMar w:top="1728" w:right="1152" w:bottom="1152" w:left="1152" w:header="720" w:footer="288" w:gutter="0"/>
          <w:cols w:num="2" w:space="720"/>
          <w:noEndnote/>
        </w:sectPr>
      </w:pPr>
    </w:p>
    <w:p w:rsidR="008A6B78" w:rsidRPr="00687A1C" w:rsidRDefault="008A6B78" w:rsidP="008A6B78">
      <w:pPr>
        <w:pStyle w:val="Heading4"/>
      </w:pPr>
      <w:r w:rsidRPr="00687A1C">
        <w:t>Energy</w:t>
      </w:r>
      <w:r w:rsidR="00F35915" w:rsidRPr="00687A1C">
        <w:t xml:space="preserve"> use</w:t>
      </w:r>
    </w:p>
    <w:p w:rsidR="008A6B78" w:rsidRPr="00687A1C" w:rsidRDefault="008A6B78" w:rsidP="008A6B78">
      <w:pPr>
        <w:rPr>
          <w:rFonts w:cstheme="minorHAnsi"/>
        </w:rPr>
      </w:pPr>
      <w:r w:rsidRPr="00687A1C">
        <w:t>The Department’s energy consumption comprises its CBD office facilities. Core DTF staff were located at 1 Treasury Place, 1 Macarthur Street and 2 Lonsdale Street.</w:t>
      </w:r>
    </w:p>
    <w:p w:rsidR="008A6B78" w:rsidRPr="00687A1C" w:rsidRDefault="008A6B78" w:rsidP="008A6B78">
      <w:pPr>
        <w:rPr>
          <w:rFonts w:cstheme="minorHAnsi"/>
        </w:rPr>
      </w:pPr>
      <w:r w:rsidRPr="00687A1C">
        <w:rPr>
          <w:rFonts w:cstheme="minorHAnsi"/>
        </w:rPr>
        <w:br w:type="column"/>
      </w:r>
    </w:p>
    <w:p w:rsidR="008A6B78" w:rsidRPr="00687A1C" w:rsidRDefault="008A6B78" w:rsidP="008A6B78">
      <w:pPr>
        <w:rPr>
          <w:rFonts w:cstheme="minorHAnsi"/>
        </w:rPr>
      </w:pPr>
    </w:p>
    <w:p w:rsidR="008A6B78" w:rsidRPr="00687A1C" w:rsidRDefault="008A6B78" w:rsidP="008A6B78">
      <w:pPr>
        <w:rPr>
          <w:rFonts w:cstheme="minorHAnsi"/>
        </w:rPr>
        <w:sectPr w:rsidR="008A6B78" w:rsidRPr="00687A1C" w:rsidSect="0028555D">
          <w:type w:val="continuous"/>
          <w:pgSz w:w="11909" w:h="16834" w:code="9"/>
          <w:pgMar w:top="1728" w:right="1152" w:bottom="1260" w:left="1152" w:header="720" w:footer="288" w:gutter="0"/>
          <w:cols w:num="2" w:space="720"/>
          <w:noEndnote/>
        </w:sectPr>
      </w:pPr>
    </w:p>
    <w:tbl>
      <w:tblPr>
        <w:tblStyle w:val="AnnualReportfinancialtable"/>
        <w:tblW w:w="0" w:type="auto"/>
        <w:tblLayout w:type="fixed"/>
        <w:tblLook w:val="02A0" w:firstRow="1" w:lastRow="0" w:firstColumn="1" w:lastColumn="0" w:noHBand="1" w:noVBand="0"/>
      </w:tblPr>
      <w:tblGrid>
        <w:gridCol w:w="5216"/>
        <w:gridCol w:w="1008"/>
        <w:gridCol w:w="1008"/>
        <w:gridCol w:w="1008"/>
      </w:tblGrid>
      <w:tr w:rsidR="008A6B78" w:rsidRPr="00687A1C" w:rsidTr="00AE48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headingleft"/>
              <w:rPr>
                <w:b/>
              </w:rPr>
            </w:pPr>
            <w:r w:rsidRPr="00687A1C">
              <w:rPr>
                <w:b/>
              </w:rPr>
              <w:t>Indicator</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2017-18</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2016-17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2015-16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Total energy usage segmented by primary source (MJ)</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2 917 181</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2 933 114</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2 949 182</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Electricity (MJ) – excluding green power</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2 548 469</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2 933 114</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2 949 182</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Natural gas (MJ)</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368 712</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Green power (MJ)</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Del="00031A46" w:rsidRDefault="008A6B78" w:rsidP="00AE48A5">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LPG (MJ)</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 xml:space="preserve">Total greenhouse gas emissions from energy consumption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913</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1 027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1 032</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 xml:space="preserve">Electricity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r w:rsidRPr="00687A1C">
              <w:t xml:space="preserve"> – excluding green power</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r w:rsidRPr="00687A1C">
              <w:t>892</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r w:rsidRPr="00687A1C">
              <w:t>1 027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1 032</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 xml:space="preserve">Natural gas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r w:rsidRPr="00687A1C">
              <w:t>21</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 xml:space="preserve">LPG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rPr>
                <w:rFonts w:ascii="Arial" w:hAnsi="Arial" w:cs="Arial"/>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Percentage of electricity purchased as green power</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bold"/>
            </w:pP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Units of office energy used per FTE (MJ/FTE)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4 928.56</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5 038.68</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5 156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Units of office energy used per office area (MJ/m</w:t>
            </w:r>
            <w:r w:rsidRPr="00687A1C">
              <w:rPr>
                <w:vertAlign w:val="superscript"/>
              </w:rPr>
              <w:t>2</w:t>
            </w:r>
            <w:r w:rsidRPr="00687A1C">
              <w:t>)</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192</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192</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rPr>
                <w:rFonts w:ascii="Arial" w:hAnsi="Arial" w:cs="Arial"/>
              </w:rPr>
            </w:pPr>
            <w:r w:rsidRPr="00687A1C">
              <w:t>193</w:t>
            </w:r>
          </w:p>
        </w:tc>
      </w:tr>
    </w:tbl>
    <w:p w:rsidR="008A6B78" w:rsidRPr="00687A1C" w:rsidRDefault="008A6B78" w:rsidP="008A6B78">
      <w:pPr>
        <w:pStyle w:val="Notes"/>
      </w:pPr>
      <w:r w:rsidRPr="00687A1C">
        <w:t>Note:</w:t>
      </w:r>
    </w:p>
    <w:p w:rsidR="008A6B78" w:rsidRPr="00687A1C" w:rsidRDefault="008A6B78" w:rsidP="008A6B78">
      <w:pPr>
        <w:pStyle w:val="Notes"/>
      </w:pPr>
      <w:r w:rsidRPr="00687A1C">
        <w:t>The 2016</w:t>
      </w:r>
      <w:r w:rsidRPr="00687A1C">
        <w:noBreakHyphen/>
        <w:t xml:space="preserve">17 outcomes have been updated due to an incorrect FTE figure being used in calculations for the </w:t>
      </w:r>
      <w:r w:rsidRPr="00687A1C">
        <w:rPr>
          <w:i/>
        </w:rPr>
        <w:t>2016</w:t>
      </w:r>
      <w:r w:rsidRPr="00687A1C">
        <w:rPr>
          <w:i/>
        </w:rPr>
        <w:noBreakHyphen/>
        <w:t>17 Annual Report</w:t>
      </w:r>
      <w:r w:rsidRPr="00687A1C">
        <w:t>.</w:t>
      </w:r>
    </w:p>
    <w:p w:rsidR="008A6B78" w:rsidRPr="00687A1C" w:rsidRDefault="008A6B78" w:rsidP="008A6B78">
      <w:pPr>
        <w:rPr>
          <w:rFonts w:cstheme="minorHAnsi"/>
        </w:rPr>
      </w:pPr>
    </w:p>
    <w:p w:rsidR="008A6B78" w:rsidRPr="00687A1C" w:rsidRDefault="008A6B78" w:rsidP="008A6B78">
      <w:pPr>
        <w:rPr>
          <w:rFonts w:cstheme="minorHAnsi"/>
        </w:rPr>
        <w:sectPr w:rsidR="008A6B78" w:rsidRPr="00687A1C" w:rsidSect="00BB311C">
          <w:type w:val="continuous"/>
          <w:pgSz w:w="11909" w:h="16834" w:code="9"/>
          <w:pgMar w:top="1728" w:right="1152" w:bottom="1260" w:left="1152" w:header="720" w:footer="288" w:gutter="0"/>
          <w:cols w:space="720"/>
          <w:noEndnote/>
        </w:sectPr>
      </w:pPr>
    </w:p>
    <w:p w:rsidR="008A6B78" w:rsidRPr="00687A1C" w:rsidRDefault="008A6B78" w:rsidP="008A6B78">
      <w:pPr>
        <w:pStyle w:val="Heading5"/>
      </w:pPr>
      <w:r w:rsidRPr="00687A1C">
        <w:t>Actions undertaken</w:t>
      </w:r>
    </w:p>
    <w:p w:rsidR="008A6B78" w:rsidRPr="00687A1C" w:rsidRDefault="008A6B78" w:rsidP="008A6B78">
      <w:pPr>
        <w:pStyle w:val="Bullet"/>
      </w:pPr>
      <w:r w:rsidRPr="00687A1C">
        <w:t>DTF participated in the 2018 Earth Hour event.</w:t>
      </w:r>
    </w:p>
    <w:p w:rsidR="008A6B78" w:rsidRPr="00687A1C" w:rsidRDefault="008A6B78" w:rsidP="008A6B78">
      <w:pPr>
        <w:pStyle w:val="Bullet"/>
      </w:pPr>
      <w:r w:rsidRPr="00687A1C">
        <w:t>IT initiative – DTF implemented Green PC.</w:t>
      </w:r>
    </w:p>
    <w:p w:rsidR="008A6B78" w:rsidRPr="00687A1C" w:rsidRDefault="008A6B78" w:rsidP="008A6B78">
      <w:pPr>
        <w:pStyle w:val="Heading5"/>
      </w:pPr>
      <w:r w:rsidRPr="00687A1C">
        <w:t>Targets</w:t>
      </w:r>
    </w:p>
    <w:p w:rsidR="008A6B78" w:rsidRPr="00687A1C" w:rsidRDefault="008A6B78" w:rsidP="008A6B78">
      <w:pPr>
        <w:pStyle w:val="Bullet"/>
      </w:pPr>
      <w:r w:rsidRPr="00687A1C">
        <w:t>Reduce energy consumption through better use of IT.</w:t>
      </w:r>
    </w:p>
    <w:p w:rsidR="008A6B78" w:rsidRPr="00687A1C" w:rsidRDefault="008A6B78" w:rsidP="008A6B78">
      <w:pPr>
        <w:pStyle w:val="Heading5"/>
      </w:pPr>
      <w:r w:rsidRPr="00687A1C">
        <w:t>Result</w:t>
      </w:r>
    </w:p>
    <w:p w:rsidR="008A6B78" w:rsidRPr="00687A1C" w:rsidRDefault="008A6B78" w:rsidP="008A6B78">
      <w:pPr>
        <w:pStyle w:val="Bullet"/>
      </w:pPr>
      <w:r w:rsidRPr="00687A1C">
        <w:t>Energy consumption remained consistent with 2016-17.</w:t>
      </w:r>
    </w:p>
    <w:p w:rsidR="008A6B78" w:rsidRPr="00687A1C" w:rsidRDefault="008A6B78" w:rsidP="008A6B78">
      <w:pPr>
        <w:pStyle w:val="Heading5"/>
      </w:pPr>
      <w:r w:rsidRPr="00687A1C">
        <w:br w:type="column"/>
      </w:r>
      <w:r w:rsidRPr="00687A1C">
        <w:t>Explanatory notes</w:t>
      </w:r>
    </w:p>
    <w:p w:rsidR="008A6B78" w:rsidRPr="00687A1C" w:rsidRDefault="008A6B78" w:rsidP="008A6B78">
      <w:pPr>
        <w:pStyle w:val="Bullet"/>
      </w:pPr>
      <w:r w:rsidRPr="00687A1C">
        <w:t>Billing data was used to calculate the Department’s energy use. Where billing data is unavailable, average consumption from the previous billing period is used.</w:t>
      </w:r>
    </w:p>
    <w:p w:rsidR="008A6B78" w:rsidRPr="00687A1C" w:rsidRDefault="008A6B78" w:rsidP="008A6B78">
      <w:pPr>
        <w:pStyle w:val="Bullet"/>
        <w:rPr>
          <w:rFonts w:cstheme="minorHAnsi"/>
        </w:rPr>
      </w:pPr>
      <w:r w:rsidRPr="00687A1C">
        <w:rPr>
          <w:rFonts w:cstheme="minorHAnsi"/>
        </w:rPr>
        <w:t>2017-18 results distinguish between electricity and natural gas due to enhanced billing and reporting.</w:t>
      </w:r>
    </w:p>
    <w:p w:rsidR="008A6B78" w:rsidRPr="00687A1C" w:rsidRDefault="008A6B78" w:rsidP="008A6B78"/>
    <w:p w:rsidR="008A6B78" w:rsidRPr="00687A1C" w:rsidRDefault="008A6B78" w:rsidP="008A6B78">
      <w:pPr>
        <w:spacing w:before="0" w:after="0"/>
      </w:pPr>
      <w:r w:rsidRPr="00687A1C">
        <w:br w:type="page"/>
      </w:r>
    </w:p>
    <w:p w:rsidR="008A6B78" w:rsidRPr="00687A1C" w:rsidRDefault="008A6B78" w:rsidP="008A6B78">
      <w:pPr>
        <w:pStyle w:val="Heading4"/>
      </w:pPr>
      <w:r w:rsidRPr="00687A1C">
        <w:lastRenderedPageBreak/>
        <w:t>Paper use</w:t>
      </w:r>
    </w:p>
    <w:p w:rsidR="008A6B78" w:rsidRPr="00687A1C" w:rsidRDefault="008A6B78" w:rsidP="008A6B78">
      <w:pPr>
        <w:rPr>
          <w:rFonts w:cstheme="minorHAnsi"/>
        </w:rPr>
      </w:pPr>
      <w:r w:rsidRPr="00687A1C">
        <w:t xml:space="preserve">Paper use covered staff located in 1 Treasury Place, 1 Macarthur Street and 121 Exhibition Street and </w:t>
      </w:r>
      <w:r w:rsidRPr="00687A1C">
        <w:br/>
        <w:t>2 Lonsdale Street.</w:t>
      </w:r>
    </w:p>
    <w:p w:rsidR="008A6B78" w:rsidRPr="00687A1C" w:rsidRDefault="008A6B78" w:rsidP="008A6B78">
      <w:r w:rsidRPr="00687A1C">
        <w:br w:type="column"/>
      </w:r>
    </w:p>
    <w:p w:rsidR="008A6B78" w:rsidRPr="00687A1C" w:rsidRDefault="008A6B78" w:rsidP="008A6B78">
      <w:pPr>
        <w:sectPr w:rsidR="008A6B78" w:rsidRPr="00687A1C" w:rsidSect="0028555D">
          <w:type w:val="continuous"/>
          <w:pgSz w:w="11909" w:h="16834" w:code="9"/>
          <w:pgMar w:top="1728" w:right="1152" w:bottom="1260" w:left="1152" w:header="720" w:footer="288" w:gutter="0"/>
          <w:cols w:num="2" w:space="720"/>
          <w:noEndnote/>
        </w:sectPr>
      </w:pPr>
    </w:p>
    <w:p w:rsidR="008A6B78" w:rsidRPr="00687A1C" w:rsidRDefault="008A6B78" w:rsidP="008A6B78">
      <w:pPr>
        <w:rPr>
          <w:rFonts w:cstheme="minorHAnsi"/>
        </w:rPr>
      </w:pPr>
    </w:p>
    <w:tbl>
      <w:tblPr>
        <w:tblStyle w:val="AnnualReportfinancialtable"/>
        <w:tblW w:w="0" w:type="auto"/>
        <w:tblLayout w:type="fixed"/>
        <w:tblLook w:val="02A0" w:firstRow="1" w:lastRow="0" w:firstColumn="1" w:lastColumn="0" w:noHBand="1" w:noVBand="0"/>
      </w:tblPr>
      <w:tblGrid>
        <w:gridCol w:w="5216"/>
        <w:gridCol w:w="1008"/>
        <w:gridCol w:w="1008"/>
        <w:gridCol w:w="1008"/>
      </w:tblGrid>
      <w:tr w:rsidR="008A6B78" w:rsidRPr="00687A1C" w:rsidTr="00AE48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headingleft"/>
              <w:rPr>
                <w:b/>
              </w:rPr>
            </w:pPr>
            <w:r w:rsidRPr="00687A1C">
              <w:rPr>
                <w:b/>
              </w:rPr>
              <w:t>Indicator</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2017</w:t>
            </w:r>
            <w:r w:rsidRPr="00687A1C">
              <w:rPr>
                <w:b/>
              </w:rPr>
              <w:noBreakHyphen/>
              <w:t>18</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2016</w:t>
            </w:r>
            <w:r w:rsidRPr="00687A1C">
              <w:rPr>
                <w:b/>
              </w:rPr>
              <w:noBreakHyphen/>
              <w:t>17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2015-16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Total units of A4 equivalent copy paper used (reams)</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D8412D">
            <w:pPr>
              <w:pStyle w:val="Tabletextrightbold"/>
            </w:pPr>
            <w:r w:rsidRPr="00687A1C">
              <w:t>7</w:t>
            </w:r>
            <w:r w:rsidR="00D8412D" w:rsidRPr="00687A1C">
              <w:rPr>
                <w:rFonts w:ascii="Calibri" w:hAnsi="Calibri" w:cs="Calibri"/>
              </w:rPr>
              <w:t xml:space="preserve"> </w:t>
            </w:r>
            <w:r w:rsidRPr="00687A1C">
              <w:t>291</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D8412D">
            <w:pPr>
              <w:pStyle w:val="Tabletextrightbold"/>
            </w:pPr>
            <w:r w:rsidRPr="00687A1C">
              <w:t>7</w:t>
            </w:r>
            <w:r w:rsidR="00D8412D" w:rsidRPr="00687A1C">
              <w:rPr>
                <w:rFonts w:ascii="Calibri" w:hAnsi="Calibri" w:cs="Calibri"/>
              </w:rPr>
              <w:t xml:space="preserve"> </w:t>
            </w:r>
            <w:r w:rsidRPr="00687A1C">
              <w:t>347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bold"/>
            </w:pPr>
            <w:r w:rsidRPr="00687A1C">
              <w:t>5 826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Units of A4 equivalent copy paper used per FTE (reams/FTE)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12.32</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12.62</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10.2</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Percentage of 75–100 per cent recycled content</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70</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71</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38</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Percentage of 50–74 per cent recycled content</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0</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 xml:space="preserve">Percentage of 0–49 per cent recycled content </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30</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29</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62</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Optional indicators</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rPr>
                <w:rFonts w:cstheme="minorHAnsi"/>
              </w:rPr>
              <w:t>Total units of A4 equivalent paper used in publications (reams)</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2 080</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D8412D">
            <w:pPr>
              <w:pStyle w:val="Tabletextright"/>
            </w:pPr>
            <w:r w:rsidRPr="00687A1C">
              <w:t>1</w:t>
            </w:r>
            <w:r w:rsidR="00D8412D" w:rsidRPr="00687A1C">
              <w:rPr>
                <w:rFonts w:ascii="Calibri" w:hAnsi="Calibri" w:cs="Calibri"/>
              </w:rPr>
              <w:t xml:space="preserve"> </w:t>
            </w:r>
            <w:r w:rsidRPr="00687A1C">
              <w:t>917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2 395</w:t>
            </w:r>
          </w:p>
        </w:tc>
      </w:tr>
    </w:tbl>
    <w:p w:rsidR="008A6B78" w:rsidRPr="00687A1C" w:rsidRDefault="008A6B78" w:rsidP="008A6B78">
      <w:pPr>
        <w:pStyle w:val="Notes"/>
      </w:pPr>
      <w:r w:rsidRPr="00687A1C">
        <w:t>Note:</w:t>
      </w:r>
    </w:p>
    <w:p w:rsidR="008A6B78" w:rsidRPr="00687A1C" w:rsidRDefault="008A6B78" w:rsidP="008A6B78">
      <w:pPr>
        <w:pStyle w:val="Notes"/>
      </w:pPr>
      <w:r w:rsidRPr="00687A1C">
        <w:t>The 2016</w:t>
      </w:r>
      <w:r w:rsidRPr="00687A1C">
        <w:noBreakHyphen/>
        <w:t xml:space="preserve">17 outcomes have been updated due to an incorrect FTE figure being used in calculations for the </w:t>
      </w:r>
      <w:r w:rsidRPr="00687A1C">
        <w:rPr>
          <w:i/>
        </w:rPr>
        <w:t>2016</w:t>
      </w:r>
      <w:r w:rsidRPr="00687A1C">
        <w:rPr>
          <w:i/>
        </w:rPr>
        <w:noBreakHyphen/>
        <w:t>17 Annual Report</w:t>
      </w:r>
      <w:r w:rsidRPr="00687A1C">
        <w:t>.</w:t>
      </w:r>
    </w:p>
    <w:p w:rsidR="008A6B78" w:rsidRPr="00687A1C" w:rsidRDefault="008A6B78" w:rsidP="008A6B78"/>
    <w:p w:rsidR="008A6B78" w:rsidRPr="00687A1C" w:rsidRDefault="008A6B78" w:rsidP="008A6B78">
      <w:pPr>
        <w:sectPr w:rsidR="008A6B78" w:rsidRPr="00687A1C" w:rsidSect="00BB311C">
          <w:type w:val="continuous"/>
          <w:pgSz w:w="11909" w:h="16834" w:code="9"/>
          <w:pgMar w:top="1728" w:right="1152" w:bottom="1260" w:left="1152" w:header="720" w:footer="288" w:gutter="0"/>
          <w:cols w:space="720"/>
          <w:noEndnote/>
        </w:sectPr>
      </w:pPr>
    </w:p>
    <w:p w:rsidR="008A6B78" w:rsidRPr="00687A1C" w:rsidRDefault="008A6B78" w:rsidP="008A6B78">
      <w:pPr>
        <w:pStyle w:val="Heading5"/>
      </w:pPr>
      <w:r w:rsidRPr="00687A1C">
        <w:rPr>
          <w:rFonts w:cstheme="minorHAnsi"/>
        </w:rPr>
        <w:t>Actions undertaken</w:t>
      </w:r>
    </w:p>
    <w:p w:rsidR="008A6B78" w:rsidRPr="00687A1C" w:rsidRDefault="008A6B78" w:rsidP="008A6B78">
      <w:pPr>
        <w:pStyle w:val="Bullet"/>
      </w:pPr>
      <w:r w:rsidRPr="00687A1C">
        <w:t>e</w:t>
      </w:r>
      <w:r w:rsidRPr="00687A1C">
        <w:noBreakHyphen/>
        <w:t>Reviewing – DTF expanded the number of publications managed by e</w:t>
      </w:r>
      <w:r w:rsidRPr="00687A1C">
        <w:noBreakHyphen/>
        <w:t>Reviewing (eDrafts), reducing the requirement to print hard copy drafts.</w:t>
      </w:r>
    </w:p>
    <w:p w:rsidR="008A6B78" w:rsidRPr="00687A1C" w:rsidRDefault="008A6B78" w:rsidP="008A6B78">
      <w:pPr>
        <w:pStyle w:val="Bullet"/>
      </w:pPr>
      <w:r w:rsidRPr="00687A1C">
        <w:t>Review of requirement for hard copy publications – DTF continues to direct stakeholders to online versions as an alternative.</w:t>
      </w:r>
    </w:p>
    <w:p w:rsidR="008A6B78" w:rsidRPr="00687A1C" w:rsidRDefault="008A6B78" w:rsidP="008A6B78">
      <w:pPr>
        <w:pStyle w:val="Heading5"/>
      </w:pPr>
      <w:r w:rsidRPr="00687A1C">
        <w:t>Result</w:t>
      </w:r>
    </w:p>
    <w:p w:rsidR="008A6B78" w:rsidRPr="00687A1C" w:rsidRDefault="008A6B78" w:rsidP="008A6B78">
      <w:pPr>
        <w:pStyle w:val="Bullet"/>
      </w:pPr>
      <w:r w:rsidRPr="00687A1C">
        <w:t>Total paper usage decreased in 2017-18.</w:t>
      </w:r>
    </w:p>
    <w:p w:rsidR="008A6B78" w:rsidRPr="00687A1C" w:rsidRDefault="008A6B78" w:rsidP="008A6B78">
      <w:pPr>
        <w:pStyle w:val="Heading5"/>
      </w:pPr>
      <w:r w:rsidRPr="00687A1C">
        <w:br w:type="column"/>
      </w:r>
      <w:r w:rsidRPr="00687A1C">
        <w:t>Explanatory notes</w:t>
      </w:r>
    </w:p>
    <w:p w:rsidR="008A6B78" w:rsidRPr="00687A1C" w:rsidRDefault="008A6B78" w:rsidP="008A6B78">
      <w:pPr>
        <w:pStyle w:val="Bullet"/>
      </w:pPr>
      <w:r w:rsidRPr="00687A1C">
        <w:t>Paper use is calculated using the information provided under the whole of government office stationery contract.</w:t>
      </w:r>
    </w:p>
    <w:p w:rsidR="008A6B78" w:rsidRPr="00687A1C" w:rsidRDefault="008A6B78" w:rsidP="008A6B78">
      <w:pPr>
        <w:pStyle w:val="Bullet"/>
      </w:pPr>
      <w:r w:rsidRPr="00687A1C">
        <w:t xml:space="preserve">Where data is unavailable, average use from the previous billing period is used. </w:t>
      </w:r>
    </w:p>
    <w:p w:rsidR="008A6B78" w:rsidRPr="00687A1C" w:rsidRDefault="008A6B78" w:rsidP="008A6B78"/>
    <w:p w:rsidR="008A6B78" w:rsidRPr="00687A1C" w:rsidRDefault="008A6B78" w:rsidP="008A6B78">
      <w:pPr>
        <w:spacing w:before="0" w:after="0"/>
      </w:pPr>
      <w:r w:rsidRPr="00687A1C">
        <w:br w:type="page"/>
      </w:r>
    </w:p>
    <w:p w:rsidR="008A6B78" w:rsidRPr="00687A1C" w:rsidRDefault="008A6B78" w:rsidP="008A6B78">
      <w:pPr>
        <w:pStyle w:val="Heading4"/>
      </w:pPr>
      <w:r w:rsidRPr="00687A1C">
        <w:lastRenderedPageBreak/>
        <w:t>Water consumption</w:t>
      </w:r>
    </w:p>
    <w:p w:rsidR="008A6B78" w:rsidRPr="00687A1C" w:rsidRDefault="008A6B78" w:rsidP="008A6B78">
      <w:pPr>
        <w:rPr>
          <w:rFonts w:cstheme="minorHAnsi"/>
        </w:rPr>
      </w:pPr>
      <w:r w:rsidRPr="00687A1C">
        <w:t>Water data covered staff located in 1 Treasury Place, 1</w:t>
      </w:r>
      <w:r w:rsidRPr="00687A1C">
        <w:rPr>
          <w:rFonts w:ascii="Calibri" w:hAnsi="Calibri" w:cs="Calibri"/>
        </w:rPr>
        <w:t> </w:t>
      </w:r>
      <w:r w:rsidRPr="00687A1C">
        <w:t>Macarthur Street and 2 Lonsdale Street.</w:t>
      </w:r>
    </w:p>
    <w:p w:rsidR="008A6B78" w:rsidRPr="00687A1C" w:rsidRDefault="008A6B78" w:rsidP="008A6B78">
      <w:pPr>
        <w:rPr>
          <w:rFonts w:cstheme="minorHAnsi"/>
        </w:rPr>
      </w:pPr>
      <w:r w:rsidRPr="00687A1C">
        <w:rPr>
          <w:rFonts w:cstheme="minorHAnsi"/>
        </w:rPr>
        <w:br w:type="column"/>
      </w:r>
    </w:p>
    <w:p w:rsidR="008A6B78" w:rsidRPr="00687A1C" w:rsidRDefault="008A6B78" w:rsidP="008A6B78">
      <w:pPr>
        <w:rPr>
          <w:rFonts w:cstheme="minorHAnsi"/>
        </w:rPr>
        <w:sectPr w:rsidR="008A6B78" w:rsidRPr="00687A1C" w:rsidSect="0028555D">
          <w:type w:val="continuous"/>
          <w:pgSz w:w="11909" w:h="16834" w:code="9"/>
          <w:pgMar w:top="1728" w:right="1152" w:bottom="1260" w:left="1152" w:header="720" w:footer="288" w:gutter="0"/>
          <w:cols w:num="2" w:space="720"/>
          <w:noEndnote/>
        </w:sectPr>
      </w:pPr>
    </w:p>
    <w:p w:rsidR="008A6B78" w:rsidRPr="00687A1C" w:rsidRDefault="008A6B78" w:rsidP="008A6B78">
      <w:pPr>
        <w:rPr>
          <w:rFonts w:cstheme="minorHAnsi"/>
        </w:rPr>
      </w:pPr>
    </w:p>
    <w:tbl>
      <w:tblPr>
        <w:tblStyle w:val="AnnualReportfinancialtable"/>
        <w:tblW w:w="0" w:type="auto"/>
        <w:tblLayout w:type="fixed"/>
        <w:tblLook w:val="02A0" w:firstRow="1" w:lastRow="0" w:firstColumn="1" w:lastColumn="0" w:noHBand="1" w:noVBand="0"/>
      </w:tblPr>
      <w:tblGrid>
        <w:gridCol w:w="5213"/>
        <w:gridCol w:w="1008"/>
        <w:gridCol w:w="1008"/>
        <w:gridCol w:w="1008"/>
      </w:tblGrid>
      <w:tr w:rsidR="008A6B78" w:rsidRPr="00687A1C" w:rsidTr="00AE48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3" w:type="dxa"/>
          </w:tcPr>
          <w:p w:rsidR="008A6B78" w:rsidRPr="00687A1C" w:rsidRDefault="008A6B78" w:rsidP="00AE48A5">
            <w:pPr>
              <w:pStyle w:val="Tabletextheadingleft"/>
              <w:rPr>
                <w:b/>
              </w:rPr>
            </w:pPr>
            <w:r w:rsidRPr="00687A1C">
              <w:rPr>
                <w:b/>
              </w:rPr>
              <w:t>Indicator</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2017</w:t>
            </w:r>
            <w:r w:rsidRPr="00687A1C">
              <w:rPr>
                <w:b/>
              </w:rPr>
              <w:noBreakHyphen/>
              <w:t>18</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2016</w:t>
            </w:r>
            <w:r w:rsidRPr="00687A1C">
              <w:rPr>
                <w:b/>
              </w:rPr>
              <w:noBreakHyphen/>
              <w:t>17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2015-16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3" w:type="dxa"/>
          </w:tcPr>
          <w:p w:rsidR="008A6B78" w:rsidRPr="00687A1C" w:rsidRDefault="008A6B78" w:rsidP="00AE48A5">
            <w:pPr>
              <w:pStyle w:val="Tabletext"/>
            </w:pPr>
            <w:r w:rsidRPr="00687A1C">
              <w:t>Total water consumption (kilolitres)</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 xml:space="preserve">8 955.5 </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10 937</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8 647</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3" w:type="dxa"/>
          </w:tcPr>
          <w:p w:rsidR="008A6B78" w:rsidRPr="00687A1C" w:rsidRDefault="008A6B78" w:rsidP="00AE48A5">
            <w:pPr>
              <w:pStyle w:val="Tabletext"/>
            </w:pPr>
            <w:r w:rsidRPr="00687A1C">
              <w:t>Units of office water used per FTE (kilolitres/FTE)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15.130</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18.788</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15.170</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3" w:type="dxa"/>
          </w:tcPr>
          <w:p w:rsidR="008A6B78" w:rsidRPr="00687A1C" w:rsidRDefault="008A6B78" w:rsidP="00AE48A5">
            <w:pPr>
              <w:pStyle w:val="Tabletext"/>
            </w:pPr>
            <w:r w:rsidRPr="00687A1C">
              <w:t>Units of office water used per office area (kilolitres/m</w:t>
            </w:r>
            <w:r w:rsidRPr="00687A1C">
              <w:rPr>
                <w:vertAlign w:val="superscript"/>
              </w:rPr>
              <w:t>2</w:t>
            </w:r>
            <w:r w:rsidRPr="00687A1C">
              <w:t>)</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0.587</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0.716</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0.566</w:t>
            </w:r>
          </w:p>
        </w:tc>
      </w:tr>
    </w:tbl>
    <w:p w:rsidR="008A6B78" w:rsidRPr="00687A1C" w:rsidRDefault="008A6B78" w:rsidP="008A6B78">
      <w:pPr>
        <w:pStyle w:val="Notes"/>
      </w:pPr>
      <w:r w:rsidRPr="00687A1C">
        <w:t>Note:</w:t>
      </w:r>
    </w:p>
    <w:p w:rsidR="008A6B78" w:rsidRPr="00687A1C" w:rsidRDefault="008A6B78" w:rsidP="008A6B78">
      <w:pPr>
        <w:pStyle w:val="Notes"/>
      </w:pPr>
      <w:r w:rsidRPr="00687A1C">
        <w:t>The 2016</w:t>
      </w:r>
      <w:r w:rsidRPr="00687A1C">
        <w:noBreakHyphen/>
        <w:t xml:space="preserve">17 outcomes have been updated due to an incorrect FTE figure being used in calculations for the </w:t>
      </w:r>
      <w:r w:rsidRPr="00687A1C">
        <w:rPr>
          <w:i/>
        </w:rPr>
        <w:t>2016</w:t>
      </w:r>
      <w:r w:rsidRPr="00687A1C">
        <w:rPr>
          <w:i/>
        </w:rPr>
        <w:noBreakHyphen/>
        <w:t>17 Annual Report</w:t>
      </w:r>
      <w:r w:rsidRPr="00687A1C">
        <w:t>.</w:t>
      </w:r>
    </w:p>
    <w:p w:rsidR="008A6B78" w:rsidRPr="00687A1C" w:rsidRDefault="008A6B78" w:rsidP="008A6B78">
      <w:pPr>
        <w:rPr>
          <w:rFonts w:cstheme="minorHAnsi"/>
        </w:rPr>
      </w:pPr>
    </w:p>
    <w:p w:rsidR="008A6B78" w:rsidRPr="00687A1C" w:rsidRDefault="008A6B78" w:rsidP="008A6B78">
      <w:pPr>
        <w:rPr>
          <w:rFonts w:cstheme="minorHAnsi"/>
        </w:rPr>
        <w:sectPr w:rsidR="008A6B78" w:rsidRPr="00687A1C" w:rsidSect="00BB311C">
          <w:type w:val="continuous"/>
          <w:pgSz w:w="11909" w:h="16834" w:code="9"/>
          <w:pgMar w:top="1728" w:right="1152" w:bottom="1260" w:left="1152" w:header="720" w:footer="288" w:gutter="0"/>
          <w:cols w:space="720"/>
          <w:noEndnote/>
        </w:sectPr>
      </w:pPr>
    </w:p>
    <w:p w:rsidR="008A6B78" w:rsidRPr="00687A1C" w:rsidRDefault="008A6B78" w:rsidP="008A6B78">
      <w:pPr>
        <w:pStyle w:val="Heading5"/>
      </w:pPr>
      <w:r w:rsidRPr="00687A1C">
        <w:t>Actions undertaken</w:t>
      </w:r>
    </w:p>
    <w:p w:rsidR="008A6B78" w:rsidRPr="00687A1C" w:rsidRDefault="008A6B78" w:rsidP="008A6B78">
      <w:pPr>
        <w:pStyle w:val="Bullet"/>
      </w:pPr>
      <w:r w:rsidRPr="00687A1C">
        <w:t>DTF continues to make improvements to the plumbing infrastructure on the reserve.</w:t>
      </w:r>
    </w:p>
    <w:p w:rsidR="008A6B78" w:rsidRPr="00687A1C" w:rsidRDefault="008A6B78" w:rsidP="008A6B78">
      <w:pPr>
        <w:pStyle w:val="Heading5"/>
      </w:pPr>
      <w:r w:rsidRPr="00687A1C">
        <w:t>Result</w:t>
      </w:r>
    </w:p>
    <w:p w:rsidR="008A6B78" w:rsidRPr="00687A1C" w:rsidRDefault="008A6B78" w:rsidP="008A6B78">
      <w:pPr>
        <w:pStyle w:val="Bullet"/>
      </w:pPr>
      <w:r w:rsidRPr="00687A1C">
        <w:t>Water consumption has decreased; this is due to significant upgrades to plumbing infrastructure across the Treasury Reserve.</w:t>
      </w:r>
    </w:p>
    <w:p w:rsidR="008A6B78" w:rsidRPr="00687A1C" w:rsidRDefault="008A6B78" w:rsidP="008A6B78">
      <w:pPr>
        <w:pStyle w:val="Heading5"/>
      </w:pPr>
      <w:r w:rsidRPr="00687A1C">
        <w:br w:type="column"/>
      </w:r>
      <w:r w:rsidRPr="00687A1C">
        <w:t>Explanatory notes</w:t>
      </w:r>
    </w:p>
    <w:p w:rsidR="008A6B78" w:rsidRPr="00687A1C" w:rsidRDefault="008A6B78" w:rsidP="008A6B78">
      <w:pPr>
        <w:pStyle w:val="Bullet"/>
      </w:pPr>
      <w:r w:rsidRPr="00687A1C">
        <w:t>The data for 2017</w:t>
      </w:r>
      <w:r w:rsidRPr="00687A1C">
        <w:noBreakHyphen/>
        <w:t>18 was calculated using billing data. Where billing data is unavailable, average consumption from the previous billing period is used.</w:t>
      </w:r>
    </w:p>
    <w:p w:rsidR="008A6B78" w:rsidRPr="00687A1C" w:rsidRDefault="008A6B78" w:rsidP="008A6B78">
      <w:pPr>
        <w:pStyle w:val="Bullet"/>
      </w:pPr>
      <w:r w:rsidRPr="00687A1C">
        <w:t>Water data covers staff located in 1 Treasury Place, 1 Macarthur Street and 2 Lonsdale Street.</w:t>
      </w:r>
    </w:p>
    <w:p w:rsidR="008A6B78" w:rsidRPr="00687A1C" w:rsidRDefault="008A6B78" w:rsidP="008A6B78">
      <w:pPr>
        <w:rPr>
          <w:rFonts w:cstheme="minorHAnsi"/>
        </w:rPr>
      </w:pPr>
    </w:p>
    <w:p w:rsidR="008A6B78" w:rsidRPr="00687A1C" w:rsidRDefault="008A6B78" w:rsidP="008A6B78">
      <w:pPr>
        <w:spacing w:before="0" w:after="0"/>
      </w:pPr>
      <w:r w:rsidRPr="00687A1C">
        <w:br w:type="page"/>
      </w:r>
    </w:p>
    <w:p w:rsidR="008A6B78" w:rsidRPr="00687A1C" w:rsidRDefault="008A6B78" w:rsidP="008A6B78">
      <w:pPr>
        <w:pStyle w:val="Heading4"/>
      </w:pPr>
      <w:r w:rsidRPr="00687A1C">
        <w:lastRenderedPageBreak/>
        <w:t>Travel and transport</w:t>
      </w:r>
    </w:p>
    <w:p w:rsidR="008A6B78" w:rsidRPr="00687A1C" w:rsidRDefault="008A6B78" w:rsidP="008A6B78">
      <w:pPr>
        <w:rPr>
          <w:rFonts w:cstheme="minorHAnsi"/>
        </w:rPr>
      </w:pPr>
      <w:r w:rsidRPr="00687A1C">
        <w:t xml:space="preserve">The Department utilises vehicles from </w:t>
      </w:r>
      <w:r w:rsidR="00C27310" w:rsidRPr="00687A1C">
        <w:t xml:space="preserve">SSP Car Pool Services </w:t>
      </w:r>
      <w:r w:rsidRPr="00687A1C">
        <w:t>for its operational car travel.</w:t>
      </w:r>
    </w:p>
    <w:p w:rsidR="008A6B78" w:rsidRPr="00687A1C" w:rsidRDefault="008A6B78" w:rsidP="008A6B78">
      <w:r w:rsidRPr="00687A1C">
        <w:br w:type="column"/>
      </w:r>
    </w:p>
    <w:p w:rsidR="008A6B78" w:rsidRPr="00687A1C" w:rsidRDefault="008A6B78" w:rsidP="008A6B78"/>
    <w:p w:rsidR="008A6B78" w:rsidRPr="00687A1C" w:rsidRDefault="008A6B78" w:rsidP="008A6B78">
      <w:pPr>
        <w:sectPr w:rsidR="008A6B78" w:rsidRPr="00687A1C" w:rsidSect="0028555D">
          <w:type w:val="continuous"/>
          <w:pgSz w:w="11909" w:h="16834" w:code="9"/>
          <w:pgMar w:top="1728" w:right="1152" w:bottom="1260" w:left="1152" w:header="720" w:footer="288" w:gutter="0"/>
          <w:cols w:num="2" w:space="720"/>
          <w:noEndnote/>
        </w:sectPr>
      </w:pPr>
    </w:p>
    <w:p w:rsidR="008A6B78" w:rsidRPr="00687A1C" w:rsidRDefault="008A6B78" w:rsidP="008A6B78"/>
    <w:tbl>
      <w:tblPr>
        <w:tblStyle w:val="AnnualReportfinancialtable"/>
        <w:tblW w:w="0" w:type="auto"/>
        <w:tblLayout w:type="fixed"/>
        <w:tblLook w:val="00A0" w:firstRow="1" w:lastRow="0" w:firstColumn="1" w:lastColumn="0" w:noHBand="0" w:noVBand="0"/>
      </w:tblPr>
      <w:tblGrid>
        <w:gridCol w:w="5216"/>
        <w:gridCol w:w="1170"/>
        <w:gridCol w:w="1008"/>
        <w:gridCol w:w="1152"/>
      </w:tblGrid>
      <w:tr w:rsidR="008A6B78" w:rsidRPr="00687A1C" w:rsidTr="00AE48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headingleft"/>
              <w:rPr>
                <w:b/>
              </w:rPr>
            </w:pPr>
            <w:r w:rsidRPr="00687A1C">
              <w:rPr>
                <w:b/>
              </w:rPr>
              <w:t>Indicator</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headingright"/>
              <w:rPr>
                <w:b/>
              </w:rPr>
            </w:pPr>
            <w:r w:rsidRPr="00687A1C">
              <w:rPr>
                <w:b/>
              </w:rPr>
              <w:t>2017-18</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2016-17</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headingright"/>
              <w:rPr>
                <w:b/>
              </w:rPr>
            </w:pPr>
            <w:r w:rsidRPr="00687A1C">
              <w:rPr>
                <w:b/>
              </w:rPr>
              <w:t>2015-16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Total energy consumption by fleet vehicles (MJ)</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r w:rsidRPr="00687A1C">
              <w:t>51 600</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98 485</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r w:rsidRPr="00687A1C">
              <w:t>53 400</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Diesel</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r w:rsidRPr="00687A1C">
              <w:t>4 989</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15 263</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LPG</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4 318</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Unleaded</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r w:rsidRPr="00687A1C">
              <w:t>46 611</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78 904</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r w:rsidRPr="00687A1C">
              <w:t>53 400</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Hybrid</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Total distance travelled by fleet vehicles (km)</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r w:rsidRPr="00687A1C">
              <w:t>19 912</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35 126</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r w:rsidRPr="00687A1C">
              <w:t>21 609</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Diesel</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r w:rsidRPr="00687A1C">
              <w:t>1 384</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4 433</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LPG</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1 340</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Unleaded</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r w:rsidRPr="00687A1C">
              <w:t>18 528</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29 353</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r w:rsidRPr="00687A1C">
              <w:t>21 609</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Hybrid</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 xml:space="preserve">Total greenhouse gas emissions from fleet vehicles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r w:rsidRPr="00687A1C">
              <w:t>3.50</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6.54</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r w:rsidRPr="00687A1C">
              <w:t>3.6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Diesel</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r w:rsidRPr="00687A1C">
              <w:t>0.35</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1.07</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LPG</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0.13</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 xml:space="preserve">Unleaded </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rPr>
                <w:bCs/>
              </w:rPr>
            </w:pPr>
            <w:r w:rsidRPr="00687A1C">
              <w:t>3.15</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r w:rsidRPr="00687A1C">
              <w:t>5.34</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r w:rsidRPr="00687A1C">
              <w:t>3.6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Hybrid</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rPr>
                <w:bCs/>
              </w:rPr>
            </w:pP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rPr>
                <w:bCs/>
              </w:rPr>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Greenhouse gas emissions from fleet vehicles per 1</w:t>
            </w:r>
            <w:r w:rsidRPr="00687A1C">
              <w:rPr>
                <w:rFonts w:ascii="Calibri" w:hAnsi="Calibri" w:cs="Courier New"/>
              </w:rPr>
              <w:t> </w:t>
            </w:r>
            <w:r w:rsidRPr="00687A1C">
              <w:t xml:space="preserve">000km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r w:rsidRPr="00687A1C">
              <w:t>0.19</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0.55</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r w:rsidRPr="00687A1C">
              <w:t>0.17</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Diesel</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r w:rsidRPr="00687A1C">
              <w:t>0.02</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Del="006E2036" w:rsidRDefault="008A6B78" w:rsidP="00AE48A5">
            <w:pPr>
              <w:pStyle w:val="Tabletextright"/>
            </w:pPr>
            <w:r w:rsidRPr="00687A1C">
              <w:t>0.25</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LPG</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Del="006E2036" w:rsidRDefault="008A6B78" w:rsidP="00AE48A5">
            <w:pPr>
              <w:pStyle w:val="Tabletextright"/>
            </w:pPr>
            <w:r w:rsidRPr="00687A1C">
              <w:t>0.11</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 xml:space="preserve">Unleaded </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r w:rsidRPr="00687A1C">
              <w:t>0.17</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Del="006E2036" w:rsidRDefault="008A6B78" w:rsidP="00AE48A5">
            <w:pPr>
              <w:pStyle w:val="Tabletextright"/>
            </w:pPr>
            <w:r w:rsidRPr="00687A1C">
              <w:t>0.19</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r w:rsidRPr="00687A1C">
              <w:t>0.17</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Hybrid</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
            </w:pP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Del="006E2036" w:rsidRDefault="008A6B78" w:rsidP="00AE48A5">
            <w:pPr>
              <w:pStyle w:val="Tabletextright"/>
            </w:pP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
            </w:pPr>
          </w:p>
        </w:tc>
      </w:tr>
      <w:tr w:rsidR="008A6B78" w:rsidRPr="00687A1C" w:rsidTr="00AE48A5">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Total distance travelled by air (km)</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bold"/>
              <w:rPr>
                <w:vertAlign w:val="superscript"/>
              </w:rPr>
            </w:pPr>
            <w:r w:rsidRPr="00687A1C">
              <w:t>415 331.74</w:t>
            </w:r>
            <w:r w:rsidRPr="00687A1C">
              <w:rPr>
                <w:vertAlign w:val="superscript"/>
              </w:rPr>
              <w:t>(a)</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bold"/>
            </w:pPr>
            <w:r w:rsidRPr="00687A1C">
              <w:t>261 056</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bold"/>
            </w:pPr>
            <w:r w:rsidRPr="00687A1C">
              <w:t>230 221</w:t>
            </w:r>
          </w:p>
        </w:tc>
      </w:tr>
      <w:tr w:rsidR="008A6B78" w:rsidRPr="00687A1C" w:rsidTr="00AE48A5">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Percentage using sustainable transport to get to and from work by locality</w:t>
            </w:r>
          </w:p>
        </w:tc>
        <w:tc>
          <w:tcPr>
            <w:cnfStyle w:val="000010000000" w:firstRow="0" w:lastRow="0" w:firstColumn="0" w:lastColumn="0" w:oddVBand="1" w:evenVBand="0" w:oddHBand="0" w:evenHBand="0" w:firstRowFirstColumn="0" w:firstRowLastColumn="0" w:lastRowFirstColumn="0" w:lastRowLastColumn="0"/>
            <w:tcW w:w="1170" w:type="dxa"/>
          </w:tcPr>
          <w:p w:rsidR="008A6B78" w:rsidRPr="00687A1C" w:rsidRDefault="008A6B78" w:rsidP="00AE48A5">
            <w:pPr>
              <w:pStyle w:val="Tabletextrightbold"/>
            </w:pPr>
            <w:r w:rsidRPr="00687A1C">
              <w:t>97.70</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bold"/>
            </w:pPr>
            <w:r w:rsidRPr="00687A1C">
              <w:t>90</w:t>
            </w:r>
          </w:p>
        </w:tc>
        <w:tc>
          <w:tcPr>
            <w:cnfStyle w:val="000010000000" w:firstRow="0" w:lastRow="0" w:firstColumn="0" w:lastColumn="0" w:oddVBand="1" w:evenVBand="0" w:oddHBand="0" w:evenHBand="0" w:firstRowFirstColumn="0" w:firstRowLastColumn="0" w:lastRowFirstColumn="0" w:lastRowLastColumn="0"/>
            <w:tcW w:w="1152" w:type="dxa"/>
          </w:tcPr>
          <w:p w:rsidR="008A6B78" w:rsidRPr="00687A1C" w:rsidRDefault="008A6B78" w:rsidP="00AE48A5">
            <w:pPr>
              <w:pStyle w:val="Tabletextrightbold"/>
            </w:pPr>
            <w:r w:rsidRPr="00687A1C">
              <w:t>90</w:t>
            </w:r>
          </w:p>
        </w:tc>
      </w:tr>
    </w:tbl>
    <w:p w:rsidR="008A6B78" w:rsidRPr="00687A1C" w:rsidRDefault="008A6B78" w:rsidP="008A6B78">
      <w:pPr>
        <w:pStyle w:val="Notes"/>
      </w:pPr>
      <w:r w:rsidRPr="00687A1C">
        <w:t>Note:</w:t>
      </w:r>
    </w:p>
    <w:p w:rsidR="008A6B78" w:rsidRPr="00687A1C" w:rsidRDefault="008A6B78" w:rsidP="008A6B78">
      <w:pPr>
        <w:pStyle w:val="Notes"/>
      </w:pPr>
      <w:r w:rsidRPr="00687A1C">
        <w:t>(a) Air travel has increased due to DTF staff representing Victoria’s position on policy and economic issues at international and interstate forums.</w:t>
      </w:r>
    </w:p>
    <w:p w:rsidR="008A6B78" w:rsidRPr="00687A1C" w:rsidRDefault="008A6B78" w:rsidP="008A6B78"/>
    <w:p w:rsidR="008A6B78" w:rsidRPr="00687A1C" w:rsidRDefault="008A6B78" w:rsidP="008A6B78">
      <w:pPr>
        <w:sectPr w:rsidR="008A6B78" w:rsidRPr="00687A1C" w:rsidSect="00BB311C">
          <w:type w:val="continuous"/>
          <w:pgSz w:w="11909" w:h="16834" w:code="9"/>
          <w:pgMar w:top="1728" w:right="1152" w:bottom="1260" w:left="1152" w:header="720" w:footer="288" w:gutter="0"/>
          <w:cols w:space="720"/>
          <w:noEndnote/>
        </w:sectPr>
      </w:pPr>
    </w:p>
    <w:p w:rsidR="008A6B78" w:rsidRPr="00687A1C" w:rsidRDefault="008A6B78" w:rsidP="008A6B78">
      <w:pPr>
        <w:pStyle w:val="Heading5"/>
      </w:pPr>
      <w:r w:rsidRPr="00687A1C">
        <w:t>Actions undertaken</w:t>
      </w:r>
    </w:p>
    <w:p w:rsidR="008A6B78" w:rsidRPr="00687A1C" w:rsidRDefault="008A6B78" w:rsidP="008A6B78">
      <w:pPr>
        <w:pStyle w:val="Bullet"/>
      </w:pPr>
      <w:r w:rsidRPr="00687A1C">
        <w:t>DTF encourages staff to use video conferencing in preference to air travel where appropriate.</w:t>
      </w:r>
    </w:p>
    <w:p w:rsidR="008A6B78" w:rsidRPr="00687A1C" w:rsidRDefault="008A6B78" w:rsidP="008A6B78">
      <w:pPr>
        <w:pStyle w:val="Bullet"/>
      </w:pPr>
      <w:r w:rsidRPr="00687A1C">
        <w:t>DTF participated in the Ride to Work and Walk to Work days.</w:t>
      </w:r>
    </w:p>
    <w:p w:rsidR="008A6B78" w:rsidRPr="00687A1C" w:rsidRDefault="008A6B78" w:rsidP="008A6B78">
      <w:pPr>
        <w:pStyle w:val="Heading5"/>
        <w:rPr>
          <w:color w:val="auto"/>
        </w:rPr>
      </w:pPr>
      <w:r w:rsidRPr="00687A1C">
        <w:rPr>
          <w:color w:val="auto"/>
        </w:rPr>
        <w:t>Targets</w:t>
      </w:r>
    </w:p>
    <w:p w:rsidR="008A6B78" w:rsidRPr="00687A1C" w:rsidRDefault="008A6B78" w:rsidP="008A6B78">
      <w:r w:rsidRPr="00687A1C">
        <w:t>The following target was set for 2017-18:</w:t>
      </w:r>
    </w:p>
    <w:p w:rsidR="008A6B78" w:rsidRPr="00687A1C" w:rsidRDefault="008A6B78" w:rsidP="008A6B78">
      <w:pPr>
        <w:pStyle w:val="Bullet"/>
      </w:pPr>
      <w:r w:rsidRPr="00687A1C">
        <w:t>Involvement in Ride to Work and Walk to Work days.</w:t>
      </w:r>
    </w:p>
    <w:p w:rsidR="008A6B78" w:rsidRPr="00687A1C" w:rsidRDefault="008A6B78" w:rsidP="008A6B78">
      <w:pPr>
        <w:pStyle w:val="Heading5"/>
      </w:pPr>
      <w:r w:rsidRPr="00687A1C">
        <w:t>Result</w:t>
      </w:r>
    </w:p>
    <w:p w:rsidR="008A6B78" w:rsidRPr="00687A1C" w:rsidRDefault="008A6B78" w:rsidP="008A6B78">
      <w:pPr>
        <w:pStyle w:val="Bullet"/>
      </w:pPr>
      <w:r w:rsidRPr="00687A1C">
        <w:t>DTF supported Ride to Work and Walk to Work days.</w:t>
      </w:r>
    </w:p>
    <w:p w:rsidR="008A6B78" w:rsidRPr="00687A1C" w:rsidRDefault="008A6B78" w:rsidP="008A6B78">
      <w:pPr>
        <w:pStyle w:val="Heading5"/>
      </w:pPr>
      <w:r w:rsidRPr="00687A1C">
        <w:br w:type="column"/>
      </w:r>
      <w:r w:rsidRPr="00687A1C">
        <w:t>Explanatory notes</w:t>
      </w:r>
    </w:p>
    <w:p w:rsidR="008A6B78" w:rsidRPr="00687A1C" w:rsidRDefault="008A6B78" w:rsidP="00C27310">
      <w:pPr>
        <w:pStyle w:val="Bullet"/>
      </w:pPr>
      <w:r w:rsidRPr="00687A1C">
        <w:t xml:space="preserve">The vehicle travel data includes DTF hire car usage from </w:t>
      </w:r>
      <w:r w:rsidR="00C27310" w:rsidRPr="00687A1C">
        <w:t xml:space="preserve">SSP Car Pool Services </w:t>
      </w:r>
      <w:r w:rsidRPr="00687A1C">
        <w:t>and was provided by the Shared Service Provider.</w:t>
      </w:r>
    </w:p>
    <w:p w:rsidR="008A6B78" w:rsidRPr="00687A1C" w:rsidRDefault="008A6B78" w:rsidP="008A6B78">
      <w:pPr>
        <w:pStyle w:val="Bullet"/>
      </w:pPr>
      <w:r w:rsidRPr="00687A1C">
        <w:t>Air travel was provided by the State Government booking agency.</w:t>
      </w:r>
    </w:p>
    <w:p w:rsidR="008A6B78" w:rsidRPr="00687A1C" w:rsidRDefault="008A6B78" w:rsidP="008A6B78">
      <w:pPr>
        <w:spacing w:before="0" w:after="0"/>
      </w:pPr>
      <w:r w:rsidRPr="00687A1C">
        <w:br w:type="page"/>
      </w:r>
    </w:p>
    <w:p w:rsidR="008A6B78" w:rsidRPr="00687A1C" w:rsidRDefault="008A6B78" w:rsidP="008A6B78">
      <w:pPr>
        <w:pStyle w:val="Heading4"/>
      </w:pPr>
      <w:r w:rsidRPr="00687A1C">
        <w:lastRenderedPageBreak/>
        <w:t>Waste and recycling</w:t>
      </w:r>
    </w:p>
    <w:p w:rsidR="008A6B78" w:rsidRPr="00687A1C" w:rsidRDefault="008A6B78" w:rsidP="008A6B78">
      <w:r w:rsidRPr="00687A1C">
        <w:t>The waste data in the indicators below, includes data from the three kitchen waste streams (landfill, recycling and compost), as well as data from paper and cardboard bins.</w:t>
      </w:r>
    </w:p>
    <w:p w:rsidR="008A6B78" w:rsidRPr="00687A1C" w:rsidRDefault="008A6B78" w:rsidP="008A6B78">
      <w:pPr>
        <w:rPr>
          <w:rFonts w:cstheme="minorHAnsi"/>
        </w:rPr>
      </w:pPr>
    </w:p>
    <w:p w:rsidR="008A6B78" w:rsidRPr="00687A1C" w:rsidRDefault="008A6B78" w:rsidP="008A6B78">
      <w:r w:rsidRPr="00687A1C">
        <w:br w:type="column"/>
      </w:r>
    </w:p>
    <w:p w:rsidR="008A6B78" w:rsidRPr="00687A1C" w:rsidRDefault="008A6B78" w:rsidP="008A6B78"/>
    <w:p w:rsidR="008A6B78" w:rsidRPr="00687A1C" w:rsidRDefault="008A6B78" w:rsidP="008A6B78">
      <w:pPr>
        <w:sectPr w:rsidR="008A6B78" w:rsidRPr="00687A1C" w:rsidSect="0028555D">
          <w:type w:val="continuous"/>
          <w:pgSz w:w="11909" w:h="16834" w:code="9"/>
          <w:pgMar w:top="1728" w:right="1152" w:bottom="1260" w:left="1152" w:header="720" w:footer="288" w:gutter="0"/>
          <w:cols w:num="2" w:space="720"/>
          <w:noEndnote/>
        </w:sectPr>
      </w:pPr>
    </w:p>
    <w:tbl>
      <w:tblPr>
        <w:tblStyle w:val="AnnualReportfinancialtable"/>
        <w:tblW w:w="0" w:type="auto"/>
        <w:tblLayout w:type="fixed"/>
        <w:tblLook w:val="06A0" w:firstRow="1" w:lastRow="0" w:firstColumn="1" w:lastColumn="0" w:noHBand="1" w:noVBand="1"/>
      </w:tblPr>
      <w:tblGrid>
        <w:gridCol w:w="5216"/>
        <w:gridCol w:w="1008"/>
        <w:gridCol w:w="1008"/>
        <w:gridCol w:w="1008"/>
      </w:tblGrid>
      <w:tr w:rsidR="008A6B78" w:rsidRPr="00687A1C" w:rsidTr="00AE48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headingleft"/>
              <w:rPr>
                <w:b/>
              </w:rPr>
            </w:pPr>
            <w:r w:rsidRPr="00687A1C">
              <w:rPr>
                <w:b/>
              </w:rPr>
              <w:t>Indicator</w:t>
            </w:r>
          </w:p>
        </w:tc>
        <w:tc>
          <w:tcPr>
            <w:tcW w:w="1008" w:type="dxa"/>
            <w:shd w:val="clear" w:color="auto" w:fill="E0E0E0"/>
          </w:tcPr>
          <w:p w:rsidR="008A6B78" w:rsidRPr="00687A1C" w:rsidRDefault="008A6B78" w:rsidP="00AE48A5">
            <w:pPr>
              <w:pStyle w:val="Tabletextheadingright"/>
              <w:cnfStyle w:val="100000000000" w:firstRow="1" w:lastRow="0" w:firstColumn="0" w:lastColumn="0" w:oddVBand="0" w:evenVBand="0" w:oddHBand="0" w:evenHBand="0" w:firstRowFirstColumn="0" w:firstRowLastColumn="0" w:lastRowFirstColumn="0" w:lastRowLastColumn="0"/>
              <w:rPr>
                <w:b/>
              </w:rPr>
            </w:pPr>
            <w:r w:rsidRPr="00687A1C">
              <w:rPr>
                <w:b/>
              </w:rPr>
              <w:t>2017-18</w:t>
            </w:r>
          </w:p>
        </w:tc>
        <w:tc>
          <w:tcPr>
            <w:tcW w:w="1008" w:type="dxa"/>
          </w:tcPr>
          <w:p w:rsidR="008A6B78" w:rsidRPr="00687A1C" w:rsidRDefault="008A6B78" w:rsidP="00AE48A5">
            <w:pPr>
              <w:pStyle w:val="Tabletextheadingright"/>
              <w:cnfStyle w:val="100000000000" w:firstRow="1" w:lastRow="0" w:firstColumn="0" w:lastColumn="0" w:oddVBand="0" w:evenVBand="0" w:oddHBand="0" w:evenHBand="0" w:firstRowFirstColumn="0" w:firstRowLastColumn="0" w:lastRowFirstColumn="0" w:lastRowLastColumn="0"/>
              <w:rPr>
                <w:b/>
              </w:rPr>
            </w:pPr>
            <w:r w:rsidRPr="00687A1C">
              <w:rPr>
                <w:b/>
              </w:rPr>
              <w:t>2016-17</w:t>
            </w:r>
          </w:p>
        </w:tc>
        <w:tc>
          <w:tcPr>
            <w:tcW w:w="1008" w:type="dxa"/>
            <w:shd w:val="clear" w:color="auto" w:fill="E0E0E0"/>
          </w:tcPr>
          <w:p w:rsidR="008A6B78" w:rsidRPr="00687A1C" w:rsidRDefault="008A6B78" w:rsidP="00AE48A5">
            <w:pPr>
              <w:pStyle w:val="Tabletextheadingright"/>
              <w:cnfStyle w:val="100000000000" w:firstRow="1" w:lastRow="0" w:firstColumn="0" w:lastColumn="0" w:oddVBand="0" w:evenVBand="0" w:oddHBand="0" w:evenHBand="0" w:firstRowFirstColumn="0" w:firstRowLastColumn="0" w:lastRowFirstColumn="0" w:lastRowLastColumn="0"/>
              <w:rPr>
                <w:b/>
              </w:rPr>
            </w:pPr>
            <w:r w:rsidRPr="00687A1C">
              <w:rPr>
                <w:b/>
              </w:rPr>
              <w:t>2015-16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Total units of waste disposed of by destination (kg/yr)</w:t>
            </w:r>
          </w:p>
        </w:tc>
        <w:tc>
          <w:tcPr>
            <w:tcW w:w="1008" w:type="dxa"/>
            <w:shd w:val="clear" w:color="auto" w:fill="E0E0E0"/>
          </w:tcPr>
          <w:p w:rsidR="008A6B78" w:rsidRPr="00687A1C"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45 482.65</w:t>
            </w:r>
          </w:p>
        </w:tc>
        <w:tc>
          <w:tcPr>
            <w:tcW w:w="1008" w:type="dxa"/>
          </w:tcPr>
          <w:p w:rsidR="008A6B78" w:rsidRPr="00687A1C"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49 446</w:t>
            </w:r>
          </w:p>
        </w:tc>
        <w:tc>
          <w:tcPr>
            <w:tcW w:w="1008" w:type="dxa"/>
            <w:shd w:val="clear" w:color="auto" w:fill="E0E0E0"/>
          </w:tcPr>
          <w:p w:rsidR="008A6B78" w:rsidRPr="00687A1C"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50 566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Landfill (kg)</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6 847</w:t>
            </w:r>
          </w:p>
        </w:tc>
        <w:tc>
          <w:tcPr>
            <w:tcW w:w="1008" w:type="dxa"/>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6 642</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7 039</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Co</w:t>
            </w:r>
            <w:r w:rsidRPr="00687A1C">
              <w:noBreakHyphen/>
              <w:t>mingled recycling (kg)</w:t>
            </w:r>
          </w:p>
        </w:tc>
        <w:tc>
          <w:tcPr>
            <w:tcW w:w="1008" w:type="dxa"/>
            <w:shd w:val="clear" w:color="auto" w:fill="E0E0E0"/>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34 481.02</w:t>
            </w:r>
          </w:p>
        </w:tc>
        <w:tc>
          <w:tcPr>
            <w:tcW w:w="1008" w:type="dxa"/>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37 413</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38 479</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Paper and card (kg)</w:t>
            </w:r>
          </w:p>
        </w:tc>
        <w:tc>
          <w:tcPr>
            <w:tcW w:w="1008" w:type="dxa"/>
            <w:shd w:val="clear" w:color="auto" w:fill="E0E0E0"/>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Secure documents (kg)</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Organics (kg)</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4 154.63</w:t>
            </w:r>
          </w:p>
        </w:tc>
        <w:tc>
          <w:tcPr>
            <w:tcW w:w="1008" w:type="dxa"/>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5 391</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5 048</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Total units of waste disposed of per FTE by destination (kg/FTE)</w:t>
            </w:r>
          </w:p>
        </w:tc>
        <w:tc>
          <w:tcPr>
            <w:tcW w:w="1008" w:type="dxa"/>
            <w:shd w:val="clear" w:color="auto" w:fill="E0E0E0"/>
          </w:tcPr>
          <w:p w:rsidR="008A6B78" w:rsidRPr="00687A1C" w:rsidDel="006A3AE4"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76.85</w:t>
            </w:r>
          </w:p>
        </w:tc>
        <w:tc>
          <w:tcPr>
            <w:tcW w:w="1008" w:type="dxa"/>
          </w:tcPr>
          <w:p w:rsidR="008A6B78" w:rsidRPr="00687A1C" w:rsidDel="006A3AE4"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687A1C">
              <w:t>84.94</w:t>
            </w:r>
          </w:p>
        </w:tc>
        <w:tc>
          <w:tcPr>
            <w:tcW w:w="1008" w:type="dxa"/>
            <w:shd w:val="clear" w:color="auto" w:fill="E0E0E0"/>
          </w:tcPr>
          <w:p w:rsidR="008A6B78" w:rsidRPr="00687A1C"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88.4</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Landfill (kg/FTE)</w:t>
            </w:r>
          </w:p>
        </w:tc>
        <w:tc>
          <w:tcPr>
            <w:tcW w:w="1008" w:type="dxa"/>
            <w:shd w:val="clear" w:color="auto" w:fill="E0E0E0"/>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11.57</w:t>
            </w:r>
          </w:p>
        </w:tc>
        <w:tc>
          <w:tcPr>
            <w:tcW w:w="1008" w:type="dxa"/>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11.41</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12.3</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Co</w:t>
            </w:r>
            <w:r w:rsidRPr="00687A1C">
              <w:noBreakHyphen/>
              <w:t>mingled recycling (kg/FTE)</w:t>
            </w:r>
          </w:p>
        </w:tc>
        <w:tc>
          <w:tcPr>
            <w:tcW w:w="1008" w:type="dxa"/>
            <w:shd w:val="clear" w:color="auto" w:fill="E0E0E0"/>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58.26</w:t>
            </w:r>
          </w:p>
        </w:tc>
        <w:tc>
          <w:tcPr>
            <w:tcW w:w="1008" w:type="dxa"/>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64.27</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67.3</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Paper and card (kg/FTE)</w:t>
            </w:r>
          </w:p>
        </w:tc>
        <w:tc>
          <w:tcPr>
            <w:tcW w:w="1008" w:type="dxa"/>
            <w:shd w:val="clear" w:color="auto" w:fill="E0E0E0"/>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tcPr>
          <w:p w:rsidR="008A6B78" w:rsidRPr="00687A1C" w:rsidDel="006A3AE4"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Secure documents (kg/FTE)</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
            </w:pPr>
            <w:r w:rsidRPr="00687A1C">
              <w:t>Organics (kg/FTE)</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7.02</w:t>
            </w:r>
          </w:p>
        </w:tc>
        <w:tc>
          <w:tcPr>
            <w:tcW w:w="1008" w:type="dxa"/>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9.26</w:t>
            </w:r>
          </w:p>
        </w:tc>
        <w:tc>
          <w:tcPr>
            <w:tcW w:w="1008" w:type="dxa"/>
            <w:shd w:val="clear" w:color="auto" w:fill="E0E0E0"/>
          </w:tcPr>
          <w:p w:rsidR="008A6B78" w:rsidRPr="00687A1C" w:rsidRDefault="008A6B78" w:rsidP="00AE48A5">
            <w:pPr>
              <w:pStyle w:val="Tabletext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8.8</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Recycling rate (per cent)</w:t>
            </w:r>
          </w:p>
        </w:tc>
        <w:tc>
          <w:tcPr>
            <w:tcW w:w="1008" w:type="dxa"/>
            <w:shd w:val="clear" w:color="auto" w:fill="E0E0E0"/>
          </w:tcPr>
          <w:p w:rsidR="008A6B78" w:rsidRPr="00687A1C" w:rsidDel="006A3AE4"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85</w:t>
            </w:r>
          </w:p>
        </w:tc>
        <w:tc>
          <w:tcPr>
            <w:tcW w:w="1008" w:type="dxa"/>
          </w:tcPr>
          <w:p w:rsidR="008A6B78" w:rsidRPr="00687A1C" w:rsidDel="006A3AE4"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87</w:t>
            </w:r>
          </w:p>
        </w:tc>
        <w:tc>
          <w:tcPr>
            <w:tcW w:w="1008" w:type="dxa"/>
            <w:shd w:val="clear" w:color="auto" w:fill="E0E0E0"/>
          </w:tcPr>
          <w:p w:rsidR="008A6B78" w:rsidRPr="00687A1C"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86</w:t>
            </w:r>
          </w:p>
        </w:tc>
      </w:tr>
      <w:tr w:rsidR="008A6B78" w:rsidRPr="00687A1C" w:rsidDel="006A3AE4" w:rsidTr="00AE48A5">
        <w:trPr>
          <w:cantSplit/>
        </w:trPr>
        <w:tc>
          <w:tcPr>
            <w:cnfStyle w:val="001000000000" w:firstRow="0" w:lastRow="0" w:firstColumn="1" w:lastColumn="0" w:oddVBand="0" w:evenVBand="0" w:oddHBand="0" w:evenHBand="0" w:firstRowFirstColumn="0" w:firstRowLastColumn="0" w:lastRowFirstColumn="0" w:lastRowLastColumn="0"/>
            <w:tcW w:w="5216" w:type="dxa"/>
          </w:tcPr>
          <w:p w:rsidR="008A6B78" w:rsidRPr="00687A1C" w:rsidRDefault="008A6B78" w:rsidP="00AE48A5">
            <w:pPr>
              <w:pStyle w:val="Tabletextbold"/>
            </w:pPr>
            <w:r w:rsidRPr="00687A1C">
              <w:t xml:space="preserve">Greenhouse gas emissions associated with waste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tcW w:w="1008" w:type="dxa"/>
            <w:shd w:val="clear" w:color="auto" w:fill="E0E0E0"/>
          </w:tcPr>
          <w:p w:rsidR="008A6B78" w:rsidRPr="00687A1C" w:rsidDel="006A3AE4"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9.59</w:t>
            </w:r>
          </w:p>
        </w:tc>
        <w:tc>
          <w:tcPr>
            <w:tcW w:w="1008" w:type="dxa"/>
          </w:tcPr>
          <w:p w:rsidR="008A6B78" w:rsidRPr="00687A1C" w:rsidDel="006A3AE4"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9.3</w:t>
            </w:r>
          </w:p>
        </w:tc>
        <w:tc>
          <w:tcPr>
            <w:tcW w:w="1008" w:type="dxa"/>
            <w:shd w:val="clear" w:color="auto" w:fill="E0E0E0"/>
          </w:tcPr>
          <w:p w:rsidR="008A6B78" w:rsidRPr="00687A1C" w:rsidRDefault="008A6B78" w:rsidP="00AE48A5">
            <w:pPr>
              <w:pStyle w:val="Tabletextrightbold"/>
              <w:cnfStyle w:val="000000000000" w:firstRow="0" w:lastRow="0" w:firstColumn="0" w:lastColumn="0" w:oddVBand="0" w:evenVBand="0" w:oddHBand="0" w:evenHBand="0" w:firstRowFirstColumn="0" w:firstRowLastColumn="0" w:lastRowFirstColumn="0" w:lastRowLastColumn="0"/>
              <w:rPr>
                <w:rFonts w:ascii="Arial" w:hAnsi="Arial" w:cs="Arial"/>
              </w:rPr>
            </w:pPr>
            <w:r w:rsidRPr="00687A1C">
              <w:t>8.4</w:t>
            </w:r>
          </w:p>
        </w:tc>
      </w:tr>
    </w:tbl>
    <w:p w:rsidR="008A6B78" w:rsidRPr="00687A1C" w:rsidRDefault="008A6B78" w:rsidP="008A6B78">
      <w:pPr>
        <w:pStyle w:val="Notes"/>
      </w:pPr>
      <w:r w:rsidRPr="00687A1C">
        <w:t>Note:</w:t>
      </w:r>
    </w:p>
    <w:p w:rsidR="008A6B78" w:rsidRPr="00687A1C" w:rsidRDefault="008A6B78" w:rsidP="008A6B78">
      <w:pPr>
        <w:pStyle w:val="Notes"/>
      </w:pPr>
      <w:r w:rsidRPr="00687A1C">
        <w:t>The 2016</w:t>
      </w:r>
      <w:r w:rsidRPr="00687A1C">
        <w:noBreakHyphen/>
        <w:t xml:space="preserve">17 outcomes have been updated due to an incorrect FTE figure being used in calculations for the </w:t>
      </w:r>
      <w:r w:rsidRPr="00687A1C">
        <w:rPr>
          <w:i/>
        </w:rPr>
        <w:t>2016</w:t>
      </w:r>
      <w:r w:rsidRPr="00687A1C">
        <w:rPr>
          <w:i/>
        </w:rPr>
        <w:noBreakHyphen/>
        <w:t>17 Annual Report</w:t>
      </w:r>
      <w:r w:rsidRPr="00687A1C">
        <w:t>.</w:t>
      </w:r>
    </w:p>
    <w:p w:rsidR="008A6B78" w:rsidRPr="00687A1C" w:rsidRDefault="008A6B78" w:rsidP="008A6B78"/>
    <w:p w:rsidR="008A6B78" w:rsidRPr="00687A1C" w:rsidRDefault="008A6B78" w:rsidP="008A6B78"/>
    <w:p w:rsidR="008A6B78" w:rsidRPr="00687A1C" w:rsidRDefault="008A6B78" w:rsidP="008A6B78">
      <w:pPr>
        <w:sectPr w:rsidR="008A6B78" w:rsidRPr="00687A1C" w:rsidSect="00BB311C">
          <w:type w:val="continuous"/>
          <w:pgSz w:w="11909" w:h="16834" w:code="9"/>
          <w:pgMar w:top="1728" w:right="1152" w:bottom="1260" w:left="1152" w:header="720" w:footer="288" w:gutter="0"/>
          <w:cols w:space="720"/>
          <w:noEndnote/>
        </w:sectPr>
      </w:pPr>
    </w:p>
    <w:p w:rsidR="008A6B78" w:rsidRPr="00687A1C" w:rsidRDefault="008A6B78" w:rsidP="008A6B78">
      <w:pPr>
        <w:pStyle w:val="Heading5"/>
      </w:pPr>
      <w:r w:rsidRPr="00687A1C">
        <w:t>Actions undertaken</w:t>
      </w:r>
    </w:p>
    <w:p w:rsidR="008A6B78" w:rsidRPr="00687A1C" w:rsidRDefault="008A6B78" w:rsidP="008A6B78">
      <w:pPr>
        <w:pStyle w:val="Bullet"/>
      </w:pPr>
      <w:r w:rsidRPr="00687A1C">
        <w:t>Signage in kitchens has been maintained to encourage staff to place waste in the correct waste stream</w:t>
      </w:r>
    </w:p>
    <w:p w:rsidR="008A6B78" w:rsidRPr="00687A1C" w:rsidRDefault="008A6B78" w:rsidP="008A6B78">
      <w:pPr>
        <w:pStyle w:val="Heading5"/>
      </w:pPr>
      <w:r w:rsidRPr="00687A1C">
        <w:t>Targets</w:t>
      </w:r>
    </w:p>
    <w:p w:rsidR="008A6B78" w:rsidRPr="00687A1C" w:rsidRDefault="008A6B78" w:rsidP="008A6B78">
      <w:r w:rsidRPr="00687A1C">
        <w:t>The following target was set for 2017</w:t>
      </w:r>
      <w:r w:rsidRPr="00687A1C">
        <w:noBreakHyphen/>
        <w:t>18:</w:t>
      </w:r>
    </w:p>
    <w:p w:rsidR="008A6B78" w:rsidRPr="00687A1C" w:rsidRDefault="008A6B78" w:rsidP="008A6B78">
      <w:pPr>
        <w:pStyle w:val="Bullet"/>
      </w:pPr>
      <w:r w:rsidRPr="00687A1C">
        <w:t>Improve communication and signage to decrease contamination levels in kitchen waste bins.</w:t>
      </w:r>
    </w:p>
    <w:p w:rsidR="008A6B78" w:rsidRPr="00687A1C" w:rsidRDefault="008A6B78" w:rsidP="008A6B78">
      <w:pPr>
        <w:pStyle w:val="Heading5"/>
      </w:pPr>
      <w:r w:rsidRPr="00687A1C">
        <w:br w:type="column"/>
      </w:r>
      <w:r w:rsidRPr="00687A1C">
        <w:t>Result</w:t>
      </w:r>
    </w:p>
    <w:p w:rsidR="008A6B78" w:rsidRPr="00687A1C" w:rsidRDefault="008A6B78" w:rsidP="008A6B78">
      <w:pPr>
        <w:pStyle w:val="Bullet"/>
      </w:pPr>
      <w:r w:rsidRPr="00687A1C">
        <w:t>Units of waste to landfill by FTE has increased from 11.41 to 11.57. This can be attributed to contamination of the waste stream due to waste from building works on site entering the waste stream.</w:t>
      </w:r>
    </w:p>
    <w:p w:rsidR="008A6B78" w:rsidRPr="00687A1C" w:rsidRDefault="008A6B78" w:rsidP="008A6B78">
      <w:pPr>
        <w:pStyle w:val="Heading5"/>
      </w:pPr>
      <w:r w:rsidRPr="00687A1C">
        <w:t>Explanatory notes</w:t>
      </w:r>
    </w:p>
    <w:p w:rsidR="008A6B78" w:rsidRPr="00687A1C" w:rsidRDefault="008A6B78" w:rsidP="008A6B78">
      <w:pPr>
        <w:pStyle w:val="Bullet"/>
      </w:pPr>
      <w:r w:rsidRPr="00687A1C">
        <w:t>Waste data was collected from waste audits conducted at 1 Treasury Place and 1 Macarthur Street, which covers 99 per cent of staff.</w:t>
      </w:r>
    </w:p>
    <w:p w:rsidR="008A6B78" w:rsidRPr="00687A1C" w:rsidRDefault="008A6B78" w:rsidP="008A6B78"/>
    <w:p w:rsidR="008A6B78" w:rsidRPr="00687A1C" w:rsidRDefault="008A6B78" w:rsidP="008A6B78">
      <w:pPr>
        <w:spacing w:before="0" w:after="0"/>
      </w:pPr>
      <w:r w:rsidRPr="00687A1C">
        <w:br w:type="page"/>
      </w:r>
    </w:p>
    <w:p w:rsidR="008A6B78" w:rsidRPr="00687A1C" w:rsidRDefault="008A6B78" w:rsidP="008A6B78">
      <w:pPr>
        <w:pStyle w:val="Heading4"/>
      </w:pPr>
      <w:r w:rsidRPr="00687A1C">
        <w:lastRenderedPageBreak/>
        <w:t>Greenhouse gas emissions</w:t>
      </w:r>
    </w:p>
    <w:p w:rsidR="008A6B78" w:rsidRPr="00687A1C" w:rsidRDefault="008A6B78" w:rsidP="008A6B78">
      <w:pPr>
        <w:rPr>
          <w:rFonts w:cstheme="minorHAnsi"/>
        </w:rPr>
      </w:pPr>
      <w:r w:rsidRPr="00687A1C">
        <w:t>The emissions disclosed in this section are taken from the previous sections and brought together here to show the Department’s greenhouse footprint.</w:t>
      </w:r>
    </w:p>
    <w:p w:rsidR="008A6B78" w:rsidRPr="00687A1C" w:rsidRDefault="008A6B78" w:rsidP="008A6B78">
      <w:pPr>
        <w:rPr>
          <w:rFonts w:cstheme="minorHAnsi"/>
        </w:rPr>
      </w:pPr>
    </w:p>
    <w:p w:rsidR="008A6B78" w:rsidRPr="00687A1C" w:rsidRDefault="008A6B78" w:rsidP="008A6B78">
      <w:r w:rsidRPr="00687A1C">
        <w:br w:type="column"/>
      </w:r>
    </w:p>
    <w:p w:rsidR="008A6B78" w:rsidRPr="00687A1C" w:rsidRDefault="008A6B78" w:rsidP="008A6B78">
      <w:pPr>
        <w:sectPr w:rsidR="008A6B78" w:rsidRPr="00687A1C" w:rsidSect="0028555D">
          <w:type w:val="continuous"/>
          <w:pgSz w:w="11909" w:h="16834" w:code="9"/>
          <w:pgMar w:top="1728" w:right="1152" w:bottom="1260" w:left="1152" w:header="720" w:footer="288" w:gutter="0"/>
          <w:cols w:num="2" w:space="720"/>
          <w:noEndnote/>
        </w:sectPr>
      </w:pPr>
    </w:p>
    <w:tbl>
      <w:tblPr>
        <w:tblStyle w:val="AnnualReportfinancialtable"/>
        <w:tblW w:w="0" w:type="auto"/>
        <w:tblLayout w:type="fixed"/>
        <w:tblLook w:val="02A0" w:firstRow="1" w:lastRow="0" w:firstColumn="1" w:lastColumn="0" w:noHBand="1" w:noVBand="0"/>
      </w:tblPr>
      <w:tblGrid>
        <w:gridCol w:w="5936"/>
        <w:gridCol w:w="1008"/>
        <w:gridCol w:w="1008"/>
        <w:gridCol w:w="1008"/>
      </w:tblGrid>
      <w:tr w:rsidR="008A6B78" w:rsidRPr="00687A1C" w:rsidTr="00AE48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36" w:type="dxa"/>
          </w:tcPr>
          <w:p w:rsidR="008A6B78" w:rsidRPr="00687A1C" w:rsidRDefault="008A6B78" w:rsidP="00AE48A5">
            <w:pPr>
              <w:pStyle w:val="Tabletextheadingleft"/>
              <w:rPr>
                <w:b/>
                <w:i/>
              </w:rPr>
            </w:pPr>
            <w:r w:rsidRPr="00687A1C">
              <w:rPr>
                <w:b/>
              </w:rPr>
              <w:t>Indicator</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2017</w:t>
            </w:r>
            <w:r w:rsidRPr="00687A1C">
              <w:rPr>
                <w:b/>
              </w:rPr>
              <w:noBreakHyphen/>
              <w:t xml:space="preserve">18 </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 xml:space="preserve">2016-17 </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headingright"/>
              <w:rPr>
                <w:b/>
              </w:rPr>
            </w:pPr>
            <w:r w:rsidRPr="00687A1C">
              <w:rPr>
                <w:b/>
              </w:rPr>
              <w:t>2015-16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936" w:type="dxa"/>
          </w:tcPr>
          <w:p w:rsidR="008A6B78" w:rsidRPr="00687A1C" w:rsidRDefault="008A6B78" w:rsidP="00AE48A5">
            <w:pPr>
              <w:pStyle w:val="Tabletext"/>
            </w:pPr>
            <w:r w:rsidRPr="00687A1C">
              <w:t xml:space="preserve">Total greenhouse gas emissions associated with energy use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913.3</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1027.0</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1032.0</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936" w:type="dxa"/>
          </w:tcPr>
          <w:p w:rsidR="008A6B78" w:rsidRPr="00687A1C" w:rsidRDefault="008A6B78" w:rsidP="00AE48A5">
            <w:pPr>
              <w:pStyle w:val="Tabletext"/>
            </w:pPr>
            <w:r w:rsidRPr="00687A1C">
              <w:t xml:space="preserve">Total greenhouse gas emissions associated with vehicle fleet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3.5</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6.5</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3.6</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936" w:type="dxa"/>
          </w:tcPr>
          <w:p w:rsidR="008A6B78" w:rsidRPr="00687A1C" w:rsidRDefault="008A6B78" w:rsidP="00AE48A5">
            <w:pPr>
              <w:pStyle w:val="Tabletext"/>
            </w:pPr>
            <w:r w:rsidRPr="00687A1C">
              <w:t xml:space="preserve">Total greenhouse gas emissions associated with air travel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102.5</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75.1</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54.5</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936" w:type="dxa"/>
          </w:tcPr>
          <w:p w:rsidR="008A6B78" w:rsidRPr="00687A1C" w:rsidRDefault="008A6B78" w:rsidP="00AE48A5">
            <w:pPr>
              <w:pStyle w:val="Tabletext"/>
            </w:pPr>
            <w:r w:rsidRPr="00687A1C">
              <w:t xml:space="preserve">Total greenhouse gas emissions associated with waste disposal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9.6</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9.3</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8.4</w:t>
            </w:r>
          </w:p>
        </w:tc>
      </w:tr>
      <w:tr w:rsidR="008A6B78" w:rsidRPr="00687A1C" w:rsidTr="00AE48A5">
        <w:trPr>
          <w:cantSplit/>
        </w:trPr>
        <w:tc>
          <w:tcPr>
            <w:cnfStyle w:val="001000000000" w:firstRow="0" w:lastRow="0" w:firstColumn="1" w:lastColumn="0" w:oddVBand="0" w:evenVBand="0" w:oddHBand="0" w:evenHBand="0" w:firstRowFirstColumn="0" w:firstRowLastColumn="0" w:lastRowFirstColumn="0" w:lastRowLastColumn="0"/>
            <w:tcW w:w="5936" w:type="dxa"/>
          </w:tcPr>
          <w:p w:rsidR="008A6B78" w:rsidRPr="00687A1C" w:rsidRDefault="008A6B78" w:rsidP="00AE48A5">
            <w:pPr>
              <w:pStyle w:val="Tabletext"/>
            </w:pPr>
            <w:r w:rsidRPr="00687A1C">
              <w:t xml:space="preserve">Greenhouse gas emissions offsets purchased </w:t>
            </w:r>
            <w:r w:rsidRPr="00687A1C">
              <w:rPr>
                <w:rFonts w:cstheme="minorHAnsi"/>
              </w:rPr>
              <w:t>(t</w:t>
            </w:r>
            <w:r w:rsidRPr="00687A1C">
              <w:rPr>
                <w:rFonts w:ascii="Calibri" w:hAnsi="Calibri" w:cs="Calibri"/>
              </w:rPr>
              <w:t> </w:t>
            </w:r>
            <w:r w:rsidRPr="00687A1C">
              <w:rPr>
                <w:rFonts w:cstheme="minorHAnsi"/>
              </w:rPr>
              <w:t>CO</w:t>
            </w:r>
            <w:r w:rsidRPr="00687A1C">
              <w:rPr>
                <w:rFonts w:cstheme="minorHAnsi"/>
                <w:vertAlign w:val="subscript"/>
              </w:rPr>
              <w:t>2</w:t>
            </w:r>
            <w:r w:rsidRPr="00687A1C">
              <w:rPr>
                <w:rFonts w:cstheme="minorHAnsi"/>
              </w:rPr>
              <w:noBreakHyphen/>
              <w:t>e)</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w:t>
            </w:r>
          </w:p>
        </w:tc>
        <w:tc>
          <w:tcPr>
            <w:cnfStyle w:val="000001000000" w:firstRow="0" w:lastRow="0" w:firstColumn="0" w:lastColumn="0" w:oddVBand="0" w:evenVBand="1" w:oddHBand="0" w:evenHBand="0" w:firstRowFirstColumn="0" w:firstRowLastColumn="0" w:lastRowFirstColumn="0" w:lastRowLastColumn="0"/>
            <w:tcW w:w="1008" w:type="dxa"/>
          </w:tcPr>
          <w:p w:rsidR="008A6B78" w:rsidRPr="00687A1C" w:rsidRDefault="008A6B78" w:rsidP="00AE48A5">
            <w:pPr>
              <w:pStyle w:val="Tabletextright"/>
            </w:pPr>
            <w:r w:rsidRPr="00687A1C">
              <w:t>–</w:t>
            </w:r>
          </w:p>
        </w:tc>
        <w:tc>
          <w:tcPr>
            <w:cnfStyle w:val="000010000000" w:firstRow="0" w:lastRow="0" w:firstColumn="0" w:lastColumn="0" w:oddVBand="1" w:evenVBand="0" w:oddHBand="0" w:evenHBand="0" w:firstRowFirstColumn="0" w:firstRowLastColumn="0" w:lastRowFirstColumn="0" w:lastRowLastColumn="0"/>
            <w:tcW w:w="1008" w:type="dxa"/>
          </w:tcPr>
          <w:p w:rsidR="008A6B78" w:rsidRPr="00687A1C" w:rsidRDefault="008A6B78" w:rsidP="00AE48A5">
            <w:pPr>
              <w:pStyle w:val="Tabletextright"/>
            </w:pPr>
            <w:r w:rsidRPr="00687A1C">
              <w:t>–</w:t>
            </w:r>
          </w:p>
        </w:tc>
      </w:tr>
    </w:tbl>
    <w:p w:rsidR="008A6B78" w:rsidRPr="00687A1C" w:rsidRDefault="008A6B78" w:rsidP="008A6B78"/>
    <w:p w:rsidR="008A6B78" w:rsidRPr="00687A1C" w:rsidRDefault="008A6B78" w:rsidP="008A6B78"/>
    <w:p w:rsidR="008A6B78" w:rsidRPr="00687A1C" w:rsidRDefault="008A6B78" w:rsidP="008A6B78">
      <w:pPr>
        <w:sectPr w:rsidR="008A6B78" w:rsidRPr="00687A1C" w:rsidSect="00BB311C">
          <w:type w:val="continuous"/>
          <w:pgSz w:w="11909" w:h="16834" w:code="9"/>
          <w:pgMar w:top="1728" w:right="1152" w:bottom="1260" w:left="1152" w:header="720" w:footer="288" w:gutter="0"/>
          <w:cols w:space="720"/>
          <w:noEndnote/>
        </w:sectPr>
      </w:pPr>
    </w:p>
    <w:p w:rsidR="008A6B78" w:rsidRPr="00687A1C" w:rsidRDefault="008A6B78" w:rsidP="008A6B78">
      <w:pPr>
        <w:pStyle w:val="Heading4"/>
      </w:pPr>
      <w:r w:rsidRPr="00687A1C">
        <w:t>Procurement</w:t>
      </w:r>
    </w:p>
    <w:p w:rsidR="008A6B78" w:rsidRPr="00687A1C" w:rsidRDefault="008A6B78" w:rsidP="008A6B78">
      <w:pPr>
        <w:rPr>
          <w:rFonts w:cstheme="minorHAnsi"/>
        </w:rPr>
      </w:pPr>
      <w:r w:rsidRPr="00687A1C">
        <w:rPr>
          <w:rFonts w:eastAsiaTheme="minorHAnsi"/>
          <w:lang w:eastAsia="en-US"/>
        </w:rPr>
        <w:t>DTF has undertaken procurement activities that are environmentally responsible and support the objectives of DTF and the whole of government.</w:t>
      </w:r>
    </w:p>
    <w:p w:rsidR="008A6B78" w:rsidRPr="00687A1C" w:rsidRDefault="008A6B78" w:rsidP="008A6B78">
      <w:pPr>
        <w:rPr>
          <w:rFonts w:cstheme="minorHAnsi"/>
        </w:rPr>
      </w:pPr>
      <w:r w:rsidRPr="00687A1C">
        <w:rPr>
          <w:rFonts w:cstheme="minorHAnsi"/>
        </w:rPr>
        <w:t>These include:</w:t>
      </w:r>
    </w:p>
    <w:p w:rsidR="008A6B78" w:rsidRPr="00687A1C" w:rsidRDefault="008A6B78" w:rsidP="008A6B78">
      <w:pPr>
        <w:pStyle w:val="Bullet"/>
        <w:rPr>
          <w:rFonts w:eastAsiaTheme="minorHAnsi"/>
          <w:lang w:eastAsia="en-US"/>
        </w:rPr>
      </w:pPr>
      <w:r w:rsidRPr="00687A1C">
        <w:rPr>
          <w:rFonts w:eastAsiaTheme="minorHAnsi"/>
          <w:lang w:eastAsia="en-US"/>
        </w:rPr>
        <w:t>environmental requirements are addressed in tender specifications and tender evaluation criteria, as applicable;</w:t>
      </w:r>
    </w:p>
    <w:p w:rsidR="008A6B78" w:rsidRPr="00687A1C" w:rsidRDefault="008A6B78" w:rsidP="008A6B78">
      <w:pPr>
        <w:pStyle w:val="Bullet"/>
        <w:rPr>
          <w:rFonts w:eastAsiaTheme="minorHAnsi"/>
          <w:lang w:eastAsia="en-US"/>
        </w:rPr>
      </w:pPr>
      <w:r w:rsidRPr="00687A1C">
        <w:rPr>
          <w:rFonts w:eastAsiaTheme="minorHAnsi"/>
          <w:lang w:eastAsia="en-US"/>
        </w:rPr>
        <w:t>supplier compliance to environmental sustainability requirements monitored on an ongoing basis through the contract management process; and</w:t>
      </w:r>
    </w:p>
    <w:p w:rsidR="008A6B78" w:rsidRPr="00687A1C" w:rsidRDefault="008A6B78" w:rsidP="008A6B78">
      <w:pPr>
        <w:pStyle w:val="Bullet"/>
      </w:pPr>
      <w:r w:rsidRPr="00687A1C">
        <w:rPr>
          <w:rFonts w:eastAsiaTheme="minorHAnsi"/>
          <w:lang w:eastAsia="en-US"/>
        </w:rPr>
        <w:t>Victorian Government Purchasing Board guidance material was updated to reinforce the inclusion of environmental factors and commitments in market engagement documents.</w:t>
      </w:r>
    </w:p>
    <w:p w:rsidR="008A6B78" w:rsidRPr="00687A1C" w:rsidRDefault="008A6B78" w:rsidP="008A6B78">
      <w:pPr>
        <w:rPr>
          <w:rFonts w:cstheme="minorHAnsi"/>
        </w:rPr>
      </w:pPr>
    </w:p>
    <w:p w:rsidR="008A6B78" w:rsidRPr="00687A1C" w:rsidRDefault="008A6B78" w:rsidP="008A6B78">
      <w:pPr>
        <w:pStyle w:val="Heading4"/>
      </w:pPr>
      <w:r w:rsidRPr="00687A1C">
        <w:t>Targets for 2018</w:t>
      </w:r>
      <w:r w:rsidRPr="00687A1C">
        <w:noBreakHyphen/>
        <w:t>19</w:t>
      </w:r>
    </w:p>
    <w:p w:rsidR="008A6B78" w:rsidRPr="00687A1C" w:rsidRDefault="008A6B78" w:rsidP="008A6B78">
      <w:pPr>
        <w:rPr>
          <w:rFonts w:cstheme="minorHAnsi"/>
        </w:rPr>
      </w:pPr>
      <w:r w:rsidRPr="00687A1C">
        <w:rPr>
          <w:rFonts w:cstheme="minorHAnsi"/>
        </w:rPr>
        <w:t>The following targets have been set for 2018</w:t>
      </w:r>
      <w:r w:rsidRPr="00687A1C">
        <w:rPr>
          <w:rFonts w:cstheme="minorHAnsi"/>
        </w:rPr>
        <w:noBreakHyphen/>
        <w:t xml:space="preserve">19: </w:t>
      </w:r>
    </w:p>
    <w:p w:rsidR="008A6B78" w:rsidRPr="00687A1C" w:rsidRDefault="008A6B78" w:rsidP="008A6B78">
      <w:pPr>
        <w:pStyle w:val="Bullet"/>
      </w:pPr>
      <w:r w:rsidRPr="00687A1C">
        <w:t xml:space="preserve">Energy – reduce consumption as a result of the roll-out of 600 Microsoft Surface Pro tablets and more energy efficient monitors. </w:t>
      </w:r>
    </w:p>
    <w:p w:rsidR="008A6B78" w:rsidRPr="00687A1C" w:rsidRDefault="008A6B78" w:rsidP="008A6B78">
      <w:pPr>
        <w:pStyle w:val="Bullet"/>
      </w:pPr>
      <w:r w:rsidRPr="00687A1C">
        <w:t>Water – reduce consumption as a result of significant toilet and plumbing upgrades.</w:t>
      </w:r>
    </w:p>
    <w:p w:rsidR="008A6B78" w:rsidRPr="00687A1C" w:rsidRDefault="008A6B78" w:rsidP="008A6B78">
      <w:pPr>
        <w:pStyle w:val="Bullet"/>
      </w:pPr>
      <w:r w:rsidRPr="00687A1C">
        <w:t>Paper – reduce units of copy paper used per FTE (reams/FTE) by 0.5.</w:t>
      </w:r>
    </w:p>
    <w:p w:rsidR="008A6B78" w:rsidRPr="00687A1C" w:rsidRDefault="008A6B78" w:rsidP="008A6B78">
      <w:pPr>
        <w:pStyle w:val="Bullet"/>
      </w:pPr>
      <w:r w:rsidRPr="00687A1C">
        <w:t>Waste – reduce landfill units of waste per FTE (kg/year) to less than 11 per FTE.</w:t>
      </w:r>
    </w:p>
    <w:p w:rsidR="008A6B78" w:rsidRPr="00687A1C" w:rsidRDefault="008A6B78" w:rsidP="008A6B78"/>
    <w:p w:rsidR="008A6B78" w:rsidRPr="00687A1C" w:rsidRDefault="008A6B78" w:rsidP="008A6B78">
      <w:pPr>
        <w:pStyle w:val="Heading4"/>
      </w:pPr>
      <w:r w:rsidRPr="00687A1C">
        <w:br w:type="column"/>
      </w:r>
      <w:r w:rsidRPr="00687A1C">
        <w:t>Glossary</w:t>
      </w:r>
    </w:p>
    <w:tbl>
      <w:tblPr>
        <w:tblW w:w="0" w:type="auto"/>
        <w:tblInd w:w="468" w:type="dxa"/>
        <w:tblLook w:val="0000" w:firstRow="0" w:lastRow="0" w:firstColumn="0" w:lastColumn="0" w:noHBand="0" w:noVBand="0"/>
      </w:tblPr>
      <w:tblGrid>
        <w:gridCol w:w="990"/>
        <w:gridCol w:w="2948"/>
      </w:tblGrid>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FTE</w:t>
            </w:r>
          </w:p>
        </w:tc>
        <w:tc>
          <w:tcPr>
            <w:tcW w:w="2948" w:type="dxa"/>
            <w:shd w:val="clear" w:color="auto" w:fill="auto"/>
          </w:tcPr>
          <w:p w:rsidR="008A6B78" w:rsidRPr="00687A1C" w:rsidRDefault="008A6B78" w:rsidP="00AE48A5">
            <w:pPr>
              <w:pStyle w:val="Tabletext"/>
            </w:pPr>
            <w:r w:rsidRPr="00687A1C">
              <w:t>Full time equivalent employee</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kg</w:t>
            </w:r>
          </w:p>
        </w:tc>
        <w:tc>
          <w:tcPr>
            <w:tcW w:w="2948" w:type="dxa"/>
            <w:shd w:val="clear" w:color="auto" w:fill="auto"/>
          </w:tcPr>
          <w:p w:rsidR="008A6B78" w:rsidRPr="00687A1C" w:rsidRDefault="008A6B78" w:rsidP="00AE48A5">
            <w:pPr>
              <w:pStyle w:val="Tabletext"/>
            </w:pPr>
            <w:r w:rsidRPr="00687A1C">
              <w:t>Kilograms</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kL</w:t>
            </w:r>
          </w:p>
        </w:tc>
        <w:tc>
          <w:tcPr>
            <w:tcW w:w="2948" w:type="dxa"/>
            <w:shd w:val="clear" w:color="auto" w:fill="auto"/>
          </w:tcPr>
          <w:p w:rsidR="008A6B78" w:rsidRPr="00687A1C" w:rsidRDefault="008A6B78" w:rsidP="00AE48A5">
            <w:pPr>
              <w:pStyle w:val="Tabletext"/>
            </w:pPr>
            <w:r w:rsidRPr="00687A1C">
              <w:t>Kilolitres</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km</w:t>
            </w:r>
          </w:p>
        </w:tc>
        <w:tc>
          <w:tcPr>
            <w:tcW w:w="2948" w:type="dxa"/>
            <w:shd w:val="clear" w:color="auto" w:fill="auto"/>
          </w:tcPr>
          <w:p w:rsidR="008A6B78" w:rsidRPr="00687A1C" w:rsidRDefault="008A6B78" w:rsidP="00AE48A5">
            <w:pPr>
              <w:pStyle w:val="Tabletext"/>
            </w:pPr>
            <w:r w:rsidRPr="00687A1C">
              <w:t>Kilometres</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L</w:t>
            </w:r>
          </w:p>
        </w:tc>
        <w:tc>
          <w:tcPr>
            <w:tcW w:w="2948" w:type="dxa"/>
            <w:shd w:val="clear" w:color="auto" w:fill="auto"/>
          </w:tcPr>
          <w:p w:rsidR="008A6B78" w:rsidRPr="00687A1C" w:rsidRDefault="008A6B78" w:rsidP="00AE48A5">
            <w:pPr>
              <w:pStyle w:val="Tabletext"/>
            </w:pPr>
            <w:r w:rsidRPr="00687A1C">
              <w:t>Litres</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LPG</w:t>
            </w:r>
          </w:p>
        </w:tc>
        <w:tc>
          <w:tcPr>
            <w:tcW w:w="2948" w:type="dxa"/>
            <w:shd w:val="clear" w:color="auto" w:fill="auto"/>
          </w:tcPr>
          <w:p w:rsidR="008A6B78" w:rsidRPr="00687A1C" w:rsidRDefault="008A6B78" w:rsidP="00AE48A5">
            <w:pPr>
              <w:pStyle w:val="Tabletext"/>
            </w:pPr>
            <w:r w:rsidRPr="00687A1C">
              <w:t>Liquefied petroleum gas</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m</w:t>
            </w:r>
            <w:r w:rsidRPr="00687A1C">
              <w:rPr>
                <w:vertAlign w:val="superscript"/>
              </w:rPr>
              <w:t>2</w:t>
            </w:r>
          </w:p>
        </w:tc>
        <w:tc>
          <w:tcPr>
            <w:tcW w:w="2948" w:type="dxa"/>
            <w:shd w:val="clear" w:color="auto" w:fill="auto"/>
          </w:tcPr>
          <w:p w:rsidR="008A6B78" w:rsidRPr="00687A1C" w:rsidRDefault="008A6B78" w:rsidP="00AE48A5">
            <w:pPr>
              <w:pStyle w:val="Tabletext"/>
            </w:pPr>
            <w:r w:rsidRPr="00687A1C">
              <w:t>Metres squared</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MJ</w:t>
            </w:r>
          </w:p>
        </w:tc>
        <w:tc>
          <w:tcPr>
            <w:tcW w:w="2948" w:type="dxa"/>
            <w:shd w:val="clear" w:color="auto" w:fill="auto"/>
          </w:tcPr>
          <w:p w:rsidR="008A6B78" w:rsidRPr="00687A1C" w:rsidRDefault="008A6B78" w:rsidP="00AE48A5">
            <w:pPr>
              <w:pStyle w:val="Tabletext"/>
            </w:pPr>
            <w:r w:rsidRPr="00687A1C">
              <w:t>Megajoules</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Ream</w:t>
            </w:r>
          </w:p>
        </w:tc>
        <w:tc>
          <w:tcPr>
            <w:tcW w:w="2948" w:type="dxa"/>
            <w:shd w:val="clear" w:color="auto" w:fill="auto"/>
          </w:tcPr>
          <w:p w:rsidR="008A6B78" w:rsidRPr="00687A1C" w:rsidRDefault="008A6B78" w:rsidP="00AE48A5">
            <w:pPr>
              <w:pStyle w:val="Tabletext"/>
            </w:pPr>
            <w:r w:rsidRPr="00687A1C">
              <w:t>500 sheets of A4 paper</w:t>
            </w:r>
          </w:p>
        </w:tc>
      </w:tr>
      <w:tr w:rsidR="008A6B78" w:rsidRPr="00687A1C" w:rsidTr="00AE48A5">
        <w:trPr>
          <w:trHeight w:val="255"/>
        </w:trPr>
        <w:tc>
          <w:tcPr>
            <w:tcW w:w="990" w:type="dxa"/>
            <w:shd w:val="clear" w:color="auto" w:fill="E0E0E0"/>
            <w:noWrap/>
          </w:tcPr>
          <w:p w:rsidR="008A6B78" w:rsidRPr="00687A1C" w:rsidRDefault="008A6B78" w:rsidP="00AE48A5">
            <w:pPr>
              <w:pStyle w:val="Tabletext"/>
            </w:pPr>
            <w:r w:rsidRPr="00687A1C">
              <w:t>t</w:t>
            </w:r>
            <w:r w:rsidRPr="00687A1C">
              <w:rPr>
                <w:rFonts w:ascii="Calibri" w:hAnsi="Calibri" w:cs="Calibri"/>
              </w:rPr>
              <w:t> </w:t>
            </w:r>
            <w:r w:rsidRPr="00687A1C">
              <w:t>CO</w:t>
            </w:r>
            <w:r w:rsidRPr="00687A1C">
              <w:rPr>
                <w:vertAlign w:val="subscript"/>
              </w:rPr>
              <w:t>2</w:t>
            </w:r>
            <w:r w:rsidRPr="00687A1C">
              <w:t>–e</w:t>
            </w:r>
          </w:p>
        </w:tc>
        <w:tc>
          <w:tcPr>
            <w:tcW w:w="2948" w:type="dxa"/>
            <w:shd w:val="clear" w:color="auto" w:fill="auto"/>
          </w:tcPr>
          <w:p w:rsidR="008A6B78" w:rsidRPr="00687A1C" w:rsidRDefault="008A6B78" w:rsidP="00AE48A5">
            <w:pPr>
              <w:pStyle w:val="Tabletext"/>
            </w:pPr>
            <w:r w:rsidRPr="00687A1C">
              <w:t>Tonnes of CO</w:t>
            </w:r>
            <w:r w:rsidRPr="00687A1C">
              <w:rPr>
                <w:vertAlign w:val="subscript"/>
              </w:rPr>
              <w:t>2</w:t>
            </w:r>
            <w:r w:rsidRPr="00687A1C">
              <w:t xml:space="preserve"> equivalent</w:t>
            </w:r>
          </w:p>
        </w:tc>
      </w:tr>
    </w:tbl>
    <w:p w:rsidR="008A6B78" w:rsidRPr="00687A1C" w:rsidRDefault="008A6B78" w:rsidP="008A6B78">
      <w:pPr>
        <w:rPr>
          <w:rFonts w:cstheme="minorHAnsi"/>
        </w:rPr>
      </w:pPr>
    </w:p>
    <w:p w:rsidR="008A6B78" w:rsidRPr="00687A1C" w:rsidRDefault="008A6B78" w:rsidP="008A6B78">
      <w:pPr>
        <w:pStyle w:val="Heading4"/>
      </w:pPr>
      <w:r w:rsidRPr="00687A1C">
        <w:br w:type="column"/>
      </w:r>
      <w:bookmarkStart w:id="181" w:name="Environmental_end"/>
      <w:r w:rsidRPr="00687A1C">
        <w:lastRenderedPageBreak/>
        <w:t>Trend charts</w:t>
      </w:r>
    </w:p>
    <w:bookmarkEnd w:id="181"/>
    <w:p w:rsidR="008A6B78" w:rsidRPr="00687A1C" w:rsidRDefault="008A6B78" w:rsidP="008A6B78">
      <w:r w:rsidRPr="00687A1C">
        <w:br/>
      </w:r>
      <w:r w:rsidRPr="00687A1C">
        <w:rPr>
          <w:noProof/>
        </w:rPr>
        <w:drawing>
          <wp:inline distT="0" distB="0" distL="0" distR="0" wp14:anchorId="753181A9" wp14:editId="07482B21">
            <wp:extent cx="2790000" cy="2077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8A6B78" w:rsidRPr="00687A1C" w:rsidRDefault="008A6B78" w:rsidP="008A6B78"/>
    <w:p w:rsidR="008A6B78" w:rsidRPr="00687A1C" w:rsidRDefault="008A6B78" w:rsidP="008A6B78">
      <w:r w:rsidRPr="00687A1C">
        <w:br/>
      </w:r>
    </w:p>
    <w:p w:rsidR="008A6B78" w:rsidRPr="00687A1C" w:rsidRDefault="008A6B78" w:rsidP="008A6B78">
      <w:r w:rsidRPr="00687A1C">
        <w:rPr>
          <w:noProof/>
        </w:rPr>
        <w:drawing>
          <wp:inline distT="0" distB="0" distL="0" distR="0" wp14:anchorId="76AB58B1" wp14:editId="267677FC">
            <wp:extent cx="2790000" cy="2077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8A6B78" w:rsidRPr="00687A1C" w:rsidRDefault="008A6B78" w:rsidP="008A6B78">
      <w:r w:rsidRPr="00687A1C">
        <w:br/>
      </w:r>
    </w:p>
    <w:p w:rsidR="008A6B78" w:rsidRPr="00687A1C" w:rsidRDefault="008A6B78" w:rsidP="008A6B78">
      <w:r w:rsidRPr="00687A1C">
        <w:br w:type="column"/>
      </w:r>
      <w:r w:rsidRPr="00687A1C">
        <w:br/>
      </w:r>
    </w:p>
    <w:p w:rsidR="008A6B78" w:rsidRPr="00687A1C" w:rsidRDefault="008A6B78" w:rsidP="008A6B78">
      <w:r w:rsidRPr="00687A1C">
        <w:rPr>
          <w:noProof/>
        </w:rPr>
        <w:drawing>
          <wp:inline distT="0" distB="0" distL="0" distR="0" wp14:anchorId="29E5D7CA" wp14:editId="719420AB">
            <wp:extent cx="2790000" cy="2077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8A6B78" w:rsidRPr="00687A1C" w:rsidRDefault="008A6B78" w:rsidP="008A6B78"/>
    <w:p w:rsidR="008A6B78" w:rsidRPr="00687A1C" w:rsidRDefault="008A6B78" w:rsidP="008A6B78">
      <w:r w:rsidRPr="00687A1C">
        <w:br/>
      </w:r>
    </w:p>
    <w:p w:rsidR="008A6B78" w:rsidRPr="00687A1C" w:rsidRDefault="008A6B78" w:rsidP="008A6B78">
      <w:r w:rsidRPr="00687A1C">
        <w:rPr>
          <w:noProof/>
        </w:rPr>
        <w:drawing>
          <wp:inline distT="0" distB="0" distL="0" distR="0" wp14:anchorId="5AB63A7A" wp14:editId="1BEE4BFD">
            <wp:extent cx="2790000" cy="2077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rsidR="008A6B78" w:rsidRPr="00687A1C" w:rsidRDefault="008A6B78" w:rsidP="008A6B78"/>
    <w:p w:rsidR="008A6B78" w:rsidRPr="00687A1C" w:rsidRDefault="008A6B78" w:rsidP="008A6B78"/>
    <w:p w:rsidR="008A6B78" w:rsidRPr="00687A1C" w:rsidRDefault="008A6B78" w:rsidP="008A6B78">
      <w:pPr>
        <w:pStyle w:val="Heading1App"/>
        <w:sectPr w:rsidR="008A6B78" w:rsidRPr="00687A1C" w:rsidSect="0028555D">
          <w:type w:val="continuous"/>
          <w:pgSz w:w="11909" w:h="16834" w:code="9"/>
          <w:pgMar w:top="1728" w:right="1152" w:bottom="1260" w:left="1152" w:header="720" w:footer="288" w:gutter="0"/>
          <w:cols w:num="2" w:space="720"/>
          <w:noEndnote/>
        </w:sectPr>
      </w:pPr>
    </w:p>
    <w:p w:rsidR="008A6B78" w:rsidRPr="00687A1C" w:rsidRDefault="008A6B78" w:rsidP="008A6B78"/>
    <w:p w:rsidR="00987CEF" w:rsidRPr="00687A1C" w:rsidRDefault="00987CEF" w:rsidP="005F7D48"/>
    <w:p w:rsidR="0011669B" w:rsidRPr="00687A1C" w:rsidRDefault="0011669B" w:rsidP="00C8160C">
      <w:pPr>
        <w:pStyle w:val="Heading1App"/>
        <w:sectPr w:rsidR="0011669B" w:rsidRPr="00687A1C" w:rsidSect="0028555D">
          <w:type w:val="continuous"/>
          <w:pgSz w:w="11909" w:h="16834" w:code="9"/>
          <w:pgMar w:top="1728" w:right="1152" w:bottom="1260" w:left="1152" w:header="720" w:footer="288" w:gutter="0"/>
          <w:cols w:num="2" w:space="720"/>
          <w:noEndnote/>
        </w:sectPr>
      </w:pPr>
    </w:p>
    <w:p w:rsidR="003E5C58" w:rsidRPr="00687A1C" w:rsidRDefault="003E5C58" w:rsidP="00C8160C">
      <w:pPr>
        <w:pStyle w:val="Heading1App"/>
      </w:pPr>
      <w:bookmarkStart w:id="182" w:name="_Toc525026161"/>
      <w:bookmarkStart w:id="183" w:name="_Toc525026259"/>
      <w:r w:rsidRPr="00687A1C">
        <w:lastRenderedPageBreak/>
        <w:t xml:space="preserve">Appendix </w:t>
      </w:r>
      <w:r w:rsidR="007D55CC" w:rsidRPr="00687A1C">
        <w:t>4</w:t>
      </w:r>
      <w:r w:rsidRPr="00687A1C">
        <w:tab/>
        <w:t>Statutory compliance and other information</w:t>
      </w:r>
      <w:bookmarkEnd w:id="182"/>
      <w:bookmarkEnd w:id="183"/>
    </w:p>
    <w:p w:rsidR="00B1250D" w:rsidRPr="00687A1C" w:rsidRDefault="00B1250D" w:rsidP="007E4DBD">
      <w:pPr>
        <w:pStyle w:val="Heading1b"/>
      </w:pPr>
      <w:bookmarkStart w:id="184" w:name="_Toc525026162"/>
      <w:r w:rsidRPr="00687A1C">
        <w:t>Legislation administered by DTF portfolios</w:t>
      </w:r>
      <w:bookmarkEnd w:id="184"/>
    </w:p>
    <w:p w:rsidR="00195730" w:rsidRPr="00687A1C" w:rsidRDefault="00195730" w:rsidP="00195730">
      <w:r w:rsidRPr="00687A1C">
        <w:t>During the 2017-18 financial year, the General Order dated 23 May 2016 (in p</w:t>
      </w:r>
      <w:r w:rsidR="00672830" w:rsidRPr="00687A1C">
        <w:t>lace at the start of 1 July 2017</w:t>
      </w:r>
      <w:r w:rsidRPr="00687A1C">
        <w:t>) was supplemented by the Supplements to the General Order dated</w:t>
      </w:r>
      <w:r w:rsidR="00F93010" w:rsidRPr="00687A1C">
        <w:t xml:space="preserve"> </w:t>
      </w:r>
      <w:r w:rsidRPr="00687A1C">
        <w:t>1 August 2017</w:t>
      </w:r>
      <w:r w:rsidR="00F93010" w:rsidRPr="00687A1C">
        <w:t>,</w:t>
      </w:r>
      <w:r w:rsidRPr="00687A1C">
        <w:t xml:space="preserve"> 28 August 2017</w:t>
      </w:r>
      <w:r w:rsidR="00F93010" w:rsidRPr="00687A1C">
        <w:t xml:space="preserve"> and 15 September 2017</w:t>
      </w:r>
      <w:r w:rsidRPr="00687A1C">
        <w:t>. The Supplements to the General Order dated 1 August 2017 and 28 August 2017 did not amend the Treasurer</w:t>
      </w:r>
      <w:r w:rsidR="00F93010" w:rsidRPr="00687A1C">
        <w:t>’s</w:t>
      </w:r>
      <w:r w:rsidRPr="00687A1C">
        <w:t xml:space="preserve"> or Minister for Finance</w:t>
      </w:r>
      <w:r w:rsidR="009469FE" w:rsidRPr="00687A1C">
        <w:t>’</w:t>
      </w:r>
      <w:r w:rsidRPr="00687A1C">
        <w:t xml:space="preserve">s responsibilities. </w:t>
      </w:r>
    </w:p>
    <w:p w:rsidR="00195730" w:rsidRPr="00687A1C" w:rsidRDefault="00195730" w:rsidP="00195730">
      <w:r w:rsidRPr="00687A1C">
        <w:t xml:space="preserve">The General Order dated 23 May 2016 (and its Supplements) </w:t>
      </w:r>
      <w:r w:rsidR="00F93010" w:rsidRPr="00687A1C">
        <w:t>was</w:t>
      </w:r>
      <w:r w:rsidRPr="00687A1C">
        <w:t xml:space="preserve"> replaced by the General Order dated 16 October 2017. The General Order dated 16 October 2017 was supplemented by the Supplement to the General Order dated </w:t>
      </w:r>
      <w:r w:rsidRPr="00687A1C">
        <w:br/>
        <w:t xml:space="preserve">7 February 2018. Under the Supplement to the General Order dated 7 February 2018, the Treasurer became responsible for the administration of the </w:t>
      </w:r>
      <w:r w:rsidRPr="00687A1C">
        <w:rPr>
          <w:i/>
        </w:rPr>
        <w:t>Rural Assistance Schemes Act 2016</w:t>
      </w:r>
      <w:r w:rsidRPr="00687A1C">
        <w:t>.</w:t>
      </w:r>
    </w:p>
    <w:p w:rsidR="00B1250D" w:rsidRPr="00687A1C" w:rsidRDefault="00195730" w:rsidP="00195730">
      <w:r w:rsidRPr="00687A1C">
        <w:t>For reporting purposes, the legislation administered by DTF</w:t>
      </w:r>
      <w:r w:rsidR="009469FE" w:rsidRPr="00687A1C">
        <w:t>’</w:t>
      </w:r>
      <w:r w:rsidRPr="00687A1C">
        <w:t xml:space="preserve">s </w:t>
      </w:r>
      <w:r w:rsidR="00F93010" w:rsidRPr="00687A1C">
        <w:t xml:space="preserve">Ministers under </w:t>
      </w:r>
      <w:r w:rsidRPr="00687A1C">
        <w:t xml:space="preserve">the General Order dated 16 October 2017 and Supplement to the General Order dated 7 February 2018 have been included in the </w:t>
      </w:r>
      <w:r w:rsidRPr="00687A1C">
        <w:rPr>
          <w:i/>
        </w:rPr>
        <w:t>2017</w:t>
      </w:r>
      <w:r w:rsidRPr="00687A1C">
        <w:rPr>
          <w:i/>
        </w:rPr>
        <w:noBreakHyphen/>
        <w:t>18 Annual Report</w:t>
      </w:r>
      <w:r w:rsidRPr="00687A1C">
        <w:t>.</w:t>
      </w:r>
    </w:p>
    <w:p w:rsidR="00B1250D" w:rsidRPr="00687A1C" w:rsidRDefault="00B1250D" w:rsidP="00C8160C">
      <w:pPr>
        <w:pStyle w:val="Heading1App"/>
        <w:sectPr w:rsidR="00B1250D" w:rsidRPr="00687A1C" w:rsidSect="00BB311C">
          <w:pgSz w:w="11909" w:h="16834" w:code="9"/>
          <w:pgMar w:top="1728" w:right="1152" w:bottom="1260" w:left="1152" w:header="720" w:footer="288" w:gutter="0"/>
          <w:cols w:space="720"/>
          <w:noEndnote/>
        </w:sectPr>
      </w:pPr>
    </w:p>
    <w:p w:rsidR="00B1250D" w:rsidRPr="00687A1C" w:rsidRDefault="00B0520F" w:rsidP="00B1250D">
      <w:pPr>
        <w:pStyle w:val="Heading2"/>
      </w:pPr>
      <w:r w:rsidRPr="00687A1C">
        <w:t>1 July</w:t>
      </w:r>
      <w:r w:rsidR="00B1250D" w:rsidRPr="00687A1C">
        <w:t xml:space="preserve"> 201</w:t>
      </w:r>
      <w:r w:rsidRPr="00687A1C">
        <w:t>7</w:t>
      </w:r>
      <w:r w:rsidR="00B1250D" w:rsidRPr="00687A1C">
        <w:t xml:space="preserve"> –</w:t>
      </w:r>
      <w:r w:rsidR="009469FE" w:rsidRPr="00687A1C">
        <w:t xml:space="preserve"> </w:t>
      </w:r>
      <w:r w:rsidRPr="00687A1C">
        <w:t>30 June</w:t>
      </w:r>
      <w:r w:rsidR="00B1250D" w:rsidRPr="00687A1C">
        <w:t xml:space="preserve"> 201</w:t>
      </w:r>
      <w:r w:rsidRPr="00687A1C">
        <w:t>8</w:t>
      </w:r>
    </w:p>
    <w:p w:rsidR="00B1250D" w:rsidRPr="00687A1C" w:rsidRDefault="00B1250D" w:rsidP="00B1250D">
      <w:pPr>
        <w:pStyle w:val="Heading3"/>
      </w:pPr>
      <w:r w:rsidRPr="00687A1C">
        <w:t>Treasurer</w:t>
      </w:r>
    </w:p>
    <w:p w:rsidR="000C7422" w:rsidRPr="00687A1C" w:rsidRDefault="00F93010" w:rsidP="00096CBD">
      <w:r w:rsidRPr="00687A1C">
        <w:t xml:space="preserve">From </w:t>
      </w:r>
      <w:r w:rsidR="000C7422" w:rsidRPr="00687A1C">
        <w:t>1 July 2017</w:t>
      </w:r>
      <w:r w:rsidR="00E0455F" w:rsidRPr="00687A1C">
        <w:t xml:space="preserve"> </w:t>
      </w:r>
      <w:r w:rsidRPr="00687A1C">
        <w:t xml:space="preserve">to </w:t>
      </w:r>
      <w:r w:rsidR="000C7422" w:rsidRPr="00687A1C">
        <w:t>30 June 2018, the Treasurer was responsible for the admini</w:t>
      </w:r>
      <w:r w:rsidRPr="00687A1C">
        <w:t>stration of the following Acts:</w:t>
      </w:r>
    </w:p>
    <w:p w:rsidR="000C7422" w:rsidRPr="00687A1C" w:rsidRDefault="000C7422" w:rsidP="000C7422">
      <w:pPr>
        <w:rPr>
          <w:i/>
        </w:rPr>
      </w:pPr>
      <w:r w:rsidRPr="00687A1C">
        <w:rPr>
          <w:i/>
        </w:rPr>
        <w:t xml:space="preserve">Alcoa (Portland Aluminium Smelter) Act 1980 </w:t>
      </w:r>
    </w:p>
    <w:p w:rsidR="000C7422" w:rsidRPr="00687A1C" w:rsidRDefault="000C7422" w:rsidP="000C7422">
      <w:r w:rsidRPr="00687A1C">
        <w:t xml:space="preserve">Appropriation Acts (passed annually) </w:t>
      </w:r>
    </w:p>
    <w:p w:rsidR="000C7422" w:rsidRPr="00687A1C" w:rsidRDefault="000C7422" w:rsidP="000C7422">
      <w:pPr>
        <w:rPr>
          <w:i/>
        </w:rPr>
      </w:pPr>
      <w:r w:rsidRPr="00687A1C">
        <w:rPr>
          <w:i/>
        </w:rPr>
        <w:t>Back to Work Act 2015</w:t>
      </w:r>
    </w:p>
    <w:p w:rsidR="000C7422" w:rsidRPr="00687A1C" w:rsidRDefault="000C7422" w:rsidP="000C7422">
      <w:pPr>
        <w:rPr>
          <w:i/>
        </w:rPr>
      </w:pPr>
      <w:r w:rsidRPr="00687A1C">
        <w:rPr>
          <w:i/>
        </w:rPr>
        <w:t xml:space="preserve">Bank Integration Act 1992 </w:t>
      </w:r>
    </w:p>
    <w:p w:rsidR="000C7422" w:rsidRPr="00687A1C" w:rsidRDefault="000C7422" w:rsidP="000C7422">
      <w:pPr>
        <w:rPr>
          <w:i/>
        </w:rPr>
      </w:pPr>
      <w:r w:rsidRPr="00687A1C">
        <w:rPr>
          <w:i/>
        </w:rPr>
        <w:t xml:space="preserve">Borrowing and Investment Powers Act 1987 </w:t>
      </w:r>
    </w:p>
    <w:p w:rsidR="000C7422" w:rsidRPr="00687A1C" w:rsidRDefault="000C7422" w:rsidP="000C7422">
      <w:pPr>
        <w:rPr>
          <w:i/>
        </w:rPr>
      </w:pPr>
      <w:r w:rsidRPr="00687A1C">
        <w:rPr>
          <w:i/>
        </w:rPr>
        <w:t xml:space="preserve">Business Franchise (Petroleum Products) Act 1979 </w:t>
      </w:r>
    </w:p>
    <w:p w:rsidR="000C7422" w:rsidRPr="00687A1C" w:rsidRDefault="000C7422" w:rsidP="000C7422">
      <w:pPr>
        <w:rPr>
          <w:i/>
        </w:rPr>
      </w:pPr>
      <w:r w:rsidRPr="00687A1C">
        <w:rPr>
          <w:i/>
        </w:rPr>
        <w:t xml:space="preserve">Commonwealth Places (Mirror Taxes Administration) Act 1999 </w:t>
      </w:r>
    </w:p>
    <w:p w:rsidR="000C7422" w:rsidRPr="00687A1C" w:rsidRDefault="000C7422" w:rsidP="000C7422">
      <w:pPr>
        <w:rPr>
          <w:i/>
        </w:rPr>
      </w:pPr>
      <w:r w:rsidRPr="00687A1C">
        <w:rPr>
          <w:i/>
        </w:rPr>
        <w:t xml:space="preserve">Competition Policy Reform (Victoria) Act 1995 </w:t>
      </w:r>
    </w:p>
    <w:p w:rsidR="000C7422" w:rsidRPr="00687A1C" w:rsidRDefault="000C7422" w:rsidP="000C7422">
      <w:pPr>
        <w:rPr>
          <w:i/>
        </w:rPr>
      </w:pPr>
      <w:r w:rsidRPr="00687A1C">
        <w:rPr>
          <w:i/>
        </w:rPr>
        <w:t xml:space="preserve">Congestion Levy Act 2005 </w:t>
      </w:r>
    </w:p>
    <w:p w:rsidR="000C7422" w:rsidRPr="00687A1C" w:rsidRDefault="000C7422" w:rsidP="000C7422">
      <w:r w:rsidRPr="00687A1C">
        <w:rPr>
          <w:i/>
        </w:rPr>
        <w:t>Constitution Act 1975</w:t>
      </w:r>
      <w:r w:rsidR="00E0455F" w:rsidRPr="00687A1C">
        <w:t xml:space="preserve"> – </w:t>
      </w:r>
    </w:p>
    <w:p w:rsidR="000C7422" w:rsidRPr="00687A1C" w:rsidRDefault="000C7422" w:rsidP="00096CBD">
      <w:pPr>
        <w:pStyle w:val="Bullet"/>
      </w:pPr>
      <w:r w:rsidRPr="00687A1C">
        <w:t>Section 88 in so far as it relates to the appointment of the Commissioner for Better Regulation and the Red Tape Commissioner</w:t>
      </w:r>
    </w:p>
    <w:p w:rsidR="000C7422" w:rsidRPr="00687A1C" w:rsidRDefault="000C7422" w:rsidP="00096CBD">
      <w:pPr>
        <w:pStyle w:val="NormalIndent"/>
      </w:pPr>
      <w:r w:rsidRPr="00687A1C">
        <w:t>(The Act is otherwise administered by the Attorney General, the Minister for Training and Skills, the Premier and the Special Minister of State)</w:t>
      </w:r>
    </w:p>
    <w:p w:rsidR="000C7422" w:rsidRPr="00687A1C" w:rsidRDefault="00A46FA6" w:rsidP="000C7422">
      <w:pPr>
        <w:rPr>
          <w:i/>
        </w:rPr>
      </w:pPr>
      <w:r w:rsidRPr="00687A1C">
        <w:rPr>
          <w:i/>
        </w:rPr>
        <w:t>Co-</w:t>
      </w:r>
      <w:r w:rsidR="000C7422" w:rsidRPr="00687A1C">
        <w:rPr>
          <w:i/>
        </w:rPr>
        <w:t xml:space="preserve">operative Housing Societies Act 1958 </w:t>
      </w:r>
    </w:p>
    <w:p w:rsidR="000C7422" w:rsidRPr="00687A1C" w:rsidRDefault="000C7422" w:rsidP="000C7422">
      <w:pPr>
        <w:rPr>
          <w:i/>
        </w:rPr>
      </w:pPr>
      <w:r w:rsidRPr="00687A1C">
        <w:rPr>
          <w:i/>
        </w:rPr>
        <w:t>Delivering Victorian Infrastructure (Port of Melbou</w:t>
      </w:r>
      <w:r w:rsidR="00096CBD" w:rsidRPr="00687A1C">
        <w:rPr>
          <w:i/>
        </w:rPr>
        <w:t>rne Lease Transaction) Act 2016</w:t>
      </w:r>
    </w:p>
    <w:p w:rsidR="000C7422" w:rsidRPr="00687A1C" w:rsidRDefault="000C7422" w:rsidP="000C7422">
      <w:pPr>
        <w:rPr>
          <w:i/>
        </w:rPr>
      </w:pPr>
      <w:r w:rsidRPr="00687A1C">
        <w:rPr>
          <w:i/>
        </w:rPr>
        <w:t xml:space="preserve">Duties Act 2000 </w:t>
      </w:r>
    </w:p>
    <w:p w:rsidR="000C7422" w:rsidRPr="00687A1C" w:rsidRDefault="000C7422" w:rsidP="000C7422">
      <w:pPr>
        <w:rPr>
          <w:i/>
        </w:rPr>
      </w:pPr>
      <w:r w:rsidRPr="00687A1C">
        <w:rPr>
          <w:i/>
        </w:rPr>
        <w:t xml:space="preserve">Educational Institutions (Guarantees) Act 1976 </w:t>
      </w:r>
    </w:p>
    <w:p w:rsidR="000C7422" w:rsidRPr="00687A1C" w:rsidRDefault="000C7422" w:rsidP="000C7422">
      <w:pPr>
        <w:rPr>
          <w:i/>
        </w:rPr>
      </w:pPr>
      <w:r w:rsidRPr="00687A1C">
        <w:rPr>
          <w:i/>
        </w:rPr>
        <w:t xml:space="preserve">Electricity Industry (Residual Provisions) Act 1993 </w:t>
      </w:r>
    </w:p>
    <w:p w:rsidR="000C7422" w:rsidRPr="00687A1C" w:rsidRDefault="000C7422" w:rsidP="000C7422">
      <w:pPr>
        <w:rPr>
          <w:i/>
        </w:rPr>
      </w:pPr>
      <w:r w:rsidRPr="00687A1C">
        <w:rPr>
          <w:i/>
        </w:rPr>
        <w:t xml:space="preserve">Financial Agreement Act 1994 </w:t>
      </w:r>
    </w:p>
    <w:p w:rsidR="000C7422" w:rsidRPr="00687A1C" w:rsidRDefault="00A46FA6" w:rsidP="000C7422">
      <w:pPr>
        <w:rPr>
          <w:i/>
        </w:rPr>
      </w:pPr>
      <w:r w:rsidRPr="00687A1C">
        <w:rPr>
          <w:i/>
        </w:rPr>
        <w:br w:type="column"/>
      </w:r>
      <w:r w:rsidR="000C7422" w:rsidRPr="00687A1C">
        <w:rPr>
          <w:i/>
        </w:rPr>
        <w:t>Financial Management Act 1994</w:t>
      </w:r>
      <w:r w:rsidR="00E0455F" w:rsidRPr="00687A1C">
        <w:t xml:space="preserve"> – </w:t>
      </w:r>
      <w:r w:rsidR="000C7422" w:rsidRPr="00687A1C">
        <w:t xml:space="preserve">except: </w:t>
      </w:r>
    </w:p>
    <w:p w:rsidR="000C7422" w:rsidRPr="00687A1C" w:rsidRDefault="000C7422" w:rsidP="00A46FA6">
      <w:pPr>
        <w:pStyle w:val="Bullet"/>
      </w:pPr>
      <w:r w:rsidRPr="00687A1C">
        <w:t xml:space="preserve">Sections 1, 2, 3 and 7 (these provisions are jointly administered with the Minister for Finance) </w:t>
      </w:r>
    </w:p>
    <w:p w:rsidR="000C7422" w:rsidRPr="00687A1C" w:rsidRDefault="000C7422" w:rsidP="00A46FA6">
      <w:pPr>
        <w:pStyle w:val="Bullet"/>
      </w:pPr>
      <w:r w:rsidRPr="00687A1C">
        <w:t>Sections 5, 6, 8, 13-16, 18 23(1) and 27A-27C; Part 7; Part 7A; Part 7B; Part 8; and sections 62</w:t>
      </w:r>
      <w:r w:rsidR="00B820C5" w:rsidRPr="00687A1C">
        <w:t>–</w:t>
      </w:r>
      <w:r w:rsidRPr="00687A1C">
        <w:t>63 (these provisions are administered by the Minister for Finance)</w:t>
      </w:r>
    </w:p>
    <w:p w:rsidR="000C7422" w:rsidRPr="00687A1C" w:rsidRDefault="000C7422" w:rsidP="000C7422">
      <w:pPr>
        <w:rPr>
          <w:i/>
        </w:rPr>
      </w:pPr>
      <w:r w:rsidRPr="00687A1C">
        <w:rPr>
          <w:i/>
        </w:rPr>
        <w:t xml:space="preserve">Financial Sector Reform (Victoria) Act 1999 </w:t>
      </w:r>
    </w:p>
    <w:p w:rsidR="000C7422" w:rsidRPr="00687A1C" w:rsidRDefault="000C7422" w:rsidP="000C7422">
      <w:pPr>
        <w:rPr>
          <w:i/>
        </w:rPr>
      </w:pPr>
      <w:r w:rsidRPr="00687A1C">
        <w:rPr>
          <w:i/>
        </w:rPr>
        <w:t>Fire Services Property Levy Act 2012</w:t>
      </w:r>
    </w:p>
    <w:p w:rsidR="000C7422" w:rsidRPr="00687A1C" w:rsidRDefault="000C7422" w:rsidP="000C7422">
      <w:pPr>
        <w:rPr>
          <w:i/>
        </w:rPr>
      </w:pPr>
      <w:r w:rsidRPr="00687A1C">
        <w:rPr>
          <w:i/>
        </w:rPr>
        <w:t xml:space="preserve">First Home Owner Grant Act 2000 </w:t>
      </w:r>
    </w:p>
    <w:p w:rsidR="000C7422" w:rsidRPr="00687A1C" w:rsidRDefault="000C7422" w:rsidP="000C7422">
      <w:pPr>
        <w:rPr>
          <w:i/>
        </w:rPr>
      </w:pPr>
      <w:r w:rsidRPr="00687A1C">
        <w:rPr>
          <w:i/>
        </w:rPr>
        <w:t>Gambling Regulation Act 2003</w:t>
      </w:r>
      <w:r w:rsidR="00E0455F" w:rsidRPr="00687A1C">
        <w:t xml:space="preserve"> – </w:t>
      </w:r>
    </w:p>
    <w:p w:rsidR="000C7422" w:rsidRPr="00687A1C" w:rsidRDefault="000C7422" w:rsidP="00835BA0">
      <w:pPr>
        <w:pStyle w:val="Bullet"/>
      </w:pPr>
      <w:r w:rsidRPr="00687A1C">
        <w:t>Section 3.4.33</w:t>
      </w:r>
    </w:p>
    <w:p w:rsidR="000C7422" w:rsidRPr="00687A1C" w:rsidRDefault="000C7422" w:rsidP="00835BA0">
      <w:pPr>
        <w:pStyle w:val="Bullet"/>
      </w:pPr>
      <w:r w:rsidRPr="00687A1C">
        <w:t>Section 4.3.12</w:t>
      </w:r>
    </w:p>
    <w:p w:rsidR="000C7422" w:rsidRPr="00687A1C" w:rsidRDefault="000C7422" w:rsidP="00835BA0">
      <w:pPr>
        <w:pStyle w:val="Bullet"/>
      </w:pPr>
      <w:r w:rsidRPr="00687A1C">
        <w:t>Division 1 of Part 3 of Chapter 10</w:t>
      </w:r>
    </w:p>
    <w:p w:rsidR="000C7422" w:rsidRPr="00687A1C" w:rsidRDefault="000C7422" w:rsidP="00835BA0">
      <w:pPr>
        <w:pStyle w:val="NormalIndent"/>
      </w:pPr>
      <w:r w:rsidRPr="00687A1C">
        <w:t>(The Act is otherwise administered by the Minister for Consumer Affairs, Gaming and Liquor Regulation and the Minister for Racing)</w:t>
      </w:r>
    </w:p>
    <w:p w:rsidR="000C7422" w:rsidRPr="00687A1C" w:rsidRDefault="000C7422" w:rsidP="000C7422">
      <w:pPr>
        <w:rPr>
          <w:i/>
        </w:rPr>
      </w:pPr>
      <w:r w:rsidRPr="00687A1C">
        <w:rPr>
          <w:i/>
        </w:rPr>
        <w:t xml:space="preserve">Gas and Fuel Corporation (Heatane Gas) Act 1993 </w:t>
      </w:r>
    </w:p>
    <w:p w:rsidR="000C7422" w:rsidRPr="00687A1C" w:rsidRDefault="000C7422" w:rsidP="000C7422">
      <w:pPr>
        <w:rPr>
          <w:i/>
        </w:rPr>
      </w:pPr>
      <w:r w:rsidRPr="00687A1C">
        <w:rPr>
          <w:i/>
        </w:rPr>
        <w:t xml:space="preserve">Gas Industry (Residual Provisions) Act 1994 </w:t>
      </w:r>
    </w:p>
    <w:p w:rsidR="000C7422" w:rsidRPr="00687A1C" w:rsidRDefault="000C7422" w:rsidP="000C7422">
      <w:pPr>
        <w:rPr>
          <w:i/>
        </w:rPr>
      </w:pPr>
      <w:r w:rsidRPr="00687A1C">
        <w:rPr>
          <w:i/>
        </w:rPr>
        <w:t>Grain Handling and Storage Act 1995</w:t>
      </w:r>
      <w:r w:rsidR="00E0455F" w:rsidRPr="00687A1C">
        <w:t xml:space="preserve"> – </w:t>
      </w:r>
      <w:r w:rsidRPr="00687A1C">
        <w:t xml:space="preserve">except: </w:t>
      </w:r>
    </w:p>
    <w:p w:rsidR="000C7422" w:rsidRPr="00687A1C" w:rsidRDefault="000C7422" w:rsidP="00835BA0">
      <w:pPr>
        <w:pStyle w:val="Bullet"/>
      </w:pPr>
      <w:r w:rsidRPr="00687A1C">
        <w:t xml:space="preserve">Part 3 (this Part is administered by the Minister for Agriculture) </w:t>
      </w:r>
    </w:p>
    <w:p w:rsidR="000C7422" w:rsidRPr="00687A1C" w:rsidRDefault="000C7422" w:rsidP="000C7422">
      <w:pPr>
        <w:rPr>
          <w:i/>
        </w:rPr>
      </w:pPr>
      <w:r w:rsidRPr="00687A1C">
        <w:rPr>
          <w:i/>
        </w:rPr>
        <w:t xml:space="preserve">Land Tax Act 2005 </w:t>
      </w:r>
    </w:p>
    <w:p w:rsidR="000C7422" w:rsidRPr="00687A1C" w:rsidRDefault="000C7422" w:rsidP="000C7422">
      <w:pPr>
        <w:rPr>
          <w:i/>
        </w:rPr>
      </w:pPr>
      <w:r w:rsidRPr="00687A1C">
        <w:rPr>
          <w:i/>
        </w:rPr>
        <w:t xml:space="preserve">Loy Yang B Act 1992 </w:t>
      </w:r>
    </w:p>
    <w:p w:rsidR="000C7422" w:rsidRPr="00687A1C" w:rsidRDefault="000C7422" w:rsidP="000C7422">
      <w:pPr>
        <w:rPr>
          <w:i/>
        </w:rPr>
      </w:pPr>
      <w:r w:rsidRPr="00687A1C">
        <w:rPr>
          <w:i/>
        </w:rPr>
        <w:t xml:space="preserve">Melbourne Cricket Club Act 1974 </w:t>
      </w:r>
    </w:p>
    <w:p w:rsidR="000C7422" w:rsidRPr="00687A1C" w:rsidRDefault="000C7422" w:rsidP="000C7422">
      <w:pPr>
        <w:rPr>
          <w:i/>
        </w:rPr>
      </w:pPr>
      <w:r w:rsidRPr="00687A1C">
        <w:rPr>
          <w:i/>
        </w:rPr>
        <w:t xml:space="preserve">Monetary Units Act 2004 </w:t>
      </w:r>
    </w:p>
    <w:p w:rsidR="000C7422" w:rsidRPr="00687A1C" w:rsidRDefault="000C7422" w:rsidP="000C7422">
      <w:pPr>
        <w:rPr>
          <w:i/>
        </w:rPr>
      </w:pPr>
      <w:r w:rsidRPr="00687A1C">
        <w:rPr>
          <w:i/>
        </w:rPr>
        <w:t>Mutual Recognition (Victoria) Act 1998</w:t>
      </w:r>
    </w:p>
    <w:p w:rsidR="000C7422" w:rsidRPr="00687A1C" w:rsidRDefault="000C7422" w:rsidP="000C7422">
      <w:pPr>
        <w:rPr>
          <w:i/>
        </w:rPr>
      </w:pPr>
      <w:r w:rsidRPr="00687A1C">
        <w:rPr>
          <w:i/>
        </w:rPr>
        <w:t xml:space="preserve">National Taxation Reform (Consequential Provisions) Act 2000 </w:t>
      </w:r>
    </w:p>
    <w:p w:rsidR="000C7422" w:rsidRPr="00687A1C" w:rsidRDefault="000C7422" w:rsidP="000C7422">
      <w:pPr>
        <w:rPr>
          <w:i/>
        </w:rPr>
      </w:pPr>
      <w:r w:rsidRPr="00687A1C">
        <w:rPr>
          <w:i/>
        </w:rPr>
        <w:t xml:space="preserve">New Tax System Price Exploitation Code (Victoria) Act 1999 </w:t>
      </w:r>
    </w:p>
    <w:p w:rsidR="000C7422" w:rsidRPr="00687A1C" w:rsidRDefault="000C7422" w:rsidP="000C7422">
      <w:pPr>
        <w:rPr>
          <w:i/>
        </w:rPr>
      </w:pPr>
      <w:r w:rsidRPr="00687A1C">
        <w:rPr>
          <w:i/>
        </w:rPr>
        <w:t>Occupational Licensing National Law Act 2010</w:t>
      </w:r>
    </w:p>
    <w:p w:rsidR="000C7422" w:rsidRPr="00687A1C" w:rsidRDefault="000C7422" w:rsidP="000C7422">
      <w:r w:rsidRPr="00687A1C">
        <w:lastRenderedPageBreak/>
        <w:t>Occupational Licensing National Law (Victoria)</w:t>
      </w:r>
    </w:p>
    <w:p w:rsidR="000C7422" w:rsidRPr="00687A1C" w:rsidRDefault="000C7422" w:rsidP="000C7422">
      <w:pPr>
        <w:rPr>
          <w:i/>
        </w:rPr>
      </w:pPr>
      <w:r w:rsidRPr="00687A1C">
        <w:rPr>
          <w:i/>
        </w:rPr>
        <w:t xml:space="preserve">Occupational Licensing National Law Repeal </w:t>
      </w:r>
      <w:r w:rsidR="00835BA0" w:rsidRPr="00687A1C">
        <w:rPr>
          <w:i/>
        </w:rPr>
        <w:br/>
      </w:r>
      <w:r w:rsidRPr="00687A1C">
        <w:rPr>
          <w:i/>
        </w:rPr>
        <w:t xml:space="preserve">Act 2016 </w:t>
      </w:r>
    </w:p>
    <w:p w:rsidR="000C7422" w:rsidRPr="00687A1C" w:rsidRDefault="000C7422" w:rsidP="000C7422">
      <w:pPr>
        <w:rPr>
          <w:i/>
        </w:rPr>
      </w:pPr>
      <w:r w:rsidRPr="00687A1C">
        <w:rPr>
          <w:i/>
        </w:rPr>
        <w:t>Payroll Tax Act 2007</w:t>
      </w:r>
    </w:p>
    <w:p w:rsidR="000C7422" w:rsidRPr="00687A1C" w:rsidRDefault="000C7422" w:rsidP="000C7422">
      <w:pPr>
        <w:rPr>
          <w:i/>
        </w:rPr>
      </w:pPr>
      <w:r w:rsidRPr="00687A1C">
        <w:rPr>
          <w:i/>
        </w:rPr>
        <w:t>Pla</w:t>
      </w:r>
      <w:r w:rsidR="00096CBD" w:rsidRPr="00687A1C">
        <w:rPr>
          <w:i/>
        </w:rPr>
        <w:t xml:space="preserve">nning and Environment Act 1987 </w:t>
      </w:r>
      <w:r w:rsidR="00096CBD" w:rsidRPr="00687A1C">
        <w:t>–</w:t>
      </w:r>
    </w:p>
    <w:p w:rsidR="000C7422" w:rsidRPr="00687A1C" w:rsidRDefault="000C7422" w:rsidP="008B3AD6">
      <w:pPr>
        <w:pStyle w:val="Bullet"/>
      </w:pPr>
      <w:r w:rsidRPr="00687A1C">
        <w:t xml:space="preserve">Part 9B (this Part is jointly and severally administered with the Minister for Planning) </w:t>
      </w:r>
    </w:p>
    <w:p w:rsidR="000C7422" w:rsidRPr="00687A1C" w:rsidRDefault="000C7422" w:rsidP="008B3AD6">
      <w:pPr>
        <w:pStyle w:val="NormalIndent"/>
      </w:pPr>
      <w:r w:rsidRPr="00687A1C">
        <w:t>(The Act is otherwise administered by the Minister for Planning)</w:t>
      </w:r>
    </w:p>
    <w:p w:rsidR="000C7422" w:rsidRPr="00687A1C" w:rsidRDefault="000C7422" w:rsidP="000C7422">
      <w:pPr>
        <w:rPr>
          <w:i/>
        </w:rPr>
      </w:pPr>
      <w:r w:rsidRPr="00687A1C">
        <w:rPr>
          <w:i/>
        </w:rPr>
        <w:t>Port Management Act 1995</w:t>
      </w:r>
      <w:r w:rsidR="00E0455F" w:rsidRPr="00687A1C">
        <w:t xml:space="preserve"> – </w:t>
      </w:r>
    </w:p>
    <w:p w:rsidR="00096CBD" w:rsidRPr="00687A1C" w:rsidRDefault="000C7422" w:rsidP="00096CBD">
      <w:pPr>
        <w:pStyle w:val="Bullet"/>
      </w:pPr>
      <w:r w:rsidRPr="00687A1C">
        <w:rPr>
          <w:i/>
        </w:rPr>
        <w:t xml:space="preserve">Sections 160, 171 and 173 </w:t>
      </w:r>
    </w:p>
    <w:p w:rsidR="000C7422" w:rsidRPr="00687A1C" w:rsidRDefault="000C7422" w:rsidP="00096CBD">
      <w:pPr>
        <w:pStyle w:val="NormalIndent"/>
      </w:pPr>
      <w:r w:rsidRPr="00687A1C">
        <w:t xml:space="preserve">(The Act is otherwise administered by the Minister for Finance and the Minister for Ports) </w:t>
      </w:r>
    </w:p>
    <w:p w:rsidR="000C7422" w:rsidRPr="00687A1C" w:rsidRDefault="000C7422" w:rsidP="000C7422">
      <w:pPr>
        <w:rPr>
          <w:i/>
        </w:rPr>
      </w:pPr>
      <w:r w:rsidRPr="00687A1C">
        <w:rPr>
          <w:i/>
        </w:rPr>
        <w:t xml:space="preserve">Public Authorities (Dividends) Act 1983 </w:t>
      </w:r>
    </w:p>
    <w:p w:rsidR="000C7422" w:rsidRPr="00687A1C" w:rsidRDefault="000C7422" w:rsidP="000C7422">
      <w:r w:rsidRPr="00687A1C">
        <w:rPr>
          <w:i/>
        </w:rPr>
        <w:t>Rural Assistance Schemes Act 2016</w:t>
      </w:r>
      <w:r w:rsidRPr="00687A1C">
        <w:t xml:space="preserve"> </w:t>
      </w:r>
      <w:r w:rsidR="007F08C4" w:rsidRPr="00687A1C">
        <w:t xml:space="preserve">(from </w:t>
      </w:r>
      <w:r w:rsidR="007F08C4" w:rsidRPr="00687A1C">
        <w:br/>
        <w:t>7 February 2018)</w:t>
      </w:r>
    </w:p>
    <w:p w:rsidR="000C7422" w:rsidRPr="00687A1C" w:rsidRDefault="000C7422" w:rsidP="000C7422">
      <w:pPr>
        <w:rPr>
          <w:i/>
        </w:rPr>
      </w:pPr>
      <w:r w:rsidRPr="00687A1C">
        <w:rPr>
          <w:i/>
        </w:rPr>
        <w:t xml:space="preserve">Snowy Hydro Corporatisation Act 1997 </w:t>
      </w:r>
    </w:p>
    <w:p w:rsidR="000C7422" w:rsidRPr="00687A1C" w:rsidRDefault="000C7422" w:rsidP="000C7422">
      <w:pPr>
        <w:rPr>
          <w:i/>
        </w:rPr>
      </w:pPr>
      <w:r w:rsidRPr="00687A1C">
        <w:rPr>
          <w:i/>
        </w:rPr>
        <w:t xml:space="preserve">State Bank (Succession of Commonwealth Bank) </w:t>
      </w:r>
      <w:r w:rsidR="008B3AD6" w:rsidRPr="00687A1C">
        <w:rPr>
          <w:i/>
        </w:rPr>
        <w:br/>
      </w:r>
      <w:r w:rsidRPr="00687A1C">
        <w:rPr>
          <w:i/>
        </w:rPr>
        <w:t xml:space="preserve">Act 1990 </w:t>
      </w:r>
    </w:p>
    <w:p w:rsidR="000C7422" w:rsidRPr="00687A1C" w:rsidRDefault="000C7422" w:rsidP="000C7422">
      <w:pPr>
        <w:rPr>
          <w:i/>
        </w:rPr>
      </w:pPr>
      <w:r w:rsidRPr="00687A1C">
        <w:rPr>
          <w:i/>
        </w:rPr>
        <w:t>State Electricity Commission Act 1958</w:t>
      </w:r>
      <w:r w:rsidR="00E0455F" w:rsidRPr="00687A1C">
        <w:t xml:space="preserve"> – </w:t>
      </w:r>
      <w:r w:rsidRPr="00687A1C">
        <w:t xml:space="preserve">except: </w:t>
      </w:r>
    </w:p>
    <w:p w:rsidR="000C7422" w:rsidRPr="00687A1C" w:rsidRDefault="000C7422" w:rsidP="008B3AD6">
      <w:pPr>
        <w:pStyle w:val="Bullet"/>
      </w:pPr>
      <w:r w:rsidRPr="00687A1C">
        <w:t xml:space="preserve">Section 107 (this section is administered by the Minister for Energy, Environment and Climate Change) </w:t>
      </w:r>
    </w:p>
    <w:p w:rsidR="000C7422" w:rsidRPr="00687A1C" w:rsidRDefault="000C7422" w:rsidP="000C7422">
      <w:r w:rsidRPr="00687A1C">
        <w:rPr>
          <w:i/>
        </w:rPr>
        <w:t>State Owned Enterprises Act 1992</w:t>
      </w:r>
      <w:r w:rsidR="00E0455F" w:rsidRPr="00687A1C">
        <w:t xml:space="preserve"> – </w:t>
      </w:r>
      <w:r w:rsidRPr="00687A1C">
        <w:t>except:</w:t>
      </w:r>
    </w:p>
    <w:p w:rsidR="000C7422" w:rsidRPr="00687A1C" w:rsidRDefault="000C7422" w:rsidP="008B3AD6">
      <w:pPr>
        <w:pStyle w:val="Bullet"/>
      </w:pPr>
      <w:r w:rsidRPr="00687A1C">
        <w:t xml:space="preserve">Division 2 of Part 2 in so far as it relates to the </w:t>
      </w:r>
      <w:r w:rsidR="0027531A" w:rsidRPr="00687A1C">
        <w:t>Cenitex</w:t>
      </w:r>
      <w:r w:rsidRPr="00687A1C">
        <w:t xml:space="preserve"> (in so far as they relate to that matter, these provisions are administered by the Minister for Finance)</w:t>
      </w:r>
    </w:p>
    <w:p w:rsidR="000C7422" w:rsidRPr="00687A1C" w:rsidRDefault="000C7422" w:rsidP="008B3AD6">
      <w:pPr>
        <w:pStyle w:val="Bullet"/>
      </w:pPr>
      <w:r w:rsidRPr="00687A1C">
        <w:t xml:space="preserve">Division 2 of Part 2 in so far as it relates to the Victorian Plantations Corporation (in so far as they relate to that matter, these provisions are administered by the Minister for Energy, Environment and Climate Change) </w:t>
      </w:r>
    </w:p>
    <w:p w:rsidR="000C7422" w:rsidRPr="00687A1C" w:rsidRDefault="000C7422" w:rsidP="008B3AD6">
      <w:pPr>
        <w:pStyle w:val="Bullet"/>
      </w:pPr>
      <w:r w:rsidRPr="00687A1C">
        <w:t xml:space="preserve">Division 2 of Part 2 in so far as it relates to the Water Training Centre (in so far as they relate to that matter, these provisions are administered by the Minister for Water) </w:t>
      </w:r>
    </w:p>
    <w:p w:rsidR="000C7422" w:rsidRPr="00687A1C" w:rsidRDefault="000C7422" w:rsidP="008B3AD6">
      <w:pPr>
        <w:pStyle w:val="Bullet"/>
      </w:pPr>
      <w:r w:rsidRPr="00687A1C">
        <w:t>Division 2 of Part 2, and Part 3, in so far as they relate to the Victorian Interpreting and Translating Service (in so far as they relate to that matter, these provisions are administered by the Minister for Multicultural Affairs)</w:t>
      </w:r>
    </w:p>
    <w:p w:rsidR="000C7422" w:rsidRPr="00687A1C" w:rsidRDefault="00500B38" w:rsidP="000C7422">
      <w:pPr>
        <w:rPr>
          <w:i/>
        </w:rPr>
      </w:pPr>
      <w:r w:rsidRPr="00687A1C">
        <w:rPr>
          <w:i/>
        </w:rPr>
        <w:br w:type="column"/>
      </w:r>
      <w:r w:rsidR="000C7422" w:rsidRPr="00687A1C">
        <w:rPr>
          <w:i/>
        </w:rPr>
        <w:t>State Trustees (State Owned Company) Act 1994</w:t>
      </w:r>
      <w:r w:rsidR="00E0455F" w:rsidRPr="00687A1C">
        <w:rPr>
          <w:i/>
        </w:rPr>
        <w:t xml:space="preserve"> – </w:t>
      </w:r>
      <w:r w:rsidR="000C7422" w:rsidRPr="00687A1C">
        <w:t>except:</w:t>
      </w:r>
      <w:r w:rsidR="000C7422" w:rsidRPr="00687A1C">
        <w:rPr>
          <w:i/>
        </w:rPr>
        <w:t xml:space="preserve"> </w:t>
      </w:r>
    </w:p>
    <w:p w:rsidR="000C7422" w:rsidRPr="00687A1C" w:rsidRDefault="000C7422" w:rsidP="008B3AD6">
      <w:pPr>
        <w:pStyle w:val="Bullet"/>
      </w:pPr>
      <w:r w:rsidRPr="00687A1C">
        <w:t xml:space="preserve">Part 4 (this Part is jointly and severally administered by the Minister for Families and Children and the Minister for Housing, Disability and Ageing) </w:t>
      </w:r>
    </w:p>
    <w:p w:rsidR="000C7422" w:rsidRPr="00687A1C" w:rsidRDefault="000C7422" w:rsidP="008B3AD6">
      <w:r w:rsidRPr="00687A1C">
        <w:t xml:space="preserve">Supply Acts (passed annually) </w:t>
      </w:r>
    </w:p>
    <w:p w:rsidR="000C7422" w:rsidRPr="00687A1C" w:rsidRDefault="000C7422" w:rsidP="000C7422">
      <w:pPr>
        <w:rPr>
          <w:i/>
        </w:rPr>
      </w:pPr>
      <w:r w:rsidRPr="00687A1C">
        <w:rPr>
          <w:i/>
        </w:rPr>
        <w:t xml:space="preserve">Taxation Administration Act 1997 </w:t>
      </w:r>
    </w:p>
    <w:p w:rsidR="000C7422" w:rsidRPr="00687A1C" w:rsidRDefault="000C7422" w:rsidP="000C7422">
      <w:pPr>
        <w:rPr>
          <w:i/>
        </w:rPr>
      </w:pPr>
      <w:r w:rsidRPr="00687A1C">
        <w:rPr>
          <w:i/>
        </w:rPr>
        <w:t xml:space="preserve">Taxation (Interest on Overpayments) Act 1986 </w:t>
      </w:r>
    </w:p>
    <w:p w:rsidR="000C7422" w:rsidRPr="00687A1C" w:rsidRDefault="000C7422" w:rsidP="000C7422">
      <w:pPr>
        <w:rPr>
          <w:i/>
        </w:rPr>
      </w:pPr>
      <w:r w:rsidRPr="00687A1C">
        <w:rPr>
          <w:i/>
        </w:rPr>
        <w:t xml:space="preserve">Trans Tasman Mutual Recognition (Victoria) Act 1998 </w:t>
      </w:r>
    </w:p>
    <w:p w:rsidR="000C7422" w:rsidRPr="00687A1C" w:rsidRDefault="000C7422" w:rsidP="000C7422">
      <w:pPr>
        <w:rPr>
          <w:i/>
        </w:rPr>
      </w:pPr>
      <w:r w:rsidRPr="00687A1C">
        <w:rPr>
          <w:i/>
        </w:rPr>
        <w:t xml:space="preserve">Treasury Corporation of Victoria Act 1992 </w:t>
      </w:r>
    </w:p>
    <w:p w:rsidR="000C7422" w:rsidRPr="00687A1C" w:rsidRDefault="000C7422" w:rsidP="000C7422">
      <w:pPr>
        <w:rPr>
          <w:i/>
        </w:rPr>
      </w:pPr>
      <w:r w:rsidRPr="00687A1C">
        <w:rPr>
          <w:i/>
        </w:rPr>
        <w:t>Trustee Companies Act 1984</w:t>
      </w:r>
      <w:r w:rsidR="00E0455F" w:rsidRPr="00687A1C">
        <w:t xml:space="preserve"> – </w:t>
      </w:r>
    </w:p>
    <w:p w:rsidR="000C7422" w:rsidRPr="00687A1C" w:rsidRDefault="000C7422" w:rsidP="008B3AD6">
      <w:pPr>
        <w:pStyle w:val="Bullet"/>
      </w:pPr>
      <w:r w:rsidRPr="00687A1C">
        <w:t xml:space="preserve">The Act is jointly administered with the Attorney General </w:t>
      </w:r>
    </w:p>
    <w:p w:rsidR="000C7422" w:rsidRPr="00687A1C" w:rsidRDefault="000C7422" w:rsidP="000C7422">
      <w:pPr>
        <w:rPr>
          <w:i/>
        </w:rPr>
      </w:pPr>
      <w:r w:rsidRPr="00687A1C">
        <w:rPr>
          <w:i/>
        </w:rPr>
        <w:t xml:space="preserve">Victorian Funds Management Corporation Act 1994 </w:t>
      </w:r>
    </w:p>
    <w:p w:rsidR="000C7422" w:rsidRPr="00687A1C" w:rsidRDefault="000C7422" w:rsidP="000C7422">
      <w:pPr>
        <w:rPr>
          <w:i/>
        </w:rPr>
      </w:pPr>
      <w:r w:rsidRPr="00687A1C">
        <w:rPr>
          <w:i/>
        </w:rPr>
        <w:t>Workers Compensation Act 1958</w:t>
      </w:r>
      <w:r w:rsidR="00E0455F" w:rsidRPr="00687A1C">
        <w:t xml:space="preserve"> – </w:t>
      </w:r>
    </w:p>
    <w:p w:rsidR="000C7422" w:rsidRPr="00687A1C" w:rsidRDefault="000C7422" w:rsidP="008B3AD6">
      <w:pPr>
        <w:pStyle w:val="Bullet"/>
      </w:pPr>
      <w:r w:rsidRPr="00687A1C">
        <w:t xml:space="preserve">Division 8 of Part 1 </w:t>
      </w:r>
    </w:p>
    <w:p w:rsidR="000C7422" w:rsidRPr="00687A1C" w:rsidRDefault="000C7422" w:rsidP="008B3AD6">
      <w:pPr>
        <w:pStyle w:val="NormalIndent"/>
      </w:pPr>
      <w:r w:rsidRPr="00687A1C">
        <w:t xml:space="preserve">(The Act is otherwise administered by the Minister for Finance) </w:t>
      </w:r>
    </w:p>
    <w:p w:rsidR="000C7422" w:rsidRPr="00687A1C" w:rsidRDefault="000C7422" w:rsidP="000C7422">
      <w:pPr>
        <w:rPr>
          <w:i/>
        </w:rPr>
      </w:pPr>
      <w:r w:rsidRPr="00687A1C">
        <w:rPr>
          <w:i/>
        </w:rPr>
        <w:t>Young Farmers</w:t>
      </w:r>
      <w:r w:rsidR="009469FE" w:rsidRPr="00687A1C">
        <w:rPr>
          <w:i/>
        </w:rPr>
        <w:t>’</w:t>
      </w:r>
      <w:r w:rsidRPr="00687A1C">
        <w:rPr>
          <w:i/>
        </w:rPr>
        <w:t xml:space="preserve"> Finance Council Act 1979</w:t>
      </w:r>
    </w:p>
    <w:p w:rsidR="00B1250D" w:rsidRPr="00687A1C" w:rsidRDefault="00B1250D" w:rsidP="00B1250D">
      <w:pPr>
        <w:spacing w:before="0" w:after="0"/>
      </w:pPr>
    </w:p>
    <w:p w:rsidR="00B1250D" w:rsidRPr="00687A1C" w:rsidRDefault="00B1250D" w:rsidP="00B1250D">
      <w:pPr>
        <w:pStyle w:val="Heading4"/>
        <w:rPr>
          <w:rFonts w:eastAsiaTheme="minorHAnsi"/>
        </w:rPr>
      </w:pPr>
      <w:r w:rsidRPr="00687A1C">
        <w:rPr>
          <w:rFonts w:eastAsiaTheme="minorHAnsi"/>
        </w:rPr>
        <w:t>Minister for Finance</w:t>
      </w:r>
    </w:p>
    <w:p w:rsidR="000C7422" w:rsidRPr="00687A1C" w:rsidRDefault="007F08C4" w:rsidP="000C7422">
      <w:r w:rsidRPr="00687A1C">
        <w:t xml:space="preserve">From </w:t>
      </w:r>
      <w:r w:rsidR="000C7422" w:rsidRPr="00687A1C">
        <w:t>1 July 2017</w:t>
      </w:r>
      <w:r w:rsidR="00E0455F" w:rsidRPr="00687A1C">
        <w:t xml:space="preserve"> </w:t>
      </w:r>
      <w:r w:rsidRPr="00687A1C">
        <w:t xml:space="preserve">to </w:t>
      </w:r>
      <w:r w:rsidR="000C7422" w:rsidRPr="00687A1C">
        <w:t>30 June 2018, the Minister for Finance was responsible for the admin</w:t>
      </w:r>
      <w:r w:rsidRPr="00687A1C">
        <w:t>istration of the following Acts:</w:t>
      </w:r>
    </w:p>
    <w:p w:rsidR="000C7422" w:rsidRPr="00687A1C" w:rsidRDefault="000C7422" w:rsidP="000C7422">
      <w:pPr>
        <w:rPr>
          <w:i/>
        </w:rPr>
      </w:pPr>
      <w:r w:rsidRPr="00687A1C">
        <w:rPr>
          <w:i/>
        </w:rPr>
        <w:t xml:space="preserve">Accident Compensation Act 1985 </w:t>
      </w:r>
    </w:p>
    <w:p w:rsidR="000C7422" w:rsidRPr="00687A1C" w:rsidRDefault="000C7422" w:rsidP="000C7422">
      <w:pPr>
        <w:rPr>
          <w:i/>
        </w:rPr>
      </w:pPr>
      <w:r w:rsidRPr="00687A1C">
        <w:rPr>
          <w:i/>
        </w:rPr>
        <w:t xml:space="preserve">Accident Compensation (Occupational Health and Safety) Act 1996 </w:t>
      </w:r>
    </w:p>
    <w:p w:rsidR="000C7422" w:rsidRPr="00687A1C" w:rsidRDefault="000C7422" w:rsidP="000C7422">
      <w:pPr>
        <w:rPr>
          <w:i/>
        </w:rPr>
      </w:pPr>
      <w:r w:rsidRPr="00687A1C">
        <w:rPr>
          <w:i/>
        </w:rPr>
        <w:t>Asbestos Diseases Compensation Act 2008</w:t>
      </w:r>
    </w:p>
    <w:p w:rsidR="000C7422" w:rsidRPr="00687A1C" w:rsidRDefault="000C7422" w:rsidP="000C7422">
      <w:pPr>
        <w:rPr>
          <w:i/>
        </w:rPr>
      </w:pPr>
      <w:r w:rsidRPr="00687A1C">
        <w:rPr>
          <w:i/>
        </w:rPr>
        <w:t>Audit Act 1994</w:t>
      </w:r>
      <w:r w:rsidR="00E0455F" w:rsidRPr="00687A1C">
        <w:t xml:space="preserve"> – </w:t>
      </w:r>
    </w:p>
    <w:p w:rsidR="000C7422" w:rsidRPr="00687A1C" w:rsidRDefault="00B820C5" w:rsidP="00036359">
      <w:pPr>
        <w:pStyle w:val="Bullet"/>
      </w:pPr>
      <w:r w:rsidRPr="00687A1C">
        <w:t>Sections 8–</w:t>
      </w:r>
      <w:r w:rsidR="000C7422" w:rsidRPr="00687A1C">
        <w:t>10, 16A, 16B, 16D, 16E and 16G</w:t>
      </w:r>
    </w:p>
    <w:p w:rsidR="000C7422" w:rsidRPr="00687A1C" w:rsidRDefault="000C7422" w:rsidP="00036359">
      <w:pPr>
        <w:pStyle w:val="Bullet"/>
      </w:pPr>
      <w:r w:rsidRPr="00687A1C">
        <w:t>Sections 13, 16C and 21 (these sections are jointly and severally administered with the Special Minister of State)</w:t>
      </w:r>
    </w:p>
    <w:p w:rsidR="000C7422" w:rsidRPr="00687A1C" w:rsidRDefault="000C7422" w:rsidP="00036359">
      <w:pPr>
        <w:pStyle w:val="NormalIndent"/>
      </w:pPr>
      <w:r w:rsidRPr="00687A1C">
        <w:t>(The Act is otherwise administered by the Special Minister of State)</w:t>
      </w:r>
    </w:p>
    <w:p w:rsidR="000C7422" w:rsidRPr="00687A1C" w:rsidRDefault="000C7422" w:rsidP="000C7422">
      <w:r w:rsidRPr="00687A1C">
        <w:rPr>
          <w:i/>
        </w:rPr>
        <w:t>Casino Control Act 1991</w:t>
      </w:r>
      <w:r w:rsidR="00E0455F" w:rsidRPr="00687A1C">
        <w:rPr>
          <w:i/>
        </w:rPr>
        <w:t xml:space="preserve"> </w:t>
      </w:r>
      <w:r w:rsidR="00E0455F" w:rsidRPr="00687A1C">
        <w:t xml:space="preserve">– </w:t>
      </w:r>
    </w:p>
    <w:p w:rsidR="000C7422" w:rsidRPr="00687A1C" w:rsidRDefault="000C7422" w:rsidP="00036359">
      <w:pPr>
        <w:pStyle w:val="Bullet"/>
      </w:pPr>
      <w:r w:rsidRPr="00687A1C">
        <w:t xml:space="preserve">Section 128K(2) </w:t>
      </w:r>
    </w:p>
    <w:p w:rsidR="000C7422" w:rsidRPr="00687A1C" w:rsidRDefault="000C7422" w:rsidP="00036359">
      <w:pPr>
        <w:pStyle w:val="NormalIndent"/>
      </w:pPr>
      <w:r w:rsidRPr="00687A1C">
        <w:t>(The Act is otherwise administered by the Minister for Consumer Affairs, Gaming and Liquor Regulation and the Minister for Planning)</w:t>
      </w:r>
    </w:p>
    <w:p w:rsidR="00870D46" w:rsidRPr="00687A1C" w:rsidRDefault="00870D46">
      <w:pPr>
        <w:spacing w:before="0" w:after="0"/>
        <w:rPr>
          <w:i/>
        </w:rPr>
      </w:pPr>
      <w:r w:rsidRPr="00687A1C">
        <w:rPr>
          <w:i/>
        </w:rPr>
        <w:br w:type="page"/>
      </w:r>
    </w:p>
    <w:p w:rsidR="00036359" w:rsidRPr="00687A1C" w:rsidRDefault="000C7422" w:rsidP="00870D46">
      <w:pPr>
        <w:rPr>
          <w:i/>
        </w:rPr>
      </w:pPr>
      <w:r w:rsidRPr="00687A1C">
        <w:rPr>
          <w:i/>
        </w:rPr>
        <w:lastRenderedPageBreak/>
        <w:t>Coal Mines (Pensions) Act 1958</w:t>
      </w:r>
    </w:p>
    <w:p w:rsidR="000C7422" w:rsidRPr="00687A1C" w:rsidRDefault="000C7422" w:rsidP="000C7422">
      <w:r w:rsidRPr="00687A1C">
        <w:rPr>
          <w:i/>
        </w:rPr>
        <w:t>Crown Land (Reserves) Act 1978</w:t>
      </w:r>
      <w:r w:rsidR="0042156D" w:rsidRPr="00687A1C">
        <w:t xml:space="preserve"> – </w:t>
      </w:r>
    </w:p>
    <w:p w:rsidR="000C7422" w:rsidRPr="00687A1C" w:rsidRDefault="000C7422" w:rsidP="00036359">
      <w:pPr>
        <w:pStyle w:val="Bullet"/>
      </w:pPr>
      <w:r w:rsidRPr="00687A1C">
        <w:t>In so far as it relates to the land shown as:</w:t>
      </w:r>
    </w:p>
    <w:p w:rsidR="000C7422" w:rsidRPr="00687A1C" w:rsidRDefault="000C7422" w:rsidP="00036359">
      <w:pPr>
        <w:pStyle w:val="Dash"/>
      </w:pPr>
      <w:r w:rsidRPr="00687A1C">
        <w:t>Crown Allotments 2A, 3 and 4 of Section 5, City of Melbourne, Parish of Melbourne North (Parish Plan No. 5514C) and known as the Treasury Reserve</w:t>
      </w:r>
    </w:p>
    <w:p w:rsidR="000C7422" w:rsidRPr="00687A1C" w:rsidRDefault="000C7422" w:rsidP="00036359">
      <w:pPr>
        <w:pStyle w:val="Dash"/>
      </w:pPr>
      <w:r w:rsidRPr="00687A1C">
        <w:t xml:space="preserve">Crown Allotments 4A and 4B on Certified Plan 111284 lodged with the Central Plan Office and to be known as the Old Treasury Building Reserve </w:t>
      </w:r>
    </w:p>
    <w:p w:rsidR="000C7422" w:rsidRPr="00687A1C" w:rsidRDefault="000C7422" w:rsidP="00036359">
      <w:pPr>
        <w:pStyle w:val="NormalIndent"/>
      </w:pPr>
      <w:r w:rsidRPr="00687A1C">
        <w:t>(The Act is otherwise administered by the Minister for Corrections, the Minister for Energy, Environment and Climate Change, the Minister for Health, the Minister for Ports, the Minister for Sport and the Premier)</w:t>
      </w:r>
    </w:p>
    <w:p w:rsidR="000C7422" w:rsidRPr="00687A1C" w:rsidRDefault="000C7422" w:rsidP="000C7422">
      <w:pPr>
        <w:rPr>
          <w:i/>
        </w:rPr>
      </w:pPr>
      <w:r w:rsidRPr="00687A1C">
        <w:rPr>
          <w:i/>
        </w:rPr>
        <w:t xml:space="preserve">Dangerous Goods Act 1985 </w:t>
      </w:r>
    </w:p>
    <w:p w:rsidR="000C7422" w:rsidRPr="00687A1C" w:rsidRDefault="000C7422" w:rsidP="000C7422">
      <w:pPr>
        <w:rPr>
          <w:i/>
        </w:rPr>
      </w:pPr>
      <w:r w:rsidRPr="00687A1C">
        <w:rPr>
          <w:i/>
        </w:rPr>
        <w:t xml:space="preserve">Equipment (Public Safety) Act 1994 </w:t>
      </w:r>
    </w:p>
    <w:p w:rsidR="000C7422" w:rsidRPr="00687A1C" w:rsidRDefault="000C7422" w:rsidP="000C7422">
      <w:pPr>
        <w:rPr>
          <w:i/>
        </w:rPr>
      </w:pPr>
      <w:r w:rsidRPr="00687A1C">
        <w:rPr>
          <w:i/>
        </w:rPr>
        <w:t>Emergency Services Superannuation Act 1986</w:t>
      </w:r>
    </w:p>
    <w:p w:rsidR="000C7422" w:rsidRPr="00687A1C" w:rsidRDefault="000C7422" w:rsidP="000C7422">
      <w:pPr>
        <w:rPr>
          <w:i/>
        </w:rPr>
      </w:pPr>
      <w:r w:rsidRPr="00687A1C">
        <w:rPr>
          <w:i/>
        </w:rPr>
        <w:t xml:space="preserve">Essential Services Commission Act 2001 </w:t>
      </w:r>
    </w:p>
    <w:p w:rsidR="000C7422" w:rsidRPr="00687A1C" w:rsidRDefault="000C7422" w:rsidP="000C7422">
      <w:r w:rsidRPr="00687A1C">
        <w:rPr>
          <w:i/>
        </w:rPr>
        <w:t>Financial Management Act 1994</w:t>
      </w:r>
      <w:r w:rsidR="0042156D" w:rsidRPr="00687A1C">
        <w:t xml:space="preserve"> – </w:t>
      </w:r>
    </w:p>
    <w:p w:rsidR="000C7422" w:rsidRPr="00687A1C" w:rsidRDefault="000C7422" w:rsidP="003E7408">
      <w:pPr>
        <w:pStyle w:val="Bullet"/>
      </w:pPr>
      <w:r w:rsidRPr="00687A1C">
        <w:t>Sections 5, 6, 8, 13-16, 18-23(1) and 27A-27C; Part 7; Part 7A; Part 7B; Part 8; and sections 62-63</w:t>
      </w:r>
    </w:p>
    <w:p w:rsidR="000C7422" w:rsidRPr="00687A1C" w:rsidRDefault="000C7422" w:rsidP="003E7408">
      <w:pPr>
        <w:pStyle w:val="Bullet"/>
      </w:pPr>
      <w:r w:rsidRPr="00687A1C">
        <w:t xml:space="preserve">Sections 1-3 and 7 (these provisions are jointly administered with the Treasurer) </w:t>
      </w:r>
    </w:p>
    <w:p w:rsidR="000C7422" w:rsidRPr="00687A1C" w:rsidRDefault="000C7422" w:rsidP="003E7408">
      <w:pPr>
        <w:pStyle w:val="NormalIndent"/>
      </w:pPr>
      <w:r w:rsidRPr="00687A1C">
        <w:t xml:space="preserve">(The Act is otherwise administered by the Treasurer) </w:t>
      </w:r>
    </w:p>
    <w:p w:rsidR="000C7422" w:rsidRPr="00687A1C" w:rsidRDefault="000C7422" w:rsidP="000C7422">
      <w:pPr>
        <w:rPr>
          <w:i/>
        </w:rPr>
      </w:pPr>
      <w:r w:rsidRPr="00687A1C">
        <w:rPr>
          <w:i/>
        </w:rPr>
        <w:t>Government Superannuation Act 1999</w:t>
      </w:r>
    </w:p>
    <w:p w:rsidR="000C7422" w:rsidRPr="00687A1C" w:rsidRDefault="000C7422" w:rsidP="000C7422">
      <w:pPr>
        <w:rPr>
          <w:i/>
        </w:rPr>
      </w:pPr>
      <w:r w:rsidRPr="00687A1C">
        <w:rPr>
          <w:i/>
        </w:rPr>
        <w:t>House Contracts Guarantee Act 1987</w:t>
      </w:r>
    </w:p>
    <w:p w:rsidR="000C7422" w:rsidRPr="00687A1C" w:rsidRDefault="000C7422" w:rsidP="000C7422">
      <w:r w:rsidRPr="00687A1C">
        <w:rPr>
          <w:i/>
        </w:rPr>
        <w:t>Housing Act 1983</w:t>
      </w:r>
      <w:r w:rsidRPr="00687A1C">
        <w:t xml:space="preserve"> </w:t>
      </w:r>
      <w:r w:rsidR="00096CBD" w:rsidRPr="00687A1C">
        <w:t>–</w:t>
      </w:r>
    </w:p>
    <w:p w:rsidR="000C7422" w:rsidRPr="00687A1C" w:rsidRDefault="000C7422" w:rsidP="000C7422">
      <w:pPr>
        <w:pStyle w:val="Bullet"/>
      </w:pPr>
      <w:r w:rsidRPr="00687A1C">
        <w:t>Divisions 1–5 and Divisions 7–9 of Part VIII</w:t>
      </w:r>
    </w:p>
    <w:p w:rsidR="000C7422" w:rsidRPr="00687A1C" w:rsidRDefault="000C7422" w:rsidP="000C7422">
      <w:pPr>
        <w:pStyle w:val="Bullet"/>
      </w:pPr>
      <w:r w:rsidRPr="00687A1C">
        <w:t>Schedules 7 and 8</w:t>
      </w:r>
    </w:p>
    <w:p w:rsidR="000C7422" w:rsidRPr="00687A1C" w:rsidRDefault="000C7422" w:rsidP="000C7422">
      <w:pPr>
        <w:pStyle w:val="Bullet"/>
      </w:pPr>
      <w:r w:rsidRPr="00687A1C">
        <w:t>Sections 143(1), 143(2)(d), 143(2)(e), 143(2)(f), 143(2)(i) and 143(3) (these provisions are jointly and severally administered with the Minister for Housing, Disability and Ageing)</w:t>
      </w:r>
    </w:p>
    <w:p w:rsidR="000C7422" w:rsidRPr="00687A1C" w:rsidRDefault="000C7422" w:rsidP="000C7422">
      <w:pPr>
        <w:pStyle w:val="NormalIndent"/>
      </w:pPr>
      <w:r w:rsidRPr="00687A1C">
        <w:t>(The Act is otherwise administered by the Minister for Housing, Disability and Ageing)</w:t>
      </w:r>
    </w:p>
    <w:p w:rsidR="000C7422" w:rsidRPr="00687A1C" w:rsidRDefault="000C7422" w:rsidP="000C7422">
      <w:r w:rsidRPr="00687A1C">
        <w:rPr>
          <w:i/>
        </w:rPr>
        <w:t>Land Act 1958</w:t>
      </w:r>
      <w:r w:rsidRPr="00687A1C">
        <w:t xml:space="preserve"> – </w:t>
      </w:r>
    </w:p>
    <w:p w:rsidR="000C7422" w:rsidRPr="00687A1C" w:rsidRDefault="000C7422" w:rsidP="000C7422">
      <w:pPr>
        <w:pStyle w:val="Bullet"/>
      </w:pPr>
      <w:r w:rsidRPr="00687A1C">
        <w:t>In so far as it relates to the exercise of powers relating to leases and licences under Subdivisions 1 and 2 of Division 9 of Part I in respect of:</w:t>
      </w:r>
    </w:p>
    <w:p w:rsidR="000C7422" w:rsidRPr="00687A1C" w:rsidRDefault="000C7422" w:rsidP="000C7422">
      <w:pPr>
        <w:pStyle w:val="Dash"/>
      </w:pPr>
      <w:r w:rsidRPr="00687A1C">
        <w:t xml:space="preserve">land in the Melbourne Casino area within the meaning of Part 9A of the </w:t>
      </w:r>
      <w:r w:rsidRPr="00687A1C">
        <w:rPr>
          <w:i/>
        </w:rPr>
        <w:t>Casino Control Act 1991</w:t>
      </w:r>
      <w:r w:rsidRPr="00687A1C">
        <w:t xml:space="preserve"> </w:t>
      </w:r>
    </w:p>
    <w:p w:rsidR="000C7422" w:rsidRPr="00687A1C" w:rsidRDefault="00500B38" w:rsidP="000C7422">
      <w:pPr>
        <w:pStyle w:val="Dash"/>
      </w:pPr>
      <w:r w:rsidRPr="00687A1C">
        <w:br w:type="column"/>
      </w:r>
      <w:r w:rsidR="000C7422" w:rsidRPr="00687A1C">
        <w:t xml:space="preserve">Crown land coloured brown on Plans numbered LEGL./93-211, LEGL./93-212, LEGL./93-213, LEGL./93-214 and LEGL./93-215 lodged in the Central Plan Office </w:t>
      </w:r>
    </w:p>
    <w:p w:rsidR="000C7422" w:rsidRPr="00687A1C" w:rsidRDefault="000C7422" w:rsidP="000C7422">
      <w:pPr>
        <w:pStyle w:val="Dash"/>
      </w:pPr>
      <w:r w:rsidRPr="00687A1C">
        <w:t>land shown as Crown Allotment 32E, section 7 on Certified Plan No. 108871 lodged in the Central Plan Office</w:t>
      </w:r>
    </w:p>
    <w:p w:rsidR="000C7422" w:rsidRPr="00687A1C" w:rsidRDefault="000C7422" w:rsidP="000C7422">
      <w:pPr>
        <w:pStyle w:val="Dash"/>
      </w:pPr>
      <w:r w:rsidRPr="00687A1C">
        <w:t>land shown as Crown Allotment 4A, section 1A on Certified Plan No. 75050 lodged in the Central Plan Office</w:t>
      </w:r>
    </w:p>
    <w:p w:rsidR="000C7422" w:rsidRPr="00687A1C" w:rsidRDefault="000C7422" w:rsidP="000C7422">
      <w:pPr>
        <w:pStyle w:val="Dash"/>
      </w:pPr>
      <w:r w:rsidRPr="00687A1C">
        <w:t>land shown as Crown Allotment 4D, section 1A on Certified Plan No. 112128 lodged in the Central Plan Office</w:t>
      </w:r>
    </w:p>
    <w:p w:rsidR="000C7422" w:rsidRPr="00687A1C" w:rsidRDefault="000C7422" w:rsidP="000C7422">
      <w:pPr>
        <w:pStyle w:val="Dash"/>
      </w:pPr>
      <w:r w:rsidRPr="00687A1C">
        <w:t>the area of 3643 square metres of land in the city of Port Melbourne as shown on Plan LEGL./96-216 lodged in the Central Plan Office</w:t>
      </w:r>
    </w:p>
    <w:p w:rsidR="000C7422" w:rsidRPr="00687A1C" w:rsidRDefault="000C7422" w:rsidP="000C7422">
      <w:pPr>
        <w:pStyle w:val="Dash"/>
      </w:pPr>
      <w:r w:rsidRPr="00687A1C">
        <w:t>land shown as Crown Allotment 4, section 1A on Certified Plan No. 109991 lodged in the Central Plan Office</w:t>
      </w:r>
    </w:p>
    <w:p w:rsidR="000C7422" w:rsidRPr="00687A1C" w:rsidRDefault="000C7422" w:rsidP="000C7422">
      <w:pPr>
        <w:pStyle w:val="Bullet"/>
      </w:pPr>
      <w:r w:rsidRPr="00687A1C">
        <w:t>Division 6 of Part I, Subdivision 3 of Division 9 of Part I, section 209, and the remainder of the Act where it relates to the sale and alienation of Crown Lands as set out in Administrative Arrangements Order No. 58</w:t>
      </w:r>
    </w:p>
    <w:p w:rsidR="000C7422" w:rsidRPr="00687A1C" w:rsidRDefault="000C7422" w:rsidP="000C7422">
      <w:pPr>
        <w:pStyle w:val="Bullet"/>
      </w:pPr>
      <w:r w:rsidRPr="00687A1C">
        <w:t>Sections 201, 201A and 399 except in so far as they relate to the land described as Crown Allotment 16 of Section 5, at Elwood, Parish of Prahran being the site of the former Elwood Police Station (except in so far as they relate to that land, these provisions are jointly administered with the Minister for Energy, Environment and Climate Change)</w:t>
      </w:r>
    </w:p>
    <w:p w:rsidR="000C7422" w:rsidRPr="00687A1C" w:rsidRDefault="000C7422" w:rsidP="000C7422">
      <w:pPr>
        <w:pStyle w:val="Bullet"/>
      </w:pPr>
      <w:r w:rsidRPr="00687A1C">
        <w:t>Sections 201, 201A and 399 in so far as they relate to the land described as Crown Allotment 16 of Section 5, at Elwood, Parish of Prahran being the site of the former Elwood Police Station (in so far as they relate to that land, these provisions are jointly administered with the Attorney-General)</w:t>
      </w:r>
    </w:p>
    <w:p w:rsidR="000C7422" w:rsidRPr="00687A1C" w:rsidRDefault="000C7422" w:rsidP="000C7422">
      <w:pPr>
        <w:pStyle w:val="Bullet"/>
        <w:numPr>
          <w:ilvl w:val="0"/>
          <w:numId w:val="0"/>
        </w:numPr>
        <w:ind w:left="360"/>
      </w:pPr>
      <w:r w:rsidRPr="00687A1C">
        <w:t>(The Act is otherwise administered by the Attorney-General, the Minister for Corrections, the Minister for Creative Industries, the Minister for Energy, Environment and Climate Change, the Minister for Health, the Minister for Ports, the Minister for Roads and Road Safety and the Special Minister of State)</w:t>
      </w:r>
      <w:r w:rsidRPr="00687A1C">
        <w:rPr>
          <w:rStyle w:val="FootnoteReference"/>
        </w:rPr>
        <w:t xml:space="preserve"> </w:t>
      </w:r>
    </w:p>
    <w:p w:rsidR="000C7422" w:rsidRPr="00687A1C" w:rsidRDefault="000C7422" w:rsidP="000C7422">
      <w:pPr>
        <w:rPr>
          <w:i/>
        </w:rPr>
      </w:pPr>
      <w:r w:rsidRPr="00687A1C">
        <w:rPr>
          <w:i/>
        </w:rPr>
        <w:t xml:space="preserve">Occupational Health and Safety Act 2004 </w:t>
      </w:r>
    </w:p>
    <w:p w:rsidR="000C7422" w:rsidRPr="00687A1C" w:rsidRDefault="000C7422" w:rsidP="00096CBD">
      <w:pPr>
        <w:ind w:right="482"/>
      </w:pPr>
      <w:r w:rsidRPr="00687A1C">
        <w:rPr>
          <w:i/>
        </w:rPr>
        <w:t>Parliamentary Salaries and Superannuation Act</w:t>
      </w:r>
      <w:r w:rsidR="00096CBD" w:rsidRPr="00687A1C">
        <w:rPr>
          <w:i/>
        </w:rPr>
        <w:t xml:space="preserve"> </w:t>
      </w:r>
      <w:r w:rsidRPr="00687A1C">
        <w:rPr>
          <w:i/>
        </w:rPr>
        <w:t>1968</w:t>
      </w:r>
      <w:r w:rsidR="00096CBD" w:rsidRPr="00687A1C">
        <w:rPr>
          <w:rFonts w:ascii="Calibri" w:hAnsi="Calibri" w:cs="Courier New"/>
        </w:rPr>
        <w:t xml:space="preserve"> </w:t>
      </w:r>
      <w:r w:rsidRPr="00687A1C">
        <w:rPr>
          <w:i/>
        </w:rPr>
        <w:t xml:space="preserve">– </w:t>
      </w:r>
    </w:p>
    <w:p w:rsidR="000C7422" w:rsidRPr="00687A1C" w:rsidRDefault="000C7422" w:rsidP="000C7422">
      <w:pPr>
        <w:pStyle w:val="Bullet"/>
      </w:pPr>
      <w:r w:rsidRPr="00687A1C">
        <w:t>Sections 8A and 8B</w:t>
      </w:r>
    </w:p>
    <w:p w:rsidR="000C7422" w:rsidRPr="00687A1C" w:rsidRDefault="000C7422" w:rsidP="000C7422">
      <w:pPr>
        <w:pStyle w:val="Bullet"/>
      </w:pPr>
      <w:r w:rsidRPr="00687A1C">
        <w:t>Part 3</w:t>
      </w:r>
    </w:p>
    <w:p w:rsidR="000C7422" w:rsidRPr="00687A1C" w:rsidRDefault="000C7422" w:rsidP="000C7422">
      <w:pPr>
        <w:pStyle w:val="Bullet"/>
        <w:numPr>
          <w:ilvl w:val="0"/>
          <w:numId w:val="0"/>
        </w:numPr>
        <w:ind w:left="360"/>
      </w:pPr>
      <w:r w:rsidRPr="00687A1C">
        <w:t>(The Act is otherwise administered by the Special Minister of State)</w:t>
      </w:r>
    </w:p>
    <w:p w:rsidR="00870D46" w:rsidRPr="00687A1C" w:rsidRDefault="00870D46">
      <w:pPr>
        <w:spacing w:before="0" w:after="0"/>
        <w:rPr>
          <w:i/>
        </w:rPr>
      </w:pPr>
      <w:r w:rsidRPr="00687A1C">
        <w:rPr>
          <w:i/>
        </w:rPr>
        <w:br w:type="page"/>
      </w:r>
    </w:p>
    <w:p w:rsidR="000C7422" w:rsidRPr="00687A1C" w:rsidRDefault="000C7422" w:rsidP="000C7422">
      <w:pPr>
        <w:rPr>
          <w:i/>
        </w:rPr>
      </w:pPr>
      <w:r w:rsidRPr="00687A1C">
        <w:rPr>
          <w:i/>
        </w:rPr>
        <w:lastRenderedPageBreak/>
        <w:t xml:space="preserve">Petroleum Products Subsidy Act 1965 </w:t>
      </w:r>
    </w:p>
    <w:p w:rsidR="000C7422" w:rsidRPr="00687A1C" w:rsidRDefault="000C7422" w:rsidP="000C7422">
      <w:r w:rsidRPr="00687A1C">
        <w:rPr>
          <w:i/>
        </w:rPr>
        <w:t>Police Regulation (Pensions) Act 1958</w:t>
      </w:r>
      <w:r w:rsidRPr="00687A1C">
        <w:t xml:space="preserve"> </w:t>
      </w:r>
      <w:r w:rsidRPr="00687A1C">
        <w:rPr>
          <w:i/>
        </w:rPr>
        <w:t>–</w:t>
      </w:r>
      <w:r w:rsidRPr="00687A1C">
        <w:t xml:space="preserve"> </w:t>
      </w:r>
    </w:p>
    <w:p w:rsidR="000C7422" w:rsidRPr="00687A1C" w:rsidRDefault="000C7422" w:rsidP="000C7422">
      <w:pPr>
        <w:pStyle w:val="Bullet"/>
      </w:pPr>
      <w:r w:rsidRPr="00687A1C">
        <w:t>Part III</w:t>
      </w:r>
    </w:p>
    <w:p w:rsidR="000C7422" w:rsidRPr="00687A1C" w:rsidRDefault="000C7422" w:rsidP="000C7422">
      <w:pPr>
        <w:pStyle w:val="NormalIndent"/>
      </w:pPr>
      <w:r w:rsidRPr="00687A1C">
        <w:t>(The Act is otherwise administered by the Minister for Police)</w:t>
      </w:r>
    </w:p>
    <w:p w:rsidR="000C7422" w:rsidRPr="00687A1C" w:rsidRDefault="000C7422" w:rsidP="000C7422">
      <w:pPr>
        <w:pStyle w:val="NormalIndent"/>
        <w:ind w:left="0"/>
      </w:pPr>
      <w:r w:rsidRPr="00687A1C">
        <w:rPr>
          <w:i/>
        </w:rPr>
        <w:t xml:space="preserve">Port Management Act 1995 – </w:t>
      </w:r>
    </w:p>
    <w:p w:rsidR="000C7422" w:rsidRPr="00687A1C" w:rsidRDefault="000C7422" w:rsidP="000C7422">
      <w:pPr>
        <w:pStyle w:val="Bullet"/>
      </w:pPr>
      <w:r w:rsidRPr="00687A1C">
        <w:t xml:space="preserve">Sections 63A–63J </w:t>
      </w:r>
    </w:p>
    <w:p w:rsidR="000C7422" w:rsidRPr="00687A1C" w:rsidRDefault="000C7422" w:rsidP="000C7422">
      <w:pPr>
        <w:pStyle w:val="NormalIndent"/>
      </w:pPr>
      <w:r w:rsidRPr="00687A1C">
        <w:t xml:space="preserve">(The Act is otherwise administered by the Minister for Ports and the Treasurer) </w:t>
      </w:r>
    </w:p>
    <w:p w:rsidR="000C7422" w:rsidRPr="00687A1C" w:rsidRDefault="000C7422" w:rsidP="000C7422">
      <w:r w:rsidRPr="00687A1C">
        <w:rPr>
          <w:i/>
        </w:rPr>
        <w:t>Project Development and Construction Management Act 1994 –</w:t>
      </w:r>
    </w:p>
    <w:p w:rsidR="000C7422" w:rsidRPr="00687A1C" w:rsidRDefault="000C7422" w:rsidP="000C7422">
      <w:pPr>
        <w:pStyle w:val="Bullet"/>
      </w:pPr>
      <w:r w:rsidRPr="00687A1C">
        <w:t>Part 4</w:t>
      </w:r>
    </w:p>
    <w:p w:rsidR="000C7422" w:rsidRPr="00687A1C" w:rsidRDefault="000C7422" w:rsidP="000C7422">
      <w:pPr>
        <w:pStyle w:val="NormalIndent"/>
      </w:pPr>
      <w:r w:rsidRPr="00687A1C">
        <w:t xml:space="preserve">(The Act is otherwise administered by the Minister for Planning, the Minister for Major Projects and the Premier) </w:t>
      </w:r>
    </w:p>
    <w:p w:rsidR="000C7422" w:rsidRPr="00687A1C" w:rsidRDefault="000C7422" w:rsidP="000C7422">
      <w:pPr>
        <w:rPr>
          <w:i/>
        </w:rPr>
      </w:pPr>
      <w:r w:rsidRPr="00687A1C">
        <w:rPr>
          <w:i/>
        </w:rPr>
        <w:t xml:space="preserve">State Employees Retirement Benefits Act 1979 </w:t>
      </w:r>
    </w:p>
    <w:p w:rsidR="000C7422" w:rsidRPr="00687A1C" w:rsidRDefault="000C7422" w:rsidP="000C7422">
      <w:pPr>
        <w:keepNext/>
      </w:pPr>
      <w:r w:rsidRPr="00687A1C">
        <w:rPr>
          <w:i/>
        </w:rPr>
        <w:t>State Owned Enterprises Act 1992</w:t>
      </w:r>
      <w:r w:rsidRPr="00687A1C">
        <w:t xml:space="preserve"> – </w:t>
      </w:r>
    </w:p>
    <w:p w:rsidR="000C7422" w:rsidRPr="00687A1C" w:rsidRDefault="000C7422" w:rsidP="000C7422">
      <w:pPr>
        <w:pStyle w:val="Bullet"/>
      </w:pPr>
      <w:r w:rsidRPr="00687A1C">
        <w:t xml:space="preserve">Division 2 of Part 2 in so far as it relates to the </w:t>
      </w:r>
      <w:r w:rsidR="0027531A" w:rsidRPr="00687A1C">
        <w:t>Cenitex</w:t>
      </w:r>
      <w:r w:rsidRPr="00687A1C">
        <w:t xml:space="preserve"> </w:t>
      </w:r>
    </w:p>
    <w:p w:rsidR="000C7422" w:rsidRPr="00687A1C" w:rsidRDefault="000C7422" w:rsidP="000C7422">
      <w:pPr>
        <w:pStyle w:val="Bullet"/>
        <w:numPr>
          <w:ilvl w:val="0"/>
          <w:numId w:val="0"/>
        </w:numPr>
        <w:ind w:left="360"/>
      </w:pPr>
      <w:r w:rsidRPr="00687A1C">
        <w:t>(The Act is otherwise administered by the Minister for Energy, Environment and Climate Change, the Minister for Multicultural Affairs, the Minister for Water and the Treasurer)</w:t>
      </w:r>
    </w:p>
    <w:p w:rsidR="000C7422" w:rsidRPr="00687A1C" w:rsidRDefault="000C7422" w:rsidP="000C7422">
      <w:pPr>
        <w:rPr>
          <w:i/>
        </w:rPr>
      </w:pPr>
      <w:r w:rsidRPr="00687A1C">
        <w:rPr>
          <w:i/>
        </w:rPr>
        <w:t xml:space="preserve">State Superannuation Act 1988 </w:t>
      </w:r>
    </w:p>
    <w:p w:rsidR="000C7422" w:rsidRPr="00687A1C" w:rsidRDefault="000C7422" w:rsidP="000C7422">
      <w:pPr>
        <w:rPr>
          <w:i/>
        </w:rPr>
      </w:pPr>
      <w:r w:rsidRPr="00687A1C">
        <w:rPr>
          <w:i/>
        </w:rPr>
        <w:t xml:space="preserve">Superannuation (Portability) Act 1989 </w:t>
      </w:r>
    </w:p>
    <w:p w:rsidR="000C7422" w:rsidRPr="00687A1C" w:rsidRDefault="000C7422" w:rsidP="000C7422">
      <w:r w:rsidRPr="00687A1C">
        <w:rPr>
          <w:i/>
        </w:rPr>
        <w:t>Transport Accident Act 1986</w:t>
      </w:r>
      <w:r w:rsidRPr="00687A1C">
        <w:t xml:space="preserve"> – except</w:t>
      </w:r>
    </w:p>
    <w:p w:rsidR="000C7422" w:rsidRPr="00687A1C" w:rsidRDefault="000C7422" w:rsidP="000C7422">
      <w:pPr>
        <w:pStyle w:val="Bullet"/>
      </w:pPr>
      <w:r w:rsidRPr="00687A1C">
        <w:t>Sections 11 to 14 in so far as they relate to road safety (in so far as they relate to those matters, these sections are jointly and severally administered with the Minister for Roads and Road Safety)</w:t>
      </w:r>
    </w:p>
    <w:p w:rsidR="000C7422" w:rsidRPr="00687A1C" w:rsidRDefault="000C7422" w:rsidP="000C7422">
      <w:pPr>
        <w:pStyle w:val="Bullet"/>
      </w:pPr>
      <w:r w:rsidRPr="00687A1C">
        <w:t>Sections 15 to 18, 25 and 29 (these sections are jointly administered with the Minister for Roads and Road Safety)</w:t>
      </w:r>
    </w:p>
    <w:p w:rsidR="000C7422" w:rsidRPr="00687A1C" w:rsidRDefault="000C7422" w:rsidP="000C7422">
      <w:pPr>
        <w:rPr>
          <w:i/>
        </w:rPr>
      </w:pPr>
      <w:r w:rsidRPr="00687A1C">
        <w:rPr>
          <w:i/>
        </w:rPr>
        <w:t xml:space="preserve">Transport Superannuation Act 1988 </w:t>
      </w:r>
    </w:p>
    <w:p w:rsidR="000C7422" w:rsidRPr="00687A1C" w:rsidRDefault="000C7422" w:rsidP="000C7422">
      <w:pPr>
        <w:rPr>
          <w:i/>
        </w:rPr>
      </w:pPr>
      <w:r w:rsidRPr="00687A1C">
        <w:rPr>
          <w:i/>
        </w:rPr>
        <w:t>Unclaimed Money Act 2008</w:t>
      </w:r>
    </w:p>
    <w:p w:rsidR="000C7422" w:rsidRPr="00687A1C" w:rsidRDefault="000C7422" w:rsidP="000C7422">
      <w:pPr>
        <w:rPr>
          <w:i/>
        </w:rPr>
      </w:pPr>
      <w:r w:rsidRPr="00687A1C">
        <w:rPr>
          <w:i/>
        </w:rPr>
        <w:t xml:space="preserve">Victorian Managed Insurance Authority Act 1996 </w:t>
      </w:r>
    </w:p>
    <w:p w:rsidR="000C7422" w:rsidRPr="00687A1C" w:rsidRDefault="000C7422" w:rsidP="000C7422">
      <w:r w:rsidRPr="00687A1C">
        <w:rPr>
          <w:i/>
        </w:rPr>
        <w:t xml:space="preserve">Workers Compensation Act 1958 – </w:t>
      </w:r>
      <w:r w:rsidRPr="00687A1C">
        <w:t xml:space="preserve">except: </w:t>
      </w:r>
    </w:p>
    <w:p w:rsidR="000C7422" w:rsidRPr="00687A1C" w:rsidRDefault="000C7422" w:rsidP="000C7422">
      <w:pPr>
        <w:pStyle w:val="Bullet"/>
      </w:pPr>
      <w:r w:rsidRPr="00687A1C">
        <w:t xml:space="preserve">Division 8 of Part 1 (this Division is administered by the Treasurer) </w:t>
      </w:r>
    </w:p>
    <w:p w:rsidR="000C7422" w:rsidRPr="00687A1C" w:rsidRDefault="000C7422" w:rsidP="000C7422">
      <w:r w:rsidRPr="00687A1C">
        <w:rPr>
          <w:i/>
        </w:rPr>
        <w:t>Workplace Injury Rehabilitation and Compensation Act 2013</w:t>
      </w:r>
      <w:r w:rsidRPr="00687A1C">
        <w:t xml:space="preserve"> – except:</w:t>
      </w:r>
    </w:p>
    <w:p w:rsidR="000C7422" w:rsidRPr="00687A1C" w:rsidRDefault="000C7422" w:rsidP="000C7422">
      <w:pPr>
        <w:pStyle w:val="Bullet"/>
      </w:pPr>
      <w:r w:rsidRPr="00687A1C">
        <w:t>Division 1 of Part 6 (this Division is administered by the Attorney General)</w:t>
      </w:r>
    </w:p>
    <w:p w:rsidR="007D55CC" w:rsidRPr="00687A1C" w:rsidRDefault="000C7422" w:rsidP="000C7422">
      <w:pPr>
        <w:pStyle w:val="Heading1b"/>
      </w:pPr>
      <w:r w:rsidRPr="00687A1C">
        <w:br w:type="column"/>
      </w:r>
      <w:bookmarkStart w:id="185" w:name="VIPP"/>
      <w:bookmarkStart w:id="186" w:name="_Toc525026163"/>
      <w:bookmarkEnd w:id="185"/>
      <w:r w:rsidR="00660A5B" w:rsidRPr="00687A1C">
        <w:t>Implementation of Local Jobs First – Victorian Industry Participation Policy</w:t>
      </w:r>
      <w:bookmarkEnd w:id="186"/>
    </w:p>
    <w:p w:rsidR="00660A5B" w:rsidRPr="00687A1C" w:rsidRDefault="00660A5B" w:rsidP="00660A5B">
      <w:r w:rsidRPr="00687A1C">
        <w:t xml:space="preserve">The </w:t>
      </w:r>
      <w:r w:rsidRPr="00687A1C">
        <w:rPr>
          <w:i/>
        </w:rPr>
        <w:t>Victorian Industry Participation Policy Act 2003</w:t>
      </w:r>
      <w:r w:rsidRPr="00687A1C">
        <w:t xml:space="preserve"> requires departments and public sector bodies to report on the implementation of Local Jobs First</w:t>
      </w:r>
      <w:r w:rsidR="007C440B" w:rsidRPr="00687A1C">
        <w:t xml:space="preserve"> – </w:t>
      </w:r>
      <w:r w:rsidRPr="00687A1C">
        <w:t>Victorian Industry Participation Policy (Local Jobs First</w:t>
      </w:r>
      <w:r w:rsidR="007C440B" w:rsidRPr="00687A1C">
        <w:t xml:space="preserve"> – </w:t>
      </w:r>
      <w:r w:rsidRPr="00687A1C">
        <w:t>VIPP). Departments and public sector bodies are required to apply Local Jobs First</w:t>
      </w:r>
      <w:r w:rsidR="007C440B" w:rsidRPr="00687A1C">
        <w:t xml:space="preserve"> – </w:t>
      </w:r>
      <w:r w:rsidRPr="00687A1C">
        <w:t>VIPP in all procurement activities valued at:</w:t>
      </w:r>
    </w:p>
    <w:p w:rsidR="00660A5B" w:rsidRPr="00687A1C" w:rsidRDefault="00660A5B" w:rsidP="00660A5B">
      <w:pPr>
        <w:pStyle w:val="Bullet"/>
      </w:pPr>
      <w:r w:rsidRPr="00687A1C">
        <w:t>$3</w:t>
      </w:r>
      <w:r w:rsidR="006F069A" w:rsidRPr="00687A1C">
        <w:rPr>
          <w:rFonts w:ascii="Calibri" w:hAnsi="Calibri" w:cs="Calibri"/>
        </w:rPr>
        <w:t> </w:t>
      </w:r>
      <w:r w:rsidR="006F069A" w:rsidRPr="00687A1C">
        <w:t>million</w:t>
      </w:r>
      <w:r w:rsidRPr="00687A1C">
        <w:t xml:space="preserve"> or more in metro</w:t>
      </w:r>
      <w:r w:rsidR="00A15B96" w:rsidRPr="00687A1C">
        <w:t>politan Melbourne and for state</w:t>
      </w:r>
      <w:r w:rsidRPr="00687A1C">
        <w:t>wide projects; or</w:t>
      </w:r>
    </w:p>
    <w:p w:rsidR="00660A5B" w:rsidRPr="00687A1C" w:rsidRDefault="00660A5B" w:rsidP="00660A5B">
      <w:pPr>
        <w:pStyle w:val="Bullet"/>
      </w:pPr>
      <w:r w:rsidRPr="00687A1C">
        <w:t>$1</w:t>
      </w:r>
      <w:r w:rsidR="006F069A" w:rsidRPr="00687A1C">
        <w:rPr>
          <w:rFonts w:ascii="Calibri" w:hAnsi="Calibri" w:cs="Calibri"/>
        </w:rPr>
        <w:t> </w:t>
      </w:r>
      <w:r w:rsidR="006F069A" w:rsidRPr="00687A1C">
        <w:t>million</w:t>
      </w:r>
      <w:r w:rsidRPr="00687A1C">
        <w:t xml:space="preserve"> or more for procurement activities in regional Victoria. </w:t>
      </w:r>
    </w:p>
    <w:p w:rsidR="00660A5B" w:rsidRPr="00687A1C" w:rsidRDefault="00660A5B" w:rsidP="00660A5B">
      <w:r w:rsidRPr="00687A1C">
        <w:t>During 2017-18, th</w:t>
      </w:r>
      <w:r w:rsidR="00A15B96" w:rsidRPr="00687A1C">
        <w:t>e</w:t>
      </w:r>
      <w:r w:rsidRPr="00687A1C">
        <w:t xml:space="preserve"> Department completed three Local Jobs First – VIPP applicable projects, collectively valued at </w:t>
      </w:r>
      <w:r w:rsidR="00A15B96" w:rsidRPr="00687A1C">
        <w:t>about</w:t>
      </w:r>
      <w:r w:rsidRPr="00687A1C">
        <w:t xml:space="preserve"> $12</w:t>
      </w:r>
      <w:r w:rsidR="006F069A" w:rsidRPr="00687A1C">
        <w:rPr>
          <w:rFonts w:ascii="Calibri" w:hAnsi="Calibri" w:cs="Calibri"/>
        </w:rPr>
        <w:t> </w:t>
      </w:r>
      <w:r w:rsidR="006F069A" w:rsidRPr="00687A1C">
        <w:t>million</w:t>
      </w:r>
      <w:r w:rsidRPr="00687A1C">
        <w:t xml:space="preserve">. All three projects were located in metropolitan Melbourne, and average commitment of local content was </w:t>
      </w:r>
      <w:r w:rsidR="00A15B96" w:rsidRPr="00687A1C">
        <w:br/>
      </w:r>
      <w:r w:rsidRPr="00687A1C">
        <w:t>93</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w:t>
      </w:r>
    </w:p>
    <w:p w:rsidR="00660A5B" w:rsidRPr="00687A1C" w:rsidRDefault="00660A5B" w:rsidP="00660A5B">
      <w:r w:rsidRPr="00687A1C">
        <w:t>The outcomes reported from the implementation of the policy, were as follows:</w:t>
      </w:r>
    </w:p>
    <w:p w:rsidR="00660A5B" w:rsidRPr="00687A1C" w:rsidRDefault="00660A5B" w:rsidP="00660A5B">
      <w:pPr>
        <w:pStyle w:val="Bullet"/>
      </w:pPr>
      <w:r w:rsidRPr="00687A1C">
        <w:t>an average of 93</w:t>
      </w:r>
      <w:r w:rsidR="006F069A" w:rsidRPr="00687A1C">
        <w:rPr>
          <w:rFonts w:ascii="Calibri" w:hAnsi="Calibri" w:cs="Calibri"/>
        </w:rPr>
        <w:t> </w:t>
      </w:r>
      <w:r w:rsidR="006F069A" w:rsidRPr="00687A1C">
        <w:t>per</w:t>
      </w:r>
      <w:r w:rsidR="006F069A" w:rsidRPr="00687A1C">
        <w:rPr>
          <w:rFonts w:ascii="Calibri" w:hAnsi="Calibri" w:cs="Calibri"/>
        </w:rPr>
        <w:t> </w:t>
      </w:r>
      <w:r w:rsidR="006F069A" w:rsidRPr="00687A1C">
        <w:t>cent</w:t>
      </w:r>
      <w:r w:rsidRPr="00687A1C">
        <w:t xml:space="preserve"> local content as planned:</w:t>
      </w:r>
    </w:p>
    <w:p w:rsidR="00660A5B" w:rsidRPr="00687A1C" w:rsidRDefault="00660A5B" w:rsidP="00660A5B">
      <w:pPr>
        <w:pStyle w:val="Bullet"/>
      </w:pPr>
      <w:r w:rsidRPr="00687A1C">
        <w:t>a tota</w:t>
      </w:r>
      <w:r w:rsidR="00A15B96" w:rsidRPr="00687A1C">
        <w:t>l of 216 positions were created;</w:t>
      </w:r>
      <w:r w:rsidRPr="00687A1C">
        <w:t xml:space="preserve"> and</w:t>
      </w:r>
    </w:p>
    <w:p w:rsidR="00660A5B" w:rsidRPr="00687A1C" w:rsidRDefault="00660A5B" w:rsidP="00660A5B">
      <w:pPr>
        <w:pStyle w:val="Bullet"/>
      </w:pPr>
      <w:r w:rsidRPr="00687A1C">
        <w:t>40 new apprenticeships/traineeships created and 14 existing apprenticeships/traineeships retained.</w:t>
      </w:r>
    </w:p>
    <w:p w:rsidR="00660A5B" w:rsidRPr="00687A1C" w:rsidRDefault="00660A5B" w:rsidP="00660A5B">
      <w:r w:rsidRPr="00687A1C">
        <w:t>This Department is the lead agency for a number of State Purchase Contracts (SPCs).</w:t>
      </w:r>
      <w:r w:rsidR="007C440B" w:rsidRPr="00687A1C">
        <w:t xml:space="preserve"> </w:t>
      </w:r>
      <w:r w:rsidRPr="00687A1C">
        <w:t>During 2017-18</w:t>
      </w:r>
      <w:r w:rsidR="009253F0" w:rsidRPr="00687A1C">
        <w:t>,</w:t>
      </w:r>
      <w:r w:rsidRPr="00687A1C">
        <w:t xml:space="preserve"> the Department entered into three SPCs for which a VIPP plan was not required as the procurements were local by nature. </w:t>
      </w:r>
    </w:p>
    <w:p w:rsidR="007D55CC" w:rsidRPr="00687A1C" w:rsidRDefault="007D55CC" w:rsidP="007D55CC"/>
    <w:p w:rsidR="008E611E" w:rsidRPr="00687A1C" w:rsidRDefault="008E611E" w:rsidP="007D55CC">
      <w:pPr>
        <w:sectPr w:rsidR="008E611E" w:rsidRPr="00687A1C" w:rsidSect="00B1250D">
          <w:type w:val="continuous"/>
          <w:pgSz w:w="11909" w:h="16834" w:code="9"/>
          <w:pgMar w:top="1728" w:right="1152" w:bottom="1267" w:left="1152" w:header="720" w:footer="288" w:gutter="0"/>
          <w:cols w:num="2" w:space="720"/>
          <w:noEndnote/>
        </w:sectPr>
      </w:pPr>
    </w:p>
    <w:p w:rsidR="008E611E" w:rsidRPr="00687A1C" w:rsidRDefault="008E611E" w:rsidP="007E4DBD">
      <w:pPr>
        <w:pStyle w:val="Heading1b"/>
      </w:pPr>
      <w:bookmarkStart w:id="187" w:name="_Toc525026164"/>
      <w:r w:rsidRPr="00687A1C">
        <w:lastRenderedPageBreak/>
        <w:t>Disclosure of government advertising expenditure</w:t>
      </w:r>
      <w:bookmarkStart w:id="188" w:name="GovernmentAdvertising"/>
      <w:bookmarkEnd w:id="188"/>
      <w:bookmarkEnd w:id="187"/>
    </w:p>
    <w:p w:rsidR="008E611E" w:rsidRPr="00687A1C" w:rsidRDefault="008E611E" w:rsidP="00C8160C">
      <w:pPr>
        <w:pStyle w:val="Heading1App"/>
        <w:sectPr w:rsidR="008E611E" w:rsidRPr="00687A1C" w:rsidSect="00BB311C">
          <w:pgSz w:w="11909" w:h="16834" w:code="9"/>
          <w:pgMar w:top="1728" w:right="1152" w:bottom="1260" w:left="1152" w:header="720" w:footer="288" w:gutter="0"/>
          <w:cols w:space="720"/>
          <w:noEndnote/>
        </w:sectPr>
      </w:pPr>
    </w:p>
    <w:p w:rsidR="008E611E" w:rsidRPr="00687A1C" w:rsidRDefault="008E611E" w:rsidP="001C184C">
      <w:pPr>
        <w:pStyle w:val="Tableheading"/>
        <w:tabs>
          <w:tab w:val="clear" w:pos="9605"/>
          <w:tab w:val="right" w:pos="9900"/>
        </w:tabs>
        <w:ind w:right="-295"/>
      </w:pPr>
      <w:r w:rsidRPr="00687A1C">
        <w:t xml:space="preserve">Details of government advertising expenditure (campaigns with </w:t>
      </w:r>
      <w:r w:rsidRPr="00687A1C">
        <w:br/>
        <w:t>a media spend of</w:t>
      </w:r>
      <w:r w:rsidRPr="00687A1C">
        <w:rPr>
          <w:rFonts w:ascii="Calibri" w:hAnsi="Calibri" w:cs="Calibri"/>
        </w:rPr>
        <w:t> </w:t>
      </w:r>
      <w:r w:rsidRPr="00687A1C">
        <w:t>$100</w:t>
      </w:r>
      <w:r w:rsidRPr="00687A1C">
        <w:rPr>
          <w:rFonts w:ascii="Calibri" w:hAnsi="Calibri" w:cs="Calibri"/>
        </w:rPr>
        <w:t> </w:t>
      </w:r>
      <w:r w:rsidRPr="00687A1C">
        <w:t>000 or greater)</w:t>
      </w:r>
      <w:r w:rsidRPr="00687A1C">
        <w:tab/>
        <w:t>($ thousand)</w:t>
      </w:r>
    </w:p>
    <w:tbl>
      <w:tblPr>
        <w:tblW w:w="9895" w:type="dxa"/>
        <w:tblInd w:w="29" w:type="dxa"/>
        <w:tblLayout w:type="fixed"/>
        <w:tblCellMar>
          <w:left w:w="29" w:type="dxa"/>
          <w:right w:w="29" w:type="dxa"/>
        </w:tblCellMar>
        <w:tblLook w:val="04A0" w:firstRow="1" w:lastRow="0" w:firstColumn="1" w:lastColumn="0" w:noHBand="0" w:noVBand="1"/>
      </w:tblPr>
      <w:tblGrid>
        <w:gridCol w:w="990"/>
        <w:gridCol w:w="1795"/>
        <w:gridCol w:w="720"/>
        <w:gridCol w:w="1080"/>
        <w:gridCol w:w="1170"/>
        <w:gridCol w:w="1170"/>
        <w:gridCol w:w="1080"/>
        <w:gridCol w:w="1080"/>
        <w:gridCol w:w="810"/>
      </w:tblGrid>
      <w:tr w:rsidR="008E611E" w:rsidRPr="00687A1C" w:rsidTr="001C184C">
        <w:trPr>
          <w:cantSplit/>
        </w:trPr>
        <w:tc>
          <w:tcPr>
            <w:tcW w:w="990" w:type="dxa"/>
            <w:tcBorders>
              <w:top w:val="nil"/>
              <w:left w:val="nil"/>
              <w:right w:val="nil"/>
            </w:tcBorders>
            <w:shd w:val="clear" w:color="auto" w:fill="auto"/>
            <w:noWrap/>
            <w:vAlign w:val="bottom"/>
          </w:tcPr>
          <w:p w:rsidR="008E611E" w:rsidRPr="00687A1C" w:rsidRDefault="008E611E" w:rsidP="00A06D35">
            <w:pPr>
              <w:pStyle w:val="Tabletextheadingleft"/>
            </w:pPr>
          </w:p>
        </w:tc>
        <w:tc>
          <w:tcPr>
            <w:tcW w:w="1795" w:type="dxa"/>
            <w:tcBorders>
              <w:top w:val="nil"/>
              <w:left w:val="nil"/>
              <w:right w:val="nil"/>
            </w:tcBorders>
            <w:shd w:val="clear" w:color="auto" w:fill="auto"/>
            <w:vAlign w:val="bottom"/>
          </w:tcPr>
          <w:p w:rsidR="008E611E" w:rsidRPr="00687A1C" w:rsidRDefault="008E611E" w:rsidP="00A06D35">
            <w:pPr>
              <w:pStyle w:val="Tabletextheadingleft"/>
            </w:pPr>
          </w:p>
        </w:tc>
        <w:tc>
          <w:tcPr>
            <w:tcW w:w="720" w:type="dxa"/>
            <w:tcBorders>
              <w:top w:val="nil"/>
              <w:left w:val="nil"/>
              <w:right w:val="nil"/>
            </w:tcBorders>
            <w:shd w:val="clear" w:color="auto" w:fill="auto"/>
            <w:noWrap/>
            <w:vAlign w:val="bottom"/>
          </w:tcPr>
          <w:p w:rsidR="008E611E" w:rsidRPr="00687A1C" w:rsidRDefault="008E611E" w:rsidP="00A06D35">
            <w:pPr>
              <w:pStyle w:val="Tabletextheadingright"/>
            </w:pPr>
          </w:p>
        </w:tc>
        <w:tc>
          <w:tcPr>
            <w:tcW w:w="6390" w:type="dxa"/>
            <w:gridSpan w:val="6"/>
            <w:tcBorders>
              <w:top w:val="nil"/>
              <w:left w:val="nil"/>
              <w:right w:val="nil"/>
            </w:tcBorders>
            <w:shd w:val="clear" w:color="auto" w:fill="E0E0E0"/>
            <w:vAlign w:val="bottom"/>
          </w:tcPr>
          <w:p w:rsidR="008E611E" w:rsidRPr="00687A1C" w:rsidRDefault="008E611E" w:rsidP="00D52B27">
            <w:pPr>
              <w:pStyle w:val="Tabletextheadingright"/>
              <w:jc w:val="center"/>
            </w:pPr>
            <w:r w:rsidRPr="00687A1C">
              <w:t>201</w:t>
            </w:r>
            <w:r w:rsidR="00D52B27" w:rsidRPr="00687A1C">
              <w:t>7</w:t>
            </w:r>
            <w:r w:rsidR="00B336DF" w:rsidRPr="00687A1C">
              <w:noBreakHyphen/>
            </w:r>
            <w:r w:rsidRPr="00687A1C">
              <w:t>1</w:t>
            </w:r>
            <w:r w:rsidR="00D52B27" w:rsidRPr="00687A1C">
              <w:t>8</w:t>
            </w:r>
          </w:p>
        </w:tc>
      </w:tr>
      <w:tr w:rsidR="00CD10AF" w:rsidRPr="00687A1C" w:rsidTr="001C184C">
        <w:trPr>
          <w:trHeight w:val="480"/>
        </w:trPr>
        <w:tc>
          <w:tcPr>
            <w:tcW w:w="990" w:type="dxa"/>
            <w:tcBorders>
              <w:top w:val="nil"/>
              <w:left w:val="nil"/>
              <w:right w:val="nil"/>
            </w:tcBorders>
            <w:shd w:val="clear" w:color="auto" w:fill="auto"/>
            <w:noWrap/>
            <w:vAlign w:val="bottom"/>
            <w:hideMark/>
          </w:tcPr>
          <w:p w:rsidR="008E611E" w:rsidRPr="00687A1C" w:rsidRDefault="008E611E" w:rsidP="00A06D35">
            <w:pPr>
              <w:pStyle w:val="Tabletextheadingleft"/>
            </w:pPr>
            <w:r w:rsidRPr="00687A1C">
              <w:t>Name of campaign</w:t>
            </w:r>
          </w:p>
        </w:tc>
        <w:tc>
          <w:tcPr>
            <w:tcW w:w="1795" w:type="dxa"/>
            <w:tcBorders>
              <w:top w:val="nil"/>
              <w:left w:val="nil"/>
              <w:right w:val="nil"/>
            </w:tcBorders>
            <w:shd w:val="clear" w:color="auto" w:fill="auto"/>
            <w:vAlign w:val="bottom"/>
          </w:tcPr>
          <w:p w:rsidR="008E611E" w:rsidRPr="00687A1C" w:rsidRDefault="008E611E" w:rsidP="008E611E">
            <w:pPr>
              <w:pStyle w:val="Tabletextheadingleft"/>
            </w:pPr>
            <w:r w:rsidRPr="00687A1C">
              <w:t>Campaign summary</w:t>
            </w:r>
          </w:p>
        </w:tc>
        <w:tc>
          <w:tcPr>
            <w:tcW w:w="720" w:type="dxa"/>
            <w:tcBorders>
              <w:top w:val="nil"/>
              <w:left w:val="nil"/>
              <w:right w:val="nil"/>
            </w:tcBorders>
            <w:shd w:val="clear" w:color="auto" w:fill="auto"/>
            <w:noWrap/>
            <w:vAlign w:val="bottom"/>
            <w:hideMark/>
          </w:tcPr>
          <w:p w:rsidR="008E611E" w:rsidRPr="00687A1C" w:rsidRDefault="008E611E" w:rsidP="008E611E">
            <w:pPr>
              <w:pStyle w:val="Tabletextheadingleft"/>
            </w:pPr>
            <w:r w:rsidRPr="00687A1C">
              <w:t>Start/</w:t>
            </w:r>
            <w:r w:rsidRPr="00687A1C">
              <w:br/>
              <w:t>end date</w:t>
            </w:r>
          </w:p>
        </w:tc>
        <w:tc>
          <w:tcPr>
            <w:tcW w:w="1080" w:type="dxa"/>
            <w:tcBorders>
              <w:left w:val="nil"/>
              <w:right w:val="nil"/>
            </w:tcBorders>
            <w:shd w:val="clear" w:color="auto" w:fill="auto"/>
            <w:vAlign w:val="bottom"/>
          </w:tcPr>
          <w:p w:rsidR="008E611E" w:rsidRPr="00687A1C" w:rsidRDefault="008E611E" w:rsidP="008E611E">
            <w:pPr>
              <w:pStyle w:val="Tabletextheadingright"/>
            </w:pPr>
            <w:r w:rsidRPr="00687A1C">
              <w:t xml:space="preserve">Advertising (media) expenditure </w:t>
            </w:r>
          </w:p>
          <w:p w:rsidR="008E611E" w:rsidRPr="00687A1C" w:rsidRDefault="008E611E" w:rsidP="008E611E">
            <w:pPr>
              <w:pStyle w:val="Tabletextheadingright"/>
            </w:pPr>
            <w:r w:rsidRPr="00687A1C">
              <w:t>(ex. GST)</w:t>
            </w:r>
          </w:p>
        </w:tc>
        <w:tc>
          <w:tcPr>
            <w:tcW w:w="1170" w:type="dxa"/>
            <w:tcBorders>
              <w:left w:val="nil"/>
              <w:right w:val="nil"/>
            </w:tcBorders>
            <w:shd w:val="clear" w:color="auto" w:fill="auto"/>
            <w:vAlign w:val="bottom"/>
          </w:tcPr>
          <w:p w:rsidR="008E611E" w:rsidRPr="00687A1C" w:rsidRDefault="008E611E" w:rsidP="00A06D35">
            <w:pPr>
              <w:pStyle w:val="Tabletextheadingright"/>
            </w:pPr>
            <w:r w:rsidRPr="00687A1C">
              <w:t>Creative and campaign development expenditure</w:t>
            </w:r>
          </w:p>
          <w:p w:rsidR="008E611E" w:rsidRPr="00687A1C" w:rsidRDefault="008E611E" w:rsidP="00A06D35">
            <w:pPr>
              <w:pStyle w:val="Tabletextheadingright"/>
            </w:pPr>
            <w:r w:rsidRPr="00687A1C">
              <w:t>(ex. GST)</w:t>
            </w:r>
          </w:p>
        </w:tc>
        <w:tc>
          <w:tcPr>
            <w:tcW w:w="1170" w:type="dxa"/>
            <w:tcBorders>
              <w:left w:val="nil"/>
              <w:bottom w:val="nil"/>
              <w:right w:val="nil"/>
            </w:tcBorders>
            <w:shd w:val="clear" w:color="auto" w:fill="auto"/>
            <w:vAlign w:val="bottom"/>
            <w:hideMark/>
          </w:tcPr>
          <w:p w:rsidR="008E611E" w:rsidRPr="00687A1C" w:rsidRDefault="008E611E" w:rsidP="00A06D35">
            <w:pPr>
              <w:pStyle w:val="Tabletextheadingright"/>
            </w:pPr>
            <w:r w:rsidRPr="00687A1C">
              <w:t>Research and evaluation expenditure</w:t>
            </w:r>
          </w:p>
          <w:p w:rsidR="008E611E" w:rsidRPr="00687A1C" w:rsidRDefault="008E611E" w:rsidP="00A06D35">
            <w:pPr>
              <w:pStyle w:val="Tabletextheadingright"/>
              <w:rPr>
                <w:color w:val="auto"/>
              </w:rPr>
            </w:pPr>
            <w:r w:rsidRPr="00687A1C">
              <w:t>(ex. GST)</w:t>
            </w:r>
          </w:p>
        </w:tc>
        <w:tc>
          <w:tcPr>
            <w:tcW w:w="1080" w:type="dxa"/>
            <w:tcBorders>
              <w:left w:val="nil"/>
              <w:bottom w:val="nil"/>
              <w:right w:val="nil"/>
            </w:tcBorders>
            <w:shd w:val="clear" w:color="auto" w:fill="auto"/>
            <w:vAlign w:val="bottom"/>
            <w:hideMark/>
          </w:tcPr>
          <w:p w:rsidR="008E611E" w:rsidRPr="00687A1C" w:rsidRDefault="008E611E" w:rsidP="00A06D35">
            <w:pPr>
              <w:pStyle w:val="Tabletextheadingright"/>
            </w:pPr>
            <w:r w:rsidRPr="00687A1C">
              <w:t>Print and collateral expenditure</w:t>
            </w:r>
          </w:p>
          <w:p w:rsidR="008E611E" w:rsidRPr="00687A1C" w:rsidRDefault="008E611E" w:rsidP="00A06D35">
            <w:pPr>
              <w:pStyle w:val="Tabletextheadingright"/>
              <w:rPr>
                <w:color w:val="auto"/>
              </w:rPr>
            </w:pPr>
            <w:r w:rsidRPr="00687A1C">
              <w:t>(ex. GST)</w:t>
            </w:r>
          </w:p>
        </w:tc>
        <w:tc>
          <w:tcPr>
            <w:tcW w:w="1080" w:type="dxa"/>
            <w:tcBorders>
              <w:left w:val="nil"/>
              <w:bottom w:val="nil"/>
              <w:right w:val="nil"/>
            </w:tcBorders>
            <w:shd w:val="clear" w:color="auto" w:fill="auto"/>
            <w:vAlign w:val="bottom"/>
            <w:hideMark/>
          </w:tcPr>
          <w:p w:rsidR="008E611E" w:rsidRPr="00687A1C" w:rsidRDefault="008E611E" w:rsidP="00A06D35">
            <w:pPr>
              <w:pStyle w:val="Tabletextheadingright"/>
            </w:pPr>
            <w:r w:rsidRPr="00687A1C">
              <w:t>Other campaign expenditure</w:t>
            </w:r>
          </w:p>
          <w:p w:rsidR="008E611E" w:rsidRPr="00687A1C" w:rsidRDefault="008E611E" w:rsidP="00A06D35">
            <w:pPr>
              <w:pStyle w:val="Tabletextheadingright"/>
              <w:rPr>
                <w:color w:val="auto"/>
              </w:rPr>
            </w:pPr>
            <w:r w:rsidRPr="00687A1C">
              <w:t>(ex. GST)</w:t>
            </w:r>
          </w:p>
        </w:tc>
        <w:tc>
          <w:tcPr>
            <w:tcW w:w="810" w:type="dxa"/>
            <w:tcBorders>
              <w:left w:val="nil"/>
              <w:bottom w:val="nil"/>
              <w:right w:val="nil"/>
            </w:tcBorders>
            <w:vAlign w:val="bottom"/>
          </w:tcPr>
          <w:p w:rsidR="008E611E" w:rsidRPr="00687A1C" w:rsidRDefault="008E611E" w:rsidP="00A06D35">
            <w:pPr>
              <w:pStyle w:val="Tabletextheadingright"/>
            </w:pPr>
            <w:r w:rsidRPr="00687A1C">
              <w:t>Total</w:t>
            </w:r>
          </w:p>
        </w:tc>
      </w:tr>
      <w:tr w:rsidR="00CD10AF" w:rsidRPr="00687A1C" w:rsidTr="001C184C">
        <w:trPr>
          <w:trHeight w:val="225"/>
        </w:trPr>
        <w:tc>
          <w:tcPr>
            <w:tcW w:w="990" w:type="dxa"/>
            <w:tcBorders>
              <w:left w:val="nil"/>
              <w:right w:val="nil"/>
            </w:tcBorders>
            <w:shd w:val="clear" w:color="auto" w:fill="auto"/>
          </w:tcPr>
          <w:p w:rsidR="006F0EFD" w:rsidRPr="00687A1C" w:rsidRDefault="006F0EFD" w:rsidP="006F0EFD">
            <w:pPr>
              <w:pStyle w:val="Tabletext"/>
            </w:pPr>
            <w:r w:rsidRPr="00687A1C">
              <w:t>Regional awareness campaign</w:t>
            </w:r>
          </w:p>
        </w:tc>
        <w:tc>
          <w:tcPr>
            <w:tcW w:w="1795" w:type="dxa"/>
            <w:tcBorders>
              <w:left w:val="nil"/>
              <w:right w:val="nil"/>
            </w:tcBorders>
            <w:shd w:val="clear" w:color="auto" w:fill="auto"/>
          </w:tcPr>
          <w:p w:rsidR="006F0EFD" w:rsidRPr="00687A1C" w:rsidRDefault="00EF0CF1" w:rsidP="00CD10AF">
            <w:pPr>
              <w:pStyle w:val="Tabletext"/>
            </w:pPr>
            <w:r w:rsidRPr="00687A1C">
              <w:t>The regional awareness campaign comprised two key components. The first was to raise awareness among regionally based Victorians of Government initiatives including changes to stamp duty and the doubling of the First Home Owner Grant. The second was to raise awareness of the Government's reductions in payroll tax for businesses based in regional Victoria.</w:t>
            </w:r>
          </w:p>
        </w:tc>
        <w:tc>
          <w:tcPr>
            <w:tcW w:w="720" w:type="dxa"/>
            <w:tcBorders>
              <w:left w:val="nil"/>
              <w:right w:val="nil"/>
            </w:tcBorders>
            <w:shd w:val="clear" w:color="auto" w:fill="auto"/>
            <w:noWrap/>
          </w:tcPr>
          <w:p w:rsidR="006F0EFD" w:rsidRPr="00687A1C" w:rsidRDefault="006F0EFD" w:rsidP="006F0EFD">
            <w:pPr>
              <w:pStyle w:val="Tabletext"/>
            </w:pPr>
            <w:r w:rsidRPr="00687A1C">
              <w:t>3 Sep</w:t>
            </w:r>
            <w:r w:rsidR="00CD10AF" w:rsidRPr="00687A1C">
              <w:t>t</w:t>
            </w:r>
            <w:r w:rsidRPr="00687A1C">
              <w:t xml:space="preserve"> 2017 to </w:t>
            </w:r>
            <w:r w:rsidR="00CD10AF" w:rsidRPr="00687A1C">
              <w:br/>
            </w:r>
            <w:r w:rsidRPr="00687A1C">
              <w:t>28 Oct 2017</w:t>
            </w:r>
          </w:p>
        </w:tc>
        <w:tc>
          <w:tcPr>
            <w:tcW w:w="1080" w:type="dxa"/>
            <w:tcBorders>
              <w:left w:val="nil"/>
              <w:right w:val="nil"/>
            </w:tcBorders>
            <w:shd w:val="clear" w:color="auto" w:fill="auto"/>
          </w:tcPr>
          <w:p w:rsidR="006F0EFD" w:rsidRPr="00687A1C" w:rsidRDefault="006F0EFD" w:rsidP="006F0EFD">
            <w:pPr>
              <w:pStyle w:val="Tabletextright"/>
            </w:pPr>
            <w:r w:rsidRPr="00687A1C">
              <w:t>$800 000</w:t>
            </w:r>
          </w:p>
        </w:tc>
        <w:tc>
          <w:tcPr>
            <w:tcW w:w="1170" w:type="dxa"/>
            <w:tcBorders>
              <w:left w:val="nil"/>
              <w:right w:val="nil"/>
            </w:tcBorders>
            <w:shd w:val="clear" w:color="auto" w:fill="auto"/>
          </w:tcPr>
          <w:p w:rsidR="006F0EFD" w:rsidRPr="00687A1C" w:rsidRDefault="006F0EFD" w:rsidP="006F0EFD">
            <w:pPr>
              <w:pStyle w:val="Tabletextright"/>
            </w:pPr>
            <w:r w:rsidRPr="00687A1C">
              <w:t>235 328</w:t>
            </w:r>
          </w:p>
        </w:tc>
        <w:tc>
          <w:tcPr>
            <w:tcW w:w="1170" w:type="dxa"/>
            <w:tcBorders>
              <w:top w:val="nil"/>
              <w:left w:val="nil"/>
              <w:bottom w:val="nil"/>
              <w:right w:val="nil"/>
            </w:tcBorders>
            <w:shd w:val="clear" w:color="auto" w:fill="auto"/>
          </w:tcPr>
          <w:p w:rsidR="006F0EFD" w:rsidRPr="00687A1C" w:rsidRDefault="006F0EFD" w:rsidP="006F0EFD">
            <w:pPr>
              <w:pStyle w:val="Tabletextright"/>
            </w:pPr>
            <w:r w:rsidRPr="00687A1C">
              <w:t xml:space="preserve">82 500 </w:t>
            </w:r>
          </w:p>
        </w:tc>
        <w:tc>
          <w:tcPr>
            <w:tcW w:w="1080" w:type="dxa"/>
            <w:tcBorders>
              <w:top w:val="nil"/>
              <w:left w:val="nil"/>
              <w:bottom w:val="nil"/>
              <w:right w:val="nil"/>
            </w:tcBorders>
            <w:shd w:val="clear" w:color="auto" w:fill="auto"/>
          </w:tcPr>
          <w:p w:rsidR="006F0EFD" w:rsidRPr="00687A1C" w:rsidRDefault="006F0EFD" w:rsidP="006F0EFD">
            <w:pPr>
              <w:pStyle w:val="Tabletextright"/>
            </w:pPr>
            <w:r w:rsidRPr="00687A1C">
              <w:t>n/a</w:t>
            </w:r>
          </w:p>
        </w:tc>
        <w:tc>
          <w:tcPr>
            <w:tcW w:w="1080" w:type="dxa"/>
            <w:tcBorders>
              <w:top w:val="nil"/>
              <w:left w:val="nil"/>
              <w:bottom w:val="nil"/>
              <w:right w:val="nil"/>
            </w:tcBorders>
            <w:shd w:val="clear" w:color="auto" w:fill="auto"/>
          </w:tcPr>
          <w:p w:rsidR="006F0EFD" w:rsidRPr="00687A1C" w:rsidRDefault="006F0EFD" w:rsidP="006F0EFD">
            <w:pPr>
              <w:pStyle w:val="Tabletextright"/>
            </w:pPr>
            <w:r w:rsidRPr="00687A1C">
              <w:t>39 820</w:t>
            </w:r>
          </w:p>
        </w:tc>
        <w:tc>
          <w:tcPr>
            <w:tcW w:w="810" w:type="dxa"/>
            <w:tcBorders>
              <w:top w:val="nil"/>
              <w:left w:val="nil"/>
              <w:bottom w:val="nil"/>
              <w:right w:val="nil"/>
            </w:tcBorders>
          </w:tcPr>
          <w:p w:rsidR="006F0EFD" w:rsidRPr="00687A1C" w:rsidRDefault="006F0EFD" w:rsidP="006F0EFD">
            <w:pPr>
              <w:pStyle w:val="Tabletextright"/>
            </w:pPr>
            <w:r w:rsidRPr="00687A1C">
              <w:t>$1 157 648</w:t>
            </w:r>
          </w:p>
        </w:tc>
      </w:tr>
    </w:tbl>
    <w:p w:rsidR="008E611E" w:rsidRPr="00687A1C" w:rsidRDefault="008E611E" w:rsidP="008E611E">
      <w:pPr>
        <w:rPr>
          <w:rFonts w:cstheme="minorHAnsi"/>
        </w:rPr>
      </w:pPr>
    </w:p>
    <w:p w:rsidR="008E611E" w:rsidRPr="00687A1C" w:rsidRDefault="008E611E" w:rsidP="008E611E">
      <w:pPr>
        <w:rPr>
          <w:rFonts w:cstheme="minorHAnsi"/>
        </w:rPr>
      </w:pPr>
    </w:p>
    <w:p w:rsidR="008E611E" w:rsidRPr="00687A1C" w:rsidRDefault="008E611E" w:rsidP="008E611E">
      <w:pPr>
        <w:rPr>
          <w:rFonts w:cstheme="minorHAnsi"/>
        </w:rPr>
        <w:sectPr w:rsidR="008E611E" w:rsidRPr="00687A1C" w:rsidSect="008E611E">
          <w:type w:val="continuous"/>
          <w:pgSz w:w="11909" w:h="16834" w:code="9"/>
          <w:pgMar w:top="1728" w:right="1152" w:bottom="1267" w:left="1152" w:header="720" w:footer="288" w:gutter="0"/>
          <w:cols w:space="720"/>
          <w:noEndnote/>
        </w:sectPr>
      </w:pPr>
    </w:p>
    <w:p w:rsidR="00A81EC2" w:rsidRPr="00687A1C" w:rsidRDefault="00A81EC2" w:rsidP="007E4DBD">
      <w:pPr>
        <w:pStyle w:val="Heading1b"/>
      </w:pPr>
      <w:bookmarkStart w:id="189" w:name="_Toc525026165"/>
      <w:r w:rsidRPr="00687A1C">
        <w:lastRenderedPageBreak/>
        <w:t>Consultancy expenditure</w:t>
      </w:r>
      <w:bookmarkEnd w:id="189"/>
    </w:p>
    <w:p w:rsidR="008E611E" w:rsidRPr="00687A1C" w:rsidRDefault="008E611E" w:rsidP="00C8160C">
      <w:pPr>
        <w:pStyle w:val="Heading2"/>
      </w:pPr>
      <w:bookmarkStart w:id="190" w:name="_Ref492630865"/>
      <w:r w:rsidRPr="00687A1C">
        <w:t>Details of consultancies (valued at $10</w:t>
      </w:r>
      <w:r w:rsidRPr="00687A1C">
        <w:rPr>
          <w:rFonts w:ascii="Calibri" w:hAnsi="Calibri" w:cs="Calibri"/>
        </w:rPr>
        <w:t> </w:t>
      </w:r>
      <w:r w:rsidRPr="00687A1C">
        <w:t>000 or greater)</w:t>
      </w:r>
      <w:bookmarkEnd w:id="190"/>
    </w:p>
    <w:p w:rsidR="008E611E" w:rsidRPr="00687A1C" w:rsidRDefault="00E54523" w:rsidP="00E54523">
      <w:r w:rsidRPr="00687A1C">
        <w:t>In 2017-18</w:t>
      </w:r>
      <w:r w:rsidR="00B820C5" w:rsidRPr="00687A1C">
        <w:t>,</w:t>
      </w:r>
      <w:r w:rsidR="00FA624E" w:rsidRPr="00687A1C">
        <w:t xml:space="preserve"> there were 78</w:t>
      </w:r>
      <w:r w:rsidRPr="00687A1C">
        <w:t xml:space="preserve"> consultancies where the total fees payable to the consultants were $10</w:t>
      </w:r>
      <w:r w:rsidRPr="00687A1C">
        <w:rPr>
          <w:rFonts w:ascii="Calibri" w:hAnsi="Calibri" w:cs="Calibri"/>
        </w:rPr>
        <w:t> </w:t>
      </w:r>
      <w:r w:rsidRPr="00687A1C">
        <w:t>000 or greater. The total expenditure incurred during 2017</w:t>
      </w:r>
      <w:r w:rsidRPr="00687A1C">
        <w:noBreakHyphen/>
        <w:t>18 in relation to these consultancies is $34</w:t>
      </w:r>
      <w:r w:rsidRPr="00687A1C">
        <w:rPr>
          <w:rFonts w:ascii="Calibri" w:hAnsi="Calibri" w:cs="Calibri"/>
        </w:rPr>
        <w:t> </w:t>
      </w:r>
      <w:r w:rsidRPr="00687A1C">
        <w:t>041</w:t>
      </w:r>
      <w:r w:rsidRPr="00687A1C">
        <w:rPr>
          <w:rFonts w:ascii="Calibri" w:hAnsi="Calibri" w:cs="Calibri"/>
        </w:rPr>
        <w:t> </w:t>
      </w:r>
      <w:r w:rsidRPr="00687A1C">
        <w:t xml:space="preserve">081 (excluding GST). Details of individual consultancies can be viewed at </w:t>
      </w:r>
      <w:hyperlink r:id="rId135" w:history="1">
        <w:r w:rsidRPr="00687A1C">
          <w:t>www.dtf.vic.gov.au</w:t>
        </w:r>
      </w:hyperlink>
      <w:r w:rsidRPr="00687A1C">
        <w:t>.</w:t>
      </w:r>
    </w:p>
    <w:p w:rsidR="008E611E" w:rsidRPr="00687A1C" w:rsidRDefault="008E611E" w:rsidP="008E611E">
      <w:pPr>
        <w:pStyle w:val="Heading2"/>
      </w:pPr>
      <w:bookmarkStart w:id="191" w:name="_Ref492630870"/>
      <w:r w:rsidRPr="00687A1C">
        <w:t>Details of consultancies under $10</w:t>
      </w:r>
      <w:r w:rsidRPr="00687A1C">
        <w:rPr>
          <w:rFonts w:ascii="Calibri" w:hAnsi="Calibri" w:cs="Calibri"/>
        </w:rPr>
        <w:t> </w:t>
      </w:r>
      <w:r w:rsidRPr="00687A1C">
        <w:t>000</w:t>
      </w:r>
      <w:bookmarkEnd w:id="191"/>
    </w:p>
    <w:p w:rsidR="008E611E" w:rsidRPr="00687A1C" w:rsidRDefault="00E54523" w:rsidP="00E54523">
      <w:r w:rsidRPr="00687A1C">
        <w:t>In 2017-18, there were 11 consultancies engaged during the year, where the total fees payable to the individual consultancies was less than $10</w:t>
      </w:r>
      <w:r w:rsidRPr="00687A1C">
        <w:rPr>
          <w:rFonts w:ascii="Calibri" w:hAnsi="Calibri" w:cs="Calibri"/>
        </w:rPr>
        <w:t> </w:t>
      </w:r>
      <w:r w:rsidRPr="00687A1C">
        <w:t>000. The total expenditure incurred during 2017-18 in relation to these consultancies was $67 047 (excl. GST).</w:t>
      </w:r>
    </w:p>
    <w:p w:rsidR="00C8160C" w:rsidRPr="00687A1C" w:rsidRDefault="00A81EC2" w:rsidP="007E4DBD">
      <w:pPr>
        <w:pStyle w:val="Heading1b"/>
      </w:pPr>
      <w:r w:rsidRPr="00687A1C">
        <w:br w:type="column"/>
      </w:r>
      <w:bookmarkStart w:id="192" w:name="_Toc525026166"/>
      <w:r w:rsidR="00C8160C" w:rsidRPr="00687A1C">
        <w:t>Information and communication technology expenditure</w:t>
      </w:r>
      <w:bookmarkEnd w:id="192"/>
    </w:p>
    <w:p w:rsidR="00A81EC2" w:rsidRPr="00687A1C" w:rsidRDefault="00A81EC2" w:rsidP="00C8160C">
      <w:pPr>
        <w:pStyle w:val="Heading2"/>
      </w:pPr>
      <w:bookmarkStart w:id="193" w:name="_Ref492631101"/>
      <w:r w:rsidRPr="00687A1C">
        <w:t xml:space="preserve">Disclosure of Information and Communication Technology </w:t>
      </w:r>
      <w:r w:rsidR="00C8160C" w:rsidRPr="00687A1C">
        <w:t xml:space="preserve">(ICT) </w:t>
      </w:r>
      <w:r w:rsidRPr="00687A1C">
        <w:t>expenditure</w:t>
      </w:r>
      <w:bookmarkEnd w:id="193"/>
    </w:p>
    <w:p w:rsidR="00A81EC2" w:rsidRPr="00687A1C" w:rsidRDefault="00A004CF" w:rsidP="00A81EC2">
      <w:r w:rsidRPr="00687A1C">
        <w:t>For the 2017-18 reporting period, the Department had a total Information and Communication Technology (ICT) expenditure of $45</w:t>
      </w:r>
      <w:r w:rsidR="001C184C">
        <w:rPr>
          <w:rFonts w:ascii="Calibri" w:hAnsi="Calibri"/>
        </w:rPr>
        <w:t> </w:t>
      </w:r>
      <w:r w:rsidRPr="00687A1C">
        <w:t>573</w:t>
      </w:r>
      <w:r w:rsidR="001C184C">
        <w:rPr>
          <w:rFonts w:ascii="Calibri" w:hAnsi="Calibri"/>
        </w:rPr>
        <w:t> </w:t>
      </w:r>
      <w:r w:rsidRPr="00687A1C">
        <w:t>049, with the details shown below.</w:t>
      </w:r>
    </w:p>
    <w:tbl>
      <w:tblPr>
        <w:tblStyle w:val="AnnualReporttexttable"/>
        <w:tblW w:w="0" w:type="auto"/>
        <w:tblLook w:val="00A0" w:firstRow="1" w:lastRow="0" w:firstColumn="1" w:lastColumn="0" w:noHBand="0" w:noVBand="0"/>
      </w:tblPr>
      <w:tblGrid>
        <w:gridCol w:w="3502"/>
        <w:gridCol w:w="1156"/>
      </w:tblGrid>
      <w:tr w:rsidR="00A004CF" w:rsidRPr="00687A1C" w:rsidTr="00601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2" w:type="dxa"/>
          </w:tcPr>
          <w:p w:rsidR="00A004CF" w:rsidRPr="00687A1C" w:rsidRDefault="00A004CF" w:rsidP="00601715">
            <w:pPr>
              <w:pStyle w:val="Tabletext"/>
            </w:pPr>
          </w:p>
        </w:tc>
        <w:tc>
          <w:tcPr>
            <w:cnfStyle w:val="000010000000" w:firstRow="0" w:lastRow="0" w:firstColumn="0" w:lastColumn="0" w:oddVBand="1" w:evenVBand="0" w:oddHBand="0" w:evenHBand="0" w:firstRowFirstColumn="0" w:firstRowLastColumn="0" w:lastRowFirstColumn="0" w:lastRowLastColumn="0"/>
            <w:tcW w:w="1156" w:type="dxa"/>
            <w:shd w:val="clear" w:color="auto" w:fill="auto"/>
          </w:tcPr>
          <w:p w:rsidR="00A004CF" w:rsidRPr="00687A1C" w:rsidRDefault="00A004CF" w:rsidP="00A004CF">
            <w:pPr>
              <w:pStyle w:val="Tabletextright"/>
            </w:pPr>
            <w:r w:rsidRPr="00687A1C">
              <w:rPr>
                <w:lang w:eastAsia="en-US"/>
              </w:rPr>
              <w:t>$’000</w:t>
            </w:r>
          </w:p>
        </w:tc>
      </w:tr>
      <w:tr w:rsidR="00A004CF" w:rsidRPr="00687A1C" w:rsidTr="00601715">
        <w:tc>
          <w:tcPr>
            <w:cnfStyle w:val="001000000000" w:firstRow="0" w:lastRow="0" w:firstColumn="1" w:lastColumn="0" w:oddVBand="0" w:evenVBand="0" w:oddHBand="0" w:evenHBand="0" w:firstRowFirstColumn="0" w:firstRowLastColumn="0" w:lastRowFirstColumn="0" w:lastRowLastColumn="0"/>
            <w:tcW w:w="3502" w:type="dxa"/>
          </w:tcPr>
          <w:p w:rsidR="00A004CF" w:rsidRPr="00687A1C" w:rsidRDefault="00A004CF" w:rsidP="00A004CF">
            <w:pPr>
              <w:pStyle w:val="Tabletext"/>
            </w:pPr>
            <w:r w:rsidRPr="00687A1C">
              <w:rPr>
                <w:rFonts w:eastAsia="Calibri"/>
              </w:rPr>
              <w:t>Business as usual (BAU) ICT expenditure</w:t>
            </w:r>
          </w:p>
        </w:tc>
        <w:tc>
          <w:tcPr>
            <w:cnfStyle w:val="000010000000" w:firstRow="0" w:lastRow="0" w:firstColumn="0" w:lastColumn="0" w:oddVBand="1" w:evenVBand="0" w:oddHBand="0" w:evenHBand="0" w:firstRowFirstColumn="0" w:firstRowLastColumn="0" w:lastRowFirstColumn="0" w:lastRowLastColumn="0"/>
            <w:tcW w:w="1156" w:type="dxa"/>
            <w:vAlign w:val="bottom"/>
          </w:tcPr>
          <w:p w:rsidR="00A004CF" w:rsidRPr="00687A1C" w:rsidRDefault="00A004CF" w:rsidP="00D8412D">
            <w:pPr>
              <w:pStyle w:val="Tabletextright"/>
            </w:pPr>
            <w:r w:rsidRPr="00687A1C">
              <w:t>33</w:t>
            </w:r>
            <w:r w:rsidR="00D8412D" w:rsidRPr="00687A1C">
              <w:rPr>
                <w:rFonts w:ascii="Calibri" w:hAnsi="Calibri" w:cs="Calibri"/>
              </w:rPr>
              <w:t xml:space="preserve"> </w:t>
            </w:r>
            <w:r w:rsidRPr="00687A1C">
              <w:t xml:space="preserve">102 </w:t>
            </w:r>
          </w:p>
        </w:tc>
      </w:tr>
      <w:tr w:rsidR="00A004CF" w:rsidRPr="00687A1C" w:rsidTr="00601715">
        <w:tc>
          <w:tcPr>
            <w:cnfStyle w:val="001000000000" w:firstRow="0" w:lastRow="0" w:firstColumn="1" w:lastColumn="0" w:oddVBand="0" w:evenVBand="0" w:oddHBand="0" w:evenHBand="0" w:firstRowFirstColumn="0" w:firstRowLastColumn="0" w:lastRowFirstColumn="0" w:lastRowLastColumn="0"/>
            <w:tcW w:w="3502" w:type="dxa"/>
          </w:tcPr>
          <w:p w:rsidR="00A004CF" w:rsidRPr="00687A1C" w:rsidRDefault="00A004CF" w:rsidP="00A004CF">
            <w:pPr>
              <w:pStyle w:val="Tabletext"/>
            </w:pPr>
            <w:r w:rsidRPr="00687A1C">
              <w:rPr>
                <w:rFonts w:eastAsia="Calibri"/>
              </w:rPr>
              <w:t>Non</w:t>
            </w:r>
            <w:r w:rsidRPr="00687A1C">
              <w:rPr>
                <w:rFonts w:eastAsia="Calibri"/>
              </w:rPr>
              <w:noBreakHyphen/>
              <w:t>business as usual (non</w:t>
            </w:r>
            <w:r w:rsidRPr="00687A1C">
              <w:rPr>
                <w:rFonts w:eastAsia="Calibri"/>
              </w:rPr>
              <w:noBreakHyphen/>
              <w:t>BAU) ICT expenditure consisting of:</w:t>
            </w:r>
          </w:p>
        </w:tc>
        <w:tc>
          <w:tcPr>
            <w:cnfStyle w:val="000010000000" w:firstRow="0" w:lastRow="0" w:firstColumn="0" w:lastColumn="0" w:oddVBand="1" w:evenVBand="0" w:oddHBand="0" w:evenHBand="0" w:firstRowFirstColumn="0" w:firstRowLastColumn="0" w:lastRowFirstColumn="0" w:lastRowLastColumn="0"/>
            <w:tcW w:w="1156" w:type="dxa"/>
            <w:vAlign w:val="bottom"/>
          </w:tcPr>
          <w:p w:rsidR="00A004CF" w:rsidRPr="00687A1C" w:rsidRDefault="00A004CF" w:rsidP="00D8412D">
            <w:pPr>
              <w:pStyle w:val="Tabletextright"/>
            </w:pPr>
            <w:r w:rsidRPr="00687A1C">
              <w:t>12</w:t>
            </w:r>
            <w:r w:rsidR="00D8412D" w:rsidRPr="00687A1C">
              <w:rPr>
                <w:rFonts w:ascii="Calibri" w:hAnsi="Calibri" w:cs="Calibri"/>
              </w:rPr>
              <w:t xml:space="preserve"> </w:t>
            </w:r>
            <w:r w:rsidRPr="00687A1C">
              <w:t xml:space="preserve">471 </w:t>
            </w:r>
          </w:p>
        </w:tc>
      </w:tr>
      <w:tr w:rsidR="00A004CF" w:rsidRPr="00687A1C" w:rsidTr="00601715">
        <w:tc>
          <w:tcPr>
            <w:cnfStyle w:val="001000000000" w:firstRow="0" w:lastRow="0" w:firstColumn="1" w:lastColumn="0" w:oddVBand="0" w:evenVBand="0" w:oddHBand="0" w:evenHBand="0" w:firstRowFirstColumn="0" w:firstRowLastColumn="0" w:lastRowFirstColumn="0" w:lastRowLastColumn="0"/>
            <w:tcW w:w="3502" w:type="dxa"/>
          </w:tcPr>
          <w:p w:rsidR="00A004CF" w:rsidRPr="00687A1C" w:rsidRDefault="00A004CF" w:rsidP="00A004CF">
            <w:pPr>
              <w:pStyle w:val="Tabletextindent"/>
            </w:pPr>
            <w:r w:rsidRPr="00687A1C">
              <w:rPr>
                <w:rFonts w:eastAsia="Calibri"/>
              </w:rPr>
              <w:t>Operational expenditure</w:t>
            </w:r>
          </w:p>
        </w:tc>
        <w:tc>
          <w:tcPr>
            <w:cnfStyle w:val="000010000000" w:firstRow="0" w:lastRow="0" w:firstColumn="0" w:lastColumn="0" w:oddVBand="1" w:evenVBand="0" w:oddHBand="0" w:evenHBand="0" w:firstRowFirstColumn="0" w:firstRowLastColumn="0" w:lastRowFirstColumn="0" w:lastRowLastColumn="0"/>
            <w:tcW w:w="1156" w:type="dxa"/>
            <w:vAlign w:val="bottom"/>
          </w:tcPr>
          <w:p w:rsidR="00A004CF" w:rsidRPr="00687A1C" w:rsidRDefault="00A004CF" w:rsidP="00D8412D">
            <w:pPr>
              <w:pStyle w:val="Tabletextright"/>
            </w:pPr>
            <w:r w:rsidRPr="00687A1C">
              <w:t>7</w:t>
            </w:r>
            <w:r w:rsidR="00D8412D" w:rsidRPr="00687A1C">
              <w:rPr>
                <w:rFonts w:ascii="Calibri" w:hAnsi="Calibri" w:cs="Calibri"/>
              </w:rPr>
              <w:t xml:space="preserve"> </w:t>
            </w:r>
            <w:r w:rsidRPr="00687A1C">
              <w:t xml:space="preserve">157 </w:t>
            </w:r>
          </w:p>
        </w:tc>
      </w:tr>
      <w:tr w:rsidR="00A004CF" w:rsidRPr="00687A1C" w:rsidTr="00601715">
        <w:tc>
          <w:tcPr>
            <w:cnfStyle w:val="001000000000" w:firstRow="0" w:lastRow="0" w:firstColumn="1" w:lastColumn="0" w:oddVBand="0" w:evenVBand="0" w:oddHBand="0" w:evenHBand="0" w:firstRowFirstColumn="0" w:firstRowLastColumn="0" w:lastRowFirstColumn="0" w:lastRowLastColumn="0"/>
            <w:tcW w:w="3502" w:type="dxa"/>
          </w:tcPr>
          <w:p w:rsidR="00A004CF" w:rsidRPr="00687A1C" w:rsidRDefault="00A004CF" w:rsidP="00A004CF">
            <w:pPr>
              <w:pStyle w:val="Tabletextindent"/>
            </w:pPr>
            <w:r w:rsidRPr="00687A1C">
              <w:rPr>
                <w:rFonts w:eastAsia="Calibri"/>
              </w:rPr>
              <w:t>Capital expenditure</w:t>
            </w:r>
          </w:p>
        </w:tc>
        <w:tc>
          <w:tcPr>
            <w:cnfStyle w:val="000010000000" w:firstRow="0" w:lastRow="0" w:firstColumn="0" w:lastColumn="0" w:oddVBand="1" w:evenVBand="0" w:oddHBand="0" w:evenHBand="0" w:firstRowFirstColumn="0" w:firstRowLastColumn="0" w:lastRowFirstColumn="0" w:lastRowLastColumn="0"/>
            <w:tcW w:w="1156" w:type="dxa"/>
            <w:vAlign w:val="bottom"/>
          </w:tcPr>
          <w:p w:rsidR="00A004CF" w:rsidRPr="00687A1C" w:rsidRDefault="00A004CF" w:rsidP="00D8412D">
            <w:pPr>
              <w:pStyle w:val="Tabletextright"/>
            </w:pPr>
            <w:r w:rsidRPr="00687A1C">
              <w:t>5</w:t>
            </w:r>
            <w:r w:rsidR="00D8412D" w:rsidRPr="00687A1C">
              <w:rPr>
                <w:rFonts w:ascii="Calibri" w:hAnsi="Calibri" w:cs="Calibri"/>
              </w:rPr>
              <w:t xml:space="preserve"> </w:t>
            </w:r>
            <w:r w:rsidRPr="00687A1C">
              <w:t xml:space="preserve">314 </w:t>
            </w:r>
          </w:p>
        </w:tc>
      </w:tr>
    </w:tbl>
    <w:p w:rsidR="00A004CF" w:rsidRPr="00687A1C" w:rsidRDefault="00A004CF" w:rsidP="00A81EC2"/>
    <w:p w:rsidR="001E7B04" w:rsidRPr="00687A1C" w:rsidRDefault="001E7B04" w:rsidP="00321979">
      <w:pPr>
        <w:pStyle w:val="Spacer"/>
      </w:pPr>
    </w:p>
    <w:p w:rsidR="001E7B04" w:rsidRPr="00687A1C" w:rsidRDefault="001E7B04" w:rsidP="007E4DBD">
      <w:pPr>
        <w:pStyle w:val="Heading1b"/>
      </w:pPr>
      <w:bookmarkStart w:id="194" w:name="MajorContracts"/>
      <w:bookmarkStart w:id="195" w:name="_Toc525026167"/>
      <w:r w:rsidRPr="00687A1C">
        <w:t>Disclosure of major contracts</w:t>
      </w:r>
      <w:bookmarkEnd w:id="194"/>
      <w:bookmarkEnd w:id="195"/>
    </w:p>
    <w:p w:rsidR="001E7B04" w:rsidRPr="00687A1C" w:rsidRDefault="006F0EFD" w:rsidP="001E7B04">
      <w:pPr>
        <w:rPr>
          <w:rFonts w:cstheme="minorHAnsi"/>
        </w:rPr>
      </w:pPr>
      <w:r w:rsidRPr="00687A1C">
        <w:rPr>
          <w:rFonts w:cstheme="minorHAnsi"/>
        </w:rPr>
        <w:t>The Department has disclosed, in accordance with the requirements of Victorian Government policy and accompanying guidelines, all contracts greater than $10</w:t>
      </w:r>
      <w:r w:rsidR="006F069A" w:rsidRPr="00687A1C">
        <w:rPr>
          <w:rFonts w:ascii="Calibri" w:hAnsi="Calibri" w:cs="Calibri"/>
        </w:rPr>
        <w:t> </w:t>
      </w:r>
      <w:r w:rsidR="006F069A" w:rsidRPr="00687A1C">
        <w:rPr>
          <w:rFonts w:cstheme="minorHAnsi"/>
        </w:rPr>
        <w:t>million</w:t>
      </w:r>
      <w:r w:rsidRPr="00687A1C">
        <w:rPr>
          <w:rFonts w:cstheme="minorHAnsi"/>
        </w:rPr>
        <w:t xml:space="preserve"> in value</w:t>
      </w:r>
      <w:r w:rsidR="009253F0" w:rsidRPr="00687A1C">
        <w:rPr>
          <w:rFonts w:cstheme="minorHAnsi"/>
        </w:rPr>
        <w:t>,</w:t>
      </w:r>
      <w:r w:rsidRPr="00687A1C">
        <w:rPr>
          <w:rFonts w:cstheme="minorHAnsi"/>
        </w:rPr>
        <w:t xml:space="preserve"> which it entered into during the year ended 30 June 2018. Details of contracts that have been disclosed can be viewed at procurement.vic.gov.au.</w:t>
      </w:r>
    </w:p>
    <w:p w:rsidR="00A15B96" w:rsidRPr="00687A1C" w:rsidRDefault="00A15B96">
      <w:pPr>
        <w:spacing w:before="0" w:after="0"/>
        <w:rPr>
          <w:rFonts w:asciiTheme="majorHAnsi" w:hAnsiTheme="majorHAnsi" w:cstheme="minorHAnsi"/>
          <w:b/>
          <w:color w:val="4C4C4C"/>
          <w:sz w:val="30"/>
          <w:szCs w:val="48"/>
        </w:rPr>
      </w:pPr>
      <w:bookmarkStart w:id="196" w:name="FOI"/>
      <w:r w:rsidRPr="00687A1C">
        <w:br w:type="page"/>
      </w:r>
    </w:p>
    <w:p w:rsidR="00BD7BFF" w:rsidRPr="00687A1C" w:rsidRDefault="00BD7BFF" w:rsidP="007E4DBD">
      <w:pPr>
        <w:pStyle w:val="Heading1b"/>
      </w:pPr>
      <w:bookmarkStart w:id="197" w:name="_Toc525026168"/>
      <w:r w:rsidRPr="00687A1C">
        <w:lastRenderedPageBreak/>
        <w:t>Freedom of Information</w:t>
      </w:r>
      <w:bookmarkEnd w:id="197"/>
    </w:p>
    <w:bookmarkEnd w:id="196"/>
    <w:p w:rsidR="00BD4425" w:rsidRPr="00687A1C" w:rsidRDefault="00BD4425" w:rsidP="00BD4425">
      <w:r w:rsidRPr="00687A1C">
        <w:t xml:space="preserve">The </w:t>
      </w:r>
      <w:r w:rsidRPr="00687A1C">
        <w:rPr>
          <w:i/>
        </w:rPr>
        <w:t>Freedom of Information Act 1982</w:t>
      </w:r>
      <w:r w:rsidRPr="00687A1C">
        <w:t xml:space="preserve"> (the Act) allows the public a right of access to documents held by the Department. </w:t>
      </w:r>
    </w:p>
    <w:p w:rsidR="00BD4425" w:rsidRPr="00687A1C" w:rsidRDefault="00BD4425" w:rsidP="00BD4425">
      <w:r w:rsidRPr="00687A1C">
        <w:t xml:space="preserve">During 2017-18, the Department received 54 FOI requests. Of those, 15 were from Members of Parliament, eight were from media organisations and 31 were from members of the public. </w:t>
      </w:r>
    </w:p>
    <w:p w:rsidR="00BD4425" w:rsidRPr="00687A1C" w:rsidRDefault="00BD4425" w:rsidP="00BD4425">
      <w:r w:rsidRPr="00687A1C">
        <w:t>The Department made 41 FOI decisions during the</w:t>
      </w:r>
      <w:r w:rsidR="00A15B96" w:rsidRPr="00687A1C">
        <w:t xml:space="preserve"> </w:t>
      </w:r>
      <w:r w:rsidR="00A15B96" w:rsidRPr="00687A1C">
        <w:br/>
      </w:r>
      <w:r w:rsidRPr="00687A1C">
        <w:t>12</w:t>
      </w:r>
      <w:r w:rsidR="00A15B96" w:rsidRPr="00687A1C">
        <w:t xml:space="preserve"> </w:t>
      </w:r>
      <w:r w:rsidRPr="00687A1C">
        <w:t>months ending 30 June 2018. A further 15</w:t>
      </w:r>
      <w:r w:rsidR="00A15B96" w:rsidRPr="00687A1C">
        <w:t xml:space="preserve"> </w:t>
      </w:r>
      <w:r w:rsidRPr="00687A1C">
        <w:t>requests were withdrawn or transferred to more appropriate agencies, with the consent of the applicant.</w:t>
      </w:r>
    </w:p>
    <w:p w:rsidR="00BD4425" w:rsidRPr="00687A1C" w:rsidRDefault="00A15B96" w:rsidP="00BD4425">
      <w:r w:rsidRPr="00687A1C">
        <w:t>Fourteen</w:t>
      </w:r>
      <w:r w:rsidR="00BD4425" w:rsidRPr="00687A1C">
        <w:t xml:space="preserve"> decisions were made within the statutory time period to decide the request, 19 decisions were made 1 to 45 days after, and eight decisions were made 46</w:t>
      </w:r>
      <w:r w:rsidRPr="00687A1C">
        <w:t xml:space="preserve"> </w:t>
      </w:r>
      <w:r w:rsidR="00BD4425" w:rsidRPr="00687A1C">
        <w:t xml:space="preserve">or more days after the statutory time period to decide the request. </w:t>
      </w:r>
    </w:p>
    <w:p w:rsidR="00BD4425" w:rsidRPr="00687A1C" w:rsidRDefault="00BD4425" w:rsidP="00BD4425">
      <w:r w:rsidRPr="00687A1C">
        <w:t>The average time taken to finalise requests in 2017-18 was 62.61 days.</w:t>
      </w:r>
    </w:p>
    <w:p w:rsidR="00BD4425" w:rsidRPr="00687A1C" w:rsidRDefault="00BD4425" w:rsidP="00D00B76">
      <w:pPr>
        <w:pStyle w:val="Heading2"/>
      </w:pPr>
      <w:r w:rsidRPr="00687A1C">
        <w:t xml:space="preserve">Making a </w:t>
      </w:r>
      <w:r w:rsidR="00D00B76" w:rsidRPr="00687A1C">
        <w:t>request</w:t>
      </w:r>
    </w:p>
    <w:p w:rsidR="00BD4425" w:rsidRPr="00687A1C" w:rsidRDefault="00BD4425" w:rsidP="00BD4425">
      <w:r w:rsidRPr="00687A1C">
        <w:t>Section 17 of the Act sets out the formal requirements for making a request. In summary, a request should:</w:t>
      </w:r>
    </w:p>
    <w:p w:rsidR="00BD4425" w:rsidRPr="00687A1C" w:rsidRDefault="00BD4425" w:rsidP="00BD4425">
      <w:pPr>
        <w:pStyle w:val="Bullet"/>
      </w:pPr>
      <w:r w:rsidRPr="00687A1C">
        <w:t>be in writing;</w:t>
      </w:r>
    </w:p>
    <w:p w:rsidR="00BD4425" w:rsidRPr="00687A1C" w:rsidRDefault="00BD4425" w:rsidP="00BD4425">
      <w:pPr>
        <w:pStyle w:val="Bullet"/>
      </w:pPr>
      <w:r w:rsidRPr="00687A1C">
        <w:t>identify as clearly as possible what document is being requested; and</w:t>
      </w:r>
    </w:p>
    <w:p w:rsidR="00BD4425" w:rsidRPr="00687A1C" w:rsidRDefault="00BD4425" w:rsidP="00BD4425">
      <w:pPr>
        <w:pStyle w:val="Bullet"/>
      </w:pPr>
      <w:r w:rsidRPr="00687A1C">
        <w:t>be accompanied by an application fee (which may be waived in certain circumstances).</w:t>
      </w:r>
    </w:p>
    <w:p w:rsidR="00BD4425" w:rsidRPr="00687A1C" w:rsidRDefault="00BD4425" w:rsidP="00BD4425">
      <w:r w:rsidRPr="00687A1C">
        <w:t xml:space="preserve">To lodge an online FOI request visit the Freedom of information website at </w:t>
      </w:r>
      <w:hyperlink r:id="rId136" w:history="1">
        <w:r w:rsidR="00846FAE" w:rsidRPr="00687A1C">
          <w:rPr>
            <w:rStyle w:val="Hyperlink"/>
          </w:rPr>
          <w:t>www.foi.vic.gov.au</w:t>
        </w:r>
      </w:hyperlink>
      <w:r w:rsidRPr="00687A1C">
        <w:t>.</w:t>
      </w:r>
    </w:p>
    <w:p w:rsidR="00BD4425" w:rsidRPr="00687A1C" w:rsidRDefault="00BD4425" w:rsidP="00BD4425">
      <w:r w:rsidRPr="00687A1C">
        <w:t>The Department is also able to accept FOI requests directly. Requests for documents in the possession of the Department should be addressed to:</w:t>
      </w:r>
    </w:p>
    <w:p w:rsidR="00BD7BFF" w:rsidRPr="00687A1C" w:rsidRDefault="00BD7BFF" w:rsidP="000F346B">
      <w:pPr>
        <w:pStyle w:val="NormalIndent"/>
      </w:pPr>
      <w:r w:rsidRPr="00687A1C">
        <w:t xml:space="preserve">Freedom of Information Officer </w:t>
      </w:r>
      <w:r w:rsidRPr="00687A1C">
        <w:br/>
        <w:t xml:space="preserve">Department of Treasury and Finance </w:t>
      </w:r>
      <w:r w:rsidRPr="00687A1C">
        <w:br/>
        <w:t xml:space="preserve">GPO Box 4379 </w:t>
      </w:r>
      <w:r w:rsidRPr="00687A1C">
        <w:br/>
        <w:t>Melbourne VIC 3001</w:t>
      </w:r>
    </w:p>
    <w:p w:rsidR="00BD4425" w:rsidRPr="00687A1C" w:rsidRDefault="00BD4425" w:rsidP="00BD4425">
      <w:r w:rsidRPr="00687A1C">
        <w:t>Access charges</w:t>
      </w:r>
      <w:r w:rsidR="009469FE" w:rsidRPr="00687A1C">
        <w:t xml:space="preserve"> </w:t>
      </w:r>
      <w:r w:rsidRPr="00687A1C">
        <w:t>may be applicable, and could include charges for search time, supervision, and/or photocopying.</w:t>
      </w:r>
    </w:p>
    <w:p w:rsidR="00BD4425" w:rsidRPr="00687A1C" w:rsidRDefault="00BD4425" w:rsidP="00BD4425">
      <w:r w:rsidRPr="00687A1C">
        <w:t xml:space="preserve">Further information can be obtained from </w:t>
      </w:r>
      <w:hyperlink r:id="rId137" w:history="1">
        <w:r w:rsidR="00E32BED" w:rsidRPr="00687A1C">
          <w:rPr>
            <w:rStyle w:val="Hyperlink"/>
          </w:rPr>
          <w:t>https://foicommissioner.vic.gov.au/</w:t>
        </w:r>
      </w:hyperlink>
      <w:r w:rsidRPr="00687A1C">
        <w:t>.</w:t>
      </w:r>
    </w:p>
    <w:p w:rsidR="00DE17AC" w:rsidRPr="00687A1C" w:rsidRDefault="0062117D" w:rsidP="00FA723F">
      <w:pPr>
        <w:pStyle w:val="Heading1b"/>
      </w:pPr>
      <w:r w:rsidRPr="00687A1C">
        <w:br w:type="column"/>
      </w:r>
      <w:bookmarkStart w:id="198" w:name="_Toc525026169"/>
      <w:r w:rsidR="00DE17AC" w:rsidRPr="00687A1C">
        <w:t>Community Support Fund</w:t>
      </w:r>
      <w:bookmarkEnd w:id="198"/>
    </w:p>
    <w:p w:rsidR="0062117D" w:rsidRPr="00687A1C" w:rsidRDefault="0062117D" w:rsidP="0062117D">
      <w:r w:rsidRPr="00687A1C">
        <w:t xml:space="preserve">The Community Support Fund (CSF) is a trust fund that directs a portion of gaming revenue back into the community. It was established in 1991 and is governed by the </w:t>
      </w:r>
      <w:r w:rsidRPr="00687A1C">
        <w:rPr>
          <w:i/>
        </w:rPr>
        <w:t>Gambling Regulation Act 2003</w:t>
      </w:r>
      <w:r w:rsidRPr="00687A1C">
        <w:t>.</w:t>
      </w:r>
    </w:p>
    <w:p w:rsidR="0062117D" w:rsidRPr="00687A1C" w:rsidRDefault="0062117D" w:rsidP="0062117D">
      <w:r w:rsidRPr="00687A1C">
        <w:t xml:space="preserve">As prescribed by the legislation, the CSF receives </w:t>
      </w:r>
      <w:r w:rsidR="006C5542" w:rsidRPr="00687A1C">
        <w:br/>
      </w:r>
      <w:r w:rsidRPr="00687A1C">
        <w:t>8.33</w:t>
      </w:r>
      <w:r w:rsidR="006C5542" w:rsidRPr="00687A1C">
        <w:rPr>
          <w:rFonts w:ascii="Calibri" w:hAnsi="Calibri" w:cs="Calibri"/>
        </w:rPr>
        <w:t xml:space="preserve"> </w:t>
      </w:r>
      <w:r w:rsidR="006F069A" w:rsidRPr="00687A1C">
        <w:t>per</w:t>
      </w:r>
      <w:r w:rsidR="006C5542" w:rsidRPr="00687A1C">
        <w:rPr>
          <w:rFonts w:ascii="Calibri" w:hAnsi="Calibri" w:cs="Courier New"/>
        </w:rPr>
        <w:t xml:space="preserve"> </w:t>
      </w:r>
      <w:r w:rsidR="006F069A" w:rsidRPr="00687A1C">
        <w:t>cent</w:t>
      </w:r>
      <w:r w:rsidRPr="00687A1C">
        <w:t xml:space="preserve"> of the revenue generated from electronic gaming machines in hotels. Any interest earned on the balance of the trust fund is retained by the CSF. In 2017-18, the CSF </w:t>
      </w:r>
      <w:r w:rsidR="0092078A">
        <w:t>recognised</w:t>
      </w:r>
      <w:r w:rsidRPr="00687A1C">
        <w:t xml:space="preserve"> $146.66</w:t>
      </w:r>
      <w:r w:rsidR="006F069A" w:rsidRPr="00687A1C">
        <w:rPr>
          <w:rFonts w:ascii="Calibri" w:hAnsi="Calibri" w:cs="Calibri"/>
        </w:rPr>
        <w:t> </w:t>
      </w:r>
      <w:r w:rsidR="006F069A" w:rsidRPr="00687A1C">
        <w:t>million</w:t>
      </w:r>
      <w:r w:rsidRPr="00687A1C">
        <w:t xml:space="preserve"> in revenue.</w:t>
      </w:r>
    </w:p>
    <w:p w:rsidR="0062117D" w:rsidRPr="00687A1C" w:rsidRDefault="0062117D" w:rsidP="0062117D">
      <w:r w:rsidRPr="00687A1C">
        <w:t>The Government can allocate funding from the CSF to a range of initiatives, which are administered by departments. Funded initiatives must be consistent with the purposes of the legislation.</w:t>
      </w:r>
    </w:p>
    <w:p w:rsidR="0062117D" w:rsidRPr="00687A1C" w:rsidRDefault="0062117D" w:rsidP="0062117D">
      <w:r w:rsidRPr="00687A1C">
        <w:t xml:space="preserve">Programs that tackle problem gambling are the first call on funds from the CSF. The </w:t>
      </w:r>
      <w:r w:rsidRPr="00687A1C">
        <w:rPr>
          <w:i/>
        </w:rPr>
        <w:t>Victorian Responsible Gambling Foundation Act 2011</w:t>
      </w:r>
      <w:r w:rsidRPr="00687A1C">
        <w:t xml:space="preserve"> gives effect to the Government</w:t>
      </w:r>
      <w:r w:rsidR="009469FE" w:rsidRPr="00687A1C">
        <w:t>’</w:t>
      </w:r>
      <w:r w:rsidRPr="00687A1C">
        <w:t>s problem gambling policy. This legislation provides the basis on which funds will be transferred from the CSF to the Responsible Gambling Fund to reduce the prevalence and severity of gambling related harm and foster responsible gambling behaviour.</w:t>
      </w:r>
    </w:p>
    <w:p w:rsidR="0062117D" w:rsidRPr="00687A1C" w:rsidRDefault="0062117D" w:rsidP="0062117D">
      <w:r w:rsidRPr="00687A1C">
        <w:t>The CSF can also fund:</w:t>
      </w:r>
    </w:p>
    <w:p w:rsidR="0062117D" w:rsidRPr="00687A1C" w:rsidRDefault="0062117D" w:rsidP="0062117D">
      <w:pPr>
        <w:pStyle w:val="Bullet"/>
      </w:pPr>
      <w:r w:rsidRPr="00687A1C">
        <w:t>drug education, treatment and rehabilitation;</w:t>
      </w:r>
    </w:p>
    <w:p w:rsidR="0062117D" w:rsidRPr="00687A1C" w:rsidRDefault="0062117D" w:rsidP="0062117D">
      <w:pPr>
        <w:pStyle w:val="Bullet"/>
      </w:pPr>
      <w:r w:rsidRPr="00687A1C">
        <w:t>financial counselling and support for families in crisis;</w:t>
      </w:r>
    </w:p>
    <w:p w:rsidR="0062117D" w:rsidRPr="00687A1C" w:rsidRDefault="0062117D" w:rsidP="0062117D">
      <w:pPr>
        <w:pStyle w:val="Bullet"/>
      </w:pPr>
      <w:r w:rsidRPr="00687A1C">
        <w:t>youth programs;</w:t>
      </w:r>
    </w:p>
    <w:p w:rsidR="0062117D" w:rsidRPr="00687A1C" w:rsidRDefault="0062117D" w:rsidP="0062117D">
      <w:pPr>
        <w:pStyle w:val="Bullet"/>
      </w:pPr>
      <w:r w:rsidRPr="00687A1C">
        <w:t>sport and recreation;</w:t>
      </w:r>
    </w:p>
    <w:p w:rsidR="0062117D" w:rsidRPr="00687A1C" w:rsidRDefault="0062117D" w:rsidP="0062117D">
      <w:pPr>
        <w:pStyle w:val="Bullet"/>
      </w:pPr>
      <w:r w:rsidRPr="00687A1C">
        <w:t>arts and tourism;</w:t>
      </w:r>
    </w:p>
    <w:p w:rsidR="0062117D" w:rsidRPr="00687A1C" w:rsidRDefault="0062117D" w:rsidP="0062117D">
      <w:pPr>
        <w:pStyle w:val="Bullet"/>
      </w:pPr>
      <w:r w:rsidRPr="00687A1C">
        <w:t>community support or advancement; and</w:t>
      </w:r>
    </w:p>
    <w:p w:rsidR="0062117D" w:rsidRPr="00687A1C" w:rsidRDefault="0062117D" w:rsidP="0062117D">
      <w:pPr>
        <w:pStyle w:val="Bullet"/>
      </w:pPr>
      <w:r w:rsidRPr="00687A1C">
        <w:t xml:space="preserve">costs associated with administering the CSF. </w:t>
      </w:r>
    </w:p>
    <w:p w:rsidR="0062117D" w:rsidRPr="00687A1C" w:rsidRDefault="0062117D" w:rsidP="0062117D">
      <w:r w:rsidRPr="00687A1C">
        <w:t>The funds provided to departments are generally used to provide gran</w:t>
      </w:r>
      <w:r w:rsidR="009253F0" w:rsidRPr="00687A1C">
        <w:t>ts to a wide range of community</w:t>
      </w:r>
      <w:r w:rsidR="009253F0" w:rsidRPr="00687A1C">
        <w:noBreakHyphen/>
      </w:r>
      <w:r w:rsidRPr="00687A1C">
        <w:t>based organisations and councils, supporting them to build strong and sustainable communities.</w:t>
      </w:r>
    </w:p>
    <w:p w:rsidR="0062117D" w:rsidRPr="00687A1C" w:rsidRDefault="0062117D" w:rsidP="0062117D">
      <w:r w:rsidRPr="00687A1C">
        <w:t>The legislation also provides for the payment of one day</w:t>
      </w:r>
      <w:r w:rsidR="009469FE" w:rsidRPr="00687A1C">
        <w:t>’</w:t>
      </w:r>
      <w:r w:rsidRPr="00687A1C">
        <w:t>s revenue from the CSF to the Victorian Veterans Fund.</w:t>
      </w:r>
    </w:p>
    <w:p w:rsidR="0062117D" w:rsidRPr="00687A1C" w:rsidRDefault="0062117D" w:rsidP="0062117D">
      <w:r w:rsidRPr="00687A1C">
        <w:t>A total of $127.15</w:t>
      </w:r>
      <w:r w:rsidR="006F069A" w:rsidRPr="00687A1C">
        <w:rPr>
          <w:rFonts w:ascii="Calibri" w:hAnsi="Calibri" w:cs="Calibri"/>
        </w:rPr>
        <w:t> </w:t>
      </w:r>
      <w:r w:rsidR="006F069A" w:rsidRPr="00687A1C">
        <w:t>million</w:t>
      </w:r>
      <w:r w:rsidRPr="00687A1C">
        <w:t xml:space="preserve"> </w:t>
      </w:r>
      <w:r w:rsidR="00A15B96" w:rsidRPr="00687A1C">
        <w:t xml:space="preserve">in expenditure was </w:t>
      </w:r>
      <w:r w:rsidR="0092078A">
        <w:t>incurred</w:t>
      </w:r>
      <w:r w:rsidR="00A15B96" w:rsidRPr="00687A1C">
        <w:t xml:space="preserve"> in 2017-</w:t>
      </w:r>
      <w:r w:rsidRPr="00687A1C">
        <w:t xml:space="preserve">18. </w:t>
      </w:r>
      <w:r w:rsidR="00433E95" w:rsidRPr="00687A1C">
        <w:t>Sixteen</w:t>
      </w:r>
      <w:r w:rsidRPr="00687A1C">
        <w:t xml:space="preserve"> new community programs were approved in 2017-18 (as tabled </w:t>
      </w:r>
      <w:r w:rsidR="00D00B76" w:rsidRPr="00687A1C">
        <w:t>on the following page</w:t>
      </w:r>
      <w:r w:rsidRPr="00687A1C">
        <w:t>).</w:t>
      </w:r>
    </w:p>
    <w:p w:rsidR="0062117D" w:rsidRPr="00687A1C" w:rsidRDefault="0062117D" w:rsidP="0062117D">
      <w:r w:rsidRPr="00687A1C">
        <w:t>The administration of the CSF forms part of the audited accounts of the Department.</w:t>
      </w:r>
    </w:p>
    <w:p w:rsidR="0062117D" w:rsidRPr="00687A1C" w:rsidRDefault="0062117D" w:rsidP="0062117D">
      <w:r w:rsidRPr="00687A1C">
        <w:t xml:space="preserve">For more information in relation to the CSF please refer to </w:t>
      </w:r>
      <w:hyperlink r:id="rId138" w:history="1">
        <w:r w:rsidRPr="00687A1C">
          <w:rPr>
            <w:rStyle w:val="Hyperlink"/>
          </w:rPr>
          <w:t>https://www.dtf.vic.gov.au/funds-programs-and-policies/community-support-fund</w:t>
        </w:r>
      </w:hyperlink>
      <w:r w:rsidRPr="00687A1C">
        <w:t>.</w:t>
      </w:r>
    </w:p>
    <w:p w:rsidR="00DE17AC" w:rsidRPr="00687A1C" w:rsidRDefault="00DE17AC" w:rsidP="00DE17AC"/>
    <w:p w:rsidR="00DE17AC" w:rsidRPr="00687A1C" w:rsidRDefault="00DE17AC" w:rsidP="00DE17AC">
      <w:pPr>
        <w:sectPr w:rsidR="00DE17AC" w:rsidRPr="00687A1C" w:rsidSect="006F0EFD">
          <w:pgSz w:w="11909" w:h="16834" w:code="9"/>
          <w:pgMar w:top="1728" w:right="1152" w:bottom="1267" w:left="1152" w:header="720" w:footer="288" w:gutter="0"/>
          <w:cols w:num="2" w:space="720"/>
          <w:noEndnote/>
        </w:sectPr>
      </w:pPr>
    </w:p>
    <w:p w:rsidR="00E327A5" w:rsidRDefault="00E327A5">
      <w:pPr>
        <w:spacing w:before="0" w:after="0" w:line="240" w:lineRule="auto"/>
        <w:rPr>
          <w:rFonts w:cstheme="minorHAnsi"/>
          <w:b/>
          <w:color w:val="404040"/>
          <w:sz w:val="24"/>
          <w:szCs w:val="28"/>
        </w:rPr>
      </w:pPr>
      <w:r>
        <w:br w:type="page"/>
      </w:r>
    </w:p>
    <w:p w:rsidR="00DE17AC" w:rsidRPr="00687A1C" w:rsidRDefault="00DE17AC" w:rsidP="00DE17AC">
      <w:pPr>
        <w:pStyle w:val="Heading2"/>
      </w:pPr>
      <w:r w:rsidRPr="00687A1C">
        <w:lastRenderedPageBreak/>
        <w:t>Programs approved from 1 July 201</w:t>
      </w:r>
      <w:r w:rsidR="00D72608" w:rsidRPr="00687A1C">
        <w:t>7</w:t>
      </w:r>
      <w:r w:rsidRPr="00687A1C">
        <w:t xml:space="preserve"> to 30 June 201</w:t>
      </w:r>
      <w:r w:rsidR="00D72608" w:rsidRPr="00687A1C">
        <w:t>8</w:t>
      </w:r>
    </w:p>
    <w:tbl>
      <w:tblPr>
        <w:tblStyle w:val="AnnualReporttexttable"/>
        <w:tblW w:w="7938" w:type="dxa"/>
        <w:tblLayout w:type="fixed"/>
        <w:tblLook w:val="0400" w:firstRow="0" w:lastRow="0" w:firstColumn="0" w:lastColumn="0" w:noHBand="0" w:noVBand="1"/>
      </w:tblPr>
      <w:tblGrid>
        <w:gridCol w:w="3258"/>
        <w:gridCol w:w="3330"/>
        <w:gridCol w:w="1350"/>
      </w:tblGrid>
      <w:tr w:rsidR="00A22DCD" w:rsidRPr="00687A1C" w:rsidTr="00D00B76">
        <w:tc>
          <w:tcPr>
            <w:tcW w:w="3258" w:type="dxa"/>
          </w:tcPr>
          <w:p w:rsidR="00A22DCD" w:rsidRPr="00687A1C" w:rsidRDefault="00A22DCD" w:rsidP="009C51BA">
            <w:pPr>
              <w:spacing w:before="40" w:after="40"/>
              <w:rPr>
                <w:rFonts w:cs="Arial"/>
                <w:b/>
                <w:sz w:val="16"/>
                <w:szCs w:val="6"/>
              </w:rPr>
            </w:pPr>
            <w:r w:rsidRPr="00687A1C">
              <w:rPr>
                <w:rFonts w:cs="Arial"/>
                <w:b/>
                <w:sz w:val="16"/>
              </w:rPr>
              <w:t>Program name</w:t>
            </w:r>
          </w:p>
        </w:tc>
        <w:tc>
          <w:tcPr>
            <w:tcW w:w="3330" w:type="dxa"/>
          </w:tcPr>
          <w:p w:rsidR="00A22DCD" w:rsidRPr="00687A1C" w:rsidRDefault="00A22DCD" w:rsidP="009C51BA">
            <w:pPr>
              <w:spacing w:before="40" w:after="40"/>
              <w:rPr>
                <w:rFonts w:cs="Arial"/>
                <w:b/>
                <w:sz w:val="16"/>
                <w:szCs w:val="6"/>
              </w:rPr>
            </w:pPr>
            <w:r w:rsidRPr="00687A1C">
              <w:rPr>
                <w:rFonts w:cs="Arial"/>
                <w:b/>
                <w:sz w:val="16"/>
              </w:rPr>
              <w:t>Responsible area</w:t>
            </w:r>
          </w:p>
        </w:tc>
        <w:tc>
          <w:tcPr>
            <w:tcW w:w="1350" w:type="dxa"/>
          </w:tcPr>
          <w:p w:rsidR="00A22DCD" w:rsidRPr="00687A1C" w:rsidRDefault="00A22DCD" w:rsidP="009C51BA">
            <w:pPr>
              <w:spacing w:before="40" w:after="40"/>
              <w:jc w:val="right"/>
              <w:rPr>
                <w:rFonts w:cs="Arial"/>
                <w:b/>
                <w:sz w:val="16"/>
                <w:szCs w:val="6"/>
              </w:rPr>
            </w:pPr>
            <w:r w:rsidRPr="00687A1C">
              <w:rPr>
                <w:rFonts w:cs="Arial"/>
                <w:b/>
                <w:sz w:val="16"/>
              </w:rPr>
              <w:t>$</w:t>
            </w:r>
          </w:p>
        </w:tc>
      </w:tr>
      <w:tr w:rsidR="00A22DCD" w:rsidRPr="00687A1C" w:rsidTr="00D00B76">
        <w:tc>
          <w:tcPr>
            <w:tcW w:w="7938" w:type="dxa"/>
            <w:gridSpan w:val="3"/>
          </w:tcPr>
          <w:p w:rsidR="00A22DCD" w:rsidRPr="00687A1C" w:rsidRDefault="00A22DCD" w:rsidP="005E20D1">
            <w:pPr>
              <w:pStyle w:val="Tabletextbold"/>
              <w:rPr>
                <w:bCs/>
                <w:szCs w:val="19"/>
              </w:rPr>
            </w:pPr>
            <w:r w:rsidRPr="00687A1C">
              <w:t>Department of Economic Development, Jobs, Transport and Resources</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Barwon Heads Community Hall Upgrade</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Regional Development Victoria</w:t>
            </w:r>
          </w:p>
        </w:tc>
        <w:tc>
          <w:tcPr>
            <w:tcW w:w="1350" w:type="dxa"/>
          </w:tcPr>
          <w:p w:rsidR="00A22DCD" w:rsidRPr="00687A1C" w:rsidRDefault="00A22DCD" w:rsidP="00D00B76">
            <w:pPr>
              <w:pStyle w:val="Tabletextright"/>
            </w:pPr>
            <w:r w:rsidRPr="00687A1C">
              <w:t>110</w:t>
            </w:r>
            <w:r w:rsidR="00D00B76" w:rsidRPr="00687A1C">
              <w:t xml:space="preserve"> </w:t>
            </w:r>
            <w:r w:rsidRPr="00687A1C">
              <w:t>000</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Leopold Community Hall Upgrade</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Regional Development Victoria</w:t>
            </w:r>
          </w:p>
        </w:tc>
        <w:tc>
          <w:tcPr>
            <w:tcW w:w="1350" w:type="dxa"/>
          </w:tcPr>
          <w:p w:rsidR="00A22DCD" w:rsidRPr="00687A1C" w:rsidRDefault="00A22DCD" w:rsidP="00D00B76">
            <w:pPr>
              <w:pStyle w:val="Tabletextright"/>
            </w:pPr>
            <w:r w:rsidRPr="00687A1C">
              <w:t>75</w:t>
            </w:r>
            <w:r w:rsidR="00D00B76" w:rsidRPr="00687A1C">
              <w:t xml:space="preserve"> </w:t>
            </w:r>
            <w:r w:rsidRPr="00687A1C">
              <w:t>400</w:t>
            </w:r>
          </w:p>
        </w:tc>
      </w:tr>
      <w:tr w:rsidR="00D00B76" w:rsidRPr="00687A1C" w:rsidTr="00D00B76">
        <w:tc>
          <w:tcPr>
            <w:tcW w:w="3258" w:type="dxa"/>
          </w:tcPr>
          <w:p w:rsidR="00D00B76" w:rsidRPr="00687A1C" w:rsidRDefault="00D00B76" w:rsidP="009C51BA">
            <w:pPr>
              <w:spacing w:before="30" w:after="30"/>
              <w:rPr>
                <w:sz w:val="15"/>
              </w:rPr>
            </w:pPr>
            <w:r w:rsidRPr="00687A1C">
              <w:rPr>
                <w:sz w:val="15"/>
              </w:rPr>
              <w:t>Port Fairy Streetscape Stage 3</w:t>
            </w:r>
          </w:p>
        </w:tc>
        <w:tc>
          <w:tcPr>
            <w:tcW w:w="3330" w:type="dxa"/>
            <w:shd w:val="clear" w:color="auto" w:fill="D9D9D9" w:themeFill="background1" w:themeFillShade="D9"/>
          </w:tcPr>
          <w:p w:rsidR="00D00B76" w:rsidRPr="00687A1C" w:rsidRDefault="00D00B76" w:rsidP="009C51BA">
            <w:pPr>
              <w:spacing w:before="30" w:after="30"/>
              <w:rPr>
                <w:sz w:val="15"/>
              </w:rPr>
            </w:pPr>
            <w:r w:rsidRPr="00687A1C">
              <w:rPr>
                <w:sz w:val="15"/>
              </w:rPr>
              <w:t>Regional Development Victoria</w:t>
            </w:r>
          </w:p>
        </w:tc>
        <w:tc>
          <w:tcPr>
            <w:tcW w:w="1350" w:type="dxa"/>
          </w:tcPr>
          <w:p w:rsidR="00D00B76" w:rsidRPr="00687A1C" w:rsidRDefault="00D00B76" w:rsidP="00D00B76">
            <w:pPr>
              <w:pStyle w:val="Tabletextright"/>
            </w:pPr>
            <w:r w:rsidRPr="00687A1C">
              <w:t>500 000</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3MBS Fine Music Melbourne</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Program Centre</w:t>
            </w:r>
          </w:p>
        </w:tc>
        <w:tc>
          <w:tcPr>
            <w:tcW w:w="1350" w:type="dxa"/>
          </w:tcPr>
          <w:p w:rsidR="00A22DCD" w:rsidRPr="00687A1C" w:rsidRDefault="00A22DCD" w:rsidP="00D00B76">
            <w:pPr>
              <w:pStyle w:val="Tabletextright"/>
            </w:pPr>
            <w:r w:rsidRPr="00687A1C">
              <w:t>100</w:t>
            </w:r>
            <w:r w:rsidR="00D00B76" w:rsidRPr="00687A1C">
              <w:t xml:space="preserve"> </w:t>
            </w:r>
            <w:r w:rsidRPr="00687A1C">
              <w:t>000</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Relocation of PBS 106.7 FM</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Creative Victoria</w:t>
            </w:r>
          </w:p>
        </w:tc>
        <w:tc>
          <w:tcPr>
            <w:tcW w:w="1350" w:type="dxa"/>
          </w:tcPr>
          <w:p w:rsidR="00A22DCD" w:rsidRPr="00687A1C" w:rsidRDefault="00A22DCD" w:rsidP="00D00B76">
            <w:pPr>
              <w:pStyle w:val="Tabletextright"/>
            </w:pPr>
            <w:r w:rsidRPr="00687A1C">
              <w:t>500</w:t>
            </w:r>
            <w:r w:rsidR="00D00B76" w:rsidRPr="00687A1C">
              <w:t xml:space="preserve"> </w:t>
            </w:r>
            <w:r w:rsidRPr="00687A1C">
              <w:t>000</w:t>
            </w:r>
          </w:p>
        </w:tc>
      </w:tr>
      <w:tr w:rsidR="00433E95" w:rsidRPr="00687A1C" w:rsidTr="006844D2">
        <w:tc>
          <w:tcPr>
            <w:tcW w:w="3258" w:type="dxa"/>
          </w:tcPr>
          <w:p w:rsidR="00433E95" w:rsidRPr="00687A1C" w:rsidRDefault="00433E95" w:rsidP="006844D2">
            <w:pPr>
              <w:spacing w:before="30" w:after="30"/>
              <w:rPr>
                <w:sz w:val="4"/>
              </w:rPr>
            </w:pPr>
          </w:p>
        </w:tc>
        <w:tc>
          <w:tcPr>
            <w:tcW w:w="3330" w:type="dxa"/>
          </w:tcPr>
          <w:p w:rsidR="00433E95" w:rsidRPr="00687A1C" w:rsidRDefault="00433E95" w:rsidP="006844D2">
            <w:pPr>
              <w:spacing w:before="30" w:after="30"/>
              <w:rPr>
                <w:sz w:val="4"/>
              </w:rPr>
            </w:pPr>
          </w:p>
        </w:tc>
        <w:tc>
          <w:tcPr>
            <w:tcW w:w="1350" w:type="dxa"/>
          </w:tcPr>
          <w:p w:rsidR="00433E95" w:rsidRPr="00687A1C" w:rsidRDefault="00433E95" w:rsidP="006844D2">
            <w:pPr>
              <w:spacing w:before="30" w:after="30"/>
              <w:jc w:val="right"/>
              <w:rPr>
                <w:bCs/>
                <w:sz w:val="4"/>
                <w:szCs w:val="19"/>
              </w:rPr>
            </w:pPr>
          </w:p>
        </w:tc>
      </w:tr>
      <w:tr w:rsidR="00433E95" w:rsidRPr="00687A1C" w:rsidTr="006844D2">
        <w:tc>
          <w:tcPr>
            <w:tcW w:w="7938" w:type="dxa"/>
            <w:gridSpan w:val="3"/>
          </w:tcPr>
          <w:p w:rsidR="00433E95" w:rsidRPr="00687A1C" w:rsidRDefault="00433E95" w:rsidP="006844D2">
            <w:pPr>
              <w:pStyle w:val="Tabletextbold"/>
            </w:pPr>
            <w:r w:rsidRPr="00687A1C">
              <w:t>Department of Education and Training</w:t>
            </w:r>
          </w:p>
        </w:tc>
      </w:tr>
      <w:tr w:rsidR="00433E95" w:rsidRPr="00687A1C" w:rsidTr="006844D2">
        <w:tc>
          <w:tcPr>
            <w:tcW w:w="3258" w:type="dxa"/>
          </w:tcPr>
          <w:p w:rsidR="00433E95" w:rsidRPr="00687A1C" w:rsidRDefault="00433E95" w:rsidP="006844D2">
            <w:pPr>
              <w:spacing w:before="30" w:after="30"/>
              <w:rPr>
                <w:sz w:val="15"/>
              </w:rPr>
            </w:pPr>
            <w:r w:rsidRPr="00687A1C">
              <w:rPr>
                <w:sz w:val="15"/>
              </w:rPr>
              <w:t>Fountain Gate Secondary College Rugby Academy Upgrade</w:t>
            </w:r>
          </w:p>
        </w:tc>
        <w:tc>
          <w:tcPr>
            <w:tcW w:w="3330" w:type="dxa"/>
            <w:shd w:val="clear" w:color="auto" w:fill="D9D9D9" w:themeFill="background1" w:themeFillShade="D9"/>
          </w:tcPr>
          <w:p w:rsidR="00433E95" w:rsidRPr="00687A1C" w:rsidRDefault="00433E95" w:rsidP="006844D2">
            <w:pPr>
              <w:spacing w:before="30" w:after="30"/>
              <w:rPr>
                <w:sz w:val="15"/>
              </w:rPr>
            </w:pPr>
            <w:r w:rsidRPr="00687A1C">
              <w:rPr>
                <w:sz w:val="15"/>
              </w:rPr>
              <w:t>Victorian School Building Authority</w:t>
            </w:r>
          </w:p>
        </w:tc>
        <w:tc>
          <w:tcPr>
            <w:tcW w:w="1350" w:type="dxa"/>
          </w:tcPr>
          <w:p w:rsidR="00433E95" w:rsidRPr="00687A1C" w:rsidRDefault="00433E95" w:rsidP="006844D2">
            <w:pPr>
              <w:pStyle w:val="Tabletextright"/>
            </w:pPr>
            <w:r w:rsidRPr="00687A1C">
              <w:t>500 000</w:t>
            </w:r>
          </w:p>
        </w:tc>
      </w:tr>
      <w:tr w:rsidR="00A22DCD" w:rsidRPr="00687A1C" w:rsidTr="00D00B76">
        <w:tc>
          <w:tcPr>
            <w:tcW w:w="3258" w:type="dxa"/>
          </w:tcPr>
          <w:p w:rsidR="00A22DCD" w:rsidRPr="00687A1C" w:rsidRDefault="00A22DCD" w:rsidP="009C51BA">
            <w:pPr>
              <w:spacing w:before="30" w:after="30"/>
              <w:rPr>
                <w:sz w:val="4"/>
              </w:rPr>
            </w:pPr>
          </w:p>
        </w:tc>
        <w:tc>
          <w:tcPr>
            <w:tcW w:w="3330" w:type="dxa"/>
          </w:tcPr>
          <w:p w:rsidR="00A22DCD" w:rsidRPr="00687A1C" w:rsidRDefault="00A22DCD" w:rsidP="009C51BA">
            <w:pPr>
              <w:spacing w:before="30" w:after="30"/>
              <w:rPr>
                <w:sz w:val="4"/>
              </w:rPr>
            </w:pPr>
          </w:p>
        </w:tc>
        <w:tc>
          <w:tcPr>
            <w:tcW w:w="1350" w:type="dxa"/>
          </w:tcPr>
          <w:p w:rsidR="00A22DCD" w:rsidRPr="00687A1C" w:rsidRDefault="00A22DCD" w:rsidP="009C51BA">
            <w:pPr>
              <w:spacing w:before="30" w:after="30"/>
              <w:jc w:val="right"/>
              <w:rPr>
                <w:bCs/>
                <w:sz w:val="4"/>
                <w:szCs w:val="19"/>
              </w:rPr>
            </w:pPr>
          </w:p>
        </w:tc>
      </w:tr>
      <w:tr w:rsidR="00A22DCD" w:rsidRPr="00687A1C" w:rsidTr="00D00B76">
        <w:tc>
          <w:tcPr>
            <w:tcW w:w="7938" w:type="dxa"/>
            <w:gridSpan w:val="3"/>
          </w:tcPr>
          <w:p w:rsidR="00A22DCD" w:rsidRPr="00687A1C" w:rsidRDefault="00A22DCD" w:rsidP="005E20D1">
            <w:pPr>
              <w:pStyle w:val="Tabletextbold"/>
            </w:pPr>
            <w:r w:rsidRPr="00687A1C">
              <w:t>Department of Environment, Land, Water and Planning</w:t>
            </w:r>
          </w:p>
        </w:tc>
      </w:tr>
      <w:tr w:rsidR="00433E95" w:rsidRPr="00687A1C" w:rsidTr="006844D2">
        <w:tc>
          <w:tcPr>
            <w:tcW w:w="3258" w:type="dxa"/>
          </w:tcPr>
          <w:p w:rsidR="00433E95" w:rsidRPr="00687A1C" w:rsidRDefault="00433E95" w:rsidP="006844D2">
            <w:pPr>
              <w:spacing w:before="30" w:after="30"/>
              <w:rPr>
                <w:sz w:val="15"/>
              </w:rPr>
            </w:pPr>
            <w:r w:rsidRPr="00687A1C">
              <w:rPr>
                <w:sz w:val="15"/>
              </w:rPr>
              <w:t>Keep Victoria Beautiful</w:t>
            </w:r>
          </w:p>
        </w:tc>
        <w:tc>
          <w:tcPr>
            <w:tcW w:w="3330" w:type="dxa"/>
            <w:shd w:val="clear" w:color="auto" w:fill="D9D9D9" w:themeFill="background1" w:themeFillShade="D9"/>
          </w:tcPr>
          <w:p w:rsidR="00433E95" w:rsidRPr="00687A1C" w:rsidRDefault="00433E95" w:rsidP="006844D2">
            <w:pPr>
              <w:spacing w:before="30" w:after="30"/>
              <w:rPr>
                <w:sz w:val="15"/>
              </w:rPr>
            </w:pPr>
            <w:r w:rsidRPr="00687A1C">
              <w:rPr>
                <w:sz w:val="15"/>
              </w:rPr>
              <w:t>Waste and Resource Recovery</w:t>
            </w:r>
          </w:p>
        </w:tc>
        <w:tc>
          <w:tcPr>
            <w:tcW w:w="1350" w:type="dxa"/>
          </w:tcPr>
          <w:p w:rsidR="00433E95" w:rsidRPr="00687A1C" w:rsidRDefault="00433E95" w:rsidP="006844D2">
            <w:pPr>
              <w:pStyle w:val="Tabletextright"/>
            </w:pPr>
            <w:r w:rsidRPr="00687A1C">
              <w:t>529 500</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 xml:space="preserve">Eltham Girls Guide Hall Refurbishment </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Local Government Victoria</w:t>
            </w:r>
          </w:p>
        </w:tc>
        <w:tc>
          <w:tcPr>
            <w:tcW w:w="1350" w:type="dxa"/>
          </w:tcPr>
          <w:p w:rsidR="00A22DCD" w:rsidRPr="00687A1C" w:rsidRDefault="00A22DCD" w:rsidP="00D00B76">
            <w:pPr>
              <w:pStyle w:val="Tabletextright"/>
            </w:pPr>
            <w:r w:rsidRPr="00687A1C">
              <w:t>150</w:t>
            </w:r>
            <w:r w:rsidR="00D00B76" w:rsidRPr="00687A1C">
              <w:t xml:space="preserve"> </w:t>
            </w:r>
            <w:r w:rsidRPr="00687A1C">
              <w:t>000</w:t>
            </w:r>
          </w:p>
        </w:tc>
      </w:tr>
      <w:tr w:rsidR="00D00B76" w:rsidRPr="00687A1C" w:rsidTr="00D00B76">
        <w:tc>
          <w:tcPr>
            <w:tcW w:w="3258" w:type="dxa"/>
          </w:tcPr>
          <w:p w:rsidR="00D00B76" w:rsidRPr="00687A1C" w:rsidRDefault="00D00B76" w:rsidP="009C51BA">
            <w:pPr>
              <w:spacing w:before="30" w:after="30"/>
              <w:rPr>
                <w:sz w:val="15"/>
              </w:rPr>
            </w:pPr>
            <w:r w:rsidRPr="00687A1C">
              <w:rPr>
                <w:sz w:val="15"/>
              </w:rPr>
              <w:t>Tallarook Community Hall</w:t>
            </w:r>
          </w:p>
        </w:tc>
        <w:tc>
          <w:tcPr>
            <w:tcW w:w="3330" w:type="dxa"/>
            <w:shd w:val="clear" w:color="auto" w:fill="D9D9D9" w:themeFill="background1" w:themeFillShade="D9"/>
          </w:tcPr>
          <w:p w:rsidR="00D00B76" w:rsidRPr="00687A1C" w:rsidRDefault="00D00B76" w:rsidP="009C51BA">
            <w:pPr>
              <w:spacing w:before="30" w:after="30"/>
              <w:rPr>
                <w:sz w:val="15"/>
              </w:rPr>
            </w:pPr>
            <w:r w:rsidRPr="00687A1C">
              <w:rPr>
                <w:sz w:val="15"/>
              </w:rPr>
              <w:t>Local Government Victoria</w:t>
            </w:r>
          </w:p>
        </w:tc>
        <w:tc>
          <w:tcPr>
            <w:tcW w:w="1350" w:type="dxa"/>
          </w:tcPr>
          <w:p w:rsidR="00D00B76" w:rsidRPr="00687A1C" w:rsidRDefault="00D00B76" w:rsidP="00D00B76">
            <w:pPr>
              <w:pStyle w:val="Tabletextright"/>
            </w:pPr>
            <w:r w:rsidRPr="00687A1C">
              <w:t>200 000</w:t>
            </w:r>
          </w:p>
        </w:tc>
      </w:tr>
      <w:tr w:rsidR="00A22DCD" w:rsidRPr="00687A1C" w:rsidTr="00D00B76">
        <w:tc>
          <w:tcPr>
            <w:tcW w:w="3258" w:type="dxa"/>
          </w:tcPr>
          <w:p w:rsidR="00A22DCD" w:rsidRPr="00687A1C" w:rsidRDefault="00A22DCD" w:rsidP="009C51BA">
            <w:pPr>
              <w:spacing w:before="30" w:after="30"/>
              <w:rPr>
                <w:sz w:val="4"/>
              </w:rPr>
            </w:pPr>
          </w:p>
        </w:tc>
        <w:tc>
          <w:tcPr>
            <w:tcW w:w="3330" w:type="dxa"/>
          </w:tcPr>
          <w:p w:rsidR="00A22DCD" w:rsidRPr="00687A1C" w:rsidRDefault="00A22DCD" w:rsidP="009C51BA">
            <w:pPr>
              <w:spacing w:before="30" w:after="30"/>
              <w:rPr>
                <w:sz w:val="4"/>
              </w:rPr>
            </w:pPr>
          </w:p>
        </w:tc>
        <w:tc>
          <w:tcPr>
            <w:tcW w:w="1350" w:type="dxa"/>
          </w:tcPr>
          <w:p w:rsidR="00A22DCD" w:rsidRPr="00687A1C" w:rsidRDefault="00A22DCD" w:rsidP="009C51BA">
            <w:pPr>
              <w:spacing w:before="30" w:after="30"/>
              <w:jc w:val="right"/>
              <w:rPr>
                <w:bCs/>
                <w:sz w:val="4"/>
                <w:szCs w:val="19"/>
              </w:rPr>
            </w:pPr>
          </w:p>
        </w:tc>
      </w:tr>
      <w:tr w:rsidR="00A22DCD" w:rsidRPr="00687A1C" w:rsidTr="00D00B76">
        <w:tc>
          <w:tcPr>
            <w:tcW w:w="7938" w:type="dxa"/>
            <w:gridSpan w:val="3"/>
          </w:tcPr>
          <w:p w:rsidR="00A22DCD" w:rsidRPr="00687A1C" w:rsidRDefault="00A22DCD" w:rsidP="005E20D1">
            <w:pPr>
              <w:pStyle w:val="Tabletextbold"/>
            </w:pPr>
            <w:r w:rsidRPr="00687A1C">
              <w:t>Department of Health and Human Services</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Reclink Australia</w:t>
            </w:r>
            <w:r w:rsidR="009469FE" w:rsidRPr="00687A1C">
              <w:rPr>
                <w:sz w:val="15"/>
              </w:rPr>
              <w:t>’</w:t>
            </w:r>
            <w:r w:rsidRPr="00687A1C">
              <w:rPr>
                <w:sz w:val="15"/>
              </w:rPr>
              <w:t>s ACTiVIC Program</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Sport and Recreation Victoria</w:t>
            </w:r>
          </w:p>
        </w:tc>
        <w:tc>
          <w:tcPr>
            <w:tcW w:w="1350" w:type="dxa"/>
          </w:tcPr>
          <w:p w:rsidR="00A22DCD" w:rsidRPr="00687A1C" w:rsidRDefault="00A22DCD" w:rsidP="00D00B76">
            <w:pPr>
              <w:pStyle w:val="Tabletextright"/>
            </w:pPr>
            <w:r w:rsidRPr="00687A1C">
              <w:t>4</w:t>
            </w:r>
            <w:r w:rsidR="00D00B76" w:rsidRPr="00687A1C">
              <w:t xml:space="preserve"> </w:t>
            </w:r>
            <w:r w:rsidRPr="00687A1C">
              <w:t>000</w:t>
            </w:r>
            <w:r w:rsidR="00D00B76" w:rsidRPr="00687A1C">
              <w:t xml:space="preserve"> </w:t>
            </w:r>
            <w:r w:rsidRPr="00687A1C">
              <w:t>000</w:t>
            </w:r>
          </w:p>
        </w:tc>
      </w:tr>
      <w:tr w:rsidR="00D00B76" w:rsidRPr="00687A1C" w:rsidTr="00D00B76">
        <w:tc>
          <w:tcPr>
            <w:tcW w:w="3258" w:type="dxa"/>
          </w:tcPr>
          <w:p w:rsidR="00D00B76" w:rsidRPr="00687A1C" w:rsidRDefault="00D00B76" w:rsidP="009C51BA">
            <w:pPr>
              <w:spacing w:before="30" w:after="30"/>
              <w:rPr>
                <w:sz w:val="15"/>
              </w:rPr>
            </w:pPr>
            <w:r w:rsidRPr="00687A1C">
              <w:rPr>
                <w:sz w:val="15"/>
              </w:rPr>
              <w:t>King George Reserve Pavilion Upgrade</w:t>
            </w:r>
          </w:p>
        </w:tc>
        <w:tc>
          <w:tcPr>
            <w:tcW w:w="3330" w:type="dxa"/>
            <w:shd w:val="clear" w:color="auto" w:fill="D9D9D9" w:themeFill="background1" w:themeFillShade="D9"/>
          </w:tcPr>
          <w:p w:rsidR="00D00B76" w:rsidRPr="00687A1C" w:rsidRDefault="00D00B76" w:rsidP="009C51BA">
            <w:pPr>
              <w:spacing w:before="30" w:after="30"/>
              <w:rPr>
                <w:sz w:val="15"/>
              </w:rPr>
            </w:pPr>
            <w:r w:rsidRPr="00687A1C">
              <w:rPr>
                <w:sz w:val="15"/>
              </w:rPr>
              <w:t>Sport and Recreation Victoria</w:t>
            </w:r>
          </w:p>
        </w:tc>
        <w:tc>
          <w:tcPr>
            <w:tcW w:w="1350" w:type="dxa"/>
          </w:tcPr>
          <w:p w:rsidR="00D00B76" w:rsidRPr="00687A1C" w:rsidRDefault="00D00B76" w:rsidP="00D00B76">
            <w:pPr>
              <w:pStyle w:val="Tabletextright"/>
            </w:pPr>
            <w:r w:rsidRPr="00687A1C">
              <w:t>275 000</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Justice Connect</w:t>
            </w:r>
            <w:r w:rsidR="009469FE" w:rsidRPr="00687A1C">
              <w:rPr>
                <w:sz w:val="15"/>
              </w:rPr>
              <w:t>’</w:t>
            </w:r>
            <w:r w:rsidRPr="00687A1C">
              <w:rPr>
                <w:sz w:val="15"/>
              </w:rPr>
              <w:t>s Not-for-profit Law Program 2018-19 to 2019-20</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Diversity and Community Participation</w:t>
            </w:r>
          </w:p>
        </w:tc>
        <w:tc>
          <w:tcPr>
            <w:tcW w:w="1350" w:type="dxa"/>
          </w:tcPr>
          <w:p w:rsidR="00A22DCD" w:rsidRPr="00687A1C" w:rsidRDefault="00A22DCD" w:rsidP="00D00B76">
            <w:pPr>
              <w:pStyle w:val="Tabletextright"/>
            </w:pPr>
            <w:r w:rsidRPr="00687A1C">
              <w:t>810</w:t>
            </w:r>
            <w:r w:rsidR="00D00B76" w:rsidRPr="00687A1C">
              <w:t xml:space="preserve"> </w:t>
            </w:r>
            <w:r w:rsidRPr="00687A1C">
              <w:t>000</w:t>
            </w:r>
          </w:p>
        </w:tc>
      </w:tr>
      <w:tr w:rsidR="00433E95" w:rsidRPr="00687A1C" w:rsidTr="00D00B76">
        <w:tc>
          <w:tcPr>
            <w:tcW w:w="3258" w:type="dxa"/>
          </w:tcPr>
          <w:p w:rsidR="00433E95" w:rsidRPr="00687A1C" w:rsidRDefault="00433E95" w:rsidP="009C51BA">
            <w:pPr>
              <w:spacing w:before="30" w:after="30"/>
              <w:rPr>
                <w:sz w:val="15"/>
              </w:rPr>
            </w:pPr>
            <w:r w:rsidRPr="00687A1C">
              <w:rPr>
                <w:sz w:val="15"/>
              </w:rPr>
              <w:t>Extension for Alcohol and Drug Treatment Services Program 2018-19 to 2020-21</w:t>
            </w:r>
          </w:p>
        </w:tc>
        <w:tc>
          <w:tcPr>
            <w:tcW w:w="3330" w:type="dxa"/>
            <w:shd w:val="clear" w:color="auto" w:fill="D9D9D9" w:themeFill="background1" w:themeFillShade="D9"/>
          </w:tcPr>
          <w:p w:rsidR="00433E95" w:rsidRPr="00687A1C" w:rsidRDefault="00433E95" w:rsidP="009C51BA">
            <w:pPr>
              <w:spacing w:before="30" w:after="30"/>
              <w:rPr>
                <w:sz w:val="15"/>
              </w:rPr>
            </w:pPr>
            <w:r w:rsidRPr="00687A1C">
              <w:rPr>
                <w:sz w:val="15"/>
              </w:rPr>
              <w:t>Drug Policy and Reform</w:t>
            </w:r>
          </w:p>
        </w:tc>
        <w:tc>
          <w:tcPr>
            <w:tcW w:w="1350" w:type="dxa"/>
          </w:tcPr>
          <w:p w:rsidR="00433E95" w:rsidRPr="00687A1C" w:rsidRDefault="00433E95" w:rsidP="00D00B76">
            <w:pPr>
              <w:pStyle w:val="Tabletextright"/>
            </w:pPr>
            <w:r w:rsidRPr="00687A1C">
              <w:t>120 000 000</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Fitzroy Learning Network Upgrade</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Diversity and Community Participation</w:t>
            </w:r>
          </w:p>
        </w:tc>
        <w:tc>
          <w:tcPr>
            <w:tcW w:w="1350" w:type="dxa"/>
          </w:tcPr>
          <w:p w:rsidR="00A22DCD" w:rsidRPr="00687A1C" w:rsidRDefault="00A22DCD" w:rsidP="00D00B76">
            <w:pPr>
              <w:pStyle w:val="Tabletextright"/>
            </w:pPr>
            <w:r w:rsidRPr="00687A1C">
              <w:t>2</w:t>
            </w:r>
            <w:r w:rsidR="00D00B76" w:rsidRPr="00687A1C">
              <w:t xml:space="preserve"> </w:t>
            </w:r>
            <w:r w:rsidRPr="00687A1C">
              <w:t>100</w:t>
            </w:r>
            <w:r w:rsidR="00D00B76" w:rsidRPr="00687A1C">
              <w:t xml:space="preserve"> </w:t>
            </w:r>
            <w:r w:rsidRPr="00687A1C">
              <w:t>000</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Her Heart Program</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Prevention, Population Health and Place</w:t>
            </w:r>
          </w:p>
        </w:tc>
        <w:tc>
          <w:tcPr>
            <w:tcW w:w="1350" w:type="dxa"/>
          </w:tcPr>
          <w:p w:rsidR="00A22DCD" w:rsidRPr="00687A1C" w:rsidRDefault="00A22DCD" w:rsidP="00D00B76">
            <w:pPr>
              <w:pStyle w:val="Tabletextright"/>
            </w:pPr>
            <w:r w:rsidRPr="00687A1C">
              <w:t>500</w:t>
            </w:r>
            <w:r w:rsidR="00D00B76" w:rsidRPr="00687A1C">
              <w:t xml:space="preserve"> </w:t>
            </w:r>
            <w:r w:rsidRPr="00687A1C">
              <w:t>000</w:t>
            </w:r>
          </w:p>
        </w:tc>
      </w:tr>
      <w:tr w:rsidR="00A22DCD" w:rsidRPr="00687A1C" w:rsidTr="00D00B76">
        <w:tc>
          <w:tcPr>
            <w:tcW w:w="3258" w:type="dxa"/>
          </w:tcPr>
          <w:p w:rsidR="00A22DCD" w:rsidRPr="00687A1C" w:rsidRDefault="00A22DCD" w:rsidP="009C51BA">
            <w:pPr>
              <w:spacing w:before="30" w:after="30"/>
              <w:rPr>
                <w:sz w:val="4"/>
              </w:rPr>
            </w:pPr>
          </w:p>
        </w:tc>
        <w:tc>
          <w:tcPr>
            <w:tcW w:w="3330" w:type="dxa"/>
          </w:tcPr>
          <w:p w:rsidR="00A22DCD" w:rsidRPr="00687A1C" w:rsidRDefault="00A22DCD" w:rsidP="009C51BA">
            <w:pPr>
              <w:spacing w:before="30" w:after="30"/>
              <w:rPr>
                <w:sz w:val="4"/>
              </w:rPr>
            </w:pPr>
          </w:p>
        </w:tc>
        <w:tc>
          <w:tcPr>
            <w:tcW w:w="1350" w:type="dxa"/>
          </w:tcPr>
          <w:p w:rsidR="00A22DCD" w:rsidRPr="00687A1C" w:rsidRDefault="00A22DCD" w:rsidP="009C51BA">
            <w:pPr>
              <w:spacing w:before="30" w:after="30"/>
              <w:jc w:val="right"/>
              <w:rPr>
                <w:bCs/>
                <w:sz w:val="4"/>
                <w:szCs w:val="19"/>
              </w:rPr>
            </w:pPr>
          </w:p>
        </w:tc>
      </w:tr>
      <w:tr w:rsidR="00A22DCD" w:rsidRPr="00687A1C" w:rsidTr="00D00B76">
        <w:tc>
          <w:tcPr>
            <w:tcW w:w="7938" w:type="dxa"/>
            <w:gridSpan w:val="3"/>
          </w:tcPr>
          <w:p w:rsidR="00A22DCD" w:rsidRPr="00687A1C" w:rsidRDefault="00A22DCD" w:rsidP="005E20D1">
            <w:pPr>
              <w:pStyle w:val="Tabletextbold"/>
            </w:pPr>
            <w:r w:rsidRPr="00687A1C">
              <w:t>Department of Justice and Regulation</w:t>
            </w:r>
          </w:p>
        </w:tc>
      </w:tr>
      <w:tr w:rsidR="00A22DCD" w:rsidRPr="00687A1C" w:rsidTr="00D00B76">
        <w:tc>
          <w:tcPr>
            <w:tcW w:w="3258" w:type="dxa"/>
          </w:tcPr>
          <w:p w:rsidR="00A22DCD" w:rsidRPr="00687A1C" w:rsidRDefault="00A22DCD" w:rsidP="009C51BA">
            <w:pPr>
              <w:spacing w:before="30" w:after="30"/>
              <w:rPr>
                <w:sz w:val="15"/>
              </w:rPr>
            </w:pPr>
            <w:r w:rsidRPr="00687A1C">
              <w:rPr>
                <w:sz w:val="15"/>
              </w:rPr>
              <w:t>Cape Paterson Lifesaving Club Redevelopment</w:t>
            </w:r>
          </w:p>
        </w:tc>
        <w:tc>
          <w:tcPr>
            <w:tcW w:w="3330" w:type="dxa"/>
            <w:shd w:val="clear" w:color="auto" w:fill="D9D9D9" w:themeFill="background1" w:themeFillShade="D9"/>
          </w:tcPr>
          <w:p w:rsidR="00A22DCD" w:rsidRPr="00687A1C" w:rsidRDefault="00A22DCD" w:rsidP="009C51BA">
            <w:pPr>
              <w:spacing w:before="30" w:after="30"/>
              <w:rPr>
                <w:sz w:val="15"/>
              </w:rPr>
            </w:pPr>
            <w:r w:rsidRPr="00687A1C">
              <w:rPr>
                <w:sz w:val="15"/>
              </w:rPr>
              <w:t>Emergency Management Victoria</w:t>
            </w:r>
          </w:p>
        </w:tc>
        <w:tc>
          <w:tcPr>
            <w:tcW w:w="1350" w:type="dxa"/>
          </w:tcPr>
          <w:p w:rsidR="00A22DCD" w:rsidRPr="00687A1C" w:rsidRDefault="00A22DCD" w:rsidP="005E20D1">
            <w:pPr>
              <w:spacing w:before="30" w:after="30"/>
              <w:jc w:val="right"/>
              <w:rPr>
                <w:bCs/>
                <w:sz w:val="15"/>
                <w:szCs w:val="19"/>
              </w:rPr>
            </w:pPr>
            <w:r w:rsidRPr="00687A1C">
              <w:rPr>
                <w:rStyle w:val="TabletextrightChar"/>
              </w:rPr>
              <w:t>800</w:t>
            </w:r>
            <w:r w:rsidR="00D00B76" w:rsidRPr="00687A1C">
              <w:rPr>
                <w:rStyle w:val="TabletextrightChar"/>
              </w:rPr>
              <w:t xml:space="preserve"> </w:t>
            </w:r>
            <w:r w:rsidRPr="00687A1C">
              <w:rPr>
                <w:rStyle w:val="TabletextrightChar"/>
              </w:rPr>
              <w:t>0</w:t>
            </w:r>
            <w:r w:rsidRPr="00687A1C">
              <w:rPr>
                <w:bCs/>
                <w:sz w:val="15"/>
                <w:szCs w:val="19"/>
              </w:rPr>
              <w:t>00</w:t>
            </w:r>
          </w:p>
        </w:tc>
      </w:tr>
      <w:tr w:rsidR="00A22DCD" w:rsidRPr="00687A1C" w:rsidTr="00D00B76">
        <w:tc>
          <w:tcPr>
            <w:tcW w:w="3258" w:type="dxa"/>
          </w:tcPr>
          <w:p w:rsidR="00A22DCD" w:rsidRPr="00687A1C" w:rsidRDefault="00A22DCD" w:rsidP="009C51BA">
            <w:pPr>
              <w:spacing w:before="30" w:after="30"/>
              <w:rPr>
                <w:rFonts w:cs="Arial"/>
                <w:sz w:val="15"/>
              </w:rPr>
            </w:pPr>
            <w:r w:rsidRPr="00687A1C">
              <w:rPr>
                <w:rFonts w:cs="Arial"/>
                <w:b/>
                <w:sz w:val="15"/>
              </w:rPr>
              <w:t>Total program approvals</w:t>
            </w:r>
          </w:p>
        </w:tc>
        <w:tc>
          <w:tcPr>
            <w:tcW w:w="3330" w:type="dxa"/>
            <w:shd w:val="clear" w:color="auto" w:fill="D9D9D9" w:themeFill="background1" w:themeFillShade="D9"/>
          </w:tcPr>
          <w:p w:rsidR="00A22DCD" w:rsidRPr="00687A1C" w:rsidRDefault="00A22DCD" w:rsidP="009C51BA">
            <w:pPr>
              <w:spacing w:before="30" w:after="30"/>
              <w:rPr>
                <w:sz w:val="15"/>
              </w:rPr>
            </w:pPr>
          </w:p>
        </w:tc>
        <w:tc>
          <w:tcPr>
            <w:tcW w:w="1350" w:type="dxa"/>
          </w:tcPr>
          <w:p w:rsidR="00A22DCD" w:rsidRPr="00687A1C" w:rsidRDefault="00433E95" w:rsidP="005E20D1">
            <w:pPr>
              <w:pStyle w:val="Tabletextrightbold"/>
            </w:pPr>
            <w:r w:rsidRPr="00687A1C">
              <w:t>131 149 900</w:t>
            </w:r>
          </w:p>
        </w:tc>
      </w:tr>
    </w:tbl>
    <w:p w:rsidR="00DE17AC" w:rsidRPr="00687A1C" w:rsidRDefault="00DE17AC" w:rsidP="00DE17AC">
      <w:pPr>
        <w:pStyle w:val="Notes"/>
        <w:rPr>
          <w:rFonts w:cstheme="minorHAnsi"/>
        </w:rPr>
      </w:pPr>
      <w:r w:rsidRPr="00687A1C">
        <w:rPr>
          <w:rFonts w:cstheme="minorHAnsi"/>
        </w:rPr>
        <w:t>Note:</w:t>
      </w:r>
    </w:p>
    <w:p w:rsidR="00DE17AC" w:rsidRPr="00687A1C" w:rsidRDefault="00DE5123" w:rsidP="0072505C">
      <w:pPr>
        <w:pStyle w:val="Notes"/>
        <w:ind w:right="1955"/>
      </w:pPr>
      <w:r w:rsidRPr="00687A1C">
        <w:t>The list shows the CSF programs approved in the 2017-18 financial year. Expenditure of these programs has partially incurred in 2017-18 and will continue to incur until 2020-21.</w:t>
      </w:r>
    </w:p>
    <w:p w:rsidR="00DE17AC" w:rsidRPr="00687A1C" w:rsidRDefault="00DE17AC" w:rsidP="00DE17AC">
      <w:pPr>
        <w:pStyle w:val="Notes"/>
      </w:pPr>
    </w:p>
    <w:p w:rsidR="00DE17AC" w:rsidRPr="00687A1C" w:rsidRDefault="00DE17AC" w:rsidP="00DE17AC">
      <w:pPr>
        <w:sectPr w:rsidR="00DE17AC" w:rsidRPr="00687A1C" w:rsidSect="00DE17AC">
          <w:type w:val="continuous"/>
          <w:pgSz w:w="11909" w:h="16834" w:code="9"/>
          <w:pgMar w:top="1728" w:right="1152" w:bottom="1267" w:left="1152" w:header="720" w:footer="288" w:gutter="0"/>
          <w:cols w:space="720"/>
          <w:noEndnote/>
        </w:sectPr>
      </w:pPr>
    </w:p>
    <w:p w:rsidR="00831448" w:rsidRPr="00687A1C" w:rsidRDefault="00831448" w:rsidP="007E4DBD">
      <w:pPr>
        <w:pStyle w:val="Heading1b"/>
      </w:pPr>
      <w:bookmarkStart w:id="199" w:name="_Toc525026170"/>
      <w:bookmarkStart w:id="200" w:name="BuildingAct"/>
      <w:r w:rsidRPr="00687A1C">
        <w:t xml:space="preserve">Compliance with the </w:t>
      </w:r>
      <w:r w:rsidRPr="00687A1C">
        <w:rPr>
          <w:i/>
        </w:rPr>
        <w:t>Building Act 1993</w:t>
      </w:r>
      <w:bookmarkEnd w:id="199"/>
    </w:p>
    <w:bookmarkEnd w:id="200"/>
    <w:p w:rsidR="00831448" w:rsidRPr="00687A1C" w:rsidRDefault="00831448" w:rsidP="00831448">
      <w:pPr>
        <w:pStyle w:val="Heading2"/>
      </w:pPr>
      <w:r w:rsidRPr="00687A1C">
        <w:t>Standards for publicly</w:t>
      </w:r>
      <w:r w:rsidR="00B820C5" w:rsidRPr="00687A1C">
        <w:noBreakHyphen/>
      </w:r>
      <w:r w:rsidRPr="00687A1C">
        <w:t>owned buildings</w:t>
      </w:r>
    </w:p>
    <w:p w:rsidR="00233341" w:rsidRPr="00687A1C" w:rsidRDefault="00233341" w:rsidP="00233341">
      <w:r w:rsidRPr="00687A1C">
        <w:t>The Department employs an external service pr</w:t>
      </w:r>
      <w:r w:rsidR="005E20D1" w:rsidRPr="00687A1C">
        <w:t>ovider to manage the government</w:t>
      </w:r>
      <w:r w:rsidR="005E20D1" w:rsidRPr="00687A1C">
        <w:noBreakHyphen/>
      </w:r>
      <w:r w:rsidRPr="00687A1C">
        <w:t>owned office accommodation portfolio and provide facilities management services to ensure complia</w:t>
      </w:r>
      <w:r w:rsidR="005E20D1" w:rsidRPr="00687A1C">
        <w:t>nce with standards for publicly</w:t>
      </w:r>
      <w:r w:rsidR="005E20D1" w:rsidRPr="00687A1C">
        <w:noBreakHyphen/>
      </w:r>
      <w:r w:rsidRPr="00687A1C">
        <w:t>owned buildings</w:t>
      </w:r>
      <w:r w:rsidR="005E20D1" w:rsidRPr="00687A1C">
        <w:t>,</w:t>
      </w:r>
      <w:r w:rsidRPr="00687A1C">
        <w:t xml:space="preserve"> while providing essential safety measures reporting</w:t>
      </w:r>
      <w:r w:rsidR="00472CA1" w:rsidRPr="00687A1C">
        <w:t xml:space="preserve">. </w:t>
      </w:r>
    </w:p>
    <w:p w:rsidR="00233341" w:rsidRPr="00687A1C" w:rsidRDefault="00233341" w:rsidP="00233341">
      <w:r w:rsidRPr="00687A1C">
        <w:t>Previously these services were provid</w:t>
      </w:r>
      <w:r w:rsidR="00CC29F1" w:rsidRPr="00687A1C">
        <w:t xml:space="preserve">ed by Cushman &amp; Wakefield, but </w:t>
      </w:r>
      <w:r w:rsidRPr="00687A1C">
        <w:t>effective from 18 December 2017 following a return to market for these services, Jones Lang LaSalle (JLL) are now providing these services.</w:t>
      </w:r>
    </w:p>
    <w:p w:rsidR="00233341" w:rsidRPr="00687A1C" w:rsidRDefault="00F35915" w:rsidP="00233341">
      <w:r w:rsidRPr="00687A1C">
        <w:br w:type="column"/>
      </w:r>
      <w:r w:rsidR="00233341" w:rsidRPr="00687A1C">
        <w:t xml:space="preserve">The Shared Service Provider (SSP) within DTF coordinates building projects by engaging registered building consultants and contractors. The conditions of engagement require compliance </w:t>
      </w:r>
      <w:r w:rsidR="005E20D1" w:rsidRPr="00687A1C">
        <w:t>with the standards for publicly</w:t>
      </w:r>
      <w:r w:rsidR="005E20D1" w:rsidRPr="00687A1C">
        <w:noBreakHyphen/>
      </w:r>
      <w:r w:rsidR="00233341" w:rsidRPr="00687A1C">
        <w:t>owned buildings.</w:t>
      </w:r>
    </w:p>
    <w:p w:rsidR="009279CA" w:rsidRPr="00687A1C" w:rsidRDefault="00233341" w:rsidP="00233341">
      <w:r w:rsidRPr="00687A1C">
        <w:t>At 30 June 2018, DTF wa</w:t>
      </w:r>
      <w:r w:rsidR="00A15B96" w:rsidRPr="00687A1C">
        <w:t xml:space="preserve">s responsible for </w:t>
      </w:r>
      <w:r w:rsidR="00D00B76" w:rsidRPr="00687A1C">
        <w:br/>
      </w:r>
      <w:r w:rsidR="00A15B96" w:rsidRPr="00687A1C">
        <w:t>17 department-</w:t>
      </w:r>
      <w:r w:rsidRPr="00687A1C">
        <w:t>owned office buildings.</w:t>
      </w:r>
    </w:p>
    <w:p w:rsidR="00831448" w:rsidRPr="00687A1C" w:rsidRDefault="00831448" w:rsidP="00831448">
      <w:pPr>
        <w:pStyle w:val="Heading2"/>
        <w:ind w:right="-148"/>
      </w:pPr>
      <w:r w:rsidRPr="00687A1C">
        <w:t>Mechanisms to ensure buildings conform with the building standards</w:t>
      </w:r>
    </w:p>
    <w:p w:rsidR="007A2912" w:rsidRPr="00687A1C" w:rsidRDefault="007A2912" w:rsidP="007A2912">
      <w:r w:rsidRPr="00687A1C">
        <w:t xml:space="preserve">DTF complies with the </w:t>
      </w:r>
      <w:r w:rsidRPr="00687A1C">
        <w:rPr>
          <w:i/>
        </w:rPr>
        <w:t>Building Act 1993</w:t>
      </w:r>
      <w:r w:rsidRPr="00687A1C">
        <w:t>, the Building Regulations 2006 and associated statutory requirements and amendments. An occupancy permit or a certificate of final inspection endorsed by a Registered Building Surveyor is obtained for all upgrades to existing facilities requiring a building permit.</w:t>
      </w:r>
    </w:p>
    <w:p w:rsidR="009279CA" w:rsidRPr="00687A1C" w:rsidRDefault="00F35915" w:rsidP="00F35915">
      <w:pPr>
        <w:ind w:right="-58"/>
      </w:pPr>
      <w:r w:rsidRPr="00687A1C">
        <w:br w:type="column"/>
      </w:r>
      <w:r w:rsidR="007A2912" w:rsidRPr="00687A1C">
        <w:lastRenderedPageBreak/>
        <w:t>DTF ensures design consultants and building contractors engaged for building works are registered building practitioners and that registrations are maintained during the course of the work.</w:t>
      </w:r>
    </w:p>
    <w:p w:rsidR="00831448" w:rsidRPr="00687A1C" w:rsidRDefault="00831448" w:rsidP="00831448">
      <w:pPr>
        <w:pStyle w:val="Heading2"/>
      </w:pPr>
      <w:r w:rsidRPr="00687A1C">
        <w:t xml:space="preserve">Works projects (greater than </w:t>
      </w:r>
      <w:r w:rsidR="00D00B76" w:rsidRPr="00687A1C">
        <w:br/>
      </w:r>
      <w:r w:rsidRPr="00687A1C">
        <w:t>$50</w:t>
      </w:r>
      <w:r w:rsidR="00D00B76" w:rsidRPr="00687A1C">
        <w:t xml:space="preserve"> </w:t>
      </w:r>
      <w:r w:rsidRPr="00687A1C">
        <w:t>000)</w:t>
      </w:r>
    </w:p>
    <w:tbl>
      <w:tblPr>
        <w:tblW w:w="4918" w:type="pct"/>
        <w:tblCellMar>
          <w:left w:w="86" w:type="dxa"/>
          <w:right w:w="86" w:type="dxa"/>
        </w:tblCellMar>
        <w:tblLook w:val="0000" w:firstRow="0" w:lastRow="0" w:firstColumn="0" w:lastColumn="0" w:noHBand="0" w:noVBand="0"/>
      </w:tblPr>
      <w:tblGrid>
        <w:gridCol w:w="1886"/>
        <w:gridCol w:w="2652"/>
      </w:tblGrid>
      <w:tr w:rsidR="009279CA" w:rsidRPr="00687A1C" w:rsidTr="00F35915">
        <w:trPr>
          <w:cantSplit/>
        </w:trPr>
        <w:tc>
          <w:tcPr>
            <w:tcW w:w="2078" w:type="pct"/>
            <w:shd w:val="clear" w:color="auto" w:fill="FFFFFF" w:themeFill="background1"/>
          </w:tcPr>
          <w:p w:rsidR="009279CA" w:rsidRPr="00687A1C" w:rsidRDefault="009279CA" w:rsidP="005E20D1">
            <w:pPr>
              <w:pStyle w:val="Tabletext"/>
            </w:pPr>
            <w:r w:rsidRPr="00687A1C">
              <w:t>Treasury Reserve, East Melbourne</w:t>
            </w:r>
          </w:p>
        </w:tc>
        <w:tc>
          <w:tcPr>
            <w:tcW w:w="2922" w:type="pct"/>
            <w:shd w:val="clear" w:color="auto" w:fill="E0E0E0"/>
          </w:tcPr>
          <w:p w:rsidR="00001E83" w:rsidRPr="00687A1C" w:rsidRDefault="00001E83" w:rsidP="005E20D1">
            <w:pPr>
              <w:pStyle w:val="Tabletext"/>
            </w:pPr>
            <w:r w:rsidRPr="00687A1C">
              <w:t>Electronic ac</w:t>
            </w:r>
            <w:r w:rsidR="005E20D1" w:rsidRPr="00687A1C">
              <w:t>cess control server replacement</w:t>
            </w:r>
          </w:p>
          <w:p w:rsidR="00001E83" w:rsidRPr="00687A1C" w:rsidRDefault="00001E83" w:rsidP="005E20D1">
            <w:pPr>
              <w:pStyle w:val="Tabletext"/>
            </w:pPr>
            <w:r w:rsidRPr="00687A1C">
              <w:t>Building</w:t>
            </w:r>
            <w:r w:rsidR="005E20D1" w:rsidRPr="00687A1C">
              <w:t xml:space="preserve"> management system upgrade work</w:t>
            </w:r>
          </w:p>
          <w:p w:rsidR="009279CA" w:rsidRPr="00687A1C" w:rsidRDefault="005E20D1" w:rsidP="005E20D1">
            <w:pPr>
              <w:pStyle w:val="Tabletext"/>
            </w:pPr>
            <w:r w:rsidRPr="00687A1C">
              <w:t>Replacement of cameras</w:t>
            </w:r>
          </w:p>
        </w:tc>
      </w:tr>
      <w:tr w:rsidR="009279CA" w:rsidRPr="00687A1C" w:rsidTr="00F35915">
        <w:trPr>
          <w:cantSplit/>
        </w:trPr>
        <w:tc>
          <w:tcPr>
            <w:tcW w:w="2078" w:type="pct"/>
            <w:shd w:val="clear" w:color="auto" w:fill="FFFFFF" w:themeFill="background1"/>
          </w:tcPr>
          <w:p w:rsidR="009279CA" w:rsidRPr="00687A1C" w:rsidRDefault="009279CA" w:rsidP="005E20D1">
            <w:pPr>
              <w:pStyle w:val="Tabletext"/>
            </w:pPr>
            <w:r w:rsidRPr="00687A1C">
              <w:t>1 Treasury Place, East Melbourne</w:t>
            </w:r>
          </w:p>
        </w:tc>
        <w:tc>
          <w:tcPr>
            <w:tcW w:w="2922" w:type="pct"/>
            <w:shd w:val="clear" w:color="auto" w:fill="E0E0E0"/>
          </w:tcPr>
          <w:p w:rsidR="00001E83" w:rsidRPr="00687A1C" w:rsidRDefault="005E20D1" w:rsidP="005E20D1">
            <w:pPr>
              <w:pStyle w:val="Tabletext"/>
            </w:pPr>
            <w:r w:rsidRPr="00687A1C">
              <w:t>Plumbing and bathroom upgrade</w:t>
            </w:r>
          </w:p>
          <w:p w:rsidR="00001E83" w:rsidRPr="00687A1C" w:rsidRDefault="00001E83" w:rsidP="005E20D1">
            <w:pPr>
              <w:pStyle w:val="Tabletext"/>
            </w:pPr>
            <w:r w:rsidRPr="00687A1C">
              <w:t>Replace</w:t>
            </w:r>
            <w:r w:rsidR="005E20D1" w:rsidRPr="00687A1C">
              <w:t>ment of security X-ray scanners</w:t>
            </w:r>
          </w:p>
          <w:p w:rsidR="009279CA" w:rsidRPr="00687A1C" w:rsidRDefault="00001E83" w:rsidP="005E20D1">
            <w:pPr>
              <w:pStyle w:val="Tabletext"/>
            </w:pPr>
            <w:r w:rsidRPr="00687A1C">
              <w:t>Carpet replacement.</w:t>
            </w:r>
          </w:p>
        </w:tc>
      </w:tr>
      <w:tr w:rsidR="009279CA" w:rsidRPr="00687A1C" w:rsidTr="00F35915">
        <w:trPr>
          <w:cantSplit/>
        </w:trPr>
        <w:tc>
          <w:tcPr>
            <w:tcW w:w="2078" w:type="pct"/>
            <w:shd w:val="clear" w:color="auto" w:fill="FFFFFF" w:themeFill="background1"/>
          </w:tcPr>
          <w:p w:rsidR="009279CA" w:rsidRPr="00687A1C" w:rsidRDefault="009279CA" w:rsidP="005E20D1">
            <w:pPr>
              <w:pStyle w:val="Tabletext"/>
            </w:pPr>
            <w:r w:rsidRPr="00687A1C">
              <w:t>1 Macarthur Street, East Melbourne</w:t>
            </w:r>
          </w:p>
        </w:tc>
        <w:tc>
          <w:tcPr>
            <w:tcW w:w="2922" w:type="pct"/>
            <w:shd w:val="clear" w:color="auto" w:fill="E0E0E0"/>
          </w:tcPr>
          <w:p w:rsidR="00001E83" w:rsidRPr="00687A1C" w:rsidRDefault="005E20D1" w:rsidP="005E20D1">
            <w:pPr>
              <w:pStyle w:val="Tabletext"/>
            </w:pPr>
            <w:r w:rsidRPr="00687A1C">
              <w:t>Plumbing and bathroom upgrade</w:t>
            </w:r>
          </w:p>
          <w:p w:rsidR="00001E83" w:rsidRPr="00687A1C" w:rsidRDefault="00001E83" w:rsidP="005E20D1">
            <w:pPr>
              <w:pStyle w:val="Tabletext"/>
            </w:pPr>
            <w:r w:rsidRPr="00687A1C">
              <w:t>Forecourt invest</w:t>
            </w:r>
            <w:r w:rsidR="005E20D1" w:rsidRPr="00687A1C">
              <w:t>igative and rectification works</w:t>
            </w:r>
          </w:p>
          <w:p w:rsidR="009279CA" w:rsidRPr="00687A1C" w:rsidRDefault="005E20D1" w:rsidP="005E20D1">
            <w:pPr>
              <w:pStyle w:val="Tabletext"/>
            </w:pPr>
            <w:r w:rsidRPr="00687A1C">
              <w:t>Carpet replacement and air</w:t>
            </w:r>
            <w:r w:rsidRPr="00687A1C">
              <w:noBreakHyphen/>
            </w:r>
            <w:r w:rsidR="00001E83" w:rsidRPr="00687A1C">
              <w:t>conditioning works.</w:t>
            </w:r>
          </w:p>
        </w:tc>
      </w:tr>
      <w:tr w:rsidR="009279CA" w:rsidRPr="00687A1C" w:rsidTr="00F35915">
        <w:trPr>
          <w:cantSplit/>
        </w:trPr>
        <w:tc>
          <w:tcPr>
            <w:tcW w:w="2078" w:type="pct"/>
            <w:shd w:val="clear" w:color="auto" w:fill="FFFFFF" w:themeFill="background1"/>
          </w:tcPr>
          <w:p w:rsidR="009279CA" w:rsidRPr="00687A1C" w:rsidRDefault="009279CA" w:rsidP="005E20D1">
            <w:pPr>
              <w:pStyle w:val="Tabletext"/>
            </w:pPr>
            <w:r w:rsidRPr="00687A1C">
              <w:t>20 Spring Street, East Melbourne</w:t>
            </w:r>
          </w:p>
        </w:tc>
        <w:tc>
          <w:tcPr>
            <w:tcW w:w="2922" w:type="pct"/>
            <w:shd w:val="clear" w:color="auto" w:fill="E0E0E0"/>
          </w:tcPr>
          <w:p w:rsidR="009279CA" w:rsidRPr="00687A1C" w:rsidRDefault="00001E83" w:rsidP="005E20D1">
            <w:pPr>
              <w:pStyle w:val="Tabletext"/>
            </w:pPr>
            <w:r w:rsidRPr="00687A1C">
              <w:t>Restoration work to stone, lamps and statue</w:t>
            </w:r>
          </w:p>
        </w:tc>
      </w:tr>
      <w:tr w:rsidR="009279CA" w:rsidRPr="00687A1C" w:rsidTr="00F35915">
        <w:trPr>
          <w:cantSplit/>
        </w:trPr>
        <w:tc>
          <w:tcPr>
            <w:tcW w:w="2078" w:type="pct"/>
            <w:shd w:val="clear" w:color="auto" w:fill="FFFFFF" w:themeFill="background1"/>
          </w:tcPr>
          <w:p w:rsidR="009279CA" w:rsidRPr="00687A1C" w:rsidRDefault="009279CA" w:rsidP="005E20D1">
            <w:pPr>
              <w:pStyle w:val="Tabletext"/>
            </w:pPr>
            <w:r w:rsidRPr="00687A1C">
              <w:t>5</w:t>
            </w:r>
            <w:r w:rsidR="00001E83" w:rsidRPr="00687A1C">
              <w:t xml:space="preserve">5 St Andrews Place, </w:t>
            </w:r>
            <w:r w:rsidRPr="00687A1C">
              <w:t>Melbourne</w:t>
            </w:r>
          </w:p>
        </w:tc>
        <w:tc>
          <w:tcPr>
            <w:tcW w:w="2922" w:type="pct"/>
            <w:shd w:val="clear" w:color="auto" w:fill="E0E0E0"/>
          </w:tcPr>
          <w:p w:rsidR="009279CA" w:rsidRPr="00687A1C" w:rsidRDefault="00442121" w:rsidP="005E20D1">
            <w:pPr>
              <w:pStyle w:val="Tabletext"/>
            </w:pPr>
            <w:r w:rsidRPr="00687A1C">
              <w:t>Replace</w:t>
            </w:r>
            <w:r w:rsidR="005E20D1" w:rsidRPr="00687A1C">
              <w:t>ment of front circler lock door</w:t>
            </w:r>
          </w:p>
        </w:tc>
      </w:tr>
    </w:tbl>
    <w:p w:rsidR="00831448" w:rsidRPr="00687A1C" w:rsidRDefault="00831448" w:rsidP="00831448">
      <w:pPr>
        <w:pStyle w:val="Spacer"/>
      </w:pPr>
    </w:p>
    <w:p w:rsidR="00831448" w:rsidRPr="00687A1C" w:rsidRDefault="00831448" w:rsidP="00831448">
      <w:pPr>
        <w:pStyle w:val="Heading4"/>
      </w:pPr>
      <w:r w:rsidRPr="00687A1C">
        <w:t>Major works (greater than $50</w:t>
      </w:r>
      <w:r w:rsidRPr="00687A1C">
        <w:rPr>
          <w:rFonts w:ascii="Calibri" w:hAnsi="Calibri" w:cs="Calibri"/>
        </w:rPr>
        <w:t> </w:t>
      </w:r>
      <w:r w:rsidRPr="00687A1C">
        <w:t>000) not subject to certification of plans, mandatory inspections of the works and issue of occupancy permits or certification of final inspection</w:t>
      </w:r>
    </w:p>
    <w:p w:rsidR="00A2501A" w:rsidRPr="00687A1C" w:rsidRDefault="00A2501A" w:rsidP="00A2501A">
      <w:r w:rsidRPr="00687A1C">
        <w:t>All works are undertaken by registered building practitioners with certification that the work either complies with the existing occupancy permit, a revised permit, or a certificate of final inspection.</w:t>
      </w:r>
    </w:p>
    <w:p w:rsidR="00A2501A" w:rsidRPr="00687A1C" w:rsidRDefault="00A2501A" w:rsidP="00A2501A">
      <w:pPr>
        <w:pStyle w:val="Heading4"/>
      </w:pPr>
      <w:r w:rsidRPr="00687A1C">
        <w:t>Mechanisms for inspection, reporting, scheduling and carrying out of rectification works on existing buildings</w:t>
      </w:r>
    </w:p>
    <w:p w:rsidR="00A2501A" w:rsidRPr="00687A1C" w:rsidRDefault="00A2501A" w:rsidP="00A2501A">
      <w:r w:rsidRPr="00687A1C">
        <w:t>There are five main mechanisms established for inspecting, reporting, scheduling and performing rectification and maintenance works on the existing buildings.</w:t>
      </w:r>
    </w:p>
    <w:p w:rsidR="00A2501A" w:rsidRPr="00687A1C" w:rsidRDefault="00A2501A" w:rsidP="00A2501A">
      <w:pPr>
        <w:pStyle w:val="ListNumber"/>
        <w:numPr>
          <w:ilvl w:val="0"/>
          <w:numId w:val="12"/>
        </w:numPr>
      </w:pPr>
      <w:r w:rsidRPr="00687A1C">
        <w:t>Provision and management of maintenance service contracts for all owned buildings.</w:t>
      </w:r>
    </w:p>
    <w:p w:rsidR="00A2501A" w:rsidRPr="00687A1C" w:rsidRDefault="00A2501A" w:rsidP="00A2501A">
      <w:pPr>
        <w:pStyle w:val="ListNumber"/>
      </w:pPr>
      <w:r w:rsidRPr="00687A1C">
        <w:t>Six monthly property inspection reports, liaison with tenants and responses to identified issues.</w:t>
      </w:r>
    </w:p>
    <w:p w:rsidR="00A2501A" w:rsidRPr="00687A1C" w:rsidRDefault="00A2501A" w:rsidP="00A2501A">
      <w:pPr>
        <w:pStyle w:val="ListNumber"/>
      </w:pPr>
      <w:r w:rsidRPr="00687A1C">
        <w:t>Ensuring there is an annual essential safety measures report for each building.</w:t>
      </w:r>
    </w:p>
    <w:p w:rsidR="00A2501A" w:rsidRPr="00687A1C" w:rsidRDefault="00A2501A" w:rsidP="00A2501A">
      <w:pPr>
        <w:pStyle w:val="ListNumber"/>
      </w:pPr>
      <w:r w:rsidRPr="00687A1C">
        <w:t>Commissioning independent formal condition, maintenance and compliance audits on buildings every five years.</w:t>
      </w:r>
    </w:p>
    <w:p w:rsidR="00A2501A" w:rsidRPr="00687A1C" w:rsidRDefault="00A2501A" w:rsidP="001E2742">
      <w:pPr>
        <w:pStyle w:val="NormalIndent"/>
        <w:spacing w:before="20" w:after="60"/>
      </w:pPr>
      <w:r w:rsidRPr="00687A1C">
        <w:t xml:space="preserve">Independent </w:t>
      </w:r>
      <w:r w:rsidR="007C6412" w:rsidRPr="00687A1C">
        <w:t xml:space="preserve">property </w:t>
      </w:r>
      <w:r w:rsidRPr="00687A1C">
        <w:t>asset and condition reports will be completed on the DTF</w:t>
      </w:r>
      <w:r w:rsidR="007C6412" w:rsidRPr="00687A1C">
        <w:noBreakHyphen/>
      </w:r>
      <w:r w:rsidRPr="00687A1C">
        <w:t>owned office buildings prior to 31 December 2018.</w:t>
      </w:r>
    </w:p>
    <w:p w:rsidR="00E75194" w:rsidRPr="00687A1C" w:rsidRDefault="00A2501A" w:rsidP="00A2501A">
      <w:pPr>
        <w:pStyle w:val="ListNumber"/>
      </w:pPr>
      <w:r w:rsidRPr="00687A1C">
        <w:t>Commissioning engineering/consultant reports.</w:t>
      </w:r>
    </w:p>
    <w:p w:rsidR="00E75194" w:rsidRPr="00687A1C" w:rsidRDefault="00E327A5" w:rsidP="00E75194">
      <w:r>
        <w:br w:type="column"/>
      </w:r>
      <w:r w:rsidR="00E75194" w:rsidRPr="00687A1C">
        <w:t>Cus</w:t>
      </w:r>
      <w:r w:rsidR="00A15B96" w:rsidRPr="00687A1C">
        <w:t>hman and Wakefield (June 2017–</w:t>
      </w:r>
      <w:r w:rsidR="00E75194" w:rsidRPr="00687A1C">
        <w:t xml:space="preserve">17 December 2017) and </w:t>
      </w:r>
      <w:r w:rsidR="007C6412" w:rsidRPr="00687A1C">
        <w:t>JLL</w:t>
      </w:r>
      <w:r w:rsidR="00E75194" w:rsidRPr="00687A1C">
        <w:t xml:space="preserve"> (from 18 December 2017) managed</w:t>
      </w:r>
      <w:r w:rsidR="009469FE" w:rsidRPr="00687A1C">
        <w:t xml:space="preserve"> </w:t>
      </w:r>
      <w:r w:rsidR="00E75194" w:rsidRPr="00687A1C">
        <w:t>the service ma</w:t>
      </w:r>
      <w:r w:rsidR="00A15B96" w:rsidRPr="00687A1C">
        <w:t>intenance contracts for the DTF-</w:t>
      </w:r>
      <w:r w:rsidR="00E75194" w:rsidRPr="00687A1C">
        <w:t>owned government office buildings. The outsourced provider is responsible for:</w:t>
      </w:r>
    </w:p>
    <w:p w:rsidR="00E75194" w:rsidRPr="00687A1C" w:rsidRDefault="00E75194" w:rsidP="00E75194">
      <w:pPr>
        <w:pStyle w:val="Bullet"/>
      </w:pPr>
      <w:r w:rsidRPr="00687A1C">
        <w:t>undertaking breakdown, preventative and cyclical maintenance (point 1 above);</w:t>
      </w:r>
    </w:p>
    <w:p w:rsidR="00E75194" w:rsidRPr="00687A1C" w:rsidRDefault="00E75194" w:rsidP="00E75194">
      <w:pPr>
        <w:pStyle w:val="Bullet"/>
      </w:pPr>
      <w:r w:rsidRPr="00687A1C">
        <w:t>identifying and prioritising works required in consultation with DTF (point 1 above);</w:t>
      </w:r>
    </w:p>
    <w:p w:rsidR="00E75194" w:rsidRPr="00687A1C" w:rsidRDefault="00E75194" w:rsidP="00E75194">
      <w:pPr>
        <w:pStyle w:val="Bullet"/>
      </w:pPr>
      <w:r w:rsidRPr="00687A1C">
        <w:t>managing rectification works (point 1 above);</w:t>
      </w:r>
    </w:p>
    <w:p w:rsidR="00E75194" w:rsidRPr="00687A1C" w:rsidRDefault="00E75194" w:rsidP="00E75194">
      <w:pPr>
        <w:pStyle w:val="Bullet"/>
      </w:pPr>
      <w:r w:rsidRPr="00687A1C">
        <w:t>conducting regular inspections to ensure works are performed to standard (point 2 above); and</w:t>
      </w:r>
    </w:p>
    <w:p w:rsidR="00E75194" w:rsidRPr="00687A1C" w:rsidRDefault="00E75194" w:rsidP="00E75194">
      <w:pPr>
        <w:pStyle w:val="Bullet"/>
      </w:pPr>
      <w:r w:rsidRPr="00687A1C">
        <w:t>managing maintenance to support the issue of the annual essential safety measures reports (point 1 above).</w:t>
      </w:r>
    </w:p>
    <w:p w:rsidR="00E75194" w:rsidRPr="00687A1C" w:rsidRDefault="00E75194" w:rsidP="00E75194">
      <w:r w:rsidRPr="00687A1C">
        <w:t>Quality assurance, performance measures and governance</w:t>
      </w:r>
      <w:r w:rsidR="009469FE" w:rsidRPr="00687A1C">
        <w:t xml:space="preserve"> </w:t>
      </w:r>
      <w:r w:rsidRPr="00687A1C">
        <w:t xml:space="preserve">were included in both Cushman and Wakefield and </w:t>
      </w:r>
      <w:r w:rsidR="007C6412" w:rsidRPr="00687A1C">
        <w:t>JLL</w:t>
      </w:r>
      <w:r w:rsidRPr="00687A1C">
        <w:t xml:space="preserve"> contracts respectively.</w:t>
      </w:r>
    </w:p>
    <w:p w:rsidR="00E75194" w:rsidRPr="00687A1C" w:rsidRDefault="00E75194" w:rsidP="00E75194">
      <w:pPr>
        <w:pStyle w:val="Heading4"/>
      </w:pPr>
      <w:r w:rsidRPr="00687A1C">
        <w:t>Number of emergency orders and building orders issued in relation to buildings</w:t>
      </w:r>
    </w:p>
    <w:p w:rsidR="00E75194" w:rsidRPr="00687A1C" w:rsidRDefault="00E75194" w:rsidP="00E75194">
      <w:r w:rsidRPr="00687A1C">
        <w:t xml:space="preserve">Nil. </w:t>
      </w:r>
    </w:p>
    <w:p w:rsidR="00E75194" w:rsidRPr="00687A1C" w:rsidRDefault="00E75194" w:rsidP="00E75194">
      <w:pPr>
        <w:pStyle w:val="Heading4"/>
      </w:pPr>
      <w:r w:rsidRPr="00687A1C">
        <w:t>Number of buildings conforming with the building standards</w:t>
      </w:r>
    </w:p>
    <w:p w:rsidR="00E75194" w:rsidRPr="00687A1C" w:rsidRDefault="00E75194" w:rsidP="00E75194">
      <w:r w:rsidRPr="00687A1C">
        <w:t>17</w:t>
      </w:r>
    </w:p>
    <w:p w:rsidR="00E75194" w:rsidRPr="00687A1C" w:rsidRDefault="00E75194" w:rsidP="00E75194">
      <w:pPr>
        <w:pStyle w:val="Heading4"/>
      </w:pPr>
      <w:r w:rsidRPr="00687A1C">
        <w:t>Number of buildings that have been brought into conformity during the reporting period</w:t>
      </w:r>
    </w:p>
    <w:p w:rsidR="00E75194" w:rsidRPr="00687A1C" w:rsidRDefault="00E75194" w:rsidP="00E75194">
      <w:r w:rsidRPr="00687A1C">
        <w:t>Nil</w:t>
      </w:r>
    </w:p>
    <w:p w:rsidR="000A5B0E" w:rsidRPr="00687A1C" w:rsidRDefault="000A5B0E" w:rsidP="00E75194"/>
    <w:p w:rsidR="00970737" w:rsidRPr="00687A1C" w:rsidRDefault="001C184C" w:rsidP="007E4DBD">
      <w:pPr>
        <w:pStyle w:val="Heading1b"/>
        <w:ind w:right="-148"/>
      </w:pPr>
      <w:bookmarkStart w:id="201" w:name="NatCompetitionPolicy1"/>
      <w:bookmarkStart w:id="202" w:name="_Toc525026171"/>
      <w:bookmarkEnd w:id="201"/>
      <w:r>
        <w:t>National Competition Policy </w:t>
      </w:r>
      <w:r w:rsidR="00970737" w:rsidRPr="00687A1C">
        <w:t>– Reporting against competitive neutrality principles</w:t>
      </w:r>
      <w:bookmarkEnd w:id="202"/>
    </w:p>
    <w:p w:rsidR="00970737" w:rsidRPr="00687A1C" w:rsidRDefault="00970737" w:rsidP="00970737">
      <w:pPr>
        <w:rPr>
          <w:rFonts w:eastAsia="Tahoma"/>
        </w:rPr>
      </w:pPr>
      <w:r w:rsidRPr="00687A1C">
        <w:rPr>
          <w:rFonts w:eastAsia="Tahoma"/>
        </w:rPr>
        <w:t xml:space="preserve">The Department continues to comply with the requirements of the National Competition Policy. Competitive neutrality requires government businesses to ensure where services compete, or potentially compete with the private sector, any advantage arising solely from their government ownership be removed if it is not in the public interest. Government businesses are required to cost and price these services as if they were privately owned and thus be fully cost reflective. Competitive neutrality policy provides government businesses with a tool to enhance decisions on resource allocation. This policy does not override other policy objectives of government and focuses on efficiency in the provision of service. </w:t>
      </w:r>
    </w:p>
    <w:p w:rsidR="000A5B0E" w:rsidRPr="00687A1C" w:rsidRDefault="000A5B0E">
      <w:pPr>
        <w:spacing w:before="0" w:after="0"/>
        <w:rPr>
          <w:rFonts w:eastAsia="Tahoma"/>
        </w:rPr>
      </w:pPr>
      <w:r w:rsidRPr="00687A1C">
        <w:rPr>
          <w:rFonts w:eastAsia="Tahoma"/>
        </w:rPr>
        <w:br w:type="page"/>
      </w:r>
    </w:p>
    <w:p w:rsidR="00970737" w:rsidRPr="00687A1C" w:rsidRDefault="00970737" w:rsidP="00970737">
      <w:r w:rsidRPr="00687A1C">
        <w:rPr>
          <w:rFonts w:eastAsia="Tahoma"/>
        </w:rPr>
        <w:lastRenderedPageBreak/>
        <w:t>Following a review of National Competition Policy in</w:t>
      </w:r>
      <w:r w:rsidRPr="00687A1C">
        <w:rPr>
          <w:rFonts w:ascii="Calibri" w:eastAsia="Tahoma" w:hAnsi="Calibri" w:cs="Calibri"/>
        </w:rPr>
        <w:t> </w:t>
      </w:r>
      <w:r w:rsidRPr="00687A1C">
        <w:rPr>
          <w:rFonts w:eastAsia="Tahoma"/>
        </w:rPr>
        <w:t>2005, the Council of Australian Governments agreed to annual reporting against enhanced competitive neutrality principles for incorporated government business entities engaged in significant business activities in competition with the private sector. Reports against these principles are made annually through the Heads of</w:t>
      </w:r>
      <w:r w:rsidR="00A64017" w:rsidRPr="00687A1C">
        <w:rPr>
          <w:rFonts w:ascii="VIC" w:eastAsia="Tahoma" w:hAnsi="VIC"/>
        </w:rPr>
        <w:t xml:space="preserve"> </w:t>
      </w:r>
      <w:r w:rsidRPr="00687A1C">
        <w:rPr>
          <w:rFonts w:eastAsia="Tahoma"/>
        </w:rPr>
        <w:t>Treasuries and published on the Council on Federal Financial Relations</w:t>
      </w:r>
      <w:r w:rsidR="009469FE" w:rsidRPr="00687A1C">
        <w:rPr>
          <w:rFonts w:eastAsia="Tahoma"/>
        </w:rPr>
        <w:t>’</w:t>
      </w:r>
      <w:r w:rsidRPr="00687A1C">
        <w:rPr>
          <w:rFonts w:eastAsia="Tahoma"/>
        </w:rPr>
        <w:t xml:space="preserve"> website.</w:t>
      </w:r>
    </w:p>
    <w:p w:rsidR="00970737" w:rsidRPr="00687A1C" w:rsidRDefault="00970737" w:rsidP="00970737">
      <w:pPr>
        <w:rPr>
          <w:rFonts w:eastAsia="Tahoma"/>
        </w:rPr>
      </w:pPr>
      <w:r w:rsidRPr="00687A1C">
        <w:rPr>
          <w:rFonts w:eastAsia="Tahoma"/>
        </w:rPr>
        <w:t>The Commissioner for Better Regulation is responsible for considering competitive neutrality complaints by individuals and businesses against government entities and reported to the Government on compliance with the policy. No competitive neutrality complaints were lodged against business activities operated by DTF.</w:t>
      </w:r>
      <w:bookmarkStart w:id="203" w:name="NatCompetitionPolicy2"/>
      <w:bookmarkEnd w:id="203"/>
    </w:p>
    <w:p w:rsidR="00F35915" w:rsidRPr="00687A1C" w:rsidRDefault="00F35915" w:rsidP="00F35915">
      <w:pPr>
        <w:pStyle w:val="Spacer"/>
      </w:pPr>
    </w:p>
    <w:p w:rsidR="00970737" w:rsidRPr="00687A1C" w:rsidRDefault="00970737" w:rsidP="007E4DBD">
      <w:pPr>
        <w:pStyle w:val="Heading1b"/>
      </w:pPr>
      <w:bookmarkStart w:id="204" w:name="_Toc525026172"/>
      <w:bookmarkStart w:id="205" w:name="ProtectedDisclosure"/>
      <w:r w:rsidRPr="00687A1C">
        <w:t>Application of Protected Disclosure Act</w:t>
      </w:r>
      <w:bookmarkEnd w:id="204"/>
    </w:p>
    <w:bookmarkEnd w:id="205"/>
    <w:p w:rsidR="00970737" w:rsidRPr="00687A1C" w:rsidRDefault="00EF5D5D" w:rsidP="00970737">
      <w:r w:rsidRPr="00687A1C">
        <w:t xml:space="preserve">The following information is required in the Annual Report pursuant to section 70 of the </w:t>
      </w:r>
      <w:r w:rsidRPr="00687A1C">
        <w:rPr>
          <w:i/>
        </w:rPr>
        <w:t xml:space="preserve">Protected Disclosure Act 2012 </w:t>
      </w:r>
      <w:r w:rsidRPr="00687A1C">
        <w:t>(the Act).</w:t>
      </w:r>
    </w:p>
    <w:p w:rsidR="00970737" w:rsidRPr="00687A1C" w:rsidRDefault="00970737" w:rsidP="00970737">
      <w:pPr>
        <w:pStyle w:val="Heading2"/>
      </w:pPr>
      <w:bookmarkStart w:id="206" w:name="_Ref492629117"/>
      <w:r w:rsidRPr="00687A1C">
        <w:t>Message from the Secretary</w:t>
      </w:r>
      <w:bookmarkEnd w:id="206"/>
    </w:p>
    <w:p w:rsidR="00970737" w:rsidRPr="00687A1C" w:rsidRDefault="00EF5D5D" w:rsidP="00970737">
      <w:r w:rsidRPr="00687A1C">
        <w:t xml:space="preserve">The Department of Treasury and Finance is committed to the aims and objectives of the Act. It does not tolerate improper conduct by its employees, officers or members. Nor does the </w:t>
      </w:r>
      <w:r w:rsidR="00141472" w:rsidRPr="00687A1C">
        <w:t xml:space="preserve">Department </w:t>
      </w:r>
      <w:r w:rsidRPr="00687A1C">
        <w:t>tolerate reprisals against those who come forward to disclose such conduct, and it is dedicated to protecting the welfare of such persons.</w:t>
      </w:r>
    </w:p>
    <w:p w:rsidR="00EC4CFD" w:rsidRPr="00687A1C" w:rsidRDefault="00EC4CFD" w:rsidP="00EC4CFD">
      <w:pPr>
        <w:spacing w:after="0"/>
        <w:ind w:left="-180"/>
      </w:pPr>
      <w:r>
        <w:rPr>
          <w:rFonts w:cstheme="minorHAnsi"/>
          <w:noProof/>
        </w:rPr>
        <w:drawing>
          <wp:inline distT="0" distB="0" distL="0" distR="0" wp14:anchorId="4FA637DC" wp14:editId="36B9DEAB">
            <wp:extent cx="1666875" cy="601345"/>
            <wp:effectExtent l="0" t="0" r="0" b="8255"/>
            <wp:docPr id="27" name="Picture 27" descr="T:\Corpcom_CSS\COMMUNICATIONS\PROJECTS\DTF Annual Report\2014-15\Misc\d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PROJECTS\DTF Annual Report\2014-15\Misc\dm signature.jpg"/>
                    <pic:cNvPicPr>
                      <a:picLocks noChangeAspect="1" noChangeArrowheads="1"/>
                    </pic:cNvPicPr>
                  </pic:nvPicPr>
                  <pic:blipFill>
                    <a:blip r:embed="rId26" cstate="print">
                      <a:clrChange>
                        <a:clrFrom>
                          <a:srgbClr val="FFFFFF"/>
                        </a:clrFrom>
                        <a:clrTo>
                          <a:srgbClr val="FFFFFF">
                            <a:alpha val="0"/>
                          </a:srgbClr>
                        </a:clrTo>
                      </a:clrChange>
                      <a:grayscl/>
                      <a:extLst>
                        <a:ext uri="{BEBA8EAE-BF5A-486C-A8C5-ECC9F3942E4B}">
                          <a14:imgProps xmlns:a14="http://schemas.microsoft.com/office/drawing/2010/main">
                            <a14:imgLayer r:embed="rId11">
                              <a14:imgEffect>
                                <a14:sharpenSoften amount="25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601345"/>
                    </a:xfrm>
                    <a:prstGeom prst="rect">
                      <a:avLst/>
                    </a:prstGeom>
                    <a:noFill/>
                    <a:ln>
                      <a:noFill/>
                    </a:ln>
                  </pic:spPr>
                </pic:pic>
              </a:graphicData>
            </a:graphic>
          </wp:inline>
        </w:drawing>
      </w:r>
    </w:p>
    <w:p w:rsidR="00EC4CFD" w:rsidRPr="00687A1C" w:rsidRDefault="00EC4CFD" w:rsidP="00EC4CFD">
      <w:pPr>
        <w:spacing w:before="0"/>
        <w:rPr>
          <w:b/>
        </w:rPr>
      </w:pPr>
      <w:r w:rsidRPr="00687A1C">
        <w:rPr>
          <w:b/>
        </w:rPr>
        <w:t>David Martine</w:t>
      </w:r>
      <w:r w:rsidRPr="00687A1C">
        <w:rPr>
          <w:b/>
        </w:rPr>
        <w:br/>
        <w:t>Secretary</w:t>
      </w:r>
    </w:p>
    <w:p w:rsidR="00D77411" w:rsidRPr="00687A1C" w:rsidRDefault="00D77411" w:rsidP="00447E45">
      <w:pPr>
        <w:pStyle w:val="Spacer"/>
      </w:pPr>
    </w:p>
    <w:p w:rsidR="00970737" w:rsidRPr="00687A1C" w:rsidRDefault="00970737" w:rsidP="00970737">
      <w:pPr>
        <w:pStyle w:val="Heading2"/>
      </w:pPr>
      <w:r w:rsidRPr="00687A1C">
        <w:t xml:space="preserve">Compliance with the </w:t>
      </w:r>
      <w:r w:rsidRPr="00687A1C">
        <w:rPr>
          <w:i/>
        </w:rPr>
        <w:t>Protected Disclosure Act 2012</w:t>
      </w:r>
    </w:p>
    <w:p w:rsidR="00970737" w:rsidRPr="00687A1C" w:rsidRDefault="00EF5D5D" w:rsidP="00EF5D5D">
      <w:r w:rsidRPr="00687A1C">
        <w:t>The</w:t>
      </w:r>
      <w:r w:rsidRPr="00687A1C">
        <w:rPr>
          <w:i/>
          <w:iCs/>
        </w:rPr>
        <w:t xml:space="preserve"> Protected Disclosure Act 2012</w:t>
      </w:r>
      <w:r w:rsidRPr="00687A1C">
        <w:t xml:space="preserve"> encourages and assists people in making disclosures of improper conduct by public officers and public bodies. The Act provides protection to people who make disclosures in accordance with the Act and establishes a system for the matters disclosed to be investigated and rectifying action to be taken.</w:t>
      </w:r>
    </w:p>
    <w:p w:rsidR="00EF5D5D" w:rsidRPr="00687A1C" w:rsidRDefault="00EF5D5D" w:rsidP="00EF5D5D">
      <w:r w:rsidRPr="00687A1C">
        <w:t xml:space="preserve">The Department does not tolerate improper conduct by employees, nor the taking of reprisals against those who come forward to disclose such conduct. It is committed to ensuring transparency and accountability in its administrative and management practices and supports the making of disclosures that reveal corrupt conduct, conduct involving a substantial mismanagement of public resources, or conduct involving a substantial risk to public health and safety or the environment. </w:t>
      </w:r>
    </w:p>
    <w:p w:rsidR="00EF5D5D" w:rsidRPr="00687A1C" w:rsidRDefault="00EF5D5D" w:rsidP="00EF5D5D">
      <w:r w:rsidRPr="00687A1C">
        <w:t>The Department will take all reasonable steps to protect people who make such disclosures from any detrimental action in reprisal for making the disclosure. It will also afford natural justice to the person who is the subject of the disclosure to the extent it is legally possible.</w:t>
      </w:r>
    </w:p>
    <w:p w:rsidR="00970737" w:rsidRPr="00687A1C" w:rsidRDefault="00970737" w:rsidP="00D011CE">
      <w:pPr>
        <w:pStyle w:val="Heading2"/>
      </w:pPr>
      <w:r w:rsidRPr="00687A1C">
        <w:t>Reporting procedures</w:t>
      </w:r>
    </w:p>
    <w:p w:rsidR="00970737" w:rsidRPr="00687A1C" w:rsidRDefault="00EF5D5D" w:rsidP="00EF5D5D">
      <w:r w:rsidRPr="00687A1C">
        <w:t>Disclosures of improper conduct or detrimental action by the Department or any of its employees and/or officers may be made to any of the following Department personnel:</w:t>
      </w:r>
    </w:p>
    <w:p w:rsidR="00970737" w:rsidRPr="00687A1C" w:rsidRDefault="00EF5D5D" w:rsidP="00EF5D5D">
      <w:pPr>
        <w:pStyle w:val="Bullet"/>
      </w:pPr>
      <w:r w:rsidRPr="00687A1C">
        <w:t>the Protected Disclosure Coordinator;</w:t>
      </w:r>
    </w:p>
    <w:p w:rsidR="00970737" w:rsidRPr="00687A1C" w:rsidRDefault="00EF5D5D" w:rsidP="00EF5D5D">
      <w:pPr>
        <w:pStyle w:val="Bullet"/>
      </w:pPr>
      <w:r w:rsidRPr="00687A1C">
        <w:t>the Secretary of the Department;</w:t>
      </w:r>
    </w:p>
    <w:p w:rsidR="00EF5D5D" w:rsidRPr="00687A1C" w:rsidRDefault="00EF5D5D" w:rsidP="00EF5D5D">
      <w:pPr>
        <w:pStyle w:val="Bullet"/>
      </w:pPr>
      <w:r w:rsidRPr="00687A1C">
        <w:t>a Protected Disclosure Officer of the Department;</w:t>
      </w:r>
    </w:p>
    <w:p w:rsidR="00EF5D5D" w:rsidRPr="00687A1C" w:rsidRDefault="00EF5D5D" w:rsidP="00EF5D5D">
      <w:pPr>
        <w:pStyle w:val="Bullet"/>
      </w:pPr>
      <w:r w:rsidRPr="00687A1C">
        <w:t>a manager or supervisor of a person from the Department who chooses to make a disclosure;</w:t>
      </w:r>
      <w:r w:rsidRPr="00687A1C">
        <w:rPr>
          <w:rFonts w:ascii="Calibri" w:hAnsi="Calibri" w:cs="Calibri"/>
        </w:rPr>
        <w:t> </w:t>
      </w:r>
      <w:r w:rsidRPr="00687A1C">
        <w:t>or</w:t>
      </w:r>
    </w:p>
    <w:p w:rsidR="00EF5D5D" w:rsidRPr="00687A1C" w:rsidRDefault="00EF5D5D" w:rsidP="00EF5D5D">
      <w:pPr>
        <w:pStyle w:val="Bullet"/>
      </w:pPr>
      <w:r w:rsidRPr="00687A1C">
        <w:t>a manager or supervisor of a person from the Department about whom a disclosure has been</w:t>
      </w:r>
      <w:r w:rsidRPr="00687A1C">
        <w:rPr>
          <w:rFonts w:ascii="Calibri" w:hAnsi="Calibri" w:cs="Calibri"/>
        </w:rPr>
        <w:t> </w:t>
      </w:r>
      <w:r w:rsidRPr="00687A1C">
        <w:t>made.</w:t>
      </w:r>
    </w:p>
    <w:p w:rsidR="00970737" w:rsidRPr="00687A1C" w:rsidRDefault="00EF5D5D" w:rsidP="00EF5D5D">
      <w:r w:rsidRPr="00687A1C">
        <w:t>Alternatively, disclosures of improper conduct or detrimental action by the Department or any of its employees and/or officers may also be made directly to the Independent Broad</w:t>
      </w:r>
      <w:r w:rsidR="00B336DF" w:rsidRPr="00687A1C">
        <w:rPr>
          <w:rFonts w:ascii="Tms Rmn" w:hAnsi="Tms Rmn" w:cs="Tms Rmn"/>
        </w:rPr>
        <w:noBreakHyphen/>
      </w:r>
      <w:r w:rsidRPr="00687A1C">
        <w:t>based Anti</w:t>
      </w:r>
      <w:r w:rsidR="00B336DF" w:rsidRPr="00687A1C">
        <w:rPr>
          <w:rFonts w:ascii="Tms Rmn" w:hAnsi="Tms Rmn" w:cs="Tms Rmn"/>
        </w:rPr>
        <w:noBreakHyphen/>
      </w:r>
      <w:r w:rsidRPr="00687A1C">
        <w:t>corruption Commission:</w:t>
      </w:r>
    </w:p>
    <w:p w:rsidR="00970737" w:rsidRPr="00687A1C" w:rsidRDefault="00970737" w:rsidP="00970737">
      <w:pPr>
        <w:pStyle w:val="NormalIndent"/>
        <w:rPr>
          <w:rFonts w:cstheme="minorHAnsi"/>
        </w:rPr>
      </w:pPr>
      <w:r w:rsidRPr="00687A1C">
        <w:rPr>
          <w:rFonts w:cstheme="minorHAnsi"/>
        </w:rPr>
        <w:t xml:space="preserve">Level 1, North Tower, 459 Collins Street </w:t>
      </w:r>
      <w:r w:rsidRPr="00687A1C">
        <w:rPr>
          <w:rFonts w:cstheme="minorHAnsi"/>
        </w:rPr>
        <w:br/>
        <w:t>Melbourne VIC 3000</w:t>
      </w:r>
    </w:p>
    <w:p w:rsidR="00970737" w:rsidRPr="00687A1C" w:rsidRDefault="00970737" w:rsidP="00970737">
      <w:pPr>
        <w:pStyle w:val="NormalIndent"/>
        <w:rPr>
          <w:rFonts w:cstheme="minorHAnsi"/>
        </w:rPr>
      </w:pPr>
      <w:r w:rsidRPr="00687A1C">
        <w:rPr>
          <w:rFonts w:cstheme="minorHAnsi"/>
        </w:rPr>
        <w:t xml:space="preserve">Phone: 1300 735 135 </w:t>
      </w:r>
      <w:r w:rsidRPr="00687A1C">
        <w:rPr>
          <w:rFonts w:cstheme="minorHAnsi"/>
        </w:rPr>
        <w:br/>
        <w:t xml:space="preserve">Internet: </w:t>
      </w:r>
      <w:hyperlink r:id="rId139" w:history="1">
        <w:r w:rsidRPr="00687A1C">
          <w:rPr>
            <w:rFonts w:cstheme="minorHAnsi"/>
            <w:color w:val="404040"/>
          </w:rPr>
          <w:t>ibac.vic.gov.au</w:t>
        </w:r>
      </w:hyperlink>
    </w:p>
    <w:p w:rsidR="00970737" w:rsidRPr="00687A1C" w:rsidRDefault="00970737" w:rsidP="00970737">
      <w:pPr>
        <w:pStyle w:val="Heading2"/>
      </w:pPr>
      <w:r w:rsidRPr="00687A1C">
        <w:t>Further information</w:t>
      </w:r>
    </w:p>
    <w:p w:rsidR="00970737" w:rsidRPr="00687A1C" w:rsidRDefault="00EF5D5D" w:rsidP="00EF5D5D">
      <w:r w:rsidRPr="00687A1C">
        <w:t>The Protected Disclosure Policy and Procedures, which outline the system for reporting disclosures of improper conduct or detrimental action by the Department or any of its employees and/or officers, are available on the Department</w:t>
      </w:r>
      <w:r w:rsidR="009469FE" w:rsidRPr="00687A1C">
        <w:t>’</w:t>
      </w:r>
      <w:r w:rsidRPr="00687A1C">
        <w:t>s website.</w:t>
      </w:r>
    </w:p>
    <w:p w:rsidR="00970737" w:rsidRPr="00687A1C" w:rsidRDefault="00970737" w:rsidP="00970737">
      <w:pPr>
        <w:pStyle w:val="Tableheading"/>
      </w:pPr>
      <w:r w:rsidRPr="00687A1C">
        <w:t>Disclosures under the</w:t>
      </w:r>
      <w:r w:rsidRPr="00687A1C">
        <w:rPr>
          <w:i/>
        </w:rPr>
        <w:t xml:space="preserve"> Protected Disclosure Act 2012</w:t>
      </w:r>
    </w:p>
    <w:tbl>
      <w:tblPr>
        <w:tblStyle w:val="AnnualReporttexttable"/>
        <w:tblW w:w="4518" w:type="dxa"/>
        <w:tblLayout w:type="fixed"/>
        <w:tblCellMar>
          <w:left w:w="58" w:type="dxa"/>
          <w:right w:w="58" w:type="dxa"/>
        </w:tblCellMar>
        <w:tblLook w:val="02A0" w:firstRow="1" w:lastRow="0" w:firstColumn="1" w:lastColumn="0" w:noHBand="1" w:noVBand="0"/>
      </w:tblPr>
      <w:tblGrid>
        <w:gridCol w:w="2578"/>
        <w:gridCol w:w="950"/>
        <w:gridCol w:w="990"/>
      </w:tblGrid>
      <w:tr w:rsidR="00970737" w:rsidRPr="00687A1C" w:rsidTr="00A06D35">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78" w:type="dxa"/>
          </w:tcPr>
          <w:p w:rsidR="00970737" w:rsidRPr="00687A1C" w:rsidRDefault="00970737" w:rsidP="00A06D35">
            <w:pPr>
              <w:pStyle w:val="Tabletext"/>
            </w:pPr>
          </w:p>
        </w:tc>
        <w:tc>
          <w:tcPr>
            <w:cnfStyle w:val="000010000000" w:firstRow="0" w:lastRow="0" w:firstColumn="0" w:lastColumn="0" w:oddVBand="1" w:evenVBand="0" w:oddHBand="0" w:evenHBand="0" w:firstRowFirstColumn="0" w:firstRowLastColumn="0" w:lastRowFirstColumn="0" w:lastRowLastColumn="0"/>
            <w:tcW w:w="950" w:type="dxa"/>
          </w:tcPr>
          <w:p w:rsidR="00970737" w:rsidRPr="00687A1C" w:rsidRDefault="00970737" w:rsidP="001614D4">
            <w:pPr>
              <w:pStyle w:val="Tabletextright"/>
            </w:pPr>
            <w:r w:rsidRPr="00687A1C">
              <w:t>201</w:t>
            </w:r>
            <w:r w:rsidR="001614D4" w:rsidRPr="00687A1C">
              <w:t>7</w:t>
            </w:r>
            <w:r w:rsidR="00B336DF" w:rsidRPr="00687A1C">
              <w:noBreakHyphen/>
            </w:r>
            <w:r w:rsidRPr="00687A1C">
              <w:t>1</w:t>
            </w:r>
            <w:r w:rsidR="001614D4" w:rsidRPr="00687A1C">
              <w:t>8</w:t>
            </w:r>
            <w:r w:rsidRPr="00687A1C">
              <w:t xml:space="preserve"> </w:t>
            </w:r>
            <w:r w:rsidRPr="00687A1C">
              <w:br/>
              <w:t>(number)</w:t>
            </w:r>
          </w:p>
        </w:tc>
        <w:tc>
          <w:tcPr>
            <w:cnfStyle w:val="000001000000" w:firstRow="0" w:lastRow="0" w:firstColumn="0" w:lastColumn="0" w:oddVBand="0" w:evenVBand="1" w:oddHBand="0" w:evenHBand="0" w:firstRowFirstColumn="0" w:firstRowLastColumn="0" w:lastRowFirstColumn="0" w:lastRowLastColumn="0"/>
            <w:tcW w:w="990" w:type="dxa"/>
          </w:tcPr>
          <w:p w:rsidR="00970737" w:rsidRPr="00687A1C" w:rsidRDefault="001614D4" w:rsidP="001614D4">
            <w:pPr>
              <w:pStyle w:val="Tabletextright"/>
            </w:pPr>
            <w:r w:rsidRPr="00687A1C">
              <w:t>2016</w:t>
            </w:r>
            <w:r w:rsidR="00B336DF" w:rsidRPr="00687A1C">
              <w:noBreakHyphen/>
            </w:r>
            <w:r w:rsidR="00970737" w:rsidRPr="00687A1C">
              <w:t>1</w:t>
            </w:r>
            <w:r w:rsidRPr="00687A1C">
              <w:t>7</w:t>
            </w:r>
            <w:r w:rsidR="00970737" w:rsidRPr="00687A1C">
              <w:t xml:space="preserve"> </w:t>
            </w:r>
            <w:r w:rsidR="00970737" w:rsidRPr="00687A1C">
              <w:br/>
              <w:t>(number)</w:t>
            </w:r>
          </w:p>
        </w:tc>
      </w:tr>
      <w:tr w:rsidR="00970737" w:rsidRPr="00687A1C" w:rsidTr="00A06D35">
        <w:trPr>
          <w:trHeight w:val="499"/>
        </w:trPr>
        <w:tc>
          <w:tcPr>
            <w:cnfStyle w:val="001000000000" w:firstRow="0" w:lastRow="0" w:firstColumn="1" w:lastColumn="0" w:oddVBand="0" w:evenVBand="0" w:oddHBand="0" w:evenHBand="0" w:firstRowFirstColumn="0" w:firstRowLastColumn="0" w:lastRowFirstColumn="0" w:lastRowLastColumn="0"/>
            <w:tcW w:w="2578" w:type="dxa"/>
          </w:tcPr>
          <w:p w:rsidR="00970737" w:rsidRPr="00687A1C" w:rsidRDefault="00970737" w:rsidP="00A06D35">
            <w:pPr>
              <w:pStyle w:val="Tabletext"/>
            </w:pPr>
            <w:r w:rsidRPr="00687A1C">
              <w:t>The number of disclosures made by an individual to the Department and notified to the Independent Broad</w:t>
            </w:r>
            <w:r w:rsidR="00B336DF" w:rsidRPr="00687A1C">
              <w:noBreakHyphen/>
            </w:r>
            <w:r w:rsidRPr="00687A1C">
              <w:t>based Anti</w:t>
            </w:r>
            <w:r w:rsidR="00B336DF" w:rsidRPr="00687A1C">
              <w:noBreakHyphen/>
            </w:r>
            <w:r w:rsidRPr="00687A1C">
              <w:t xml:space="preserve">corruption Commission </w:t>
            </w:r>
          </w:p>
        </w:tc>
        <w:tc>
          <w:tcPr>
            <w:cnfStyle w:val="000010000000" w:firstRow="0" w:lastRow="0" w:firstColumn="0" w:lastColumn="0" w:oddVBand="1" w:evenVBand="0" w:oddHBand="0" w:evenHBand="0" w:firstRowFirstColumn="0" w:firstRowLastColumn="0" w:lastRowFirstColumn="0" w:lastRowLastColumn="0"/>
            <w:tcW w:w="950" w:type="dxa"/>
          </w:tcPr>
          <w:p w:rsidR="00970737" w:rsidRPr="00687A1C" w:rsidRDefault="001F7AFD" w:rsidP="00A06D35">
            <w:pPr>
              <w:pStyle w:val="Tabletextright"/>
            </w:pPr>
            <w:r w:rsidRPr="00687A1C">
              <w:t>Nil</w:t>
            </w:r>
          </w:p>
        </w:tc>
        <w:tc>
          <w:tcPr>
            <w:cnfStyle w:val="000001000000" w:firstRow="0" w:lastRow="0" w:firstColumn="0" w:lastColumn="0" w:oddVBand="0" w:evenVBand="1" w:oddHBand="0" w:evenHBand="0" w:firstRowFirstColumn="0" w:firstRowLastColumn="0" w:lastRowFirstColumn="0" w:lastRowLastColumn="0"/>
            <w:tcW w:w="990" w:type="dxa"/>
          </w:tcPr>
          <w:p w:rsidR="00970737" w:rsidRPr="00687A1C" w:rsidRDefault="001F7AFD" w:rsidP="00A06D35">
            <w:pPr>
              <w:pStyle w:val="Tabletextright"/>
            </w:pPr>
            <w:r w:rsidRPr="00687A1C">
              <w:t>Nil</w:t>
            </w:r>
          </w:p>
        </w:tc>
      </w:tr>
    </w:tbl>
    <w:p w:rsidR="00970737" w:rsidRPr="00687A1C" w:rsidRDefault="00970737" w:rsidP="00447E45">
      <w:pPr>
        <w:pStyle w:val="Spacer"/>
      </w:pPr>
    </w:p>
    <w:p w:rsidR="00DE17AC" w:rsidRPr="00687A1C" w:rsidRDefault="00447E45" w:rsidP="007E4DBD">
      <w:pPr>
        <w:pStyle w:val="Heading1b"/>
      </w:pPr>
      <w:r w:rsidRPr="00687A1C">
        <w:br w:type="column"/>
      </w:r>
      <w:bookmarkStart w:id="207" w:name="_Toc525026173"/>
      <w:r w:rsidR="00DE17AC" w:rsidRPr="00687A1C">
        <w:lastRenderedPageBreak/>
        <w:t>Information available on request</w:t>
      </w:r>
      <w:bookmarkStart w:id="208" w:name="InfoOnRequest"/>
      <w:bookmarkEnd w:id="208"/>
      <w:bookmarkEnd w:id="207"/>
    </w:p>
    <w:p w:rsidR="00161453" w:rsidRPr="00687A1C" w:rsidRDefault="00161453" w:rsidP="00161453">
      <w:pPr>
        <w:rPr>
          <w:rFonts w:cstheme="minorHAnsi"/>
        </w:rPr>
      </w:pPr>
      <w:r w:rsidRPr="00687A1C">
        <w:rPr>
          <w:rFonts w:cstheme="minorHAnsi"/>
        </w:rPr>
        <w:t>Financial Reporting Direction 22</w:t>
      </w:r>
      <w:r w:rsidR="007E4DBD" w:rsidRPr="00687A1C">
        <w:rPr>
          <w:rFonts w:cstheme="minorHAnsi"/>
        </w:rPr>
        <w:t>H</w:t>
      </w:r>
      <w:r w:rsidRPr="00687A1C">
        <w:rPr>
          <w:rFonts w:cstheme="minorHAnsi"/>
        </w:rPr>
        <w:t xml:space="preserve"> provides for the information listed below to be retained by the Accountable Officer and to be made available on request subject to the provisions of the </w:t>
      </w:r>
      <w:r w:rsidRPr="00687A1C">
        <w:rPr>
          <w:rFonts w:cstheme="minorHAnsi"/>
          <w:i/>
        </w:rPr>
        <w:t>Freedom of Information Act</w:t>
      </w:r>
      <w:r w:rsidRPr="00687A1C">
        <w:rPr>
          <w:rFonts w:ascii="Calibri" w:hAnsi="Calibri" w:cs="Calibri"/>
          <w:i/>
        </w:rPr>
        <w:t> </w:t>
      </w:r>
      <w:r w:rsidRPr="00687A1C">
        <w:rPr>
          <w:rFonts w:cstheme="minorHAnsi"/>
          <w:i/>
        </w:rPr>
        <w:t>1982</w:t>
      </w:r>
      <w:r w:rsidRPr="00687A1C">
        <w:rPr>
          <w:rFonts w:cstheme="minorHAnsi"/>
        </w:rPr>
        <w:t xml:space="preserve">. </w:t>
      </w:r>
    </w:p>
    <w:p w:rsidR="00161453" w:rsidRPr="00687A1C" w:rsidRDefault="00161453" w:rsidP="00A64017">
      <w:pPr>
        <w:keepNext/>
        <w:rPr>
          <w:rFonts w:cstheme="minorHAnsi"/>
        </w:rPr>
      </w:pPr>
      <w:r w:rsidRPr="00687A1C">
        <w:rPr>
          <w:rFonts w:cstheme="minorHAnsi"/>
        </w:rPr>
        <w:t xml:space="preserve">Information available on request: </w:t>
      </w:r>
    </w:p>
    <w:p w:rsidR="00842EF7" w:rsidRPr="00687A1C" w:rsidRDefault="00842EF7" w:rsidP="00842EF7">
      <w:pPr>
        <w:pStyle w:val="Bullet"/>
      </w:pPr>
      <w:r w:rsidRPr="00687A1C">
        <w:t>a statement that declarations of pecuniary interests have been duly completed by all relevant officers;</w:t>
      </w:r>
    </w:p>
    <w:p w:rsidR="00842EF7" w:rsidRPr="00687A1C" w:rsidRDefault="00842EF7" w:rsidP="00842EF7">
      <w:pPr>
        <w:pStyle w:val="Bullet"/>
      </w:pPr>
      <w:r w:rsidRPr="00687A1C">
        <w:t xml:space="preserve">details of shares held by a senior officer as nominee or held beneficially in a statutory authority or subsidiary; </w:t>
      </w:r>
    </w:p>
    <w:p w:rsidR="00842EF7" w:rsidRPr="00687A1C" w:rsidRDefault="00842EF7" w:rsidP="00842EF7">
      <w:pPr>
        <w:pStyle w:val="Bullet"/>
      </w:pPr>
      <w:r w:rsidRPr="00687A1C">
        <w:t xml:space="preserve">details of publications produced by the entity about itself, and how these can be obtained; </w:t>
      </w:r>
    </w:p>
    <w:p w:rsidR="00842EF7" w:rsidRPr="00687A1C" w:rsidRDefault="00842EF7" w:rsidP="00842EF7">
      <w:pPr>
        <w:pStyle w:val="Bullet"/>
      </w:pPr>
      <w:r w:rsidRPr="00687A1C">
        <w:t xml:space="preserve">details of changes in prices, fees, charges, rates and levies charged by the entity; </w:t>
      </w:r>
    </w:p>
    <w:p w:rsidR="00842EF7" w:rsidRPr="00687A1C" w:rsidRDefault="00842EF7" w:rsidP="00842EF7">
      <w:pPr>
        <w:pStyle w:val="Bullet"/>
      </w:pPr>
      <w:r w:rsidRPr="00687A1C">
        <w:t>details of any major external reviews carried out on the entity;</w:t>
      </w:r>
    </w:p>
    <w:p w:rsidR="00842EF7" w:rsidRPr="00687A1C" w:rsidRDefault="00842EF7" w:rsidP="00842EF7">
      <w:pPr>
        <w:pStyle w:val="Bullet"/>
      </w:pPr>
      <w:r w:rsidRPr="00687A1C">
        <w:t xml:space="preserve">details of major research and development activities undertaken by the entity; </w:t>
      </w:r>
    </w:p>
    <w:p w:rsidR="00842EF7" w:rsidRPr="00687A1C" w:rsidRDefault="00842EF7" w:rsidP="00842EF7">
      <w:pPr>
        <w:pStyle w:val="Bullet"/>
      </w:pPr>
      <w:r w:rsidRPr="00687A1C">
        <w:t>details of overseas visits undertaken including a summary of the objectives and outcomes of each</w:t>
      </w:r>
      <w:r w:rsidRPr="00687A1C">
        <w:rPr>
          <w:rFonts w:ascii="Calibri" w:hAnsi="Calibri" w:cs="Calibri"/>
        </w:rPr>
        <w:t> </w:t>
      </w:r>
      <w:r w:rsidRPr="00687A1C">
        <w:t>visit;</w:t>
      </w:r>
    </w:p>
    <w:p w:rsidR="00842EF7" w:rsidRPr="00687A1C" w:rsidRDefault="00842EF7" w:rsidP="00842EF7">
      <w:pPr>
        <w:pStyle w:val="Bullet"/>
      </w:pPr>
      <w:r w:rsidRPr="00687A1C">
        <w:t xml:space="preserve">details of major promotional, public relations and marketing activities undertaken by the entity to develop community awareness of the entity and its services; </w:t>
      </w:r>
    </w:p>
    <w:p w:rsidR="00842EF7" w:rsidRPr="00687A1C" w:rsidRDefault="00842EF7" w:rsidP="00842EF7">
      <w:pPr>
        <w:pStyle w:val="Bullet"/>
      </w:pPr>
      <w:r w:rsidRPr="00687A1C">
        <w:t xml:space="preserve">details of assessments and measures undertaken to improve the occupational health and safety of employees; </w:t>
      </w:r>
    </w:p>
    <w:p w:rsidR="00842EF7" w:rsidRPr="00687A1C" w:rsidRDefault="00842EF7" w:rsidP="00842EF7">
      <w:pPr>
        <w:pStyle w:val="Bullet"/>
      </w:pPr>
      <w:r w:rsidRPr="00687A1C">
        <w:t xml:space="preserve">a general statement on industrial relations within the entity and details of time lost through industrial accidents and disputes; </w:t>
      </w:r>
    </w:p>
    <w:p w:rsidR="00842EF7" w:rsidRPr="00687A1C" w:rsidRDefault="00842EF7" w:rsidP="00842EF7">
      <w:pPr>
        <w:pStyle w:val="Bullet"/>
      </w:pPr>
      <w:r w:rsidRPr="00687A1C">
        <w:t>a list of major committees sponsored by the entity, the purposes of each committee and the extent to which the purposes have been achieved; and</w:t>
      </w:r>
    </w:p>
    <w:p w:rsidR="00842EF7" w:rsidRPr="00687A1C" w:rsidRDefault="00842EF7" w:rsidP="00842EF7">
      <w:pPr>
        <w:pStyle w:val="Bullet"/>
      </w:pPr>
      <w:r w:rsidRPr="00687A1C">
        <w:t>details of all consultancies and contractors including:</w:t>
      </w:r>
    </w:p>
    <w:p w:rsidR="00842EF7" w:rsidRPr="00687A1C" w:rsidRDefault="00842EF7" w:rsidP="00842EF7">
      <w:pPr>
        <w:pStyle w:val="Dash"/>
        <w:contextualSpacing/>
      </w:pPr>
      <w:r w:rsidRPr="00687A1C">
        <w:t xml:space="preserve">consultants/contractors engaged; </w:t>
      </w:r>
    </w:p>
    <w:p w:rsidR="00842EF7" w:rsidRPr="00687A1C" w:rsidRDefault="00842EF7" w:rsidP="00842EF7">
      <w:pPr>
        <w:pStyle w:val="Dash"/>
        <w:contextualSpacing/>
      </w:pPr>
      <w:r w:rsidRPr="00687A1C">
        <w:t>services provided; and</w:t>
      </w:r>
    </w:p>
    <w:p w:rsidR="00842EF7" w:rsidRPr="00687A1C" w:rsidRDefault="00842EF7" w:rsidP="00842EF7">
      <w:pPr>
        <w:pStyle w:val="Dash"/>
        <w:contextualSpacing/>
      </w:pPr>
      <w:r w:rsidRPr="00687A1C">
        <w:t>expenditure committed to for each engagement.</w:t>
      </w:r>
    </w:p>
    <w:p w:rsidR="00D011CE" w:rsidRPr="00687A1C" w:rsidRDefault="00D011CE" w:rsidP="00161453">
      <w:pPr>
        <w:rPr>
          <w:rFonts w:cstheme="minorHAnsi"/>
        </w:rPr>
      </w:pPr>
      <w:r w:rsidRPr="00687A1C">
        <w:rPr>
          <w:rFonts w:cstheme="minorHAnsi"/>
        </w:rPr>
        <w:br w:type="column"/>
      </w:r>
      <w:r w:rsidR="00161453" w:rsidRPr="00687A1C">
        <w:rPr>
          <w:rFonts w:cstheme="minorHAnsi"/>
        </w:rPr>
        <w:t>To ensure the Department is meeting its accountability and compliance requirements</w:t>
      </w:r>
      <w:r w:rsidR="007E4DBD" w:rsidRPr="00687A1C">
        <w:rPr>
          <w:rFonts w:cstheme="minorHAnsi"/>
        </w:rPr>
        <w:t>,</w:t>
      </w:r>
      <w:r w:rsidR="00161453" w:rsidRPr="00687A1C">
        <w:rPr>
          <w:rFonts w:cstheme="minorHAnsi"/>
        </w:rPr>
        <w:t xml:space="preserve"> some of the additional information has been included in this annual report where relevant.</w:t>
      </w:r>
    </w:p>
    <w:p w:rsidR="00161453" w:rsidRPr="00687A1C" w:rsidRDefault="00161453" w:rsidP="00161453">
      <w:pPr>
        <w:rPr>
          <w:rFonts w:cstheme="minorHAnsi"/>
        </w:rPr>
      </w:pPr>
      <w:r w:rsidRPr="00687A1C">
        <w:rPr>
          <w:rFonts w:cstheme="minorHAnsi"/>
        </w:rPr>
        <w:t xml:space="preserve">This information is available on request </w:t>
      </w:r>
      <w:r w:rsidR="00D0717D" w:rsidRPr="00687A1C">
        <w:rPr>
          <w:rFonts w:cstheme="minorHAnsi"/>
        </w:rPr>
        <w:t>f</w:t>
      </w:r>
      <w:r w:rsidR="00070E83" w:rsidRPr="00687A1C">
        <w:rPr>
          <w:rFonts w:cstheme="minorHAnsi"/>
        </w:rPr>
        <w:t>r</w:t>
      </w:r>
      <w:r w:rsidR="00D0717D" w:rsidRPr="00687A1C">
        <w:rPr>
          <w:rFonts w:cstheme="minorHAnsi"/>
        </w:rPr>
        <w:t>om</w:t>
      </w:r>
      <w:r w:rsidRPr="00687A1C">
        <w:rPr>
          <w:rFonts w:cstheme="minorHAnsi"/>
        </w:rPr>
        <w:t>:</w:t>
      </w:r>
    </w:p>
    <w:p w:rsidR="0011669B" w:rsidRPr="00687A1C" w:rsidRDefault="00161453" w:rsidP="00070E83">
      <w:pPr>
        <w:pStyle w:val="NormalIndent"/>
      </w:pPr>
      <w:r w:rsidRPr="00687A1C">
        <w:rPr>
          <w:rFonts w:cstheme="minorHAnsi"/>
        </w:rPr>
        <w:t>Director</w:t>
      </w:r>
      <w:r w:rsidRPr="00687A1C">
        <w:rPr>
          <w:rFonts w:cstheme="minorHAnsi"/>
        </w:rPr>
        <w:br/>
        <w:t>Corporate Delivery Services</w:t>
      </w:r>
      <w:r w:rsidRPr="00687A1C">
        <w:rPr>
          <w:rFonts w:cstheme="minorHAnsi"/>
        </w:rPr>
        <w:br/>
        <w:t>Department of Treasury and Finance</w:t>
      </w:r>
      <w:r w:rsidRPr="00687A1C">
        <w:rPr>
          <w:rFonts w:cstheme="minorHAnsi"/>
        </w:rPr>
        <w:br/>
        <w:t>GPO Box 4379</w:t>
      </w:r>
      <w:r w:rsidRPr="00687A1C">
        <w:rPr>
          <w:rFonts w:cstheme="minorHAnsi"/>
        </w:rPr>
        <w:br/>
        <w:t>Melbourne, Victoria, 3001</w:t>
      </w:r>
      <w:r w:rsidR="00D0717D" w:rsidRPr="00687A1C">
        <w:rPr>
          <w:rFonts w:cstheme="minorHAnsi"/>
        </w:rPr>
        <w:br/>
      </w:r>
      <w:r w:rsidR="00070E83" w:rsidRPr="00687A1C">
        <w:rPr>
          <w:rFonts w:cstheme="minorHAnsi"/>
        </w:rPr>
        <w:t xml:space="preserve">Email </w:t>
      </w:r>
      <w:hyperlink r:id="rId140" w:history="1">
        <w:r w:rsidRPr="00687A1C">
          <w:rPr>
            <w:rStyle w:val="Hyperlink"/>
            <w:rFonts w:cstheme="minorHAnsi"/>
          </w:rPr>
          <w:t>information@dtf.vic.gov.au</w:t>
        </w:r>
      </w:hyperlink>
      <w:r w:rsidRPr="00687A1C">
        <w:rPr>
          <w:rFonts w:cstheme="minorHAnsi"/>
        </w:rPr>
        <w:t xml:space="preserve"> for the attention of the Director, Corporate Delivery Services.</w:t>
      </w:r>
    </w:p>
    <w:p w:rsidR="00C363FA" w:rsidRPr="00687A1C" w:rsidRDefault="00C363FA" w:rsidP="00FB1A90"/>
    <w:p w:rsidR="00FB1A90" w:rsidRPr="00687A1C" w:rsidRDefault="00FB1A90" w:rsidP="00FB1A90">
      <w:pPr>
        <w:pStyle w:val="Heading1b"/>
      </w:pPr>
      <w:bookmarkStart w:id="209" w:name="AttestationSD3_7_1"/>
      <w:bookmarkStart w:id="210" w:name="_Toc493685449"/>
      <w:bookmarkStart w:id="211" w:name="_Toc525026174"/>
      <w:r w:rsidRPr="00687A1C">
        <w:t xml:space="preserve">Attestation for </w:t>
      </w:r>
      <w:r w:rsidR="003515C1" w:rsidRPr="00687A1C">
        <w:t xml:space="preserve">financial management </w:t>
      </w:r>
      <w:r w:rsidRPr="00687A1C">
        <w:t xml:space="preserve">compliance with Ministerial Standing Direction </w:t>
      </w:r>
      <w:r w:rsidR="003515C1" w:rsidRPr="00687A1C">
        <w:t>5.1.4</w:t>
      </w:r>
      <w:bookmarkEnd w:id="209"/>
      <w:bookmarkEnd w:id="210"/>
      <w:bookmarkEnd w:id="211"/>
    </w:p>
    <w:p w:rsidR="003515C1" w:rsidRPr="00687A1C" w:rsidRDefault="003515C1" w:rsidP="003515C1">
      <w:r w:rsidRPr="00687A1C">
        <w:t xml:space="preserve">I, David Martine, certify that the Department of Treasury and Finance has complied with the applicable Standing Directions of the Minister for Finance under the </w:t>
      </w:r>
      <w:r w:rsidRPr="00687A1C">
        <w:rPr>
          <w:i/>
        </w:rPr>
        <w:t>Financial Management Act 1994</w:t>
      </w:r>
      <w:r w:rsidRPr="00687A1C">
        <w:t xml:space="preserve"> and Instructions.</w:t>
      </w:r>
    </w:p>
    <w:p w:rsidR="00EC4CFD" w:rsidRPr="00687A1C" w:rsidRDefault="00EC4CFD" w:rsidP="00EC4CFD">
      <w:pPr>
        <w:spacing w:after="0"/>
        <w:ind w:left="-187"/>
      </w:pPr>
      <w:r>
        <w:rPr>
          <w:rFonts w:cstheme="minorHAnsi"/>
          <w:noProof/>
        </w:rPr>
        <w:drawing>
          <wp:inline distT="0" distB="0" distL="0" distR="0" wp14:anchorId="0CBE73E0" wp14:editId="01700018">
            <wp:extent cx="1460936" cy="527050"/>
            <wp:effectExtent l="0" t="0" r="0" b="6350"/>
            <wp:docPr id="28" name="Picture 28" descr="T:\Corpcom_CSS\COMMUNICATIONS\PROJECTS\DTF Annual Report\2014-15\Misc\d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PROJECTS\DTF Annual Report\2014-15\Misc\dm signature.jpg"/>
                    <pic:cNvPicPr>
                      <a:picLocks noChangeAspect="1" noChangeArrowheads="1"/>
                    </pic:cNvPicPr>
                  </pic:nvPicPr>
                  <pic:blipFill>
                    <a:blip r:embed="rId26" cstate="print">
                      <a:clrChange>
                        <a:clrFrom>
                          <a:srgbClr val="FFFFFF"/>
                        </a:clrFrom>
                        <a:clrTo>
                          <a:srgbClr val="FFFFFF">
                            <a:alpha val="0"/>
                          </a:srgbClr>
                        </a:clrTo>
                      </a:clrChange>
                      <a:grayscl/>
                      <a:extLst>
                        <a:ext uri="{BEBA8EAE-BF5A-486C-A8C5-ECC9F3942E4B}">
                          <a14:imgProps xmlns:a14="http://schemas.microsoft.com/office/drawing/2010/main">
                            <a14:imgLayer r:embed="rId11">
                              <a14:imgEffect>
                                <a14:sharpenSoften amount="25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484315" cy="535484"/>
                    </a:xfrm>
                    <a:prstGeom prst="rect">
                      <a:avLst/>
                    </a:prstGeom>
                    <a:noFill/>
                    <a:ln>
                      <a:noFill/>
                    </a:ln>
                  </pic:spPr>
                </pic:pic>
              </a:graphicData>
            </a:graphic>
          </wp:inline>
        </w:drawing>
      </w:r>
    </w:p>
    <w:p w:rsidR="00EC4CFD" w:rsidRPr="00687A1C" w:rsidRDefault="00EC4CFD" w:rsidP="00EC4CFD">
      <w:pPr>
        <w:spacing w:before="0"/>
        <w:rPr>
          <w:rFonts w:cstheme="minorHAnsi"/>
          <w:b/>
        </w:rPr>
      </w:pPr>
      <w:r w:rsidRPr="00687A1C">
        <w:rPr>
          <w:rFonts w:cstheme="minorHAnsi"/>
          <w:b/>
        </w:rPr>
        <w:t>David Martine</w:t>
      </w:r>
      <w:r w:rsidRPr="00687A1C">
        <w:rPr>
          <w:rFonts w:cstheme="minorHAnsi"/>
          <w:b/>
        </w:rPr>
        <w:br/>
        <w:t>Secretary</w:t>
      </w:r>
    </w:p>
    <w:p w:rsidR="007963FF" w:rsidRPr="00687A1C" w:rsidRDefault="007963FF" w:rsidP="007963FF">
      <w:pPr>
        <w:pStyle w:val="Spacer"/>
      </w:pPr>
    </w:p>
    <w:p w:rsidR="00C363FA" w:rsidRPr="00687A1C" w:rsidRDefault="00C363FA" w:rsidP="007E4DBD">
      <w:pPr>
        <w:pStyle w:val="Heading1b"/>
      </w:pPr>
      <w:bookmarkStart w:id="212" w:name="_Toc525026175"/>
      <w:r w:rsidRPr="00687A1C">
        <w:t>Compliance with DataVic Access Policy</w:t>
      </w:r>
      <w:bookmarkEnd w:id="212"/>
    </w:p>
    <w:p w:rsidR="00D011CE" w:rsidRPr="00687A1C" w:rsidRDefault="00D011CE" w:rsidP="00D011CE">
      <w:r w:rsidRPr="00687A1C">
        <w:t xml:space="preserve">Consistent with the DataVic Access Policy issued by the Victorian Government in 2012, in the 2017-18 financial year, 94 data sets were made available by the Department and its portfolio entities on the DataVic website. </w:t>
      </w:r>
    </w:p>
    <w:p w:rsidR="00D011CE" w:rsidRPr="00687A1C" w:rsidRDefault="00D011CE" w:rsidP="00D011CE">
      <w:r w:rsidRPr="00687A1C">
        <w:t>In the 2017-18 financial year, 53 data sets were made available on the DataVic website by the Department</w:t>
      </w:r>
      <w:r w:rsidR="005E20D1" w:rsidRPr="00687A1C">
        <w:t>,</w:t>
      </w:r>
      <w:r w:rsidRPr="00687A1C">
        <w:t xml:space="preserve"> excluding its portfolio entities (e.g. State Revenue Office and Treasury Corporation of Victoria). </w:t>
      </w:r>
    </w:p>
    <w:p w:rsidR="00D011CE" w:rsidRPr="00687A1C" w:rsidRDefault="00D011CE" w:rsidP="00D011CE">
      <w:r w:rsidRPr="00687A1C">
        <w:t>Information included in this Annual Report will be available at www.data.vic.gov.au in electronic readable format.</w:t>
      </w:r>
    </w:p>
    <w:p w:rsidR="001545E1" w:rsidRPr="00687A1C" w:rsidRDefault="00D011CE" w:rsidP="00C363FA">
      <w:r w:rsidRPr="00687A1C">
        <w:t>In August 2012, the Victorian Government released the DataVic Access Policy, which enables the sharing of Government data at no, or minimal, cost to users. Government data from all agencies will be progressively supplied in an electronic readable format that will minimise access co</w:t>
      </w:r>
      <w:r w:rsidR="007963FF" w:rsidRPr="00687A1C">
        <w:t>sts and maximise use and reuse.</w:t>
      </w:r>
    </w:p>
    <w:p w:rsidR="006B5CD2" w:rsidRPr="00687A1C" w:rsidRDefault="006B5CD2" w:rsidP="0011669B">
      <w:pPr>
        <w:sectPr w:rsidR="006B5CD2" w:rsidRPr="00687A1C" w:rsidSect="00C363FA">
          <w:type w:val="continuous"/>
          <w:pgSz w:w="11909" w:h="16834" w:code="9"/>
          <w:pgMar w:top="1728" w:right="1152" w:bottom="1267" w:left="1152" w:header="720" w:footer="288" w:gutter="0"/>
          <w:cols w:num="2" w:space="720"/>
          <w:noEndnote/>
        </w:sectPr>
      </w:pPr>
    </w:p>
    <w:p w:rsidR="006B5CD2" w:rsidRPr="00687A1C" w:rsidRDefault="006B5CD2" w:rsidP="00C8160C">
      <w:pPr>
        <w:pStyle w:val="Heading1App"/>
      </w:pPr>
      <w:bookmarkStart w:id="213" w:name="_Toc525026176"/>
      <w:bookmarkStart w:id="214" w:name="_Toc525026260"/>
      <w:r w:rsidRPr="00687A1C">
        <w:lastRenderedPageBreak/>
        <w:t>Appendix 5</w:t>
      </w:r>
      <w:r w:rsidRPr="00687A1C">
        <w:tab/>
      </w:r>
      <w:bookmarkStart w:id="215" w:name="DisclosureIndex"/>
      <w:r w:rsidRPr="00687A1C">
        <w:t>Disclosure index</w:t>
      </w:r>
      <w:bookmarkEnd w:id="215"/>
      <w:bookmarkEnd w:id="213"/>
      <w:bookmarkEnd w:id="214"/>
    </w:p>
    <w:p w:rsidR="006B5CD2" w:rsidRPr="00687A1C" w:rsidRDefault="006B5CD2" w:rsidP="000E6158">
      <w:pPr>
        <w:pStyle w:val="Heading2"/>
      </w:pPr>
      <w:r w:rsidRPr="00687A1C">
        <w:t>Ministerial Directions</w:t>
      </w:r>
      <w:r w:rsidR="000E6158" w:rsidRPr="00687A1C">
        <w:t xml:space="preserve"> and Financial Reporting Directions</w:t>
      </w:r>
    </w:p>
    <w:p w:rsidR="00706ACD" w:rsidRPr="00687A1C" w:rsidRDefault="000E6158" w:rsidP="00865E1E">
      <w:pPr>
        <w:pStyle w:val="Heading3"/>
      </w:pPr>
      <w:r w:rsidRPr="00687A1C">
        <w:t>Report of operations</w:t>
      </w:r>
    </w:p>
    <w:tbl>
      <w:tblPr>
        <w:tblW w:w="0" w:type="auto"/>
        <w:tblLayout w:type="fixed"/>
        <w:tblLook w:val="01E0" w:firstRow="1" w:lastRow="1" w:firstColumn="1" w:lastColumn="1" w:noHBand="0" w:noVBand="0"/>
      </w:tblPr>
      <w:tblGrid>
        <w:gridCol w:w="1458"/>
        <w:gridCol w:w="5760"/>
        <w:gridCol w:w="1170"/>
      </w:tblGrid>
      <w:tr w:rsidR="000E6158" w:rsidRPr="00687A1C" w:rsidTr="00E763C8">
        <w:tc>
          <w:tcPr>
            <w:tcW w:w="1458" w:type="dxa"/>
            <w:shd w:val="clear" w:color="auto" w:fill="DDDDDD"/>
          </w:tcPr>
          <w:p w:rsidR="000E6158" w:rsidRPr="00687A1C" w:rsidRDefault="000E6158" w:rsidP="00706ACD">
            <w:pPr>
              <w:pStyle w:val="Tabletextheadingleft"/>
              <w:rPr>
                <w:rFonts w:cstheme="minorHAnsi"/>
                <w:sz w:val="17"/>
                <w:szCs w:val="17"/>
              </w:rPr>
            </w:pPr>
            <w:r w:rsidRPr="00687A1C">
              <w:rPr>
                <w:rFonts w:cstheme="minorHAnsi"/>
                <w:sz w:val="17"/>
                <w:szCs w:val="17"/>
              </w:rPr>
              <w:t>Direction</w:t>
            </w:r>
          </w:p>
        </w:tc>
        <w:tc>
          <w:tcPr>
            <w:tcW w:w="5760" w:type="dxa"/>
            <w:shd w:val="clear" w:color="auto" w:fill="DDDDDD"/>
          </w:tcPr>
          <w:p w:rsidR="000E6158" w:rsidRPr="00687A1C" w:rsidRDefault="000E6158" w:rsidP="00706ACD">
            <w:pPr>
              <w:pStyle w:val="Tabletextheadingleft"/>
              <w:rPr>
                <w:rFonts w:cstheme="minorHAnsi"/>
                <w:sz w:val="17"/>
                <w:szCs w:val="17"/>
              </w:rPr>
            </w:pPr>
            <w:r w:rsidRPr="00687A1C">
              <w:rPr>
                <w:rFonts w:cstheme="minorHAnsi"/>
                <w:sz w:val="17"/>
                <w:szCs w:val="17"/>
              </w:rPr>
              <w:t>Requirement</w:t>
            </w:r>
          </w:p>
        </w:tc>
        <w:tc>
          <w:tcPr>
            <w:tcW w:w="1170" w:type="dxa"/>
            <w:shd w:val="clear" w:color="auto" w:fill="DDDDDD"/>
          </w:tcPr>
          <w:p w:rsidR="000E6158" w:rsidRPr="00687A1C" w:rsidRDefault="000E6158" w:rsidP="00706ACD">
            <w:pPr>
              <w:pStyle w:val="Tabletext"/>
              <w:rPr>
                <w:sz w:val="17"/>
                <w:szCs w:val="17"/>
              </w:rPr>
            </w:pPr>
            <w:r w:rsidRPr="00687A1C">
              <w:rPr>
                <w:rFonts w:cstheme="minorHAnsi"/>
                <w:b/>
                <w:sz w:val="17"/>
                <w:szCs w:val="17"/>
              </w:rPr>
              <w:t>Page reference</w:t>
            </w:r>
          </w:p>
        </w:tc>
      </w:tr>
      <w:tr w:rsidR="000E6158" w:rsidRPr="00687A1C" w:rsidTr="00E763C8">
        <w:tc>
          <w:tcPr>
            <w:tcW w:w="7218" w:type="dxa"/>
            <w:gridSpan w:val="2"/>
            <w:shd w:val="clear" w:color="auto" w:fill="E6E6E6"/>
          </w:tcPr>
          <w:p w:rsidR="000E6158" w:rsidRPr="00687A1C" w:rsidRDefault="000E6158" w:rsidP="00706ACD">
            <w:pPr>
              <w:pStyle w:val="Tabletext"/>
              <w:rPr>
                <w:rFonts w:cstheme="minorHAnsi"/>
                <w:b/>
                <w:szCs w:val="20"/>
              </w:rPr>
            </w:pPr>
            <w:r w:rsidRPr="00687A1C">
              <w:rPr>
                <w:b/>
              </w:rPr>
              <w:t>Charter and purpose</w:t>
            </w:r>
          </w:p>
        </w:tc>
        <w:tc>
          <w:tcPr>
            <w:tcW w:w="1170" w:type="dxa"/>
            <w:shd w:val="clear" w:color="auto" w:fill="E6E6E6"/>
          </w:tcPr>
          <w:p w:rsidR="000E6158" w:rsidRPr="00687A1C" w:rsidRDefault="000E6158" w:rsidP="00706ACD">
            <w:pPr>
              <w:pStyle w:val="Tabletext"/>
              <w:rPr>
                <w:b/>
              </w:rPr>
            </w:pPr>
          </w:p>
        </w:tc>
      </w:tr>
      <w:tr w:rsidR="000E6158" w:rsidRPr="00687A1C" w:rsidTr="00E763C8">
        <w:tc>
          <w:tcPr>
            <w:tcW w:w="1458" w:type="dxa"/>
            <w:shd w:val="clear" w:color="auto" w:fill="auto"/>
          </w:tcPr>
          <w:p w:rsidR="000E6158" w:rsidRPr="00687A1C" w:rsidRDefault="000E6158" w:rsidP="00706ACD">
            <w:pPr>
              <w:pStyle w:val="Tabletext"/>
            </w:pPr>
            <w:r w:rsidRPr="00687A1C">
              <w:t>FRD</w:t>
            </w:r>
            <w:r w:rsidRPr="00687A1C">
              <w:rPr>
                <w:rFonts w:ascii="VIC" w:hAnsi="VIC"/>
              </w:rPr>
              <w:t xml:space="preserve"> </w:t>
            </w:r>
            <w:r w:rsidRPr="00687A1C">
              <w:t>22H</w:t>
            </w:r>
          </w:p>
        </w:tc>
        <w:tc>
          <w:tcPr>
            <w:tcW w:w="5760" w:type="dxa"/>
            <w:shd w:val="clear" w:color="auto" w:fill="auto"/>
          </w:tcPr>
          <w:p w:rsidR="000E6158" w:rsidRPr="00687A1C" w:rsidRDefault="000E6158" w:rsidP="00706ACD">
            <w:pPr>
              <w:pStyle w:val="Tabletext"/>
            </w:pPr>
            <w:r w:rsidRPr="00687A1C">
              <w:t>Manner of establishment and the relevant Ministers</w:t>
            </w:r>
          </w:p>
        </w:tc>
        <w:tc>
          <w:tcPr>
            <w:tcW w:w="1170" w:type="dxa"/>
            <w:shd w:val="clear" w:color="auto" w:fill="auto"/>
          </w:tcPr>
          <w:p w:rsidR="000E6158" w:rsidRPr="00687A1C" w:rsidRDefault="00B4092A" w:rsidP="004A6859">
            <w:pPr>
              <w:pStyle w:val="Tabletext"/>
            </w:pPr>
            <w:r w:rsidRPr="00687A1C">
              <w:fldChar w:fldCharType="begin"/>
            </w:r>
            <w:r w:rsidRPr="00687A1C">
              <w:instrText xml:space="preserve"> PAGEREF _Ref489435740 \h </w:instrText>
            </w:r>
            <w:r w:rsidRPr="00687A1C">
              <w:fldChar w:fldCharType="separate"/>
            </w:r>
            <w:r w:rsidR="00BE5F15">
              <w:rPr>
                <w:noProof/>
              </w:rPr>
              <w:t>2</w:t>
            </w:r>
            <w:r w:rsidRPr="00687A1C">
              <w:fldChar w:fldCharType="end"/>
            </w:r>
          </w:p>
        </w:tc>
      </w:tr>
      <w:tr w:rsidR="000E6158" w:rsidRPr="00687A1C" w:rsidTr="00E763C8">
        <w:tc>
          <w:tcPr>
            <w:tcW w:w="1458" w:type="dxa"/>
            <w:shd w:val="clear" w:color="auto" w:fill="auto"/>
          </w:tcPr>
          <w:p w:rsidR="000E6158" w:rsidRPr="00687A1C" w:rsidRDefault="000E6158" w:rsidP="00706ACD">
            <w:pPr>
              <w:pStyle w:val="Tabletext"/>
            </w:pPr>
            <w:r w:rsidRPr="00687A1C">
              <w:t>FRD</w:t>
            </w:r>
            <w:r w:rsidRPr="00687A1C">
              <w:rPr>
                <w:rFonts w:ascii="VIC" w:hAnsi="VIC"/>
              </w:rPr>
              <w:t xml:space="preserve"> </w:t>
            </w:r>
            <w:r w:rsidRPr="00687A1C">
              <w:t>22H</w:t>
            </w:r>
          </w:p>
        </w:tc>
        <w:tc>
          <w:tcPr>
            <w:tcW w:w="5760" w:type="dxa"/>
            <w:shd w:val="clear" w:color="auto" w:fill="auto"/>
          </w:tcPr>
          <w:p w:rsidR="000E6158" w:rsidRPr="00687A1C" w:rsidRDefault="000E6158" w:rsidP="00706ACD">
            <w:pPr>
              <w:pStyle w:val="Tabletext"/>
            </w:pPr>
            <w:r w:rsidRPr="00687A1C">
              <w:t xml:space="preserve">Purpose, functions, powers and duties </w:t>
            </w:r>
          </w:p>
        </w:tc>
        <w:tc>
          <w:tcPr>
            <w:tcW w:w="1170" w:type="dxa"/>
            <w:shd w:val="clear" w:color="auto" w:fill="auto"/>
          </w:tcPr>
          <w:p w:rsidR="00126EFE" w:rsidRPr="00687A1C" w:rsidRDefault="00B4092A" w:rsidP="004A6859">
            <w:pPr>
              <w:pStyle w:val="Tabletext"/>
            </w:pPr>
            <w:r w:rsidRPr="00687A1C">
              <w:fldChar w:fldCharType="begin"/>
            </w:r>
            <w:r w:rsidRPr="00687A1C">
              <w:instrText xml:space="preserve"> PAGEREF _Ref489435818 \h </w:instrText>
            </w:r>
            <w:r w:rsidRPr="00687A1C">
              <w:fldChar w:fldCharType="separate"/>
            </w:r>
            <w:r w:rsidR="00BE5F15">
              <w:rPr>
                <w:noProof/>
              </w:rPr>
              <w:t>1</w:t>
            </w:r>
            <w:r w:rsidRPr="00687A1C">
              <w:fldChar w:fldCharType="end"/>
            </w:r>
            <w:r w:rsidRPr="00687A1C">
              <w:t xml:space="preserve">, </w:t>
            </w:r>
            <w:fldSimple w:instr=" PAGEREF Functions_services ">
              <w:r w:rsidR="00BE5F15">
                <w:rPr>
                  <w:noProof/>
                </w:rPr>
                <w:t>5</w:t>
              </w:r>
            </w:fldSimple>
            <w:r w:rsidRPr="00687A1C">
              <w:t>–</w:t>
            </w:r>
            <w:fldSimple w:instr=" PAGEREF Functions_services2 ">
              <w:r w:rsidR="00BE5F15">
                <w:rPr>
                  <w:noProof/>
                </w:rPr>
                <w:t>7</w:t>
              </w:r>
            </w:fldSimple>
          </w:p>
        </w:tc>
      </w:tr>
      <w:tr w:rsidR="00B4092A" w:rsidRPr="00687A1C" w:rsidTr="00E763C8">
        <w:tc>
          <w:tcPr>
            <w:tcW w:w="1458" w:type="dxa"/>
            <w:shd w:val="clear" w:color="auto" w:fill="auto"/>
          </w:tcPr>
          <w:p w:rsidR="00B4092A" w:rsidRPr="00687A1C" w:rsidRDefault="00B4092A" w:rsidP="00B4092A">
            <w:pPr>
              <w:pStyle w:val="Tabletext"/>
            </w:pPr>
            <w:r w:rsidRPr="00687A1C">
              <w:t xml:space="preserve">FRD 8D </w:t>
            </w:r>
          </w:p>
        </w:tc>
        <w:tc>
          <w:tcPr>
            <w:tcW w:w="5760" w:type="dxa"/>
            <w:shd w:val="clear" w:color="auto" w:fill="auto"/>
          </w:tcPr>
          <w:p w:rsidR="00B4092A" w:rsidRPr="00687A1C" w:rsidRDefault="00B4092A" w:rsidP="00B4092A">
            <w:pPr>
              <w:pStyle w:val="Tabletext"/>
            </w:pPr>
            <w:r w:rsidRPr="00687A1C">
              <w:t>Departmental objectives, indicators and outputs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_Ref489438932 \h </w:instrText>
            </w:r>
            <w:r w:rsidRPr="00687A1C">
              <w:fldChar w:fldCharType="separate"/>
            </w:r>
            <w:r w:rsidR="00BE5F15">
              <w:rPr>
                <w:noProof/>
              </w:rPr>
              <w:t>10</w:t>
            </w:r>
            <w:r w:rsidRPr="00687A1C">
              <w:fldChar w:fldCharType="end"/>
            </w:r>
            <w:r w:rsidRPr="00687A1C">
              <w:t>–</w:t>
            </w:r>
            <w:r w:rsidRPr="00687A1C">
              <w:fldChar w:fldCharType="begin"/>
            </w:r>
            <w:r w:rsidRPr="00687A1C">
              <w:instrText xml:space="preserve"> PAGEREF  PerfOutput_end \h </w:instrText>
            </w:r>
            <w:r w:rsidRPr="00687A1C">
              <w:fldChar w:fldCharType="separate"/>
            </w:r>
            <w:r w:rsidR="00BE5F15">
              <w:rPr>
                <w:noProof/>
              </w:rPr>
              <w:t>28</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 22H</w:t>
            </w:r>
          </w:p>
        </w:tc>
        <w:tc>
          <w:tcPr>
            <w:tcW w:w="5760" w:type="dxa"/>
            <w:shd w:val="clear" w:color="auto" w:fill="auto"/>
          </w:tcPr>
          <w:p w:rsidR="00B4092A" w:rsidRPr="00687A1C" w:rsidRDefault="00B4092A" w:rsidP="00B4092A">
            <w:pPr>
              <w:pStyle w:val="Tabletext"/>
            </w:pPr>
            <w:r w:rsidRPr="00687A1C">
              <w:t>Key initiatives and projects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_Ref489439172 \h </w:instrText>
            </w:r>
            <w:r w:rsidRPr="00687A1C">
              <w:fldChar w:fldCharType="separate"/>
            </w:r>
            <w:r w:rsidR="00BE5F15">
              <w:rPr>
                <w:noProof/>
              </w:rPr>
              <w:t>13</w:t>
            </w:r>
            <w:r w:rsidRPr="00687A1C">
              <w:fldChar w:fldCharType="end"/>
            </w:r>
            <w:r w:rsidRPr="00687A1C">
              <w:t>–</w:t>
            </w:r>
            <w:r w:rsidRPr="00687A1C">
              <w:fldChar w:fldCharType="begin"/>
            </w:r>
            <w:r w:rsidRPr="00687A1C">
              <w:instrText xml:space="preserve"> PAGEREF  PerfOutput_end \h </w:instrText>
            </w:r>
            <w:r w:rsidRPr="00687A1C">
              <w:fldChar w:fldCharType="separate"/>
            </w:r>
            <w:r w:rsidR="00BE5F15">
              <w:rPr>
                <w:noProof/>
              </w:rPr>
              <w:t>28</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Nature and range of services provided</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_Ref489435818 \h </w:instrText>
            </w:r>
            <w:r w:rsidRPr="00687A1C">
              <w:fldChar w:fldCharType="separate"/>
            </w:r>
            <w:r w:rsidR="00BE5F15">
              <w:rPr>
                <w:noProof/>
              </w:rPr>
              <w:t>1</w:t>
            </w:r>
            <w:r w:rsidRPr="00687A1C">
              <w:fldChar w:fldCharType="end"/>
            </w:r>
            <w:r w:rsidRPr="00687A1C">
              <w:t xml:space="preserve">, </w:t>
            </w:r>
            <w:fldSimple w:instr=" PAGEREF Functions_services ">
              <w:r w:rsidR="00BE5F15">
                <w:rPr>
                  <w:noProof/>
                </w:rPr>
                <w:t>5</w:t>
              </w:r>
            </w:fldSimple>
            <w:r w:rsidRPr="00687A1C">
              <w:t>–</w:t>
            </w:r>
            <w:fldSimple w:instr=" PAGEREF Functions_services2 ">
              <w:r w:rsidR="00BE5F15">
                <w:rPr>
                  <w:noProof/>
                </w:rPr>
                <w:t>7</w:t>
              </w:r>
            </w:fldSimple>
          </w:p>
        </w:tc>
      </w:tr>
      <w:tr w:rsidR="00B4092A" w:rsidRPr="00687A1C" w:rsidTr="00E763C8">
        <w:tc>
          <w:tcPr>
            <w:tcW w:w="7218" w:type="dxa"/>
            <w:gridSpan w:val="2"/>
            <w:shd w:val="clear" w:color="auto" w:fill="E6E6E6"/>
          </w:tcPr>
          <w:p w:rsidR="00B4092A" w:rsidRPr="00687A1C" w:rsidRDefault="00B4092A" w:rsidP="00B4092A">
            <w:pPr>
              <w:pStyle w:val="Tabletext"/>
              <w:rPr>
                <w:rFonts w:cstheme="minorHAnsi"/>
                <w:b/>
                <w:szCs w:val="20"/>
              </w:rPr>
            </w:pPr>
            <w:r w:rsidRPr="00687A1C">
              <w:rPr>
                <w:b/>
              </w:rPr>
              <w:t>Management and structure</w:t>
            </w:r>
          </w:p>
        </w:tc>
        <w:tc>
          <w:tcPr>
            <w:tcW w:w="1170" w:type="dxa"/>
            <w:shd w:val="clear" w:color="auto" w:fill="E6E6E6"/>
          </w:tcPr>
          <w:p w:rsidR="00B4092A" w:rsidRPr="00687A1C" w:rsidRDefault="00B4092A" w:rsidP="00B4092A">
            <w:pPr>
              <w:pStyle w:val="Tabletext"/>
            </w:pP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Organisational structure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_Ref489439292 \h </w:instrText>
            </w:r>
            <w:r w:rsidRPr="00687A1C">
              <w:fldChar w:fldCharType="separate"/>
            </w:r>
            <w:r w:rsidR="00BE5F15">
              <w:rPr>
                <w:noProof/>
              </w:rPr>
              <w:t>4</w:t>
            </w:r>
            <w:r w:rsidRPr="00687A1C">
              <w:fldChar w:fldCharType="end"/>
            </w:r>
          </w:p>
        </w:tc>
      </w:tr>
      <w:tr w:rsidR="00B4092A" w:rsidRPr="00687A1C" w:rsidTr="00E763C8">
        <w:tc>
          <w:tcPr>
            <w:tcW w:w="7218" w:type="dxa"/>
            <w:gridSpan w:val="2"/>
            <w:shd w:val="clear" w:color="auto" w:fill="E6E6E6"/>
          </w:tcPr>
          <w:p w:rsidR="00B4092A" w:rsidRPr="00687A1C" w:rsidRDefault="00B4092A" w:rsidP="00B4092A">
            <w:pPr>
              <w:pStyle w:val="Tabletext"/>
              <w:rPr>
                <w:rFonts w:cstheme="minorHAnsi"/>
                <w:b/>
                <w:szCs w:val="20"/>
              </w:rPr>
            </w:pPr>
            <w:r w:rsidRPr="00687A1C">
              <w:rPr>
                <w:b/>
              </w:rPr>
              <w:t>Financial and other information</w:t>
            </w:r>
          </w:p>
        </w:tc>
        <w:tc>
          <w:tcPr>
            <w:tcW w:w="1170" w:type="dxa"/>
            <w:shd w:val="clear" w:color="auto" w:fill="E6E6E6"/>
          </w:tcPr>
          <w:p w:rsidR="00B4092A" w:rsidRPr="00687A1C" w:rsidRDefault="00B4092A" w:rsidP="00B4092A">
            <w:pPr>
              <w:pStyle w:val="Tabletext"/>
            </w:pPr>
          </w:p>
        </w:tc>
      </w:tr>
      <w:tr w:rsidR="00B4092A" w:rsidRPr="00687A1C" w:rsidTr="00E763C8">
        <w:tc>
          <w:tcPr>
            <w:tcW w:w="1458" w:type="dxa"/>
            <w:shd w:val="clear" w:color="auto" w:fill="auto"/>
          </w:tcPr>
          <w:p w:rsidR="00B4092A" w:rsidRPr="00687A1C" w:rsidRDefault="00B4092A" w:rsidP="00B4092A">
            <w:pPr>
              <w:pStyle w:val="Tabletext"/>
            </w:pPr>
            <w:r w:rsidRPr="00687A1C">
              <w:t>FRD 8D</w:t>
            </w:r>
          </w:p>
        </w:tc>
        <w:tc>
          <w:tcPr>
            <w:tcW w:w="5760" w:type="dxa"/>
            <w:shd w:val="clear" w:color="auto" w:fill="auto"/>
          </w:tcPr>
          <w:p w:rsidR="00B4092A" w:rsidRPr="00687A1C" w:rsidRDefault="00B4092A" w:rsidP="00B4092A">
            <w:pPr>
              <w:pStyle w:val="Tabletext"/>
            </w:pPr>
            <w:r w:rsidRPr="00687A1C">
              <w:t xml:space="preserve">Performance against output performance measures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PerfOutput_start \h </w:instrText>
            </w:r>
            <w:r w:rsidRPr="00687A1C">
              <w:fldChar w:fldCharType="separate"/>
            </w:r>
            <w:r w:rsidR="00BE5F15">
              <w:rPr>
                <w:noProof/>
              </w:rPr>
              <w:t>19</w:t>
            </w:r>
            <w:r w:rsidRPr="00687A1C">
              <w:fldChar w:fldCharType="end"/>
            </w:r>
            <w:r w:rsidRPr="00687A1C">
              <w:t>–</w:t>
            </w:r>
            <w:r w:rsidRPr="00687A1C">
              <w:fldChar w:fldCharType="begin"/>
            </w:r>
            <w:r w:rsidRPr="00687A1C">
              <w:instrText xml:space="preserve"> PAGEREF PerfOutput_end \h </w:instrText>
            </w:r>
            <w:r w:rsidRPr="00687A1C">
              <w:fldChar w:fldCharType="separate"/>
            </w:r>
            <w:r w:rsidR="00BE5F15">
              <w:rPr>
                <w:noProof/>
              </w:rPr>
              <w:t>28</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 xml:space="preserve">FRD 8D </w:t>
            </w:r>
          </w:p>
        </w:tc>
        <w:tc>
          <w:tcPr>
            <w:tcW w:w="5760" w:type="dxa"/>
            <w:shd w:val="clear" w:color="auto" w:fill="auto"/>
          </w:tcPr>
          <w:p w:rsidR="00B4092A" w:rsidRPr="00687A1C" w:rsidRDefault="00B4092A" w:rsidP="00B4092A">
            <w:pPr>
              <w:pStyle w:val="Tabletext"/>
            </w:pPr>
            <w:r w:rsidRPr="00687A1C">
              <w:t>Budget portfolio outcomes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BudgetPortfolioOutcomes_start \h </w:instrText>
            </w:r>
            <w:r w:rsidRPr="00687A1C">
              <w:fldChar w:fldCharType="separate"/>
            </w:r>
            <w:r w:rsidR="00BE5F15">
              <w:rPr>
                <w:noProof/>
              </w:rPr>
              <w:t>29</w:t>
            </w:r>
            <w:r w:rsidRPr="00687A1C">
              <w:fldChar w:fldCharType="end"/>
            </w:r>
            <w:r w:rsidRPr="00687A1C">
              <w:t>–</w:t>
            </w:r>
            <w:r w:rsidRPr="00687A1C">
              <w:fldChar w:fldCharType="begin"/>
            </w:r>
            <w:r w:rsidRPr="00687A1C">
              <w:instrText xml:space="preserve"> PAGEREF BudgetPortfolioOutcomes_end \h </w:instrText>
            </w:r>
            <w:r w:rsidRPr="00687A1C">
              <w:fldChar w:fldCharType="separate"/>
            </w:r>
            <w:r w:rsidR="00BE5F15">
              <w:rPr>
                <w:noProof/>
              </w:rPr>
              <w:t>35</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 xml:space="preserve">10A </w:t>
            </w:r>
          </w:p>
        </w:tc>
        <w:tc>
          <w:tcPr>
            <w:tcW w:w="5760" w:type="dxa"/>
            <w:shd w:val="clear" w:color="auto" w:fill="auto"/>
          </w:tcPr>
          <w:p w:rsidR="00B4092A" w:rsidRPr="00687A1C" w:rsidRDefault="00B4092A" w:rsidP="00B4092A">
            <w:pPr>
              <w:pStyle w:val="Tabletext"/>
            </w:pPr>
            <w:r w:rsidRPr="00687A1C">
              <w:t>Disclosure index</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DisclosureIndex \h </w:instrText>
            </w:r>
            <w:r w:rsidRPr="00687A1C">
              <w:fldChar w:fldCharType="separate"/>
            </w:r>
            <w:r w:rsidR="00BE5F15">
              <w:rPr>
                <w:noProof/>
              </w:rPr>
              <w:t>135</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12B</w:t>
            </w:r>
          </w:p>
        </w:tc>
        <w:tc>
          <w:tcPr>
            <w:tcW w:w="5760" w:type="dxa"/>
            <w:shd w:val="clear" w:color="auto" w:fill="auto"/>
          </w:tcPr>
          <w:p w:rsidR="00B4092A" w:rsidRPr="00687A1C" w:rsidRDefault="00B4092A" w:rsidP="00B4092A">
            <w:pPr>
              <w:pStyle w:val="Tabletext"/>
            </w:pPr>
            <w:r w:rsidRPr="00687A1C">
              <w:t>Disclosure of major contracts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MajorContracts \h </w:instrText>
            </w:r>
            <w:r w:rsidRPr="00687A1C">
              <w:fldChar w:fldCharType="separate"/>
            </w:r>
            <w:r w:rsidR="00BE5F15">
              <w:rPr>
                <w:noProof/>
              </w:rPr>
              <w:t>129</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00E16B1E" w:rsidRPr="00687A1C">
              <w:t>15E</w:t>
            </w:r>
          </w:p>
        </w:tc>
        <w:tc>
          <w:tcPr>
            <w:tcW w:w="5760" w:type="dxa"/>
            <w:shd w:val="clear" w:color="auto" w:fill="auto"/>
          </w:tcPr>
          <w:p w:rsidR="00B4092A" w:rsidRPr="00687A1C" w:rsidRDefault="00B4092A" w:rsidP="00B4092A">
            <w:pPr>
              <w:pStyle w:val="Tabletext"/>
            </w:pPr>
            <w:r w:rsidRPr="00687A1C">
              <w:t>Executive officer disclosures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_Ref492626383 \h </w:instrText>
            </w:r>
            <w:r w:rsidRPr="00687A1C">
              <w:fldChar w:fldCharType="separate"/>
            </w:r>
            <w:r w:rsidR="00BE5F15">
              <w:rPr>
                <w:noProof/>
              </w:rPr>
              <w:t>93</w:t>
            </w:r>
            <w:r w:rsidRPr="00687A1C">
              <w:fldChar w:fldCharType="end"/>
            </w:r>
            <w:r w:rsidRPr="00687A1C">
              <w:t>–</w:t>
            </w:r>
            <w:r w:rsidRPr="00687A1C">
              <w:fldChar w:fldCharType="begin"/>
            </w:r>
            <w:r w:rsidRPr="00687A1C">
              <w:instrText xml:space="preserve"> PAGEREF ExecOfficerRemuneration \h </w:instrText>
            </w:r>
            <w:r w:rsidRPr="00687A1C">
              <w:fldChar w:fldCharType="separate"/>
            </w:r>
            <w:r w:rsidR="00BE5F15">
              <w:rPr>
                <w:noProof/>
              </w:rPr>
              <w:t>93</w:t>
            </w:r>
            <w:r w:rsidRPr="00687A1C">
              <w:fldChar w:fldCharType="end"/>
            </w:r>
            <w:r w:rsidRPr="00687A1C">
              <w:t xml:space="preserve">, </w:t>
            </w:r>
            <w:r w:rsidR="00E763C8" w:rsidRPr="00687A1C">
              <w:br/>
            </w:r>
            <w:r w:rsidRPr="00687A1C">
              <w:fldChar w:fldCharType="begin"/>
            </w:r>
            <w:r w:rsidRPr="00687A1C">
              <w:instrText xml:space="preserve"> PAGEREF _Ref492626580 \h </w:instrText>
            </w:r>
            <w:r w:rsidRPr="00687A1C">
              <w:fldChar w:fldCharType="separate"/>
            </w:r>
            <w:r w:rsidR="00BE5F15">
              <w:rPr>
                <w:noProof/>
              </w:rPr>
              <w:t>104</w:t>
            </w:r>
            <w:r w:rsidRPr="00687A1C">
              <w:fldChar w:fldCharType="end"/>
            </w:r>
            <w:r w:rsidRPr="00687A1C">
              <w:t>–</w:t>
            </w:r>
            <w:r w:rsidRPr="00687A1C">
              <w:fldChar w:fldCharType="begin"/>
            </w:r>
            <w:r w:rsidRPr="00687A1C">
              <w:instrText xml:space="preserve"> PAGEREF DTFPortfolioExecs \h </w:instrText>
            </w:r>
            <w:r w:rsidRPr="00687A1C">
              <w:fldChar w:fldCharType="separate"/>
            </w:r>
            <w:r w:rsidR="00BE5F15">
              <w:rPr>
                <w:noProof/>
              </w:rPr>
              <w:t>112</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Employment and conduct principles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_Ref492626850 \h </w:instrText>
            </w:r>
            <w:r w:rsidRPr="00687A1C">
              <w:fldChar w:fldCharType="separate"/>
            </w:r>
            <w:r w:rsidR="00BE5F15">
              <w:rPr>
                <w:noProof/>
              </w:rPr>
              <w:t>101</w:t>
            </w:r>
            <w:r w:rsidRPr="00687A1C">
              <w:fldChar w:fldCharType="end"/>
            </w:r>
            <w:r w:rsidRPr="00687A1C">
              <w:t>–</w:t>
            </w:r>
            <w:r w:rsidRPr="00687A1C">
              <w:fldChar w:fldCharType="begin"/>
            </w:r>
            <w:r w:rsidRPr="00687A1C">
              <w:instrText xml:space="preserve"> PAGEREF _Ref492626859 \h </w:instrText>
            </w:r>
            <w:r w:rsidRPr="00687A1C">
              <w:fldChar w:fldCharType="separate"/>
            </w:r>
            <w:r w:rsidR="00BE5F15">
              <w:rPr>
                <w:noProof/>
              </w:rPr>
              <w:t>103</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Occupational health and safety policy</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OHSPolicy_start \h </w:instrText>
            </w:r>
            <w:r w:rsidRPr="00687A1C">
              <w:fldChar w:fldCharType="separate"/>
            </w:r>
            <w:r w:rsidR="00BE5F15">
              <w:rPr>
                <w:noProof/>
              </w:rPr>
              <w:t>113</w:t>
            </w:r>
            <w:r w:rsidRPr="00687A1C">
              <w:fldChar w:fldCharType="end"/>
            </w:r>
            <w:r w:rsidRPr="00687A1C">
              <w:t>–</w:t>
            </w:r>
            <w:r w:rsidRPr="00687A1C">
              <w:fldChar w:fldCharType="begin"/>
            </w:r>
            <w:r w:rsidRPr="00687A1C">
              <w:instrText xml:space="preserve"> PAGEREF OHSPolicy_end \h </w:instrText>
            </w:r>
            <w:r w:rsidRPr="00687A1C">
              <w:fldChar w:fldCharType="separate"/>
            </w:r>
            <w:r w:rsidR="00BE5F15">
              <w:rPr>
                <w:noProof/>
              </w:rPr>
              <w:t>116</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Summary of the financial results for the year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_Ref492626911 \h </w:instrText>
            </w:r>
            <w:r w:rsidRPr="00687A1C">
              <w:fldChar w:fldCharType="separate"/>
            </w:r>
            <w:r w:rsidR="00BE5F15">
              <w:rPr>
                <w:noProof/>
              </w:rPr>
              <w:t>36</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Significant changes in financial position during the year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_Ref492626953 \h </w:instrText>
            </w:r>
            <w:r w:rsidRPr="00687A1C">
              <w:fldChar w:fldCharType="separate"/>
            </w:r>
            <w:r w:rsidR="00BE5F15">
              <w:rPr>
                <w:noProof/>
              </w:rPr>
              <w:t>36</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Major changes or factors affecting performance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_Ref492626993 \h </w:instrText>
            </w:r>
            <w:r w:rsidRPr="00687A1C">
              <w:fldChar w:fldCharType="separate"/>
            </w:r>
            <w:r w:rsidR="00BE5F15">
              <w:rPr>
                <w:noProof/>
              </w:rPr>
              <w:t>12</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Subsequent events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_Ref492627084 \h </w:instrText>
            </w:r>
            <w:r w:rsidRPr="00687A1C">
              <w:fldChar w:fldCharType="separate"/>
            </w:r>
            <w:r w:rsidR="00BE5F15">
              <w:rPr>
                <w:noProof/>
              </w:rPr>
              <w:t>95</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Application and operation of </w:t>
            </w:r>
            <w:r w:rsidRPr="00687A1C">
              <w:rPr>
                <w:i/>
              </w:rPr>
              <w:t>Freedom of Information Act 1982</w:t>
            </w:r>
            <w:r w:rsidRPr="00687A1C">
              <w:t xml:space="preserve">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FOI \h </w:instrText>
            </w:r>
            <w:r w:rsidRPr="00687A1C">
              <w:fldChar w:fldCharType="separate"/>
            </w:r>
            <w:r w:rsidR="00BE5F15">
              <w:rPr>
                <w:noProof/>
              </w:rPr>
              <w:t>130</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Compliance with building and maintenance provisions of </w:t>
            </w:r>
            <w:r w:rsidRPr="00687A1C">
              <w:rPr>
                <w:i/>
              </w:rPr>
              <w:t>Building Act</w:t>
            </w:r>
            <w:r w:rsidRPr="00687A1C">
              <w:rPr>
                <w:rFonts w:ascii="VIC" w:hAnsi="VIC"/>
                <w:i/>
              </w:rPr>
              <w:t xml:space="preserve"> </w:t>
            </w:r>
            <w:r w:rsidRPr="00687A1C">
              <w:rPr>
                <w:i/>
              </w:rPr>
              <w:t>1993</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BuildingAct \h </w:instrText>
            </w:r>
            <w:r w:rsidRPr="00687A1C">
              <w:fldChar w:fldCharType="separate"/>
            </w:r>
            <w:r w:rsidR="00BE5F15">
              <w:rPr>
                <w:noProof/>
              </w:rPr>
              <w:t>131</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Statement on National Competition Policy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NatCompetitionPolicy1 \h </w:instrText>
            </w:r>
            <w:r w:rsidRPr="00687A1C">
              <w:fldChar w:fldCharType="separate"/>
            </w:r>
            <w:r w:rsidR="00BE5F15">
              <w:rPr>
                <w:noProof/>
              </w:rPr>
              <w:t>132</w:t>
            </w:r>
            <w:r w:rsidRPr="00687A1C">
              <w:fldChar w:fldCharType="end"/>
            </w:r>
            <w:r w:rsidRPr="00687A1C">
              <w:t>–</w:t>
            </w:r>
            <w:r w:rsidRPr="00687A1C">
              <w:fldChar w:fldCharType="begin"/>
            </w:r>
            <w:r w:rsidRPr="00687A1C">
              <w:instrText xml:space="preserve"> PAGEREF NatCompetitionPolicy2 \h </w:instrText>
            </w:r>
            <w:r w:rsidRPr="00687A1C">
              <w:fldChar w:fldCharType="separate"/>
            </w:r>
            <w:r w:rsidR="00BE5F15">
              <w:rPr>
                <w:noProof/>
              </w:rPr>
              <w:t>133</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Application and operation of the </w:t>
            </w:r>
            <w:r w:rsidRPr="00687A1C">
              <w:rPr>
                <w:i/>
              </w:rPr>
              <w:t>Protected Disclosure Act 2012</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_Ref492629117 \h </w:instrText>
            </w:r>
            <w:r w:rsidRPr="00687A1C">
              <w:fldChar w:fldCharType="separate"/>
            </w:r>
            <w:r w:rsidR="00BE5F15">
              <w:rPr>
                <w:noProof/>
              </w:rPr>
              <w:t>133</w:t>
            </w:r>
            <w:r w:rsidRPr="00687A1C">
              <w:fldChar w:fldCharType="end"/>
            </w:r>
          </w:p>
        </w:tc>
      </w:tr>
      <w:tr w:rsidR="00B4092A" w:rsidRPr="00687A1C" w:rsidTr="00E763C8">
        <w:tc>
          <w:tcPr>
            <w:tcW w:w="1458" w:type="dxa"/>
            <w:shd w:val="clear" w:color="auto" w:fill="auto"/>
          </w:tcPr>
          <w:p w:rsidR="00B4092A" w:rsidRPr="00687A1C" w:rsidDel="006648C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Application and operation of the </w:t>
            </w:r>
            <w:r w:rsidRPr="00687A1C">
              <w:rPr>
                <w:i/>
              </w:rPr>
              <w:t>Carers Recognition Act 2012</w:t>
            </w:r>
          </w:p>
        </w:tc>
        <w:tc>
          <w:tcPr>
            <w:tcW w:w="1170" w:type="dxa"/>
            <w:shd w:val="clear" w:color="auto" w:fill="auto"/>
          </w:tcPr>
          <w:p w:rsidR="00B4092A" w:rsidRPr="00687A1C" w:rsidRDefault="00B4092A" w:rsidP="00B4092A">
            <w:pPr>
              <w:pStyle w:val="Tabletext"/>
            </w:pPr>
            <w:r w:rsidRPr="00687A1C">
              <w:t>n/a</w:t>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Details of consultancies over $10</w:t>
            </w:r>
            <w:r w:rsidRPr="00687A1C">
              <w:rPr>
                <w:rFonts w:ascii="VIC" w:hAnsi="VIC"/>
              </w:rPr>
              <w:t xml:space="preserve"> </w:t>
            </w:r>
            <w:r w:rsidRPr="00687A1C">
              <w:t xml:space="preserve">000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_Ref492630865 \h </w:instrText>
            </w:r>
            <w:r w:rsidRPr="00687A1C">
              <w:fldChar w:fldCharType="separate"/>
            </w:r>
            <w:r w:rsidR="00BE5F15">
              <w:rPr>
                <w:noProof/>
              </w:rPr>
              <w:t>129</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Details of consultancies under $10</w:t>
            </w:r>
            <w:r w:rsidRPr="00687A1C">
              <w:rPr>
                <w:rFonts w:ascii="VIC" w:hAnsi="VIC"/>
              </w:rPr>
              <w:t xml:space="preserve"> </w:t>
            </w:r>
            <w:r w:rsidRPr="00687A1C">
              <w:t xml:space="preserve">000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_Ref492630870 \h </w:instrText>
            </w:r>
            <w:r w:rsidRPr="00687A1C">
              <w:fldChar w:fldCharType="separate"/>
            </w:r>
            <w:r w:rsidR="00BE5F15">
              <w:rPr>
                <w:noProof/>
              </w:rPr>
              <w:t>129</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 22H</w:t>
            </w:r>
          </w:p>
        </w:tc>
        <w:tc>
          <w:tcPr>
            <w:tcW w:w="5760" w:type="dxa"/>
            <w:shd w:val="clear" w:color="auto" w:fill="auto"/>
          </w:tcPr>
          <w:p w:rsidR="00B4092A" w:rsidRPr="00687A1C" w:rsidRDefault="00B4092A" w:rsidP="00B4092A">
            <w:pPr>
              <w:pStyle w:val="Tabletext"/>
            </w:pPr>
            <w:r w:rsidRPr="00687A1C">
              <w:t>Disclosure of government advertising expenditure</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GovernmentAdvertising \h </w:instrText>
            </w:r>
            <w:r w:rsidRPr="00687A1C">
              <w:fldChar w:fldCharType="separate"/>
            </w:r>
            <w:r w:rsidR="00BE5F15">
              <w:rPr>
                <w:noProof/>
              </w:rPr>
              <w:t>128</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 22H</w:t>
            </w:r>
          </w:p>
        </w:tc>
        <w:tc>
          <w:tcPr>
            <w:tcW w:w="5760" w:type="dxa"/>
            <w:shd w:val="clear" w:color="auto" w:fill="auto"/>
          </w:tcPr>
          <w:p w:rsidR="00B4092A" w:rsidRPr="00687A1C" w:rsidRDefault="00B4092A" w:rsidP="00B4092A">
            <w:pPr>
              <w:pStyle w:val="Tabletext"/>
            </w:pPr>
            <w:r w:rsidRPr="00687A1C">
              <w:t>Disclosure of ICT expenditure</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_Ref492631101 \h </w:instrText>
            </w:r>
            <w:r w:rsidRPr="00687A1C">
              <w:fldChar w:fldCharType="separate"/>
            </w:r>
            <w:r w:rsidR="00BE5F15">
              <w:rPr>
                <w:noProof/>
              </w:rPr>
              <w:t>129</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22H</w:t>
            </w:r>
          </w:p>
        </w:tc>
        <w:tc>
          <w:tcPr>
            <w:tcW w:w="5760" w:type="dxa"/>
            <w:shd w:val="clear" w:color="auto" w:fill="auto"/>
          </w:tcPr>
          <w:p w:rsidR="00B4092A" w:rsidRPr="00687A1C" w:rsidRDefault="00B4092A" w:rsidP="00B4092A">
            <w:pPr>
              <w:pStyle w:val="Tabletext"/>
            </w:pPr>
            <w:r w:rsidRPr="00687A1C">
              <w:t xml:space="preserve">Statement of availability of other information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InfoOnRequest \h </w:instrText>
            </w:r>
            <w:r w:rsidRPr="00687A1C">
              <w:fldChar w:fldCharType="separate"/>
            </w:r>
            <w:r w:rsidR="00BE5F15">
              <w:rPr>
                <w:noProof/>
              </w:rPr>
              <w:t>134</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24D</w:t>
            </w:r>
          </w:p>
        </w:tc>
        <w:tc>
          <w:tcPr>
            <w:tcW w:w="5760" w:type="dxa"/>
            <w:shd w:val="clear" w:color="auto" w:fill="auto"/>
          </w:tcPr>
          <w:p w:rsidR="00B4092A" w:rsidRPr="00687A1C" w:rsidRDefault="00B4092A" w:rsidP="00B4092A">
            <w:pPr>
              <w:pStyle w:val="Tabletext"/>
            </w:pPr>
            <w:r w:rsidRPr="00687A1C">
              <w:t>Reporting of office</w:t>
            </w:r>
            <w:r w:rsidRPr="00687A1C">
              <w:noBreakHyphen/>
              <w:t>based environmental impacts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Environmental_start \h </w:instrText>
            </w:r>
            <w:r w:rsidRPr="00687A1C">
              <w:fldChar w:fldCharType="separate"/>
            </w:r>
            <w:r w:rsidR="00BE5F15">
              <w:rPr>
                <w:noProof/>
              </w:rPr>
              <w:t>117</w:t>
            </w:r>
            <w:r w:rsidRPr="00687A1C">
              <w:fldChar w:fldCharType="end"/>
            </w:r>
            <w:r w:rsidRPr="00687A1C">
              <w:t>–</w:t>
            </w:r>
            <w:r w:rsidRPr="00687A1C">
              <w:fldChar w:fldCharType="begin"/>
            </w:r>
            <w:r w:rsidRPr="00687A1C">
              <w:instrText xml:space="preserve"> PAGEREF Environmental_end \h </w:instrText>
            </w:r>
            <w:r w:rsidRPr="00687A1C">
              <w:fldChar w:fldCharType="separate"/>
            </w:r>
            <w:r w:rsidR="00BE5F15">
              <w:rPr>
                <w:noProof/>
              </w:rPr>
              <w:t>123</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25C</w:t>
            </w:r>
          </w:p>
        </w:tc>
        <w:tc>
          <w:tcPr>
            <w:tcW w:w="5760" w:type="dxa"/>
            <w:shd w:val="clear" w:color="auto" w:fill="auto"/>
          </w:tcPr>
          <w:p w:rsidR="00B4092A" w:rsidRPr="00687A1C" w:rsidRDefault="00B4092A" w:rsidP="00B4092A">
            <w:pPr>
              <w:pStyle w:val="Tabletext"/>
            </w:pPr>
            <w:r w:rsidRPr="00687A1C">
              <w:t>Victorian Industry Participation Policy disclosures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VIPP \h </w:instrText>
            </w:r>
            <w:r w:rsidRPr="00687A1C">
              <w:fldChar w:fldCharType="separate"/>
            </w:r>
            <w:r w:rsidR="00BE5F15">
              <w:rPr>
                <w:noProof/>
              </w:rPr>
              <w:t>127</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00E777BE" w:rsidRPr="00687A1C">
              <w:t>29C</w:t>
            </w:r>
          </w:p>
        </w:tc>
        <w:tc>
          <w:tcPr>
            <w:tcW w:w="5760" w:type="dxa"/>
            <w:shd w:val="clear" w:color="auto" w:fill="auto"/>
          </w:tcPr>
          <w:p w:rsidR="00B4092A" w:rsidRPr="00687A1C" w:rsidRDefault="00B4092A" w:rsidP="00B4092A">
            <w:pPr>
              <w:pStyle w:val="Tabletext"/>
            </w:pPr>
            <w:r w:rsidRPr="00687A1C">
              <w:t>Workforce data disclosures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Workforce1 \h </w:instrText>
            </w:r>
            <w:r w:rsidRPr="00687A1C">
              <w:fldChar w:fldCharType="separate"/>
            </w:r>
            <w:r w:rsidR="00BE5F15">
              <w:rPr>
                <w:noProof/>
              </w:rPr>
              <w:t>101</w:t>
            </w:r>
            <w:r w:rsidRPr="00687A1C">
              <w:fldChar w:fldCharType="end"/>
            </w:r>
            <w:r w:rsidRPr="00687A1C">
              <w:t>–</w:t>
            </w:r>
            <w:r w:rsidRPr="00687A1C">
              <w:fldChar w:fldCharType="begin"/>
            </w:r>
            <w:r w:rsidRPr="00687A1C">
              <w:instrText xml:space="preserve"> PAGEREF Workforce2 \h </w:instrText>
            </w:r>
            <w:r w:rsidRPr="00687A1C">
              <w:fldChar w:fldCharType="separate"/>
            </w:r>
            <w:r w:rsidR="00BE5F15">
              <w:rPr>
                <w:noProof/>
              </w:rPr>
              <w:t>112</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SD 5.2</w:t>
            </w:r>
          </w:p>
        </w:tc>
        <w:tc>
          <w:tcPr>
            <w:tcW w:w="5760" w:type="dxa"/>
            <w:shd w:val="clear" w:color="auto" w:fill="auto"/>
          </w:tcPr>
          <w:p w:rsidR="00B4092A" w:rsidRPr="00687A1C" w:rsidRDefault="00B4092A" w:rsidP="00B4092A">
            <w:pPr>
              <w:pStyle w:val="Tabletext"/>
            </w:pPr>
            <w:r w:rsidRPr="00687A1C">
              <w:t>Specific requirements under Standing Direction 5.2</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_Ref492631681 \h </w:instrText>
            </w:r>
            <w:r w:rsidRPr="00687A1C">
              <w:fldChar w:fldCharType="separate"/>
            </w:r>
            <w:r w:rsidR="00BE5F15">
              <w:rPr>
                <w:noProof/>
              </w:rPr>
              <w:t>39</w:t>
            </w:r>
            <w:r w:rsidRPr="00687A1C">
              <w:fldChar w:fldCharType="end"/>
            </w:r>
          </w:p>
        </w:tc>
      </w:tr>
      <w:tr w:rsidR="00B4092A" w:rsidRPr="00687A1C" w:rsidTr="00E763C8">
        <w:tc>
          <w:tcPr>
            <w:tcW w:w="7218" w:type="dxa"/>
            <w:gridSpan w:val="2"/>
            <w:shd w:val="clear" w:color="auto" w:fill="E6E6E6"/>
          </w:tcPr>
          <w:p w:rsidR="00B4092A" w:rsidRPr="00687A1C" w:rsidRDefault="00B4092A" w:rsidP="00B4092A">
            <w:pPr>
              <w:pStyle w:val="Tabletext"/>
              <w:rPr>
                <w:rFonts w:cstheme="minorHAnsi"/>
                <w:b/>
                <w:szCs w:val="20"/>
              </w:rPr>
            </w:pPr>
            <w:r w:rsidRPr="00687A1C">
              <w:rPr>
                <w:b/>
              </w:rPr>
              <w:t>Compliance attestation and declaration</w:t>
            </w:r>
          </w:p>
        </w:tc>
        <w:tc>
          <w:tcPr>
            <w:tcW w:w="1170" w:type="dxa"/>
            <w:shd w:val="clear" w:color="auto" w:fill="E6E6E6"/>
          </w:tcPr>
          <w:p w:rsidR="00B4092A" w:rsidRPr="00687A1C" w:rsidRDefault="00B4092A" w:rsidP="00B4092A">
            <w:pPr>
              <w:pStyle w:val="Tabletext"/>
              <w:rPr>
                <w:b/>
              </w:rPr>
            </w:pPr>
          </w:p>
        </w:tc>
      </w:tr>
      <w:tr w:rsidR="00B4092A" w:rsidRPr="00687A1C" w:rsidTr="00E763C8">
        <w:tc>
          <w:tcPr>
            <w:tcW w:w="1458" w:type="dxa"/>
            <w:shd w:val="clear" w:color="auto" w:fill="auto"/>
          </w:tcPr>
          <w:p w:rsidR="00B4092A" w:rsidRPr="00687A1C" w:rsidRDefault="007963FF" w:rsidP="00B4092A">
            <w:pPr>
              <w:pStyle w:val="Tabletext"/>
            </w:pPr>
            <w:r w:rsidRPr="00687A1C">
              <w:t>SD 5.1.4</w:t>
            </w:r>
          </w:p>
        </w:tc>
        <w:tc>
          <w:tcPr>
            <w:tcW w:w="5760" w:type="dxa"/>
            <w:shd w:val="clear" w:color="auto" w:fill="auto"/>
          </w:tcPr>
          <w:p w:rsidR="00B4092A" w:rsidRPr="00687A1C" w:rsidRDefault="007963FF" w:rsidP="00B4092A">
            <w:pPr>
              <w:pStyle w:val="Tabletext"/>
            </w:pPr>
            <w:r w:rsidRPr="00687A1C">
              <w:t>Attestation for compliance with Ministerial Standing Direction</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AttestationSD3_7_1 \h </w:instrText>
            </w:r>
            <w:r w:rsidRPr="00687A1C">
              <w:fldChar w:fldCharType="separate"/>
            </w:r>
            <w:r w:rsidR="00BE5F15">
              <w:rPr>
                <w:noProof/>
              </w:rPr>
              <w:t>134</w:t>
            </w:r>
            <w:r w:rsidRPr="00687A1C">
              <w:fldChar w:fldCharType="end"/>
            </w:r>
          </w:p>
        </w:tc>
      </w:tr>
      <w:tr w:rsidR="00B4092A" w:rsidRPr="00687A1C" w:rsidTr="00E763C8">
        <w:tc>
          <w:tcPr>
            <w:tcW w:w="1458" w:type="dxa"/>
            <w:shd w:val="clear" w:color="auto" w:fill="auto"/>
          </w:tcPr>
          <w:p w:rsidR="00B4092A" w:rsidRPr="00687A1C" w:rsidRDefault="007963FF" w:rsidP="00B4092A">
            <w:pPr>
              <w:pStyle w:val="Tabletext"/>
            </w:pPr>
            <w:r w:rsidRPr="00687A1C">
              <w:t>SD 5.2.3</w:t>
            </w:r>
          </w:p>
        </w:tc>
        <w:tc>
          <w:tcPr>
            <w:tcW w:w="5760" w:type="dxa"/>
            <w:shd w:val="clear" w:color="auto" w:fill="auto"/>
          </w:tcPr>
          <w:p w:rsidR="00B4092A" w:rsidRPr="00687A1C" w:rsidRDefault="00B4092A" w:rsidP="00B4092A">
            <w:pPr>
              <w:pStyle w:val="Tabletext"/>
            </w:pPr>
            <w:r w:rsidRPr="00687A1C">
              <w:t>Declaration in report of operations</w:t>
            </w:r>
          </w:p>
        </w:tc>
        <w:tc>
          <w:tcPr>
            <w:tcW w:w="1170" w:type="dxa"/>
            <w:shd w:val="clear" w:color="auto" w:fill="auto"/>
          </w:tcPr>
          <w:p w:rsidR="00B4092A" w:rsidRPr="00687A1C" w:rsidRDefault="00B4092A" w:rsidP="00B4092A">
            <w:pPr>
              <w:pStyle w:val="Tabletext"/>
            </w:pPr>
            <w:r w:rsidRPr="00687A1C">
              <w:t>Contents page</w:t>
            </w:r>
          </w:p>
        </w:tc>
      </w:tr>
      <w:tr w:rsidR="00B4092A" w:rsidRPr="00687A1C" w:rsidTr="00E763C8">
        <w:tc>
          <w:tcPr>
            <w:tcW w:w="8388" w:type="dxa"/>
            <w:gridSpan w:val="3"/>
            <w:shd w:val="clear" w:color="auto" w:fill="auto"/>
          </w:tcPr>
          <w:p w:rsidR="00B4092A" w:rsidRPr="00687A1C" w:rsidRDefault="00B4092A" w:rsidP="00B4092A">
            <w:pPr>
              <w:pStyle w:val="Heading3"/>
              <w:pageBreakBefore/>
            </w:pPr>
            <w:r w:rsidRPr="00687A1C">
              <w:lastRenderedPageBreak/>
              <w:t>Financial statements</w:t>
            </w:r>
          </w:p>
        </w:tc>
      </w:tr>
      <w:tr w:rsidR="00B4092A" w:rsidRPr="00687A1C" w:rsidTr="00E763C8">
        <w:trPr>
          <w:tblHeader/>
        </w:trPr>
        <w:tc>
          <w:tcPr>
            <w:tcW w:w="1458" w:type="dxa"/>
            <w:shd w:val="clear" w:color="auto" w:fill="DDDDDD"/>
          </w:tcPr>
          <w:p w:rsidR="00B4092A" w:rsidRPr="00687A1C" w:rsidRDefault="00B4092A" w:rsidP="00B4092A">
            <w:pPr>
              <w:pStyle w:val="Tabletextheadingleft"/>
              <w:rPr>
                <w:rFonts w:cstheme="minorHAnsi"/>
                <w:sz w:val="17"/>
                <w:szCs w:val="17"/>
              </w:rPr>
            </w:pPr>
            <w:r w:rsidRPr="00687A1C">
              <w:rPr>
                <w:rFonts w:cstheme="minorHAnsi"/>
                <w:sz w:val="17"/>
                <w:szCs w:val="17"/>
              </w:rPr>
              <w:t>Direction</w:t>
            </w:r>
          </w:p>
        </w:tc>
        <w:tc>
          <w:tcPr>
            <w:tcW w:w="5760" w:type="dxa"/>
            <w:shd w:val="clear" w:color="auto" w:fill="DDDDDD"/>
          </w:tcPr>
          <w:p w:rsidR="00B4092A" w:rsidRPr="00687A1C" w:rsidRDefault="00B4092A" w:rsidP="00B4092A">
            <w:pPr>
              <w:pStyle w:val="Tabletextheadingleft"/>
              <w:rPr>
                <w:rFonts w:cstheme="minorHAnsi"/>
                <w:sz w:val="17"/>
                <w:szCs w:val="17"/>
              </w:rPr>
            </w:pPr>
            <w:r w:rsidRPr="00687A1C">
              <w:rPr>
                <w:rFonts w:cstheme="minorHAnsi"/>
                <w:sz w:val="17"/>
                <w:szCs w:val="17"/>
              </w:rPr>
              <w:t>Requirement</w:t>
            </w:r>
          </w:p>
        </w:tc>
        <w:tc>
          <w:tcPr>
            <w:tcW w:w="1170" w:type="dxa"/>
            <w:shd w:val="clear" w:color="auto" w:fill="DDDDDD"/>
          </w:tcPr>
          <w:p w:rsidR="00B4092A" w:rsidRPr="00687A1C" w:rsidRDefault="00B4092A" w:rsidP="00B4092A">
            <w:pPr>
              <w:pStyle w:val="Tabletext"/>
              <w:rPr>
                <w:sz w:val="17"/>
                <w:szCs w:val="17"/>
              </w:rPr>
            </w:pPr>
            <w:r w:rsidRPr="00687A1C">
              <w:rPr>
                <w:rFonts w:cstheme="minorHAnsi"/>
                <w:b/>
                <w:sz w:val="17"/>
                <w:szCs w:val="17"/>
              </w:rPr>
              <w:t>Page reference</w:t>
            </w:r>
          </w:p>
        </w:tc>
      </w:tr>
      <w:tr w:rsidR="00B4092A" w:rsidRPr="00687A1C" w:rsidTr="00E763C8">
        <w:tc>
          <w:tcPr>
            <w:tcW w:w="7218" w:type="dxa"/>
            <w:gridSpan w:val="2"/>
            <w:shd w:val="clear" w:color="auto" w:fill="E6E6E6"/>
          </w:tcPr>
          <w:p w:rsidR="00B4092A" w:rsidRPr="00687A1C" w:rsidRDefault="00B4092A" w:rsidP="00B4092A">
            <w:pPr>
              <w:pStyle w:val="Tabletext"/>
              <w:rPr>
                <w:rFonts w:cstheme="minorHAnsi"/>
                <w:b/>
                <w:szCs w:val="20"/>
              </w:rPr>
            </w:pPr>
            <w:r w:rsidRPr="00687A1C">
              <w:rPr>
                <w:b/>
              </w:rPr>
              <w:t>Declaration</w:t>
            </w:r>
          </w:p>
        </w:tc>
        <w:tc>
          <w:tcPr>
            <w:tcW w:w="1170" w:type="dxa"/>
            <w:shd w:val="clear" w:color="auto" w:fill="E6E6E6"/>
          </w:tcPr>
          <w:p w:rsidR="00B4092A" w:rsidRPr="00687A1C" w:rsidRDefault="00B4092A" w:rsidP="00B4092A">
            <w:pPr>
              <w:pStyle w:val="Tabletext"/>
              <w:rPr>
                <w:b/>
              </w:rPr>
            </w:pPr>
          </w:p>
        </w:tc>
      </w:tr>
      <w:tr w:rsidR="00B4092A" w:rsidRPr="00687A1C" w:rsidTr="00E763C8">
        <w:tc>
          <w:tcPr>
            <w:tcW w:w="1458" w:type="dxa"/>
            <w:shd w:val="clear" w:color="auto" w:fill="auto"/>
          </w:tcPr>
          <w:p w:rsidR="00B4092A" w:rsidRPr="00687A1C" w:rsidRDefault="00B4092A" w:rsidP="00B4092A">
            <w:pPr>
              <w:pStyle w:val="Tabletext"/>
            </w:pPr>
            <w:r w:rsidRPr="00687A1C">
              <w:t>SD 5.2.2</w:t>
            </w:r>
          </w:p>
        </w:tc>
        <w:tc>
          <w:tcPr>
            <w:tcW w:w="5760" w:type="dxa"/>
            <w:shd w:val="clear" w:color="auto" w:fill="auto"/>
          </w:tcPr>
          <w:p w:rsidR="00B4092A" w:rsidRPr="00687A1C" w:rsidRDefault="00B4092A" w:rsidP="00B4092A">
            <w:pPr>
              <w:pStyle w:val="Tabletext"/>
            </w:pPr>
            <w:r w:rsidRPr="00687A1C">
              <w:t>Declaration in financial statements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_Ref492631681 \h </w:instrText>
            </w:r>
            <w:r w:rsidRPr="00687A1C">
              <w:fldChar w:fldCharType="separate"/>
            </w:r>
            <w:r w:rsidR="00BE5F15">
              <w:rPr>
                <w:noProof/>
              </w:rPr>
              <w:t>39</w:t>
            </w:r>
            <w:r w:rsidRPr="00687A1C">
              <w:fldChar w:fldCharType="end"/>
            </w:r>
          </w:p>
        </w:tc>
      </w:tr>
      <w:tr w:rsidR="00B4092A" w:rsidRPr="00687A1C" w:rsidTr="00E763C8">
        <w:tc>
          <w:tcPr>
            <w:tcW w:w="7218" w:type="dxa"/>
            <w:gridSpan w:val="2"/>
            <w:shd w:val="clear" w:color="auto" w:fill="E6E6E6"/>
          </w:tcPr>
          <w:p w:rsidR="00B4092A" w:rsidRPr="00687A1C" w:rsidRDefault="00B4092A" w:rsidP="00B4092A">
            <w:pPr>
              <w:pStyle w:val="Tabletext"/>
              <w:rPr>
                <w:rFonts w:cstheme="minorHAnsi"/>
                <w:b/>
                <w:szCs w:val="20"/>
              </w:rPr>
            </w:pPr>
            <w:r w:rsidRPr="00687A1C">
              <w:rPr>
                <w:b/>
              </w:rPr>
              <w:t>Other requirements under Standing Directions 5.2</w:t>
            </w:r>
          </w:p>
        </w:tc>
        <w:tc>
          <w:tcPr>
            <w:tcW w:w="1170" w:type="dxa"/>
            <w:shd w:val="clear" w:color="auto" w:fill="E6E6E6"/>
          </w:tcPr>
          <w:p w:rsidR="00B4092A" w:rsidRPr="00687A1C" w:rsidRDefault="00B4092A" w:rsidP="00B4092A">
            <w:pPr>
              <w:pStyle w:val="Tabletext"/>
              <w:rPr>
                <w:b/>
              </w:rPr>
            </w:pPr>
          </w:p>
        </w:tc>
      </w:tr>
      <w:tr w:rsidR="00B4092A" w:rsidRPr="00687A1C" w:rsidTr="00E763C8">
        <w:tc>
          <w:tcPr>
            <w:tcW w:w="1458" w:type="dxa"/>
            <w:shd w:val="clear" w:color="auto" w:fill="auto"/>
          </w:tcPr>
          <w:p w:rsidR="00B4092A" w:rsidRPr="00687A1C" w:rsidRDefault="00B4092A" w:rsidP="00B4092A">
            <w:pPr>
              <w:pStyle w:val="Tabletext"/>
            </w:pPr>
            <w:r w:rsidRPr="00687A1C">
              <w:t>SD 5.2.1(a)</w:t>
            </w:r>
          </w:p>
        </w:tc>
        <w:tc>
          <w:tcPr>
            <w:tcW w:w="5760" w:type="dxa"/>
            <w:shd w:val="clear" w:color="auto" w:fill="auto"/>
          </w:tcPr>
          <w:p w:rsidR="00B4092A" w:rsidRPr="00687A1C" w:rsidRDefault="00B4092A" w:rsidP="00B4092A">
            <w:pPr>
              <w:pStyle w:val="Tabletext"/>
            </w:pPr>
            <w:r w:rsidRPr="00687A1C">
              <w:t>Compliance with Australian accounting standards and other authoritative pronouncements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_Ref492632034 \h </w:instrText>
            </w:r>
            <w:r w:rsidRPr="00687A1C">
              <w:fldChar w:fldCharType="separate"/>
            </w:r>
            <w:r w:rsidR="00BE5F15">
              <w:rPr>
                <w:noProof/>
              </w:rPr>
              <w:t>46</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SD 5.2.1(a)</w:t>
            </w:r>
          </w:p>
        </w:tc>
        <w:tc>
          <w:tcPr>
            <w:tcW w:w="5760" w:type="dxa"/>
            <w:shd w:val="clear" w:color="auto" w:fill="auto"/>
          </w:tcPr>
          <w:p w:rsidR="00B4092A" w:rsidRPr="00687A1C" w:rsidRDefault="00B4092A" w:rsidP="00B4092A">
            <w:pPr>
              <w:pStyle w:val="Tabletext"/>
            </w:pPr>
            <w:r w:rsidRPr="00687A1C">
              <w:t>Compliance with Ministerial Directions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_Ref492631681 \h </w:instrText>
            </w:r>
            <w:r w:rsidRPr="00687A1C">
              <w:fldChar w:fldCharType="separate"/>
            </w:r>
            <w:r w:rsidR="00BE5F15">
              <w:rPr>
                <w:noProof/>
              </w:rPr>
              <w:t>39</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SD 5.2.1(b)</w:t>
            </w:r>
          </w:p>
        </w:tc>
        <w:tc>
          <w:tcPr>
            <w:tcW w:w="5760" w:type="dxa"/>
            <w:shd w:val="clear" w:color="auto" w:fill="auto"/>
          </w:tcPr>
          <w:p w:rsidR="00B4092A" w:rsidRPr="00687A1C" w:rsidRDefault="00B4092A" w:rsidP="00B4092A">
            <w:pPr>
              <w:pStyle w:val="Tabletext"/>
            </w:pPr>
            <w:r w:rsidRPr="00687A1C">
              <w:t>Compliance with Model Financial Report</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_Ref492631681 \h </w:instrText>
            </w:r>
            <w:r w:rsidRPr="00687A1C">
              <w:fldChar w:fldCharType="separate"/>
            </w:r>
            <w:r w:rsidR="00BE5F15">
              <w:rPr>
                <w:noProof/>
              </w:rPr>
              <w:t>39</w:t>
            </w:r>
            <w:r w:rsidRPr="00687A1C">
              <w:fldChar w:fldCharType="end"/>
            </w:r>
          </w:p>
        </w:tc>
      </w:tr>
      <w:tr w:rsidR="00B4092A" w:rsidRPr="00687A1C" w:rsidTr="00E763C8">
        <w:tc>
          <w:tcPr>
            <w:tcW w:w="7218" w:type="dxa"/>
            <w:gridSpan w:val="2"/>
            <w:shd w:val="clear" w:color="auto" w:fill="E6E6E6"/>
          </w:tcPr>
          <w:p w:rsidR="00B4092A" w:rsidRPr="00687A1C" w:rsidRDefault="00B4092A" w:rsidP="00B4092A">
            <w:pPr>
              <w:pStyle w:val="Tabletext"/>
              <w:rPr>
                <w:rFonts w:cstheme="minorHAnsi"/>
                <w:b/>
                <w:szCs w:val="20"/>
              </w:rPr>
            </w:pPr>
            <w:r w:rsidRPr="00687A1C">
              <w:rPr>
                <w:b/>
              </w:rPr>
              <w:t>Other disclosures as required by FRDs in no</w:t>
            </w:r>
            <w:r w:rsidR="00FB4BD6" w:rsidRPr="00687A1C">
              <w:rPr>
                <w:b/>
              </w:rPr>
              <w:t>tes to the financial statements</w:t>
            </w:r>
          </w:p>
        </w:tc>
        <w:tc>
          <w:tcPr>
            <w:tcW w:w="1170" w:type="dxa"/>
            <w:shd w:val="clear" w:color="auto" w:fill="E6E6E6"/>
          </w:tcPr>
          <w:p w:rsidR="00B4092A" w:rsidRPr="00687A1C" w:rsidRDefault="00B4092A" w:rsidP="00B4092A">
            <w:pPr>
              <w:pStyle w:val="Tabletext"/>
              <w:rPr>
                <w:b/>
              </w:rPr>
            </w:pP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9B</w:t>
            </w:r>
          </w:p>
        </w:tc>
        <w:tc>
          <w:tcPr>
            <w:tcW w:w="5760" w:type="dxa"/>
            <w:shd w:val="clear" w:color="auto" w:fill="auto"/>
          </w:tcPr>
          <w:p w:rsidR="00B4092A" w:rsidRPr="00687A1C" w:rsidRDefault="00B4092A" w:rsidP="00B4092A">
            <w:pPr>
              <w:pStyle w:val="Tabletext"/>
            </w:pPr>
            <w:r w:rsidRPr="00687A1C">
              <w:t>Departmental disclosure of administered assets and liabilities by activity</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Administered_start \h </w:instrText>
            </w:r>
            <w:r w:rsidRPr="00687A1C">
              <w:fldChar w:fldCharType="separate"/>
            </w:r>
            <w:r w:rsidR="00BE5F15">
              <w:rPr>
                <w:noProof/>
              </w:rPr>
              <w:t>58</w:t>
            </w:r>
            <w:r w:rsidRPr="00687A1C">
              <w:fldChar w:fldCharType="end"/>
            </w:r>
            <w:r w:rsidRPr="00687A1C">
              <w:t>–</w:t>
            </w:r>
            <w:r w:rsidRPr="00687A1C">
              <w:fldChar w:fldCharType="begin"/>
            </w:r>
            <w:r w:rsidRPr="00687A1C">
              <w:instrText xml:space="preserve"> PAGEREF Administered_end \h </w:instrText>
            </w:r>
            <w:r w:rsidRPr="00687A1C">
              <w:fldChar w:fldCharType="separate"/>
            </w:r>
            <w:r w:rsidR="00BE5F15">
              <w:rPr>
                <w:noProof/>
              </w:rPr>
              <w:t>60</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11A</w:t>
            </w:r>
          </w:p>
        </w:tc>
        <w:tc>
          <w:tcPr>
            <w:tcW w:w="5760" w:type="dxa"/>
            <w:shd w:val="clear" w:color="auto" w:fill="auto"/>
          </w:tcPr>
          <w:p w:rsidR="00B4092A" w:rsidRPr="00687A1C" w:rsidRDefault="00B4092A" w:rsidP="00B4092A">
            <w:pPr>
              <w:pStyle w:val="Tabletext"/>
            </w:pPr>
            <w:r w:rsidRPr="00687A1C">
              <w:t>Disclosure of ex gratia expenses</w:t>
            </w:r>
          </w:p>
        </w:tc>
        <w:tc>
          <w:tcPr>
            <w:tcW w:w="1170" w:type="dxa"/>
            <w:shd w:val="clear" w:color="auto" w:fill="auto"/>
          </w:tcPr>
          <w:p w:rsidR="00B4092A" w:rsidRPr="00687A1C" w:rsidRDefault="00B4092A" w:rsidP="00B4092A">
            <w:pPr>
              <w:pStyle w:val="Tabletext"/>
            </w:pPr>
            <w:r w:rsidRPr="00687A1C">
              <w:t>n/a</w:t>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13</w:t>
            </w:r>
          </w:p>
        </w:tc>
        <w:tc>
          <w:tcPr>
            <w:tcW w:w="5760" w:type="dxa"/>
            <w:shd w:val="clear" w:color="auto" w:fill="auto"/>
          </w:tcPr>
          <w:p w:rsidR="00B4092A" w:rsidRPr="00687A1C" w:rsidRDefault="00B4092A" w:rsidP="00B4092A">
            <w:pPr>
              <w:pStyle w:val="Tabletext"/>
            </w:pPr>
            <w:r w:rsidRPr="00687A1C">
              <w:t>Disclosure of Parliamentary Appropriations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_Ref492632334 \h </w:instrText>
            </w:r>
            <w:r w:rsidRPr="00687A1C">
              <w:fldChar w:fldCharType="separate"/>
            </w:r>
            <w:r w:rsidR="00BE5F15">
              <w:rPr>
                <w:noProof/>
              </w:rPr>
              <w:t>48</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21C</w:t>
            </w:r>
          </w:p>
        </w:tc>
        <w:tc>
          <w:tcPr>
            <w:tcW w:w="5760" w:type="dxa"/>
            <w:shd w:val="clear" w:color="auto" w:fill="auto"/>
          </w:tcPr>
          <w:p w:rsidR="00E777BE" w:rsidRPr="00687A1C" w:rsidRDefault="00E777BE" w:rsidP="00B4092A">
            <w:pPr>
              <w:pStyle w:val="Tabletext"/>
            </w:pPr>
            <w:r w:rsidRPr="00687A1C">
              <w:t>Disclosures of responsible persons, executive officers and other personnel (contractors with significant management responsibilities) in the financial report</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Responsible_start \h </w:instrText>
            </w:r>
            <w:r w:rsidRPr="00687A1C">
              <w:fldChar w:fldCharType="separate"/>
            </w:r>
            <w:r w:rsidR="00BE5F15">
              <w:rPr>
                <w:noProof/>
              </w:rPr>
              <w:t>93</w:t>
            </w:r>
            <w:r w:rsidRPr="00687A1C">
              <w:fldChar w:fldCharType="end"/>
            </w:r>
            <w:r w:rsidRPr="00687A1C">
              <w:t>–</w:t>
            </w:r>
            <w:r w:rsidRPr="00687A1C">
              <w:fldChar w:fldCharType="begin"/>
            </w:r>
            <w:r w:rsidRPr="00687A1C">
              <w:instrText xml:space="preserve"> PAGEREF Responsible_end \h </w:instrText>
            </w:r>
            <w:r w:rsidRPr="00687A1C">
              <w:fldChar w:fldCharType="separate"/>
            </w:r>
            <w:r w:rsidR="00BE5F15">
              <w:rPr>
                <w:noProof/>
              </w:rPr>
              <w:t>93</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00E777BE" w:rsidRPr="00687A1C">
              <w:t>103G</w:t>
            </w:r>
          </w:p>
        </w:tc>
        <w:tc>
          <w:tcPr>
            <w:tcW w:w="5760" w:type="dxa"/>
            <w:shd w:val="clear" w:color="auto" w:fill="auto"/>
          </w:tcPr>
          <w:p w:rsidR="00B4092A" w:rsidRPr="00687A1C" w:rsidRDefault="00B4092A" w:rsidP="00B4092A">
            <w:pPr>
              <w:pStyle w:val="Tabletext"/>
            </w:pPr>
            <w:r w:rsidRPr="00687A1C">
              <w:t>Non</w:t>
            </w:r>
            <w:r w:rsidRPr="00687A1C">
              <w:noBreakHyphen/>
              <w:t xml:space="preserve">financial physical assets </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Non_financial_physical_assets_start \h </w:instrText>
            </w:r>
            <w:r w:rsidRPr="00687A1C">
              <w:fldChar w:fldCharType="separate"/>
            </w:r>
            <w:r w:rsidR="00BE5F15">
              <w:rPr>
                <w:noProof/>
              </w:rPr>
              <w:t>68</w:t>
            </w:r>
            <w:r w:rsidRPr="00687A1C">
              <w:fldChar w:fldCharType="end"/>
            </w:r>
            <w:r w:rsidRPr="00687A1C">
              <w:t>–</w:t>
            </w:r>
            <w:r w:rsidRPr="00687A1C">
              <w:fldChar w:fldCharType="begin"/>
            </w:r>
            <w:r w:rsidRPr="00687A1C">
              <w:instrText xml:space="preserve"> PAGEREF Non_financial_physical_assets_end \h </w:instrText>
            </w:r>
            <w:r w:rsidRPr="00687A1C">
              <w:fldChar w:fldCharType="separate"/>
            </w:r>
            <w:r w:rsidR="00BE5F15">
              <w:rPr>
                <w:noProof/>
              </w:rPr>
              <w:t>71</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 xml:space="preserve">110A </w:t>
            </w:r>
          </w:p>
        </w:tc>
        <w:tc>
          <w:tcPr>
            <w:tcW w:w="5760" w:type="dxa"/>
            <w:shd w:val="clear" w:color="auto" w:fill="auto"/>
          </w:tcPr>
          <w:p w:rsidR="00B4092A" w:rsidRPr="00687A1C" w:rsidRDefault="00B4092A" w:rsidP="00B4092A">
            <w:pPr>
              <w:pStyle w:val="Tabletext"/>
            </w:pPr>
            <w:r w:rsidRPr="00687A1C">
              <w:t>Cash flow statement</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CashflowStatement \h </w:instrText>
            </w:r>
            <w:r w:rsidRPr="00687A1C">
              <w:fldChar w:fldCharType="separate"/>
            </w:r>
            <w:r w:rsidR="00BE5F15">
              <w:rPr>
                <w:noProof/>
              </w:rPr>
              <w:t>45</w:t>
            </w:r>
            <w:r w:rsidRPr="00687A1C">
              <w:fldChar w:fldCharType="end"/>
            </w:r>
          </w:p>
        </w:tc>
      </w:tr>
      <w:tr w:rsidR="00B4092A" w:rsidRPr="00687A1C" w:rsidTr="00E763C8">
        <w:tc>
          <w:tcPr>
            <w:tcW w:w="1458" w:type="dxa"/>
            <w:shd w:val="clear" w:color="auto" w:fill="auto"/>
          </w:tcPr>
          <w:p w:rsidR="00B4092A" w:rsidRPr="00687A1C" w:rsidRDefault="00B4092A" w:rsidP="00B4092A">
            <w:pPr>
              <w:pStyle w:val="Tabletext"/>
            </w:pPr>
            <w:r w:rsidRPr="00687A1C">
              <w:t>FRD</w:t>
            </w:r>
            <w:r w:rsidRPr="00687A1C">
              <w:rPr>
                <w:rFonts w:ascii="VIC" w:hAnsi="VIC"/>
              </w:rPr>
              <w:t xml:space="preserve"> </w:t>
            </w:r>
            <w:r w:rsidRPr="00687A1C">
              <w:t>112D</w:t>
            </w:r>
          </w:p>
        </w:tc>
        <w:tc>
          <w:tcPr>
            <w:tcW w:w="5760" w:type="dxa"/>
            <w:shd w:val="clear" w:color="auto" w:fill="auto"/>
          </w:tcPr>
          <w:p w:rsidR="00B4092A" w:rsidRPr="00687A1C" w:rsidRDefault="00B4092A" w:rsidP="00B4092A">
            <w:pPr>
              <w:pStyle w:val="Tabletext"/>
            </w:pPr>
            <w:r w:rsidRPr="00687A1C">
              <w:t>Defined benefit superannuation obligations</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_Ref492632626 \h </w:instrText>
            </w:r>
            <w:r w:rsidRPr="00687A1C">
              <w:fldChar w:fldCharType="separate"/>
            </w:r>
            <w:r w:rsidR="00BE5F15">
              <w:rPr>
                <w:noProof/>
              </w:rPr>
              <w:t>51</w:t>
            </w:r>
            <w:r w:rsidRPr="00687A1C">
              <w:fldChar w:fldCharType="end"/>
            </w:r>
          </w:p>
        </w:tc>
      </w:tr>
      <w:tr w:rsidR="00B4092A" w:rsidRPr="00687A1C" w:rsidTr="00E763C8">
        <w:tc>
          <w:tcPr>
            <w:tcW w:w="7218" w:type="dxa"/>
            <w:gridSpan w:val="2"/>
            <w:shd w:val="clear" w:color="auto" w:fill="E6E6E6"/>
          </w:tcPr>
          <w:p w:rsidR="00B4092A" w:rsidRPr="00687A1C" w:rsidRDefault="00B4092A" w:rsidP="00B4092A">
            <w:pPr>
              <w:pStyle w:val="Tabletextheadingleft"/>
              <w:rPr>
                <w:rFonts w:cstheme="minorHAnsi"/>
              </w:rPr>
            </w:pPr>
            <w:r w:rsidRPr="00687A1C">
              <w:rPr>
                <w:rFonts w:cstheme="minorHAnsi"/>
              </w:rPr>
              <w:t>Legislation</w:t>
            </w:r>
          </w:p>
        </w:tc>
        <w:tc>
          <w:tcPr>
            <w:tcW w:w="1170" w:type="dxa"/>
            <w:shd w:val="clear" w:color="auto" w:fill="E6E6E6"/>
          </w:tcPr>
          <w:p w:rsidR="00B4092A" w:rsidRPr="00687A1C" w:rsidRDefault="00B4092A" w:rsidP="00B4092A">
            <w:pPr>
              <w:pStyle w:val="Tabletext"/>
            </w:pPr>
            <w:r w:rsidRPr="00687A1C">
              <w:rPr>
                <w:rFonts w:cstheme="minorHAnsi"/>
                <w:b/>
              </w:rPr>
              <w:t>Page reference</w:t>
            </w:r>
          </w:p>
        </w:tc>
      </w:tr>
      <w:tr w:rsidR="00B4092A" w:rsidRPr="00687A1C" w:rsidTr="00E763C8">
        <w:tc>
          <w:tcPr>
            <w:tcW w:w="7218" w:type="dxa"/>
            <w:gridSpan w:val="2"/>
            <w:shd w:val="clear" w:color="auto" w:fill="auto"/>
          </w:tcPr>
          <w:p w:rsidR="00B4092A" w:rsidRPr="00687A1C" w:rsidRDefault="00B4092A" w:rsidP="00B4092A">
            <w:pPr>
              <w:pStyle w:val="Tabletext"/>
              <w:rPr>
                <w:i/>
              </w:rPr>
            </w:pPr>
            <w:r w:rsidRPr="00687A1C">
              <w:rPr>
                <w:i/>
              </w:rPr>
              <w:t>Freedom of Information Act 1982</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FOI \h </w:instrText>
            </w:r>
            <w:r w:rsidRPr="00687A1C">
              <w:fldChar w:fldCharType="separate"/>
            </w:r>
            <w:r w:rsidR="00BE5F15">
              <w:rPr>
                <w:noProof/>
              </w:rPr>
              <w:t>130</w:t>
            </w:r>
            <w:r w:rsidRPr="00687A1C">
              <w:fldChar w:fldCharType="end"/>
            </w:r>
          </w:p>
        </w:tc>
      </w:tr>
      <w:tr w:rsidR="00B4092A" w:rsidRPr="00687A1C" w:rsidTr="00E763C8">
        <w:tc>
          <w:tcPr>
            <w:tcW w:w="7218" w:type="dxa"/>
            <w:gridSpan w:val="2"/>
            <w:shd w:val="clear" w:color="auto" w:fill="auto"/>
          </w:tcPr>
          <w:p w:rsidR="00B4092A" w:rsidRPr="00687A1C" w:rsidRDefault="00B4092A" w:rsidP="00B4092A">
            <w:pPr>
              <w:pStyle w:val="Tabletext"/>
              <w:rPr>
                <w:i/>
              </w:rPr>
            </w:pPr>
            <w:r w:rsidRPr="00687A1C">
              <w:rPr>
                <w:i/>
              </w:rPr>
              <w:t>Building Act 1993</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BuildingAct \h </w:instrText>
            </w:r>
            <w:r w:rsidRPr="00687A1C">
              <w:fldChar w:fldCharType="separate"/>
            </w:r>
            <w:r w:rsidR="00BE5F15">
              <w:rPr>
                <w:noProof/>
              </w:rPr>
              <w:t>131</w:t>
            </w:r>
            <w:r w:rsidRPr="00687A1C">
              <w:fldChar w:fldCharType="end"/>
            </w:r>
          </w:p>
        </w:tc>
      </w:tr>
      <w:tr w:rsidR="00B4092A" w:rsidRPr="00687A1C" w:rsidTr="00E763C8">
        <w:tc>
          <w:tcPr>
            <w:tcW w:w="7218" w:type="dxa"/>
            <w:gridSpan w:val="2"/>
            <w:shd w:val="clear" w:color="auto" w:fill="auto"/>
          </w:tcPr>
          <w:p w:rsidR="00B4092A" w:rsidRPr="00687A1C" w:rsidRDefault="00B4092A" w:rsidP="00B4092A">
            <w:pPr>
              <w:pStyle w:val="Tabletext"/>
              <w:rPr>
                <w:i/>
              </w:rPr>
            </w:pPr>
            <w:r w:rsidRPr="00687A1C">
              <w:rPr>
                <w:i/>
              </w:rPr>
              <w:t>Protected Disclosure Act 2012</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ProtectedDisclosure \h </w:instrText>
            </w:r>
            <w:r w:rsidRPr="00687A1C">
              <w:fldChar w:fldCharType="separate"/>
            </w:r>
            <w:r w:rsidR="00BE5F15">
              <w:rPr>
                <w:noProof/>
              </w:rPr>
              <w:t>133</w:t>
            </w:r>
            <w:r w:rsidRPr="00687A1C">
              <w:fldChar w:fldCharType="end"/>
            </w:r>
          </w:p>
        </w:tc>
      </w:tr>
      <w:tr w:rsidR="00B4092A" w:rsidRPr="00687A1C" w:rsidTr="00E763C8">
        <w:tc>
          <w:tcPr>
            <w:tcW w:w="7218" w:type="dxa"/>
            <w:gridSpan w:val="2"/>
            <w:shd w:val="clear" w:color="auto" w:fill="auto"/>
          </w:tcPr>
          <w:p w:rsidR="00B4092A" w:rsidRPr="00687A1C" w:rsidRDefault="00B4092A" w:rsidP="00B4092A">
            <w:pPr>
              <w:pStyle w:val="Tabletext"/>
              <w:rPr>
                <w:i/>
              </w:rPr>
            </w:pPr>
            <w:r w:rsidRPr="00687A1C">
              <w:rPr>
                <w:i/>
              </w:rPr>
              <w:t>Carers Recognition Act 2012</w:t>
            </w:r>
          </w:p>
        </w:tc>
        <w:tc>
          <w:tcPr>
            <w:tcW w:w="1170" w:type="dxa"/>
            <w:shd w:val="clear" w:color="auto" w:fill="auto"/>
          </w:tcPr>
          <w:p w:rsidR="00B4092A" w:rsidRPr="00687A1C" w:rsidRDefault="00B4092A" w:rsidP="00B4092A">
            <w:pPr>
              <w:pStyle w:val="Tabletext"/>
            </w:pPr>
            <w:r w:rsidRPr="00687A1C">
              <w:t>n/a</w:t>
            </w:r>
          </w:p>
        </w:tc>
      </w:tr>
      <w:tr w:rsidR="00B4092A" w:rsidRPr="00687A1C" w:rsidTr="00E763C8">
        <w:tc>
          <w:tcPr>
            <w:tcW w:w="7218" w:type="dxa"/>
            <w:gridSpan w:val="2"/>
            <w:shd w:val="clear" w:color="auto" w:fill="auto"/>
          </w:tcPr>
          <w:p w:rsidR="00B4092A" w:rsidRPr="00687A1C" w:rsidRDefault="00B4092A" w:rsidP="00B4092A">
            <w:pPr>
              <w:pStyle w:val="Tabletext"/>
              <w:rPr>
                <w:i/>
              </w:rPr>
            </w:pPr>
            <w:r w:rsidRPr="00687A1C">
              <w:rPr>
                <w:i/>
              </w:rPr>
              <w:t>Victorian Industry Participation Policy Act</w:t>
            </w:r>
            <w:r w:rsidRPr="00687A1C">
              <w:rPr>
                <w:rFonts w:ascii="VIC" w:hAnsi="VIC"/>
                <w:i/>
              </w:rPr>
              <w:t xml:space="preserve"> </w:t>
            </w:r>
            <w:r w:rsidRPr="00687A1C">
              <w:rPr>
                <w:i/>
              </w:rPr>
              <w:t>2003</w:t>
            </w:r>
          </w:p>
        </w:tc>
        <w:tc>
          <w:tcPr>
            <w:tcW w:w="1170" w:type="dxa"/>
            <w:shd w:val="clear" w:color="auto" w:fill="auto"/>
          </w:tcPr>
          <w:p w:rsidR="00B4092A" w:rsidRPr="00687A1C" w:rsidRDefault="00B4092A" w:rsidP="00B4092A">
            <w:pPr>
              <w:pStyle w:val="Tabletext"/>
            </w:pPr>
            <w:r w:rsidRPr="00687A1C">
              <w:fldChar w:fldCharType="begin"/>
            </w:r>
            <w:r w:rsidRPr="00687A1C">
              <w:instrText xml:space="preserve"> PAGEREF VIPP \h </w:instrText>
            </w:r>
            <w:r w:rsidRPr="00687A1C">
              <w:fldChar w:fldCharType="separate"/>
            </w:r>
            <w:r w:rsidR="00BE5F15">
              <w:rPr>
                <w:noProof/>
              </w:rPr>
              <w:t>127</w:t>
            </w:r>
            <w:r w:rsidRPr="00687A1C">
              <w:fldChar w:fldCharType="end"/>
            </w:r>
          </w:p>
        </w:tc>
      </w:tr>
      <w:tr w:rsidR="00B4092A" w:rsidRPr="00E313AD" w:rsidTr="00E763C8">
        <w:tc>
          <w:tcPr>
            <w:tcW w:w="7218" w:type="dxa"/>
            <w:gridSpan w:val="2"/>
            <w:shd w:val="clear" w:color="auto" w:fill="auto"/>
          </w:tcPr>
          <w:p w:rsidR="00B4092A" w:rsidRPr="00687A1C" w:rsidRDefault="00B4092A" w:rsidP="00B4092A">
            <w:pPr>
              <w:pStyle w:val="Tabletext"/>
              <w:rPr>
                <w:i/>
              </w:rPr>
            </w:pPr>
            <w:r w:rsidRPr="00687A1C">
              <w:rPr>
                <w:i/>
              </w:rPr>
              <w:t>Financial Management Act 1994</w:t>
            </w:r>
          </w:p>
        </w:tc>
        <w:tc>
          <w:tcPr>
            <w:tcW w:w="1170" w:type="dxa"/>
            <w:shd w:val="clear" w:color="auto" w:fill="auto"/>
          </w:tcPr>
          <w:p w:rsidR="00B4092A" w:rsidRPr="00E313AD" w:rsidRDefault="00B4092A" w:rsidP="00B4092A">
            <w:pPr>
              <w:pStyle w:val="Tabletext"/>
            </w:pPr>
            <w:r w:rsidRPr="00687A1C">
              <w:fldChar w:fldCharType="begin"/>
            </w:r>
            <w:r w:rsidRPr="00687A1C">
              <w:instrText xml:space="preserve"> PAGEREF _Ref492631681 \h </w:instrText>
            </w:r>
            <w:r w:rsidRPr="00687A1C">
              <w:fldChar w:fldCharType="separate"/>
            </w:r>
            <w:r w:rsidR="00BE5F15">
              <w:rPr>
                <w:noProof/>
              </w:rPr>
              <w:t>39</w:t>
            </w:r>
            <w:r w:rsidRPr="00687A1C">
              <w:fldChar w:fldCharType="end"/>
            </w:r>
          </w:p>
        </w:tc>
      </w:tr>
    </w:tbl>
    <w:p w:rsidR="00920E60" w:rsidRDefault="00920E60" w:rsidP="000E6158">
      <w:pPr>
        <w:sectPr w:rsidR="00920E60" w:rsidSect="006B5CD2">
          <w:pgSz w:w="11909" w:h="16834" w:code="9"/>
          <w:pgMar w:top="1728" w:right="1152" w:bottom="1267" w:left="1152" w:header="720" w:footer="288" w:gutter="0"/>
          <w:cols w:space="720"/>
          <w:noEndnote/>
        </w:sectPr>
      </w:pPr>
    </w:p>
    <w:p w:rsidR="00920E60" w:rsidRDefault="00920E60" w:rsidP="00920E60">
      <w:pPr>
        <w:ind w:right="5375"/>
      </w:pPr>
      <w:r>
        <w:lastRenderedPageBreak/>
        <w:t>If you would like to receive this publication in an accessible format please telephone 03 9651 1600 or email information@dtf.vic.gov.au</w:t>
      </w:r>
    </w:p>
    <w:p w:rsidR="000E6158" w:rsidRDefault="00920E60" w:rsidP="00920E60">
      <w:pPr>
        <w:ind w:right="5375"/>
      </w:pPr>
      <w:r>
        <w:t>This document is also available in Word and pdf format at dtf.vic.gov.au</w:t>
      </w:r>
    </w:p>
    <w:p w:rsidR="00920E60" w:rsidRDefault="00920E60">
      <w:pPr>
        <w:spacing w:before="0" w:after="0"/>
      </w:pPr>
      <w:r>
        <w:br w:type="page"/>
      </w:r>
    </w:p>
    <w:p w:rsidR="00920E60" w:rsidRPr="00E313AD" w:rsidRDefault="00920E60" w:rsidP="000E6158">
      <w:r w:rsidRPr="00920E60">
        <w:rPr>
          <w:noProof/>
        </w:rPr>
        <w:lastRenderedPageBreak/>
        <w:drawing>
          <wp:inline distT="0" distB="0" distL="0" distR="0" wp14:anchorId="5403156F" wp14:editId="40DCCD3C">
            <wp:extent cx="5953956" cy="8716591"/>
            <wp:effectExtent l="0" t="0" r="8890" b="8890"/>
            <wp:docPr id="546" name="Picture 54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5953956" cy="8716591"/>
                    </a:xfrm>
                    <a:prstGeom prst="rect">
                      <a:avLst/>
                    </a:prstGeom>
                  </pic:spPr>
                </pic:pic>
              </a:graphicData>
            </a:graphic>
          </wp:inline>
        </w:drawing>
      </w:r>
    </w:p>
    <w:sectPr w:rsidR="00920E60" w:rsidRPr="00E313AD" w:rsidSect="006B5CD2">
      <w:footerReference w:type="even" r:id="rId142"/>
      <w:footerReference w:type="default" r:id="rId143"/>
      <w:pgSz w:w="11909" w:h="16834" w:code="9"/>
      <w:pgMar w:top="1728" w:right="1152" w:bottom="1267" w:left="1152"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F2" w:rsidRDefault="00EC50F2" w:rsidP="00035D40">
      <w:r>
        <w:separator/>
      </w:r>
    </w:p>
    <w:p w:rsidR="00EC50F2" w:rsidRDefault="00EC50F2"/>
    <w:p w:rsidR="00EC50F2" w:rsidRDefault="00EC50F2"/>
    <w:p w:rsidR="00EC50F2" w:rsidRDefault="00EC50F2"/>
    <w:p w:rsidR="00EC50F2" w:rsidRDefault="00EC50F2"/>
  </w:endnote>
  <w:endnote w:type="continuationSeparator" w:id="0">
    <w:p w:rsidR="00EC50F2" w:rsidRDefault="00EC50F2" w:rsidP="00035D40">
      <w:r>
        <w:continuationSeparator/>
      </w:r>
    </w:p>
    <w:p w:rsidR="00EC50F2" w:rsidRDefault="00EC50F2"/>
    <w:p w:rsidR="00EC50F2" w:rsidRDefault="00EC50F2"/>
    <w:p w:rsidR="00EC50F2" w:rsidRDefault="00EC50F2"/>
    <w:p w:rsidR="00EC50F2" w:rsidRDefault="00EC5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AGaramondPro-Regular">
    <w:altName w:val="Arial Unicode M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2" w:type="pct"/>
      <w:tblLayout w:type="fixed"/>
      <w:tblCellMar>
        <w:left w:w="57" w:type="dxa"/>
        <w:right w:w="57" w:type="dxa"/>
      </w:tblCellMar>
      <w:tblLook w:val="0600" w:firstRow="0" w:lastRow="0" w:firstColumn="0" w:lastColumn="0" w:noHBand="1" w:noVBand="1"/>
    </w:tblPr>
    <w:tblGrid>
      <w:gridCol w:w="9333"/>
      <w:gridCol w:w="818"/>
    </w:tblGrid>
    <w:tr w:rsidR="00EC50F2" w:rsidTr="00D16853">
      <w:trPr>
        <w:cantSplit/>
      </w:trPr>
      <w:tc>
        <w:tcPr>
          <w:tcW w:w="9332" w:type="dxa"/>
        </w:tcPr>
        <w:p w:rsidR="00EC50F2" w:rsidRPr="009265C5" w:rsidRDefault="00EC50F2" w:rsidP="00325C78">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AC5156" w:rsidRDefault="00EC50F2" w:rsidP="00F610CA">
          <w:pPr>
            <w:pStyle w:val="Footer"/>
            <w:rPr>
              <w:rStyle w:val="PageNumber"/>
            </w:rPr>
          </w:pPr>
          <w:r w:rsidRPr="00AC5156">
            <w:rPr>
              <w:rStyle w:val="PageNumber"/>
            </w:rPr>
            <w:fldChar w:fldCharType="begin"/>
          </w:r>
          <w:r w:rsidRPr="00AC5156">
            <w:rPr>
              <w:rStyle w:val="PageNumber"/>
            </w:rPr>
            <w:instrText xml:space="preserve"> Page </w:instrText>
          </w:r>
          <w:r w:rsidRPr="00AC5156">
            <w:rPr>
              <w:rStyle w:val="PageNumber"/>
            </w:rPr>
            <w:fldChar w:fldCharType="separate"/>
          </w:r>
          <w:r>
            <w:rPr>
              <w:rStyle w:val="PageNumber"/>
              <w:noProof/>
            </w:rPr>
            <w:t>i</w:t>
          </w:r>
          <w:r w:rsidRPr="00AC5156">
            <w:rPr>
              <w:rStyle w:val="PageNumber"/>
            </w:rPr>
            <w:fldChar w:fldCharType="end"/>
          </w:r>
        </w:p>
      </w:tc>
    </w:tr>
  </w:tbl>
  <w:p w:rsidR="00EC50F2" w:rsidRDefault="00EC50F2" w:rsidP="00F610CA">
    <w:pPr>
      <w:pStyle w:val="Spac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rsidP="00F610CA">
    <w:pPr>
      <w:pStyle w:val="Spac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824215" w:rsidRDefault="00EC50F2" w:rsidP="0082421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607ED6">
      <w:trPr>
        <w:cantSplit/>
      </w:trPr>
      <w:tc>
        <w:tcPr>
          <w:tcW w:w="800" w:type="dxa"/>
        </w:tcPr>
        <w:p w:rsidR="00EC50F2" w:rsidRDefault="00EC50F2" w:rsidP="00607ED6">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60</w:t>
          </w:r>
          <w:r w:rsidRPr="0018749C">
            <w:rPr>
              <w:rStyle w:val="PageNumber"/>
            </w:rPr>
            <w:fldChar w:fldCharType="end"/>
          </w:r>
        </w:p>
      </w:tc>
      <w:tc>
        <w:tcPr>
          <w:tcW w:w="8918" w:type="dxa"/>
          <w:shd w:val="clear" w:color="auto" w:fill="auto"/>
        </w:tcPr>
        <w:p w:rsidR="00EC50F2" w:rsidRDefault="00EC50F2" w:rsidP="00B619A9">
          <w:pPr>
            <w:pStyle w:val="FooterEven"/>
          </w:pPr>
          <w:r w:rsidRPr="001B4BD5">
            <w:t>Department of Treasury and Finance</w:t>
          </w:r>
          <w:r w:rsidRPr="001B4BD5">
            <w:br/>
          </w:r>
          <w:r w:rsidRPr="00734B39">
            <w:t>Annual</w:t>
          </w:r>
          <w:r>
            <w:t xml:space="preserve"> Report 2017 | 18</w:t>
          </w:r>
        </w:p>
      </w:tc>
    </w:tr>
  </w:tbl>
  <w:p w:rsidR="00EC50F2" w:rsidRDefault="00EC50F2" w:rsidP="00B8418B">
    <w:pPr>
      <w:pStyle w:val="Spac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B619A9">
          <w:pPr>
            <w:pStyle w:val="Footer"/>
          </w:pPr>
          <w:r w:rsidRPr="001B4BD5">
            <w:t>Department of Treasury and Finance</w:t>
          </w:r>
          <w:r w:rsidRPr="001B4BD5">
            <w:br/>
          </w:r>
          <w:r w:rsidRPr="00734B39">
            <w:t>Annual</w:t>
          </w:r>
          <w:r>
            <w:t xml:space="preserve"> Report 2017 | </w:t>
          </w:r>
          <w:r w:rsidRPr="001B4BD5">
            <w:t>1</w:t>
          </w:r>
          <w:r>
            <w:t>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59</w:t>
          </w:r>
          <w:r w:rsidRPr="00734B39">
            <w:rPr>
              <w:rStyle w:val="PageNumber"/>
            </w:rPr>
            <w:fldChar w:fldCharType="end"/>
          </w:r>
        </w:p>
      </w:tc>
    </w:tr>
  </w:tbl>
  <w:p w:rsidR="00EC50F2" w:rsidRDefault="00EC50F2" w:rsidP="00F610CA">
    <w:pPr>
      <w:pStyle w:val="Spac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607ED6">
      <w:trPr>
        <w:cantSplit/>
      </w:trPr>
      <w:tc>
        <w:tcPr>
          <w:tcW w:w="800" w:type="dxa"/>
        </w:tcPr>
        <w:p w:rsidR="00EC50F2" w:rsidRDefault="00EC50F2" w:rsidP="00607ED6">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70</w:t>
          </w:r>
          <w:r w:rsidRPr="0018749C">
            <w:rPr>
              <w:rStyle w:val="PageNumber"/>
            </w:rPr>
            <w:fldChar w:fldCharType="end"/>
          </w:r>
        </w:p>
      </w:tc>
      <w:tc>
        <w:tcPr>
          <w:tcW w:w="8918" w:type="dxa"/>
          <w:shd w:val="clear" w:color="auto" w:fill="auto"/>
        </w:tcPr>
        <w:p w:rsidR="00EC50F2" w:rsidRDefault="00EC50F2" w:rsidP="00607ED6">
          <w:pPr>
            <w:pStyle w:val="FooterEven"/>
          </w:pPr>
          <w:r w:rsidRPr="001B4BD5">
            <w:t>Department of Treasury and Finance</w:t>
          </w:r>
          <w:r w:rsidRPr="001B4BD5">
            <w:br/>
          </w:r>
          <w:r w:rsidRPr="00734B39">
            <w:t>Annual</w:t>
          </w:r>
          <w:r>
            <w:t xml:space="preserve"> Report 2017 | 18</w:t>
          </w:r>
        </w:p>
      </w:tc>
    </w:tr>
  </w:tbl>
  <w:p w:rsidR="00EC50F2" w:rsidRDefault="00EC50F2" w:rsidP="00B8418B">
    <w:pPr>
      <w:pStyle w:val="Spac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E42017">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69</w:t>
          </w:r>
          <w:r w:rsidRPr="00734B39">
            <w:rPr>
              <w:rStyle w:val="PageNumber"/>
            </w:rPr>
            <w:fldChar w:fldCharType="end"/>
          </w:r>
        </w:p>
      </w:tc>
    </w:tr>
  </w:tbl>
  <w:p w:rsidR="00EC50F2" w:rsidRDefault="00EC50F2" w:rsidP="00F610CA">
    <w:pPr>
      <w:pStyle w:val="Spac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412A95" w:rsidRDefault="00EC50F2" w:rsidP="00412A9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rsidP="00F610CA">
    <w:pPr>
      <w:pStyle w:val="Spac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21386B">
      <w:trPr>
        <w:cantSplit/>
      </w:trPr>
      <w:tc>
        <w:tcPr>
          <w:tcW w:w="800" w:type="dxa"/>
        </w:tcPr>
        <w:p w:rsidR="00EC50F2" w:rsidRDefault="00EC50F2" w:rsidP="0021386B">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80</w:t>
          </w:r>
          <w:r w:rsidRPr="0018749C">
            <w:rPr>
              <w:rStyle w:val="PageNumber"/>
            </w:rPr>
            <w:fldChar w:fldCharType="end"/>
          </w:r>
        </w:p>
      </w:tc>
      <w:tc>
        <w:tcPr>
          <w:tcW w:w="8918" w:type="dxa"/>
          <w:shd w:val="clear" w:color="auto" w:fill="auto"/>
        </w:tcPr>
        <w:p w:rsidR="00EC50F2" w:rsidRDefault="00EC50F2" w:rsidP="00B619A9">
          <w:pPr>
            <w:pStyle w:val="FooterEven"/>
          </w:pPr>
          <w:r w:rsidRPr="001B4BD5">
            <w:t>Department of Treasury and Finance</w:t>
          </w:r>
          <w:r w:rsidRPr="001B4BD5">
            <w:br/>
          </w:r>
          <w:r w:rsidRPr="00734B39">
            <w:t>Annual</w:t>
          </w:r>
          <w:r>
            <w:t xml:space="preserve"> Report 2017 | 18</w:t>
          </w:r>
        </w:p>
      </w:tc>
    </w:tr>
  </w:tbl>
  <w:p w:rsidR="00EC50F2" w:rsidRDefault="00EC50F2" w:rsidP="0075052E">
    <w:pPr>
      <w:pStyle w:val="Spac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21386B">
      <w:trPr>
        <w:cantSplit/>
      </w:trPr>
      <w:tc>
        <w:tcPr>
          <w:tcW w:w="9327" w:type="dxa"/>
          <w:shd w:val="clear" w:color="auto" w:fill="auto"/>
        </w:tcPr>
        <w:p w:rsidR="00EC50F2" w:rsidRPr="001B4BD5" w:rsidRDefault="00EC50F2" w:rsidP="00B619A9">
          <w:pPr>
            <w:pStyle w:val="Footer"/>
          </w:pPr>
          <w:r w:rsidRPr="001B4BD5">
            <w:t>Department of Treasury and Finance</w:t>
          </w:r>
          <w:r w:rsidRPr="001B4BD5">
            <w:br/>
          </w:r>
          <w:r w:rsidRPr="00734B39">
            <w:t>Annual</w:t>
          </w:r>
          <w:r>
            <w:t xml:space="preserve"> Report 2017 | </w:t>
          </w:r>
          <w:r w:rsidRPr="001B4BD5">
            <w:t>1</w:t>
          </w:r>
          <w:r>
            <w:t>8</w:t>
          </w:r>
        </w:p>
      </w:tc>
      <w:tc>
        <w:tcPr>
          <w:tcW w:w="818" w:type="dxa"/>
          <w:shd w:val="clear" w:color="auto" w:fill="auto"/>
        </w:tcPr>
        <w:p w:rsidR="00EC50F2" w:rsidRPr="00734B39" w:rsidRDefault="00EC50F2" w:rsidP="0021386B">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81</w:t>
          </w:r>
          <w:r w:rsidRPr="00734B39">
            <w:rPr>
              <w:rStyle w:val="PageNumber"/>
            </w:rPr>
            <w:fldChar w:fldCharType="end"/>
          </w:r>
        </w:p>
      </w:tc>
    </w:tr>
  </w:tbl>
  <w:p w:rsidR="00EC50F2" w:rsidRDefault="00EC50F2" w:rsidP="0075052E">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F610CA">
      <w:trPr>
        <w:cantSplit/>
      </w:trPr>
      <w:tc>
        <w:tcPr>
          <w:tcW w:w="800" w:type="dxa"/>
        </w:tcPr>
        <w:p w:rsidR="00EC50F2" w:rsidRDefault="00EC50F2" w:rsidP="00F610CA">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2</w:t>
          </w:r>
          <w:r w:rsidRPr="0018749C">
            <w:rPr>
              <w:rStyle w:val="PageNumber"/>
            </w:rPr>
            <w:fldChar w:fldCharType="end"/>
          </w:r>
        </w:p>
      </w:tc>
      <w:tc>
        <w:tcPr>
          <w:tcW w:w="8918" w:type="dxa"/>
          <w:shd w:val="clear" w:color="auto" w:fill="auto"/>
        </w:tcPr>
        <w:p w:rsidR="00EC50F2" w:rsidRDefault="00EC50F2" w:rsidP="00D16853">
          <w:pPr>
            <w:pStyle w:val="FooterEven"/>
          </w:pPr>
          <w:r w:rsidRPr="009265C5">
            <w:t>Department of Treasur</w:t>
          </w:r>
          <w:r>
            <w:t>y and Finance</w:t>
          </w:r>
          <w:r>
            <w:br/>
          </w:r>
          <w:r>
            <w:fldChar w:fldCharType="begin"/>
          </w:r>
          <w:r>
            <w:instrText xml:space="preserve"> StyleRef “ARTitle” </w:instrText>
          </w:r>
          <w:r>
            <w:fldChar w:fldCharType="separate"/>
          </w:r>
          <w:r w:rsidR="00BE5F15">
            <w:rPr>
              <w:b/>
              <w:bCs/>
              <w:noProof/>
              <w:lang w:val="en-US"/>
            </w:rPr>
            <w:t>Error! Use the Home tab to apply ARTitle to the text that you want to appear here.</w:t>
          </w:r>
          <w:r>
            <w:rPr>
              <w:noProof/>
            </w:rPr>
            <w:fldChar w:fldCharType="end"/>
          </w:r>
        </w:p>
      </w:tc>
    </w:tr>
  </w:tbl>
  <w:p w:rsidR="00EC50F2" w:rsidRDefault="00EC50F2" w:rsidP="00F610CA">
    <w:pPr>
      <w:pStyle w:val="Spac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rsidP="00F610CA">
    <w:pPr>
      <w:pStyle w:val="Spac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824215" w:rsidRDefault="00EC50F2" w:rsidP="0082421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607ED6">
      <w:trPr>
        <w:cantSplit/>
      </w:trPr>
      <w:tc>
        <w:tcPr>
          <w:tcW w:w="800" w:type="dxa"/>
        </w:tcPr>
        <w:p w:rsidR="00EC50F2" w:rsidRDefault="00EC50F2" w:rsidP="00607ED6">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98</w:t>
          </w:r>
          <w:r w:rsidRPr="0018749C">
            <w:rPr>
              <w:rStyle w:val="PageNumber"/>
            </w:rPr>
            <w:fldChar w:fldCharType="end"/>
          </w:r>
        </w:p>
      </w:tc>
      <w:tc>
        <w:tcPr>
          <w:tcW w:w="8918" w:type="dxa"/>
          <w:shd w:val="clear" w:color="auto" w:fill="auto"/>
        </w:tcPr>
        <w:p w:rsidR="00EC50F2" w:rsidRDefault="00EC50F2" w:rsidP="00607ED6">
          <w:pPr>
            <w:pStyle w:val="FooterEven"/>
          </w:pPr>
          <w:r w:rsidRPr="001B4BD5">
            <w:t>Department of Treasury and Finance</w:t>
          </w:r>
          <w:r w:rsidRPr="001B4BD5">
            <w:br/>
          </w:r>
          <w:r w:rsidRPr="00734B39">
            <w:t>Annual</w:t>
          </w:r>
          <w:r>
            <w:t xml:space="preserve"> Report 2017 | 18</w:t>
          </w:r>
        </w:p>
      </w:tc>
    </w:tr>
  </w:tbl>
  <w:p w:rsidR="00EC50F2" w:rsidRDefault="00EC50F2" w:rsidP="00B8418B">
    <w:pPr>
      <w:pStyle w:val="Spac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151F32">
      <w:trPr>
        <w:cantSplit/>
      </w:trPr>
      <w:tc>
        <w:tcPr>
          <w:tcW w:w="9327" w:type="dxa"/>
          <w:shd w:val="clear" w:color="auto" w:fill="auto"/>
        </w:tcPr>
        <w:p w:rsidR="00EC50F2" w:rsidRPr="001B4BD5" w:rsidRDefault="00EC50F2" w:rsidP="00151F32">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151F32">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99</w:t>
          </w:r>
          <w:r w:rsidRPr="00734B39">
            <w:rPr>
              <w:rStyle w:val="PageNumber"/>
            </w:rPr>
            <w:fldChar w:fldCharType="end"/>
          </w:r>
        </w:p>
      </w:tc>
    </w:tr>
  </w:tbl>
  <w:p w:rsidR="00EC50F2" w:rsidRDefault="00EC50F2" w:rsidP="004F6CE6">
    <w:pPr>
      <w:pStyle w:val="Spac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F610CA">
      <w:trPr>
        <w:cantSplit/>
      </w:trPr>
      <w:tc>
        <w:tcPr>
          <w:tcW w:w="800" w:type="dxa"/>
        </w:tcPr>
        <w:p w:rsidR="00EC50F2" w:rsidRDefault="00EC50F2" w:rsidP="00F610CA">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100</w:t>
          </w:r>
          <w:r w:rsidRPr="0018749C">
            <w:rPr>
              <w:rStyle w:val="PageNumber"/>
            </w:rPr>
            <w:fldChar w:fldCharType="end"/>
          </w:r>
        </w:p>
      </w:tc>
      <w:tc>
        <w:tcPr>
          <w:tcW w:w="8918" w:type="dxa"/>
          <w:shd w:val="clear" w:color="auto" w:fill="auto"/>
        </w:tcPr>
        <w:p w:rsidR="00EC50F2" w:rsidRDefault="00EC50F2" w:rsidP="00325C78">
          <w:pPr>
            <w:pStyle w:val="FooterEven"/>
          </w:pPr>
          <w:r w:rsidRPr="001B4BD5">
            <w:t>Department of Treasury and Finance</w:t>
          </w:r>
          <w:r w:rsidRPr="001B4BD5">
            <w:br/>
          </w:r>
          <w:r w:rsidRPr="00734B39">
            <w:t>Annual</w:t>
          </w:r>
          <w:r>
            <w:t xml:space="preserve"> Report 2017 | 18</w:t>
          </w:r>
        </w:p>
      </w:tc>
    </w:tr>
  </w:tbl>
  <w:p w:rsidR="00EC50F2" w:rsidRDefault="00EC50F2" w:rsidP="00F610CA">
    <w:pPr>
      <w:pStyle w:val="Spac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325C78">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103</w:t>
          </w:r>
          <w:r w:rsidRPr="00734B39">
            <w:rPr>
              <w:rStyle w:val="PageNumber"/>
            </w:rPr>
            <w:fldChar w:fldCharType="end"/>
          </w:r>
        </w:p>
      </w:tc>
    </w:tr>
  </w:tbl>
  <w:p w:rsidR="00EC50F2" w:rsidRDefault="00EC50F2" w:rsidP="00F610CA">
    <w:pPr>
      <w:pStyle w:val="Spac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rsidP="00F610CA">
    <w:pPr>
      <w:pStyle w:val="Spac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572502">
    <w:pPr>
      <w:pStyle w:val="Footer"/>
    </w:pPr>
    <w:r>
      <w:rPr>
        <w:noProof/>
      </w:rPr>
      <mc:AlternateContent>
        <mc:Choice Requires="wps">
          <w:drawing>
            <wp:anchor distT="0" distB="0" distL="114300" distR="114300" simplePos="0" relativeHeight="251672576" behindDoc="0" locked="0" layoutInCell="0" allowOverlap="0" wp14:anchorId="08C82266" wp14:editId="00DC6572">
              <wp:simplePos x="0" y="0"/>
              <wp:positionH relativeFrom="page">
                <wp:posOffset>-1718945</wp:posOffset>
              </wp:positionH>
              <wp:positionV relativeFrom="page">
                <wp:posOffset>4681855</wp:posOffset>
              </wp:positionV>
              <wp:extent cx="4407408" cy="521208"/>
              <wp:effectExtent l="0" t="0" r="0" b="0"/>
              <wp:wrapNone/>
              <wp:docPr id="550" name="Text Box 550"/>
              <wp:cNvGraphicFramePr/>
              <a:graphic xmlns:a="http://schemas.openxmlformats.org/drawingml/2006/main">
                <a:graphicData uri="http://schemas.microsoft.com/office/word/2010/wordprocessingShape">
                  <wps:wsp>
                    <wps:cNvSpPr txBox="1"/>
                    <wps:spPr>
                      <a:xfrm rot="5400000">
                        <a:off x="0" y="0"/>
                        <a:ext cx="4407408" cy="521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325C78">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105</w:t>
                                </w:r>
                                <w:r w:rsidRPr="0018749C">
                                  <w:rPr>
                                    <w:rStyle w:val="PageNumber"/>
                                  </w:rPr>
                                  <w:fldChar w:fldCharType="end"/>
                                </w:r>
                              </w:p>
                            </w:tc>
                          </w:tr>
                        </w:tbl>
                        <w:p w:rsidR="00EC50F2" w:rsidRDefault="00EC50F2" w:rsidP="004F6CE6"/>
                        <w:p w:rsidR="00EC50F2" w:rsidRDefault="00EC50F2" w:rsidP="004F6CE6"/>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105</w:t>
                                </w:r>
                                <w:r w:rsidRPr="0018749C">
                                  <w:rPr>
                                    <w:rStyle w:val="PageNumber"/>
                                  </w:rPr>
                                  <w:fldChar w:fldCharType="end"/>
                                </w:r>
                              </w:p>
                            </w:tc>
                          </w:tr>
                        </w:tbl>
                        <w:p w:rsidR="00EC50F2" w:rsidRDefault="00EC50F2" w:rsidP="004F6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82266" id="_x0000_t202" coordsize="21600,21600" o:spt="202" path="m,l,21600r21600,l21600,xe">
              <v:stroke joinstyle="miter"/>
              <v:path gradientshapeok="t" o:connecttype="rect"/>
            </v:shapetype>
            <v:shape id="Text Box 550" o:spid="_x0000_s1039" type="#_x0000_t202" style="position:absolute;left:0;text-align:left;margin-left:-135.35pt;margin-top:368.65pt;width:347.05pt;height:41.0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" o:allowincell="f" o:allowoverlap="f" filled="f" stroked="f" strokeweight=".5pt">
              <v:textbo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325C78">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105</w:t>
                          </w:r>
                          <w:r w:rsidRPr="0018749C">
                            <w:rPr>
                              <w:rStyle w:val="PageNumber"/>
                            </w:rPr>
                            <w:fldChar w:fldCharType="end"/>
                          </w:r>
                        </w:p>
                      </w:tc>
                    </w:tr>
                  </w:tbl>
                  <w:p w:rsidR="00EC50F2" w:rsidRDefault="00EC50F2" w:rsidP="004F6CE6"/>
                  <w:p w:rsidR="00EC50F2" w:rsidRDefault="00EC50F2" w:rsidP="004F6CE6"/>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105</w:t>
                          </w:r>
                          <w:r w:rsidRPr="0018749C">
                            <w:rPr>
                              <w:rStyle w:val="PageNumber"/>
                            </w:rPr>
                            <w:fldChar w:fldCharType="end"/>
                          </w:r>
                        </w:p>
                      </w:tc>
                    </w:tr>
                  </w:tbl>
                  <w:p w:rsidR="00EC50F2" w:rsidRDefault="00EC50F2" w:rsidP="004F6CE6"/>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21241E">
      <w:trPr>
        <w:cantSplit/>
      </w:trPr>
      <w:tc>
        <w:tcPr>
          <w:tcW w:w="800" w:type="dxa"/>
        </w:tcPr>
        <w:p w:rsidR="00EC50F2" w:rsidRDefault="00EC50F2" w:rsidP="0021241E">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106</w:t>
          </w:r>
          <w:r w:rsidRPr="0018749C">
            <w:rPr>
              <w:rStyle w:val="PageNumber"/>
            </w:rPr>
            <w:fldChar w:fldCharType="end"/>
          </w:r>
        </w:p>
      </w:tc>
      <w:tc>
        <w:tcPr>
          <w:tcW w:w="8918" w:type="dxa"/>
          <w:shd w:val="clear" w:color="auto" w:fill="auto"/>
        </w:tcPr>
        <w:p w:rsidR="00EC50F2" w:rsidRDefault="00EC50F2" w:rsidP="00325C78">
          <w:pPr>
            <w:pStyle w:val="FooterEven"/>
          </w:pPr>
          <w:r w:rsidRPr="001B4BD5">
            <w:t>Department of Treasury and Finance</w:t>
          </w:r>
          <w:r w:rsidRPr="001B4BD5">
            <w:br/>
          </w:r>
          <w:r w:rsidRPr="00734B39">
            <w:t>Annual</w:t>
          </w:r>
          <w:r>
            <w:t xml:space="preserve"> Report 2017 | 18</w:t>
          </w:r>
        </w:p>
      </w:tc>
    </w:tr>
  </w:tbl>
  <w:p w:rsidR="00EC50F2" w:rsidRDefault="00EC50F2" w:rsidP="005D199C">
    <w:pPr>
      <w:pStyle w:val="Spac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151F32">
      <w:trPr>
        <w:cantSplit/>
      </w:trPr>
      <w:tc>
        <w:tcPr>
          <w:tcW w:w="9327" w:type="dxa"/>
          <w:shd w:val="clear" w:color="auto" w:fill="auto"/>
        </w:tcPr>
        <w:p w:rsidR="00EC50F2" w:rsidRPr="001B4BD5" w:rsidRDefault="00EC50F2" w:rsidP="00151F32">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151F32">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105</w:t>
          </w:r>
          <w:r w:rsidRPr="00734B39">
            <w:rPr>
              <w:rStyle w:val="PageNumber"/>
            </w:rPr>
            <w:fldChar w:fldCharType="end"/>
          </w:r>
        </w:p>
      </w:tc>
    </w:tr>
  </w:tbl>
  <w:p w:rsidR="00EC50F2" w:rsidRDefault="00EC50F2" w:rsidP="004F6CE6">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9265C5" w:rsidRDefault="00EC50F2" w:rsidP="00325C78">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AC5156" w:rsidRDefault="00EC50F2" w:rsidP="00F610CA">
          <w:pPr>
            <w:pStyle w:val="Footer"/>
            <w:rPr>
              <w:rStyle w:val="PageNumber"/>
            </w:rPr>
          </w:pPr>
          <w:r w:rsidRPr="00AC5156">
            <w:rPr>
              <w:rStyle w:val="PageNumber"/>
            </w:rPr>
            <w:fldChar w:fldCharType="begin"/>
          </w:r>
          <w:r w:rsidRPr="00AC5156">
            <w:rPr>
              <w:rStyle w:val="PageNumber"/>
            </w:rPr>
            <w:instrText xml:space="preserve"> Page </w:instrText>
          </w:r>
          <w:r w:rsidRPr="00AC5156">
            <w:rPr>
              <w:rStyle w:val="PageNumber"/>
            </w:rPr>
            <w:fldChar w:fldCharType="separate"/>
          </w:r>
          <w:r>
            <w:rPr>
              <w:rStyle w:val="PageNumber"/>
              <w:noProof/>
            </w:rPr>
            <w:t>1</w:t>
          </w:r>
          <w:r w:rsidRPr="00AC5156">
            <w:rPr>
              <w:rStyle w:val="PageNumber"/>
            </w:rPr>
            <w:fldChar w:fldCharType="end"/>
          </w:r>
        </w:p>
      </w:tc>
    </w:tr>
  </w:tbl>
  <w:p w:rsidR="00EC50F2" w:rsidRDefault="00EC50F2" w:rsidP="00F610CA">
    <w:pPr>
      <w:pStyle w:val="Spac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4F6CE6" w:rsidRDefault="00EC50F2" w:rsidP="004F6CE6">
    <w:pPr>
      <w:pStyle w:val="Footer"/>
    </w:pPr>
    <w:r>
      <w:rPr>
        <w:noProof/>
      </w:rPr>
      <mc:AlternateContent>
        <mc:Choice Requires="wps">
          <w:drawing>
            <wp:anchor distT="0" distB="0" distL="114300" distR="114300" simplePos="0" relativeHeight="251663360" behindDoc="0" locked="0" layoutInCell="1" allowOverlap="1" wp14:anchorId="222C7758" wp14:editId="1EEB35E7">
              <wp:simplePos x="0" y="0"/>
              <wp:positionH relativeFrom="page">
                <wp:posOffset>-1508760</wp:posOffset>
              </wp:positionH>
              <wp:positionV relativeFrom="page">
                <wp:posOffset>2130425</wp:posOffset>
              </wp:positionV>
              <wp:extent cx="3968496" cy="530352"/>
              <wp:effectExtent l="4445" t="0" r="0" b="0"/>
              <wp:wrapNone/>
              <wp:docPr id="548" name="Text Box 548"/>
              <wp:cNvGraphicFramePr/>
              <a:graphic xmlns:a="http://schemas.openxmlformats.org/drawingml/2006/main">
                <a:graphicData uri="http://schemas.microsoft.com/office/word/2010/wordprocessingShape">
                  <wps:wsp>
                    <wps:cNvSpPr txBox="1"/>
                    <wps:spPr>
                      <a:xfrm rot="5400000">
                        <a:off x="0" y="0"/>
                        <a:ext cx="3968496" cy="530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106</w:t>
                                </w:r>
                                <w:r w:rsidRPr="0018749C">
                                  <w:rPr>
                                    <w:rStyle w:val="PageNumber"/>
                                  </w:rPr>
                                  <w:fldChar w:fldCharType="end"/>
                                </w:r>
                              </w:p>
                            </w:tc>
                            <w:tc>
                              <w:tcPr>
                                <w:tcW w:w="5537"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4F6CE6"/>
                        <w:p w:rsidR="00EC50F2" w:rsidRDefault="00EC50F2" w:rsidP="004F6CE6"/>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106</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F6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7758" id="_x0000_t202" coordsize="21600,21600" o:spt="202" path="m,l,21600r21600,l21600,xe">
              <v:stroke joinstyle="miter"/>
              <v:path gradientshapeok="t" o:connecttype="rect"/>
            </v:shapetype>
            <v:shape id="Text Box 548" o:spid="_x0000_s1040" type="#_x0000_t202" style="position:absolute;left:0;text-align:left;margin-left:-118.8pt;margin-top:167.75pt;width:312.5pt;height:41.7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" filled="f" stroked="f" strokeweight=".5pt">
              <v:textbo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106</w:t>
                          </w:r>
                          <w:r w:rsidRPr="0018749C">
                            <w:rPr>
                              <w:rStyle w:val="PageNumber"/>
                            </w:rPr>
                            <w:fldChar w:fldCharType="end"/>
                          </w:r>
                        </w:p>
                      </w:tc>
                      <w:tc>
                        <w:tcPr>
                          <w:tcW w:w="5537"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4F6CE6"/>
                  <w:p w:rsidR="00EC50F2" w:rsidRDefault="00EC50F2" w:rsidP="004F6CE6"/>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106</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F6CE6"/>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572502">
    <w:pPr>
      <w:pStyle w:val="Footer"/>
    </w:pPr>
    <w:r>
      <w:rPr>
        <w:noProof/>
      </w:rPr>
      <mc:AlternateContent>
        <mc:Choice Requires="wps">
          <w:drawing>
            <wp:anchor distT="0" distB="0" distL="114300" distR="114300" simplePos="0" relativeHeight="251669504" behindDoc="0" locked="0" layoutInCell="0" allowOverlap="0" wp14:anchorId="407F901C" wp14:editId="78C8524E">
              <wp:simplePos x="0" y="0"/>
              <wp:positionH relativeFrom="page">
                <wp:posOffset>-1718945</wp:posOffset>
              </wp:positionH>
              <wp:positionV relativeFrom="page">
                <wp:posOffset>4681855</wp:posOffset>
              </wp:positionV>
              <wp:extent cx="4407408" cy="521208"/>
              <wp:effectExtent l="0" t="0" r="0" b="0"/>
              <wp:wrapNone/>
              <wp:docPr id="549" name="Text Box 549"/>
              <wp:cNvGraphicFramePr/>
              <a:graphic xmlns:a="http://schemas.openxmlformats.org/drawingml/2006/main">
                <a:graphicData uri="http://schemas.microsoft.com/office/word/2010/wordprocessingShape">
                  <wps:wsp>
                    <wps:cNvSpPr txBox="1"/>
                    <wps:spPr>
                      <a:xfrm rot="5400000">
                        <a:off x="0" y="0"/>
                        <a:ext cx="4407408" cy="521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325C78">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107</w:t>
                                </w:r>
                                <w:r w:rsidRPr="0018749C">
                                  <w:rPr>
                                    <w:rStyle w:val="PageNumber"/>
                                  </w:rPr>
                                  <w:fldChar w:fldCharType="end"/>
                                </w:r>
                              </w:p>
                            </w:tc>
                          </w:tr>
                        </w:tbl>
                        <w:p w:rsidR="00EC50F2" w:rsidRDefault="00EC50F2" w:rsidP="004F6CE6"/>
                        <w:p w:rsidR="00EC50F2" w:rsidRDefault="00EC50F2" w:rsidP="004F6CE6"/>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107</w:t>
                                </w:r>
                                <w:r w:rsidRPr="0018749C">
                                  <w:rPr>
                                    <w:rStyle w:val="PageNumber"/>
                                  </w:rPr>
                                  <w:fldChar w:fldCharType="end"/>
                                </w:r>
                              </w:p>
                            </w:tc>
                          </w:tr>
                        </w:tbl>
                        <w:p w:rsidR="00EC50F2" w:rsidRDefault="00EC50F2" w:rsidP="004F6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F901C" id="_x0000_t202" coordsize="21600,21600" o:spt="202" path="m,l,21600r21600,l21600,xe">
              <v:stroke joinstyle="miter"/>
              <v:path gradientshapeok="t" o:connecttype="rect"/>
            </v:shapetype>
            <v:shape id="Text Box 549" o:spid="_x0000_s1041" type="#_x0000_t202" style="position:absolute;left:0;text-align:left;margin-left:-135.35pt;margin-top:368.65pt;width:347.05pt;height:41.0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" o:allowincell="f" o:allowoverlap="f" filled="f" stroked="f" strokeweight=".5pt">
              <v:textbo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325C78">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107</w:t>
                          </w:r>
                          <w:r w:rsidRPr="0018749C">
                            <w:rPr>
                              <w:rStyle w:val="PageNumber"/>
                            </w:rPr>
                            <w:fldChar w:fldCharType="end"/>
                          </w:r>
                        </w:p>
                      </w:tc>
                    </w:tr>
                  </w:tbl>
                  <w:p w:rsidR="00EC50F2" w:rsidRDefault="00EC50F2" w:rsidP="004F6CE6"/>
                  <w:p w:rsidR="00EC50F2" w:rsidRDefault="00EC50F2" w:rsidP="004F6CE6"/>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107</w:t>
                          </w:r>
                          <w:r w:rsidRPr="0018749C">
                            <w:rPr>
                              <w:rStyle w:val="PageNumber"/>
                            </w:rPr>
                            <w:fldChar w:fldCharType="end"/>
                          </w:r>
                        </w:p>
                      </w:tc>
                    </w:tr>
                  </w:tbl>
                  <w:p w:rsidR="00EC50F2" w:rsidRDefault="00EC50F2" w:rsidP="004F6CE6"/>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21241E">
      <w:trPr>
        <w:cantSplit/>
      </w:trPr>
      <w:tc>
        <w:tcPr>
          <w:tcW w:w="800" w:type="dxa"/>
        </w:tcPr>
        <w:p w:rsidR="00EC50F2" w:rsidRDefault="00EC50F2" w:rsidP="0021241E">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108</w:t>
          </w:r>
          <w:r w:rsidRPr="0018749C">
            <w:rPr>
              <w:rStyle w:val="PageNumber"/>
            </w:rPr>
            <w:fldChar w:fldCharType="end"/>
          </w:r>
        </w:p>
      </w:tc>
      <w:tc>
        <w:tcPr>
          <w:tcW w:w="8918" w:type="dxa"/>
          <w:shd w:val="clear" w:color="auto" w:fill="auto"/>
        </w:tcPr>
        <w:p w:rsidR="00EC50F2" w:rsidRDefault="00EC50F2" w:rsidP="00325C78">
          <w:pPr>
            <w:pStyle w:val="FooterEven"/>
          </w:pPr>
          <w:r w:rsidRPr="001B4BD5">
            <w:t>Department of Treasury and Finance</w:t>
          </w:r>
          <w:r w:rsidRPr="001B4BD5">
            <w:br/>
          </w:r>
          <w:r w:rsidRPr="00734B39">
            <w:t>Annual</w:t>
          </w:r>
          <w:r>
            <w:t xml:space="preserve"> Report 2017 | 18</w:t>
          </w:r>
        </w:p>
      </w:tc>
    </w:tr>
  </w:tbl>
  <w:p w:rsidR="00EC50F2" w:rsidRDefault="00EC50F2" w:rsidP="005D199C">
    <w:pPr>
      <w:pStyle w:val="Spac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151F32">
      <w:trPr>
        <w:cantSplit/>
      </w:trPr>
      <w:tc>
        <w:tcPr>
          <w:tcW w:w="9327" w:type="dxa"/>
          <w:shd w:val="clear" w:color="auto" w:fill="auto"/>
        </w:tcPr>
        <w:p w:rsidR="00EC50F2" w:rsidRPr="001B4BD5" w:rsidRDefault="00EC50F2" w:rsidP="00151F32">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151F32">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107</w:t>
          </w:r>
          <w:r w:rsidRPr="00734B39">
            <w:rPr>
              <w:rStyle w:val="PageNumber"/>
            </w:rPr>
            <w:fldChar w:fldCharType="end"/>
          </w:r>
        </w:p>
      </w:tc>
    </w:tr>
  </w:tbl>
  <w:p w:rsidR="00EC50F2" w:rsidRDefault="00EC50F2" w:rsidP="004F6CE6">
    <w:pPr>
      <w:pStyle w:val="Spac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6B1AA6">
    <w:pPr>
      <w:pStyle w:val="Footer"/>
    </w:pPr>
    <w:r>
      <w:rPr>
        <w:noProof/>
      </w:rPr>
      <mc:AlternateContent>
        <mc:Choice Requires="wps">
          <w:drawing>
            <wp:anchor distT="0" distB="0" distL="114300" distR="114300" simplePos="0" relativeHeight="251660288" behindDoc="0" locked="0" layoutInCell="1" allowOverlap="1" wp14:anchorId="007DE238" wp14:editId="785C41DA">
              <wp:simplePos x="0" y="0"/>
              <wp:positionH relativeFrom="page">
                <wp:posOffset>-1508760</wp:posOffset>
              </wp:positionH>
              <wp:positionV relativeFrom="page">
                <wp:posOffset>2130425</wp:posOffset>
              </wp:positionV>
              <wp:extent cx="3968496" cy="530352"/>
              <wp:effectExtent l="4445" t="0" r="0" b="0"/>
              <wp:wrapNone/>
              <wp:docPr id="545" name="Text Box 545"/>
              <wp:cNvGraphicFramePr/>
              <a:graphic xmlns:a="http://schemas.openxmlformats.org/drawingml/2006/main">
                <a:graphicData uri="http://schemas.microsoft.com/office/word/2010/wordprocessingShape">
                  <wps:wsp>
                    <wps:cNvSpPr txBox="1"/>
                    <wps:spPr>
                      <a:xfrm rot="5400000">
                        <a:off x="0" y="0"/>
                        <a:ext cx="3968496" cy="530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108</w:t>
                                </w:r>
                                <w:r w:rsidRPr="0018749C">
                                  <w:rPr>
                                    <w:rStyle w:val="PageNumber"/>
                                  </w:rPr>
                                  <w:fldChar w:fldCharType="end"/>
                                </w:r>
                              </w:p>
                            </w:tc>
                            <w:tc>
                              <w:tcPr>
                                <w:tcW w:w="5537"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4F6CE6"/>
                        <w:p w:rsidR="00EC50F2" w:rsidRDefault="00EC50F2" w:rsidP="004F6CE6"/>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108</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F6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DE238" id="_x0000_t202" coordsize="21600,21600" o:spt="202" path="m,l,21600r21600,l21600,xe">
              <v:stroke joinstyle="miter"/>
              <v:path gradientshapeok="t" o:connecttype="rect"/>
            </v:shapetype>
            <v:shape id="Text Box 545" o:spid="_x0000_s1043" type="#_x0000_t202" style="position:absolute;left:0;text-align:left;margin-left:-118.8pt;margin-top:167.75pt;width:312.5pt;height:41.7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" filled="f" stroked="f" strokeweight=".5pt">
              <v:textbo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108</w:t>
                          </w:r>
                          <w:r w:rsidRPr="0018749C">
                            <w:rPr>
                              <w:rStyle w:val="PageNumber"/>
                            </w:rPr>
                            <w:fldChar w:fldCharType="end"/>
                          </w:r>
                        </w:p>
                      </w:tc>
                      <w:tc>
                        <w:tcPr>
                          <w:tcW w:w="5537"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4F6CE6"/>
                  <w:p w:rsidR="00EC50F2" w:rsidRDefault="00EC50F2" w:rsidP="004F6CE6"/>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108</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F6CE6"/>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57250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6B1AA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57250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F610CA">
      <w:trPr>
        <w:cantSplit/>
      </w:trPr>
      <w:tc>
        <w:tcPr>
          <w:tcW w:w="800" w:type="dxa"/>
        </w:tcPr>
        <w:p w:rsidR="00EC50F2" w:rsidRDefault="00EC50F2" w:rsidP="00F610CA">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116</w:t>
          </w:r>
          <w:r w:rsidRPr="0018749C">
            <w:rPr>
              <w:rStyle w:val="PageNumber"/>
            </w:rPr>
            <w:fldChar w:fldCharType="end"/>
          </w:r>
        </w:p>
      </w:tc>
      <w:tc>
        <w:tcPr>
          <w:tcW w:w="8918" w:type="dxa"/>
          <w:shd w:val="clear" w:color="auto" w:fill="auto"/>
        </w:tcPr>
        <w:p w:rsidR="00EC50F2" w:rsidRDefault="00EC50F2" w:rsidP="00416E9A">
          <w:pPr>
            <w:pStyle w:val="FooterEven"/>
          </w:pPr>
          <w:r w:rsidRPr="001B4BD5">
            <w:t>Department of Treasury and Finance</w:t>
          </w:r>
          <w:r w:rsidRPr="001B4BD5">
            <w:br/>
          </w:r>
          <w:r w:rsidRPr="00734B39">
            <w:t>Annual</w:t>
          </w:r>
          <w:r>
            <w:t xml:space="preserve"> Report 2017 | 18</w:t>
          </w:r>
        </w:p>
      </w:tc>
    </w:tr>
  </w:tbl>
  <w:p w:rsidR="00EC50F2" w:rsidRDefault="00EC50F2" w:rsidP="00F610CA">
    <w:pPr>
      <w:pStyle w:val="Spac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416E9A">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117</w:t>
          </w:r>
          <w:r w:rsidRPr="00734B39">
            <w:rPr>
              <w:rStyle w:val="PageNumber"/>
            </w:rPr>
            <w:fldChar w:fldCharType="end"/>
          </w:r>
        </w:p>
      </w:tc>
    </w:tr>
  </w:tbl>
  <w:p w:rsidR="00EC50F2" w:rsidRDefault="00EC50F2" w:rsidP="00F610CA">
    <w:pPr>
      <w:pStyle w:val="Spac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F610CA">
      <w:trPr>
        <w:cantSplit/>
      </w:trPr>
      <w:tc>
        <w:tcPr>
          <w:tcW w:w="800" w:type="dxa"/>
        </w:tcPr>
        <w:p w:rsidR="00EC50F2" w:rsidRDefault="00EC50F2" w:rsidP="00F610CA">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12</w:t>
          </w:r>
          <w:r w:rsidRPr="0018749C">
            <w:rPr>
              <w:rStyle w:val="PageNumber"/>
            </w:rPr>
            <w:fldChar w:fldCharType="end"/>
          </w:r>
        </w:p>
      </w:tc>
      <w:tc>
        <w:tcPr>
          <w:tcW w:w="8918" w:type="dxa"/>
          <w:shd w:val="clear" w:color="auto" w:fill="auto"/>
        </w:tcPr>
        <w:p w:rsidR="00EC50F2" w:rsidRDefault="00EC50F2" w:rsidP="00325C78">
          <w:pPr>
            <w:pStyle w:val="FooterEven"/>
          </w:pPr>
          <w:r w:rsidRPr="009265C5">
            <w:t>Department of Treasur</w:t>
          </w:r>
          <w:r>
            <w:t>y and Finance</w:t>
          </w:r>
          <w:r>
            <w:br/>
          </w:r>
          <w:r w:rsidRPr="00734B39">
            <w:t>Annual</w:t>
          </w:r>
          <w:r>
            <w:t xml:space="preserve"> Report 2017 | </w:t>
          </w:r>
          <w:r w:rsidRPr="001B4BD5">
            <w:t>1</w:t>
          </w:r>
          <w:r>
            <w:t>8</w:t>
          </w:r>
        </w:p>
      </w:tc>
    </w:tr>
  </w:tbl>
  <w:p w:rsidR="00EC50F2" w:rsidRDefault="00EC50F2" w:rsidP="00F610CA">
    <w:pPr>
      <w:pStyle w:val="Spac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F610CA">
      <w:trPr>
        <w:cantSplit/>
      </w:trPr>
      <w:tc>
        <w:tcPr>
          <w:tcW w:w="800" w:type="dxa"/>
        </w:tcPr>
        <w:p w:rsidR="00EC50F2" w:rsidRDefault="00EC50F2" w:rsidP="00F610CA">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136</w:t>
          </w:r>
          <w:r w:rsidRPr="0018749C">
            <w:rPr>
              <w:rStyle w:val="PageNumber"/>
            </w:rPr>
            <w:fldChar w:fldCharType="end"/>
          </w:r>
        </w:p>
      </w:tc>
      <w:tc>
        <w:tcPr>
          <w:tcW w:w="8918" w:type="dxa"/>
          <w:shd w:val="clear" w:color="auto" w:fill="auto"/>
        </w:tcPr>
        <w:p w:rsidR="00EC50F2" w:rsidRDefault="00EC50F2" w:rsidP="00416E9A">
          <w:pPr>
            <w:pStyle w:val="FooterEven"/>
          </w:pPr>
          <w:r w:rsidRPr="001B4BD5">
            <w:t>Department of Treasury and Finance</w:t>
          </w:r>
          <w:r w:rsidRPr="001B4BD5">
            <w:br/>
          </w:r>
          <w:r w:rsidRPr="00734B39">
            <w:t>Annual</w:t>
          </w:r>
          <w:r>
            <w:t xml:space="preserve"> Report 2017 | 18</w:t>
          </w:r>
        </w:p>
      </w:tc>
    </w:tr>
  </w:tbl>
  <w:p w:rsidR="00EC50F2" w:rsidRDefault="00EC50F2" w:rsidP="00F610CA">
    <w:pPr>
      <w:pStyle w:val="Spac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416E9A">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137</w:t>
          </w:r>
          <w:r w:rsidRPr="00734B39">
            <w:rPr>
              <w:rStyle w:val="PageNumber"/>
            </w:rPr>
            <w:fldChar w:fldCharType="end"/>
          </w:r>
        </w:p>
      </w:tc>
    </w:tr>
  </w:tbl>
  <w:p w:rsidR="00EC50F2" w:rsidRDefault="00EC50F2" w:rsidP="00F610CA">
    <w:pPr>
      <w:pStyle w:val="Spac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E60" w:rsidRDefault="00920E60" w:rsidP="00F610CA">
    <w:pPr>
      <w:pStyle w:val="Spac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E60" w:rsidRDefault="00920E60" w:rsidP="00F610CA">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325C78">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11</w:t>
          </w:r>
          <w:r w:rsidRPr="00734B39">
            <w:rPr>
              <w:rStyle w:val="PageNumber"/>
            </w:rPr>
            <w:fldChar w:fldCharType="end"/>
          </w:r>
        </w:p>
      </w:tc>
    </w:tr>
  </w:tbl>
  <w:p w:rsidR="00EC50F2" w:rsidRDefault="00EC50F2" w:rsidP="00F610CA">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F610CA">
      <w:trPr>
        <w:cantSplit/>
      </w:trPr>
      <w:tc>
        <w:tcPr>
          <w:tcW w:w="800" w:type="dxa"/>
        </w:tcPr>
        <w:p w:rsidR="00EC50F2" w:rsidRDefault="00EC50F2" w:rsidP="00F610CA">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28</w:t>
          </w:r>
          <w:r w:rsidRPr="0018749C">
            <w:rPr>
              <w:rStyle w:val="PageNumber"/>
            </w:rPr>
            <w:fldChar w:fldCharType="end"/>
          </w:r>
        </w:p>
      </w:tc>
      <w:tc>
        <w:tcPr>
          <w:tcW w:w="8918" w:type="dxa"/>
          <w:shd w:val="clear" w:color="auto" w:fill="auto"/>
        </w:tcPr>
        <w:p w:rsidR="00EC50F2" w:rsidRDefault="00EC50F2" w:rsidP="00325C78">
          <w:pPr>
            <w:pStyle w:val="FooterEven"/>
          </w:pPr>
          <w:r w:rsidRPr="001B4BD5">
            <w:t>Department of Treasury and Finance</w:t>
          </w:r>
          <w:r w:rsidRPr="001B4BD5">
            <w:br/>
          </w:r>
          <w:r w:rsidRPr="00734B39">
            <w:t>Annual</w:t>
          </w:r>
          <w:r>
            <w:t xml:space="preserve"> Report 2017 | 18</w:t>
          </w:r>
        </w:p>
      </w:tc>
    </w:tr>
  </w:tbl>
  <w:p w:rsidR="00EC50F2" w:rsidRDefault="00EC50F2" w:rsidP="00F610CA">
    <w:pPr>
      <w:pStyle w:val="Spac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325C78">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29</w:t>
          </w:r>
          <w:r w:rsidRPr="00734B39">
            <w:rPr>
              <w:rStyle w:val="PageNumber"/>
            </w:rPr>
            <w:fldChar w:fldCharType="end"/>
          </w:r>
        </w:p>
      </w:tc>
    </w:tr>
  </w:tbl>
  <w:p w:rsidR="00EC50F2" w:rsidRDefault="00EC50F2" w:rsidP="00F610CA">
    <w:pPr>
      <w:pStyle w:val="Spac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Ind w:w="-393" w:type="dxa"/>
      <w:tblLayout w:type="fixed"/>
      <w:tblCellMar>
        <w:left w:w="57" w:type="dxa"/>
        <w:right w:w="57" w:type="dxa"/>
      </w:tblCellMar>
      <w:tblLook w:val="0600" w:firstRow="0" w:lastRow="0" w:firstColumn="0" w:lastColumn="0" w:noHBand="1" w:noVBand="1"/>
    </w:tblPr>
    <w:tblGrid>
      <w:gridCol w:w="800"/>
      <w:gridCol w:w="8921"/>
    </w:tblGrid>
    <w:tr w:rsidR="00EC50F2" w:rsidTr="00F610CA">
      <w:trPr>
        <w:cantSplit/>
      </w:trPr>
      <w:tc>
        <w:tcPr>
          <w:tcW w:w="800" w:type="dxa"/>
        </w:tcPr>
        <w:p w:rsidR="00EC50F2" w:rsidRDefault="00EC50F2" w:rsidP="00F610CA">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46</w:t>
          </w:r>
          <w:r w:rsidRPr="0018749C">
            <w:rPr>
              <w:rStyle w:val="PageNumber"/>
            </w:rPr>
            <w:fldChar w:fldCharType="end"/>
          </w:r>
        </w:p>
      </w:tc>
      <w:tc>
        <w:tcPr>
          <w:tcW w:w="8918" w:type="dxa"/>
          <w:shd w:val="clear" w:color="auto" w:fill="auto"/>
        </w:tcPr>
        <w:p w:rsidR="00EC50F2" w:rsidRDefault="00EC50F2" w:rsidP="00B619A9">
          <w:pPr>
            <w:pStyle w:val="FooterEven"/>
          </w:pPr>
          <w:r w:rsidRPr="001B4BD5">
            <w:t>Department of Treasury and Finance</w:t>
          </w:r>
          <w:r w:rsidRPr="001B4BD5">
            <w:br/>
          </w:r>
          <w:r w:rsidRPr="00734B39">
            <w:t>Annual</w:t>
          </w:r>
          <w:r>
            <w:t xml:space="preserve"> Report 2017 | 18</w:t>
          </w:r>
        </w:p>
      </w:tc>
    </w:tr>
  </w:tbl>
  <w:p w:rsidR="00EC50F2" w:rsidRDefault="00EC50F2" w:rsidP="00F610CA">
    <w:pPr>
      <w:pStyle w:val="Spac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1" w:type="pct"/>
      <w:tblLayout w:type="fixed"/>
      <w:tblCellMar>
        <w:left w:w="57" w:type="dxa"/>
        <w:right w:w="57" w:type="dxa"/>
      </w:tblCellMar>
      <w:tblLook w:val="0600" w:firstRow="0" w:lastRow="0" w:firstColumn="0" w:lastColumn="0" w:noHBand="1" w:noVBand="1"/>
    </w:tblPr>
    <w:tblGrid>
      <w:gridCol w:w="9331"/>
      <w:gridCol w:w="818"/>
    </w:tblGrid>
    <w:tr w:rsidR="00EC50F2" w:rsidTr="00F610CA">
      <w:trPr>
        <w:cantSplit/>
      </w:trPr>
      <w:tc>
        <w:tcPr>
          <w:tcW w:w="9327" w:type="dxa"/>
          <w:shd w:val="clear" w:color="auto" w:fill="auto"/>
        </w:tcPr>
        <w:p w:rsidR="00EC50F2" w:rsidRPr="001B4BD5" w:rsidRDefault="00EC50F2" w:rsidP="00E42017">
          <w:pPr>
            <w:pStyle w:val="Footer"/>
          </w:pPr>
          <w:r w:rsidRPr="001B4BD5">
            <w:t>Department of Treasury and Finance</w:t>
          </w:r>
          <w:r w:rsidRPr="001B4BD5">
            <w:br/>
          </w:r>
          <w:r w:rsidRPr="00734B39">
            <w:t>Annual</w:t>
          </w:r>
          <w:r>
            <w:t xml:space="preserve"> Report 2017 | 18</w:t>
          </w:r>
        </w:p>
      </w:tc>
      <w:tc>
        <w:tcPr>
          <w:tcW w:w="818" w:type="dxa"/>
          <w:shd w:val="clear" w:color="auto" w:fill="auto"/>
        </w:tcPr>
        <w:p w:rsidR="00EC50F2" w:rsidRPr="00734B39" w:rsidRDefault="00EC50F2" w:rsidP="00734B39">
          <w:pPr>
            <w:pStyle w:val="Footer"/>
            <w:rPr>
              <w:rStyle w:val="PageNumber"/>
            </w:rPr>
          </w:pPr>
          <w:r w:rsidRPr="00734B39">
            <w:rPr>
              <w:rStyle w:val="PageNumber"/>
            </w:rPr>
            <w:fldChar w:fldCharType="begin"/>
          </w:r>
          <w:r w:rsidRPr="00734B39">
            <w:rPr>
              <w:rStyle w:val="PageNumber"/>
            </w:rPr>
            <w:instrText xml:space="preserve"> Page </w:instrText>
          </w:r>
          <w:r w:rsidRPr="00734B39">
            <w:rPr>
              <w:rStyle w:val="PageNumber"/>
            </w:rPr>
            <w:fldChar w:fldCharType="separate"/>
          </w:r>
          <w:r>
            <w:rPr>
              <w:rStyle w:val="PageNumber"/>
              <w:noProof/>
            </w:rPr>
            <w:t>47</w:t>
          </w:r>
          <w:r w:rsidRPr="00734B39">
            <w:rPr>
              <w:rStyle w:val="PageNumber"/>
            </w:rPr>
            <w:fldChar w:fldCharType="end"/>
          </w:r>
        </w:p>
      </w:tc>
    </w:tr>
  </w:tbl>
  <w:p w:rsidR="00EC50F2" w:rsidRDefault="00EC50F2" w:rsidP="00F610CA">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F2" w:rsidRDefault="00EC50F2">
      <w:r>
        <w:separator/>
      </w:r>
    </w:p>
  </w:footnote>
  <w:footnote w:type="continuationSeparator" w:id="0">
    <w:p w:rsidR="00EC50F2" w:rsidRDefault="00EC50F2" w:rsidP="00035D40">
      <w:r>
        <w:continuationSeparator/>
      </w:r>
    </w:p>
    <w:p w:rsidR="00EC50F2" w:rsidRDefault="00EC50F2"/>
    <w:p w:rsidR="00EC50F2" w:rsidRDefault="00EC50F2"/>
    <w:p w:rsidR="00EC50F2" w:rsidRDefault="00EC50F2"/>
    <w:p w:rsidR="00EC50F2" w:rsidRDefault="00EC5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D0258" w:rsidRDefault="00EC50F2" w:rsidP="00ED0258">
    <w:pPr>
      <w:pStyle w:val="Header"/>
      <w:ind w:left="-450" w:right="-475"/>
      <w:jc w:val="right"/>
      <w:rPr>
        <w:b/>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2</w:t>
    </w:r>
    <w:r w:rsidRPr="0067054D">
      <w:rPr>
        <w:b/>
        <w:noProof/>
        <w:szCs w:val="18"/>
      </w:rPr>
      <w:fldChar w:fldCharType="end"/>
    </w:r>
    <w:r>
      <w:rPr>
        <w:b/>
        <w:noProof/>
        <w:szCs w:val="18"/>
      </w:rPr>
      <w:t xml:space="preserve">. </w:t>
    </w:r>
    <w:r w:rsidRPr="00ED0258">
      <w:rPr>
        <w:b/>
      </w:rPr>
      <w:fldChar w:fldCharType="begin"/>
    </w:r>
    <w:r w:rsidRPr="00ED0258">
      <w:rPr>
        <w:b/>
      </w:rPr>
      <w:instrText xml:space="preserve"> STYLEREF  "Heading 1 numbered"  \* MERGEFORMAT </w:instrText>
    </w:r>
    <w:r w:rsidRPr="00ED0258">
      <w:rPr>
        <w:b/>
      </w:rPr>
      <w:fldChar w:fldCharType="separate"/>
    </w:r>
    <w:r w:rsidR="00EC4CFD">
      <w:rPr>
        <w:b/>
        <w:noProof/>
      </w:rPr>
      <w:t>Funding delivery of our services</w:t>
    </w:r>
    <w:r w:rsidRPr="00ED0258">
      <w:rPr>
        <w:b/>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B76FBA">
    <w:pPr>
      <w:pStyle w:val="Header"/>
      <w:ind w:left="-450"/>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2</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Funding delivery of our services</w:t>
    </w:r>
    <w:r w:rsidRPr="0067054D">
      <w:rPr>
        <w:b/>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B76FBA">
    <w:pPr>
      <w:pStyle w:val="Header"/>
      <w:ind w:left="-450"/>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2</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Funding delivery of our services</w:t>
    </w:r>
    <w:r w:rsidRPr="0067054D">
      <w:rPr>
        <w:b/>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824215" w:rsidRDefault="00EC50F2" w:rsidP="00824215">
    <w:pPr>
      <w:pStyle w:val="Header"/>
      <w:ind w:left="-45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D0258" w:rsidRDefault="00EC50F2" w:rsidP="00ED0258">
    <w:pPr>
      <w:pStyle w:val="Header"/>
      <w:ind w:left="-450" w:right="-475"/>
      <w:jc w:val="right"/>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F96836">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3</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The cost of delivering services</w:t>
    </w:r>
    <w:r w:rsidRPr="0067054D">
      <w:rPr>
        <w:b/>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824215">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3</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The cost of delivering services</w:t>
    </w:r>
    <w:r w:rsidRPr="0067054D">
      <w:rPr>
        <w:b/>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824215">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BE5F15">
      <w:rPr>
        <w:b/>
        <w:noProof/>
        <w:szCs w:val="18"/>
      </w:rPr>
      <w:t>3</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BE5F15">
      <w:rPr>
        <w:b/>
        <w:noProof/>
        <w:szCs w:val="18"/>
      </w:rPr>
      <w:t>The cost of delivering services</w:t>
    </w:r>
    <w:r w:rsidRPr="0067054D">
      <w:rPr>
        <w:b/>
        <w:noProof/>
        <w:szCs w:val="1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3</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The cost of delivering services</w:t>
    </w:r>
    <w:r w:rsidRPr="0067054D">
      <w:rPr>
        <w:b/>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824215">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3</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The cost of delivering services</w:t>
    </w:r>
    <w:r w:rsidRPr="0067054D">
      <w:rPr>
        <w:b/>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left="-450"/>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4</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Disaggregated financial information by output</w:t>
    </w:r>
    <w:r w:rsidRPr="0067054D">
      <w:rPr>
        <w:b/>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4</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Disaggregated financial information by output</w:t>
    </w:r>
    <w:r w:rsidRPr="0067054D">
      <w:rPr>
        <w:b/>
        <w:noProof/>
        <w:szCs w:val="1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4</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Disaggregated financial information by output</w:t>
    </w:r>
    <w:r w:rsidRPr="0067054D">
      <w:rPr>
        <w:b/>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4</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Disaggregated financial information by output</w:t>
    </w:r>
    <w:r w:rsidRPr="0067054D">
      <w:rPr>
        <w:b/>
        <w:noProof/>
        <w:szCs w:val="1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AC3C2D" w:rsidRDefault="00EC50F2" w:rsidP="00AC3C2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16FAE">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Key assets available to support output delivery</w:t>
    </w:r>
    <w:r w:rsidRPr="0067054D">
      <w:rPr>
        <w:b/>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BE5F15">
      <w:rPr>
        <w:b/>
        <w:noProof/>
        <w:szCs w:val="18"/>
      </w:rPr>
      <w:t>5</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BE5F15">
      <w:rPr>
        <w:b/>
        <w:noProof/>
        <w:szCs w:val="18"/>
      </w:rPr>
      <w:t>Key assets available to support output delivery</w:t>
    </w:r>
    <w:r w:rsidRPr="0067054D">
      <w:rPr>
        <w:b/>
        <w:noProof/>
        <w:szCs w:val="18"/>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AC3C2D">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Key assets available to support output delivery</w:t>
    </w:r>
    <w:r w:rsidRPr="0067054D">
      <w:rPr>
        <w:b/>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1</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About this report</w:t>
    </w:r>
    <w:r w:rsidRPr="0067054D">
      <w:rPr>
        <w:b/>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BE5F15">
      <w:rPr>
        <w:b/>
        <w:noProof/>
        <w:szCs w:val="18"/>
      </w:rPr>
      <w:t>5</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BE5F15">
      <w:rPr>
        <w:b/>
        <w:noProof/>
        <w:szCs w:val="18"/>
      </w:rPr>
      <w:t>Key assets available to support output delivery</w:t>
    </w:r>
    <w:r w:rsidRPr="0067054D">
      <w:rPr>
        <w:b/>
        <w:noProof/>
        <w:szCs w:val="18"/>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7907" w:rsidRDefault="00EC50F2" w:rsidP="00577907">
    <w:pPr>
      <w:pStyle w:val="Header"/>
    </w:pPr>
    <w:r>
      <w:rPr>
        <w:noProof/>
      </w:rPr>
      <mc:AlternateContent>
        <mc:Choice Requires="wps">
          <w:drawing>
            <wp:anchor distT="0" distB="0" distL="114300" distR="114300" simplePos="0" relativeHeight="251648000" behindDoc="0" locked="0" layoutInCell="0" allowOverlap="1" wp14:anchorId="53AC1EF9" wp14:editId="0D2D11DF">
              <wp:simplePos x="0" y="0"/>
              <wp:positionH relativeFrom="rightMargin">
                <wp:posOffset>276860</wp:posOffset>
              </wp:positionH>
              <wp:positionV relativeFrom="margin">
                <wp:posOffset>-382905</wp:posOffset>
              </wp:positionV>
              <wp:extent cx="510540" cy="63246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324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F2" w:rsidRPr="0067054D" w:rsidRDefault="00EC50F2" w:rsidP="00412A95">
                          <w:pPr>
                            <w:pStyle w:val="Header"/>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Key assets available to support output delivery</w:t>
                          </w:r>
                          <w:r w:rsidRPr="0067054D">
                            <w:rPr>
                              <w:b/>
                              <w:noProof/>
                            </w:rPr>
                            <w:fldChar w:fldCharType="end"/>
                          </w:r>
                        </w:p>
                        <w:p w:rsidR="00EC50F2" w:rsidRDefault="00EC50F2"/>
                        <w:p w:rsidR="00EC50F2" w:rsidRPr="0067054D" w:rsidRDefault="00EC50F2" w:rsidP="008A3976">
                          <w:pPr>
                            <w:pStyle w:val="Header"/>
                            <w:jc w:val="both"/>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Key assets available to support output delivery</w:t>
                          </w:r>
                          <w:r w:rsidRPr="0067054D">
                            <w:rPr>
                              <w:b/>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3AC1EF9" id="_x0000_s1030" style="position:absolute;left:0;text-align:left;margin-left:21.8pt;margin-top:-30.15pt;width:40.2pt;height:498pt;z-index:251648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" o:allowincell="f" filled="f" stroked="f">
              <v:textbox style="layout-flow:vertical;mso-fit-shape-to-text:t">
                <w:txbxContent>
                  <w:p w:rsidR="00EC50F2" w:rsidRPr="0067054D" w:rsidRDefault="00EC50F2" w:rsidP="00412A95">
                    <w:pPr>
                      <w:pStyle w:val="Header"/>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Key assets available to support output delivery</w:t>
                    </w:r>
                    <w:r w:rsidRPr="0067054D">
                      <w:rPr>
                        <w:b/>
                        <w:noProof/>
                      </w:rPr>
                      <w:fldChar w:fldCharType="end"/>
                    </w:r>
                  </w:p>
                  <w:p w:rsidR="00EC50F2" w:rsidRDefault="00EC50F2"/>
                  <w:p w:rsidR="00EC50F2" w:rsidRPr="0067054D" w:rsidRDefault="00EC50F2" w:rsidP="008A3976">
                    <w:pPr>
                      <w:pStyle w:val="Header"/>
                      <w:jc w:val="both"/>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Key assets available to support output delivery</w:t>
                    </w:r>
                    <w:r w:rsidRPr="0067054D">
                      <w:rPr>
                        <w:b/>
                        <w:noProof/>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41856" behindDoc="0" locked="0" layoutInCell="1" allowOverlap="1" wp14:anchorId="15136291" wp14:editId="23B92440">
              <wp:simplePos x="0" y="0"/>
              <wp:positionH relativeFrom="column">
                <wp:posOffset>-2236913</wp:posOffset>
              </wp:positionH>
              <wp:positionV relativeFrom="paragraph">
                <wp:posOffset>1671795</wp:posOffset>
              </wp:positionV>
              <wp:extent cx="3968115" cy="525780"/>
              <wp:effectExtent l="0" t="0" r="952" b="0"/>
              <wp:wrapNone/>
              <wp:docPr id="17" name="Text Box 17"/>
              <wp:cNvGraphicFramePr/>
              <a:graphic xmlns:a="http://schemas.openxmlformats.org/drawingml/2006/main">
                <a:graphicData uri="http://schemas.microsoft.com/office/word/2010/wordprocessingShape">
                  <wps:wsp>
                    <wps:cNvSpPr txBox="1"/>
                    <wps:spPr>
                      <a:xfrm rot="5400000">
                        <a:off x="0" y="0"/>
                        <a:ext cx="396811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12A95"/>
                        <w:p w:rsidR="00EC50F2" w:rsidRDefault="00EC50F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12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36291" id="_x0000_t202" coordsize="21600,21600" o:spt="202" path="m,l,21600r21600,l21600,xe">
              <v:stroke joinstyle="miter"/>
              <v:path gradientshapeok="t" o:connecttype="rect"/>
            </v:shapetype>
            <v:shape id="Text Box 17" o:spid="_x0000_s1031" type="#_x0000_t202" style="position:absolute;left:0;text-align:left;margin-left:-176.15pt;margin-top:131.65pt;width:312.45pt;height:41.4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" filled="f" stroked="f" strokeweight=".5pt">
              <v:textbox>
                <w:txbxContent>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12A95"/>
                  <w:p w:rsidR="00EC50F2" w:rsidRDefault="00EC50F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12A95"/>
                </w:txbxContent>
              </v:textbox>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rsidP="00412A95">
    <w:pPr>
      <w:pStyle w:val="Header"/>
    </w:pPr>
    <w:r>
      <w:rPr>
        <w:noProof/>
      </w:rPr>
      <mc:AlternateContent>
        <mc:Choice Requires="wps">
          <w:drawing>
            <wp:anchor distT="0" distB="0" distL="114300" distR="114300" simplePos="0" relativeHeight="251666432" behindDoc="0" locked="0" layoutInCell="0" allowOverlap="0" wp14:anchorId="10B08159" wp14:editId="5E5EDB7E">
              <wp:simplePos x="0" y="0"/>
              <wp:positionH relativeFrom="page">
                <wp:posOffset>-1718945</wp:posOffset>
              </wp:positionH>
              <wp:positionV relativeFrom="page">
                <wp:posOffset>4681855</wp:posOffset>
              </wp:positionV>
              <wp:extent cx="4407408" cy="521208"/>
              <wp:effectExtent l="0" t="0" r="0" b="0"/>
              <wp:wrapNone/>
              <wp:docPr id="18" name="Text Box 18"/>
              <wp:cNvGraphicFramePr/>
              <a:graphic xmlns:a="http://schemas.openxmlformats.org/drawingml/2006/main">
                <a:graphicData uri="http://schemas.microsoft.com/office/word/2010/wordprocessingShape">
                  <wps:wsp>
                    <wps:cNvSpPr txBox="1"/>
                    <wps:spPr>
                      <a:xfrm rot="5400000">
                        <a:off x="0" y="0"/>
                        <a:ext cx="4407408" cy="521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B619A9">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71</w:t>
                                </w:r>
                                <w:r w:rsidRPr="0018749C">
                                  <w:rPr>
                                    <w:rStyle w:val="PageNumber"/>
                                  </w:rPr>
                                  <w:fldChar w:fldCharType="end"/>
                                </w:r>
                              </w:p>
                            </w:tc>
                          </w:tr>
                        </w:tbl>
                        <w:p w:rsidR="00EC50F2" w:rsidRDefault="00EC50F2" w:rsidP="00412A95"/>
                        <w:p w:rsidR="00EC50F2" w:rsidRDefault="00EC50F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71</w:t>
                                </w:r>
                                <w:r w:rsidRPr="0018749C">
                                  <w:rPr>
                                    <w:rStyle w:val="PageNumber"/>
                                  </w:rPr>
                                  <w:fldChar w:fldCharType="end"/>
                                </w:r>
                              </w:p>
                            </w:tc>
                          </w:tr>
                        </w:tbl>
                        <w:p w:rsidR="00EC50F2" w:rsidRDefault="00EC50F2" w:rsidP="00412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08159" id="_x0000_t202" coordsize="21600,21600" o:spt="202" path="m,l,21600r21600,l21600,xe">
              <v:stroke joinstyle="miter"/>
              <v:path gradientshapeok="t" o:connecttype="rect"/>
            </v:shapetype>
            <v:shape id="Text Box 18" o:spid="_x0000_s1032" type="#_x0000_t202" style="position:absolute;left:0;text-align:left;margin-left:-135.35pt;margin-top:368.65pt;width:347.05pt;height:41.05pt;rotation:9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" o:allowincell="f" o:allowoverlap="f" filled="f" stroked="f" strokeweight=".5pt">
              <v:textbo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B619A9">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71</w:t>
                          </w:r>
                          <w:r w:rsidRPr="0018749C">
                            <w:rPr>
                              <w:rStyle w:val="PageNumber"/>
                            </w:rPr>
                            <w:fldChar w:fldCharType="end"/>
                          </w:r>
                        </w:p>
                      </w:tc>
                    </w:tr>
                  </w:tbl>
                  <w:p w:rsidR="00EC50F2" w:rsidRDefault="00EC50F2" w:rsidP="00412A95"/>
                  <w:p w:rsidR="00EC50F2" w:rsidRDefault="00EC50F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71</w:t>
                          </w:r>
                          <w:r w:rsidRPr="0018749C">
                            <w:rPr>
                              <w:rStyle w:val="PageNumber"/>
                            </w:rPr>
                            <w:fldChar w:fldCharType="end"/>
                          </w:r>
                        </w:p>
                      </w:tc>
                    </w:tr>
                  </w:tbl>
                  <w:p w:rsidR="00EC50F2" w:rsidRDefault="00EC50F2" w:rsidP="00412A95"/>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0" allowOverlap="1" wp14:anchorId="78175865" wp14:editId="32A722EA">
              <wp:simplePos x="0" y="0"/>
              <wp:positionH relativeFrom="rightMargin">
                <wp:posOffset>259080</wp:posOffset>
              </wp:positionH>
              <wp:positionV relativeFrom="margin">
                <wp:posOffset>112395</wp:posOffset>
              </wp:positionV>
              <wp:extent cx="510540" cy="632460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324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F2" w:rsidRDefault="00EC50F2"/>
                        <w:p w:rsidR="00EC50F2" w:rsidRPr="0067054D" w:rsidRDefault="00EC50F2" w:rsidP="000D3F2C">
                          <w:pPr>
                            <w:pStyle w:val="Header"/>
                            <w:ind w:right="0"/>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Key assets available to support output delivery</w:t>
                          </w:r>
                          <w:r w:rsidRPr="0067054D">
                            <w:rPr>
                              <w:b/>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175865" id="_x0000_s1033" style="position:absolute;left:0;text-align:left;margin-left:20.4pt;margin-top:8.85pt;width:40.2pt;height:498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" o:allowincell="f" filled="f" stroked="f">
              <v:textbox style="layout-flow:vertical;mso-fit-shape-to-text:t">
                <w:txbxContent>
                  <w:p w:rsidR="00EC50F2" w:rsidRDefault="00EC50F2"/>
                  <w:p w:rsidR="00EC50F2" w:rsidRPr="0067054D" w:rsidRDefault="00EC50F2" w:rsidP="000D3F2C">
                    <w:pPr>
                      <w:pStyle w:val="Header"/>
                      <w:ind w:right="0"/>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Key assets available to support output delivery</w:t>
                    </w:r>
                    <w:r w:rsidRPr="0067054D">
                      <w:rPr>
                        <w:b/>
                        <w:noProof/>
                      </w:rPr>
                      <w:fldChar w:fldCharType="end"/>
                    </w:r>
                  </w:p>
                </w:txbxContent>
              </v:textbox>
              <w10:wrap anchorx="margin" anchory="margin"/>
            </v:rect>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412A95">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Key assets available to support output delivery</w:t>
    </w:r>
    <w:r w:rsidRPr="0067054D">
      <w:rPr>
        <w:b/>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BE5F15">
      <w:rPr>
        <w:b/>
        <w:noProof/>
        <w:szCs w:val="18"/>
      </w:rPr>
      <w:t>5</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BE5F15">
      <w:rPr>
        <w:b/>
        <w:noProof/>
        <w:szCs w:val="18"/>
      </w:rPr>
      <w:t>Key assets available to support output delivery</w:t>
    </w:r>
    <w:r w:rsidRPr="0067054D">
      <w:rPr>
        <w:b/>
        <w:noProof/>
        <w:szCs w:val="18"/>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AC3C2D">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5</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Key assets available to support output delivery</w:t>
    </w:r>
    <w:r w:rsidRPr="0067054D">
      <w:rPr>
        <w:b/>
        <w:noProof/>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AC3C2D" w:rsidRDefault="00EC50F2" w:rsidP="00AC3C2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16FAE">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6</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Other assets and liabilities</w:t>
    </w:r>
    <w:r w:rsidRPr="0067054D">
      <w:rPr>
        <w:b/>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BE5F15">
      <w:rPr>
        <w:b/>
        <w:noProof/>
        <w:szCs w:val="18"/>
      </w:rPr>
      <w:t>6</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BE5F15">
      <w:rPr>
        <w:b/>
        <w:noProof/>
        <w:szCs w:val="18"/>
      </w:rPr>
      <w:t>Other assets and liabilities</w:t>
    </w:r>
    <w:r w:rsidRPr="0067054D">
      <w:rPr>
        <w:b/>
        <w:noProof/>
        <w:szCs w:val="18"/>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AC3C2D">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6</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Other assets and liabilities</w:t>
    </w:r>
    <w:r w:rsidRPr="0067054D">
      <w:rPr>
        <w:b/>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54FD1">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1</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About this report</w:t>
    </w:r>
    <w:r w:rsidRPr="0067054D">
      <w:rPr>
        <w:b/>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BE5F15">
      <w:rPr>
        <w:b/>
        <w:noProof/>
        <w:szCs w:val="18"/>
      </w:rPr>
      <w:t>6</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BE5F15">
      <w:rPr>
        <w:b/>
        <w:noProof/>
        <w:szCs w:val="18"/>
      </w:rPr>
      <w:t>Other assets and liabilities</w:t>
    </w:r>
    <w:r w:rsidRPr="0067054D">
      <w:rPr>
        <w:b/>
        <w:noProof/>
        <w:szCs w:val="18"/>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16FAE">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Financing our operations</w:t>
    </w:r>
    <w:r w:rsidRPr="0067054D">
      <w:rPr>
        <w:b/>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8A3976">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Financing our operations</w:t>
    </w:r>
    <w:r w:rsidRPr="0067054D">
      <w:rPr>
        <w:b/>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BE5F15">
      <w:rPr>
        <w:b/>
        <w:noProof/>
        <w:szCs w:val="18"/>
      </w:rPr>
      <w:t>7</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BE5F15">
      <w:rPr>
        <w:b/>
        <w:noProof/>
        <w:szCs w:val="18"/>
      </w:rPr>
      <w:t>Financing our operations</w:t>
    </w:r>
    <w:r w:rsidRPr="0067054D">
      <w:rPr>
        <w:b/>
        <w:noProof/>
        <w:szCs w:val="18"/>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7</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Financing our operations</w:t>
    </w:r>
    <w:r w:rsidRPr="0067054D">
      <w:rPr>
        <w:b/>
        <w:noProof/>
        <w:szCs w:val="18"/>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AC3C2D">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Financing our operations</w:t>
    </w:r>
    <w:r w:rsidRPr="0067054D">
      <w:rPr>
        <w:b/>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pPr>
      <w:pStyle w:val="Header"/>
    </w:pPr>
    <w:r>
      <w:rPr>
        <w:noProof/>
      </w:rPr>
      <mc:AlternateContent>
        <mc:Choice Requires="wps">
          <w:drawing>
            <wp:anchor distT="0" distB="0" distL="114300" distR="114300" simplePos="0" relativeHeight="251681792" behindDoc="0" locked="0" layoutInCell="0" allowOverlap="1" wp14:anchorId="50F32706" wp14:editId="1B2CFDFA">
              <wp:simplePos x="0" y="0"/>
              <wp:positionH relativeFrom="rightMargin">
                <wp:posOffset>276860</wp:posOffset>
              </wp:positionH>
              <wp:positionV relativeFrom="margin">
                <wp:posOffset>-382905</wp:posOffset>
              </wp:positionV>
              <wp:extent cx="510540" cy="6324600"/>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324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F2" w:rsidRPr="0067054D" w:rsidRDefault="00EC50F2" w:rsidP="000D3F2C">
                          <w:pPr>
                            <w:pStyle w:val="Header"/>
                            <w:ind w:left="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Financing our operations</w:t>
                          </w:r>
                          <w:r w:rsidRPr="0067054D">
                            <w:rPr>
                              <w:b/>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F32706" id="_x0000_s1034" style="position:absolute;left:0;text-align:left;margin-left:21.8pt;margin-top:-30.15pt;width:40.2pt;height:498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" o:allowincell="f" filled="f" stroked="f">
              <v:textbox style="layout-flow:vertical;mso-fit-shape-to-text:t">
                <w:txbxContent>
                  <w:p w:rsidR="00EC50F2" w:rsidRPr="0067054D" w:rsidRDefault="00EC50F2" w:rsidP="000D3F2C">
                    <w:pPr>
                      <w:pStyle w:val="Header"/>
                      <w:ind w:left="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Financing our operations</w:t>
                    </w:r>
                    <w:r w:rsidRPr="0067054D">
                      <w:rPr>
                        <w:b/>
                        <w:noProof/>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78720" behindDoc="0" locked="0" layoutInCell="1" allowOverlap="1" wp14:anchorId="28182FC5" wp14:editId="42ED6B23">
              <wp:simplePos x="0" y="0"/>
              <wp:positionH relativeFrom="page">
                <wp:posOffset>-1508760</wp:posOffset>
              </wp:positionH>
              <wp:positionV relativeFrom="page">
                <wp:posOffset>2130425</wp:posOffset>
              </wp:positionV>
              <wp:extent cx="3968496" cy="530352"/>
              <wp:effectExtent l="4445" t="0" r="0" b="0"/>
              <wp:wrapNone/>
              <wp:docPr id="24" name="Text Box 24"/>
              <wp:cNvGraphicFramePr/>
              <a:graphic xmlns:a="http://schemas.openxmlformats.org/drawingml/2006/main">
                <a:graphicData uri="http://schemas.microsoft.com/office/word/2010/wordprocessingShape">
                  <wps:wsp>
                    <wps:cNvSpPr txBox="1"/>
                    <wps:spPr>
                      <a:xfrm rot="5400000">
                        <a:off x="0" y="0"/>
                        <a:ext cx="3968496" cy="530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B8418B"/>
                        <w:p w:rsidR="00EC50F2" w:rsidRDefault="00EC50F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B84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82FC5" id="_x0000_t202" coordsize="21600,21600" o:spt="202" path="m,l,21600r21600,l21600,xe">
              <v:stroke joinstyle="miter"/>
              <v:path gradientshapeok="t" o:connecttype="rect"/>
            </v:shapetype>
            <v:shape id="Text Box 24" o:spid="_x0000_s1035" type="#_x0000_t202" style="position:absolute;left:0;text-align:left;margin-left:-118.8pt;margin-top:167.75pt;width:312.5pt;height:41.75pt;rotation:9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" filled="f" stroked="f" strokeweight=".5pt">
              <v:textbox>
                <w:txbxContent>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B8418B"/>
                  <w:p w:rsidR="00EC50F2" w:rsidRDefault="00EC50F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82</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B8418B"/>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pPr>
      <w:pStyle w:val="Header"/>
    </w:pPr>
    <w:r>
      <w:rPr>
        <w:noProof/>
      </w:rPr>
      <mc:AlternateContent>
        <mc:Choice Requires="wps">
          <w:drawing>
            <wp:anchor distT="0" distB="0" distL="114300" distR="114300" simplePos="0" relativeHeight="251684864" behindDoc="0" locked="0" layoutInCell="0" allowOverlap="0" wp14:anchorId="2933FE00" wp14:editId="4AA40923">
              <wp:simplePos x="0" y="0"/>
              <wp:positionH relativeFrom="page">
                <wp:posOffset>-1718945</wp:posOffset>
              </wp:positionH>
              <wp:positionV relativeFrom="page">
                <wp:posOffset>4681855</wp:posOffset>
              </wp:positionV>
              <wp:extent cx="4407408" cy="521208"/>
              <wp:effectExtent l="0" t="0" r="0" b="0"/>
              <wp:wrapNone/>
              <wp:docPr id="25" name="Text Box 25"/>
              <wp:cNvGraphicFramePr/>
              <a:graphic xmlns:a="http://schemas.openxmlformats.org/drawingml/2006/main">
                <a:graphicData uri="http://schemas.microsoft.com/office/word/2010/wordprocessingShape">
                  <wps:wsp>
                    <wps:cNvSpPr txBox="1"/>
                    <wps:spPr>
                      <a:xfrm rot="5400000">
                        <a:off x="0" y="0"/>
                        <a:ext cx="4407408" cy="521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83</w:t>
                                </w:r>
                                <w:r w:rsidRPr="0018749C">
                                  <w:rPr>
                                    <w:rStyle w:val="PageNumber"/>
                                  </w:rPr>
                                  <w:fldChar w:fldCharType="end"/>
                                </w:r>
                              </w:p>
                            </w:tc>
                          </w:tr>
                        </w:tbl>
                        <w:p w:rsidR="00EC50F2" w:rsidRDefault="00EC50F2" w:rsidP="00824215"/>
                        <w:p w:rsidR="00EC50F2" w:rsidRDefault="00EC50F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83</w:t>
                                </w:r>
                                <w:r w:rsidRPr="0018749C">
                                  <w:rPr>
                                    <w:rStyle w:val="PageNumber"/>
                                  </w:rPr>
                                  <w:fldChar w:fldCharType="end"/>
                                </w:r>
                              </w:p>
                            </w:tc>
                          </w:tr>
                        </w:tbl>
                        <w:p w:rsidR="00EC50F2" w:rsidRDefault="00EC50F2" w:rsidP="008242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3FE00" id="_x0000_t202" coordsize="21600,21600" o:spt="202" path="m,l,21600r21600,l21600,xe">
              <v:stroke joinstyle="miter"/>
              <v:path gradientshapeok="t" o:connecttype="rect"/>
            </v:shapetype>
            <v:shape id="Text Box 25" o:spid="_x0000_s1036" type="#_x0000_t202" style="position:absolute;left:0;text-align:left;margin-left:-135.35pt;margin-top:368.65pt;width:347.05pt;height:41.05pt;rotation:9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" o:allowincell="f" o:allowoverlap="f" filled="f" stroked="f" strokeweight=".5pt">
              <v:textbo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83</w:t>
                          </w:r>
                          <w:r w:rsidRPr="0018749C">
                            <w:rPr>
                              <w:rStyle w:val="PageNumber"/>
                            </w:rPr>
                            <w:fldChar w:fldCharType="end"/>
                          </w:r>
                        </w:p>
                      </w:tc>
                    </w:tr>
                  </w:tbl>
                  <w:p w:rsidR="00EC50F2" w:rsidRDefault="00EC50F2" w:rsidP="00824215"/>
                  <w:p w:rsidR="00EC50F2" w:rsidRDefault="00EC50F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83</w:t>
                          </w:r>
                          <w:r w:rsidRPr="0018749C">
                            <w:rPr>
                              <w:rStyle w:val="PageNumber"/>
                            </w:rPr>
                            <w:fldChar w:fldCharType="end"/>
                          </w:r>
                        </w:p>
                      </w:tc>
                    </w:tr>
                  </w:tbl>
                  <w:p w:rsidR="00EC50F2" w:rsidRDefault="00EC50F2" w:rsidP="00824215"/>
                </w:txbxContent>
              </v:textbox>
              <w10:wrap anchorx="page" anchory="page"/>
            </v:shape>
          </w:pict>
        </mc:Fallback>
      </mc:AlternateContent>
    </w:r>
    <w:r>
      <w:rPr>
        <w:noProof/>
      </w:rPr>
      <mc:AlternateContent>
        <mc:Choice Requires="wps">
          <w:drawing>
            <wp:anchor distT="0" distB="0" distL="114300" distR="114300" simplePos="0" relativeHeight="251687936" behindDoc="0" locked="0" layoutInCell="0" allowOverlap="1" wp14:anchorId="11FF53F7" wp14:editId="0B44F2D1">
              <wp:simplePos x="0" y="0"/>
              <wp:positionH relativeFrom="page">
                <wp:posOffset>9848215</wp:posOffset>
              </wp:positionH>
              <wp:positionV relativeFrom="page">
                <wp:posOffset>868680</wp:posOffset>
              </wp:positionV>
              <wp:extent cx="510540" cy="6324600"/>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324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F2" w:rsidRDefault="00EC50F2"/>
                        <w:p w:rsidR="00EC50F2" w:rsidRPr="0067054D" w:rsidRDefault="00EC50F2" w:rsidP="00105A1F">
                          <w:pPr>
                            <w:pStyle w:val="Header"/>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Financing our operations</w:t>
                          </w:r>
                          <w:r w:rsidRPr="0067054D">
                            <w:rPr>
                              <w:b/>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FF53F7" id="_x0000_s1037" style="position:absolute;left:0;text-align:left;margin-left:775.45pt;margin-top:68.4pt;width:40.2pt;height:49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" o:allowincell="f" filled="f" stroked="f">
              <v:textbox style="layout-flow:vertical;mso-fit-shape-to-text:t">
                <w:txbxContent>
                  <w:p w:rsidR="00EC50F2" w:rsidRDefault="00EC50F2"/>
                  <w:p w:rsidR="00EC50F2" w:rsidRPr="0067054D" w:rsidRDefault="00EC50F2" w:rsidP="00105A1F">
                    <w:pPr>
                      <w:pStyle w:val="Header"/>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Financing our operations</w:t>
                    </w:r>
                    <w:r w:rsidRPr="0067054D">
                      <w:rPr>
                        <w:b/>
                        <w:noProof/>
                      </w:rPr>
                      <w:fldChar w:fldCharType="end"/>
                    </w:r>
                  </w:p>
                </w:txbxContent>
              </v:textbox>
              <w10:wrap anchorx="page" anchory="page"/>
            </v:rect>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16FAE">
    <w:pPr>
      <w:pStyle w:val="Header"/>
      <w:ind w:left="-450"/>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8</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Risks, contingencies and valuation judgements</w:t>
    </w:r>
    <w:r w:rsidRPr="0067054D">
      <w:rPr>
        <w:b/>
        <w:noProof/>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7</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Financing our operations</w:t>
    </w:r>
    <w:r w:rsidRPr="0067054D">
      <w:rPr>
        <w:b/>
        <w:noProof/>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AC3C2D" w:rsidRDefault="00EC50F2" w:rsidP="00AC3C2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21386B">
    <w:pPr>
      <w:pStyle w:val="Header"/>
      <w:ind w:left="-450"/>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Financing our operations</w:t>
    </w:r>
    <w:r w:rsidRPr="0067054D">
      <w:rPr>
        <w:b/>
        <w:noProof/>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AC3C2D">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7</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Financing our operations</w:t>
    </w:r>
    <w:r w:rsidRPr="0067054D">
      <w:rPr>
        <w:b/>
        <w:noProof/>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16FAE">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8</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Risks, contingencies and valuation judgements</w:t>
    </w:r>
    <w:r w:rsidRPr="0067054D">
      <w:rPr>
        <w:b/>
        <w:noProof/>
        <w:szCs w:val="18"/>
      </w:rPr>
      <w:fldChar w:fldCharType="end"/>
    </w:r>
  </w:p>
  <w:p w:rsidR="00EC50F2" w:rsidRPr="00780AE7" w:rsidRDefault="00EC50F2" w:rsidP="00780AE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jc w:val="right"/>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9</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Other disclosures</w:t>
    </w:r>
    <w:r w:rsidRPr="0067054D">
      <w:rPr>
        <w:b/>
        <w:noProof/>
        <w:szCs w:val="18"/>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780AE7" w:rsidRDefault="00EC50F2" w:rsidP="00780AE7">
    <w:pPr>
      <w:pStyle w:val="Heade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9</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Other disclosures</w:t>
    </w:r>
    <w:r w:rsidRPr="0067054D">
      <w:rPr>
        <w:b/>
        <w:noProof/>
        <w:szCs w:val="18"/>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780AE7">
    <w:pPr>
      <w:pStyle w:val="Header"/>
      <w:ind w:right="-475"/>
      <w:rPr>
        <w:b/>
        <w:szCs w:val="18"/>
      </w:rPr>
    </w:pPr>
    <w:r w:rsidRPr="0067054D">
      <w:rPr>
        <w:b/>
        <w:szCs w:val="18"/>
      </w:rPr>
      <w:fldChar w:fldCharType="begin"/>
    </w:r>
    <w:r w:rsidRPr="0067054D">
      <w:rPr>
        <w:b/>
        <w:szCs w:val="18"/>
      </w:rPr>
      <w:instrText xml:space="preserve"> STYLEREF  "Heading 1 numbered" \N  \* MERGEFORMAT </w:instrText>
    </w:r>
    <w:r w:rsidRPr="0067054D">
      <w:rPr>
        <w:b/>
        <w:szCs w:val="18"/>
      </w:rPr>
      <w:fldChar w:fldCharType="separate"/>
    </w:r>
    <w:r w:rsidR="00EC4CFD">
      <w:rPr>
        <w:b/>
        <w:noProof/>
        <w:szCs w:val="18"/>
      </w:rPr>
      <w:t>9</w:t>
    </w:r>
    <w:r w:rsidRPr="0067054D">
      <w:rPr>
        <w:b/>
        <w:noProof/>
        <w:szCs w:val="18"/>
      </w:rPr>
      <w:fldChar w:fldCharType="end"/>
    </w:r>
    <w:r w:rsidRPr="0067054D">
      <w:rPr>
        <w:b/>
        <w:noProof/>
        <w:szCs w:val="18"/>
      </w:rPr>
      <w:t>.</w:t>
    </w:r>
    <w:r>
      <w:rPr>
        <w:b/>
        <w:noProof/>
        <w:szCs w:val="18"/>
      </w:rPr>
      <w:t xml:space="preserve"> </w:t>
    </w:r>
    <w:r w:rsidRPr="0067054D">
      <w:rPr>
        <w:b/>
        <w:szCs w:val="18"/>
      </w:rPr>
      <w:fldChar w:fldCharType="begin"/>
    </w:r>
    <w:r w:rsidRPr="0067054D">
      <w:rPr>
        <w:b/>
        <w:szCs w:val="18"/>
      </w:rPr>
      <w:instrText xml:space="preserve"> STYLEREF  "Heading 1 numbered"  \* MERGEFORMAT </w:instrText>
    </w:r>
    <w:r w:rsidRPr="0067054D">
      <w:rPr>
        <w:b/>
        <w:szCs w:val="18"/>
      </w:rPr>
      <w:fldChar w:fldCharType="separate"/>
    </w:r>
    <w:r w:rsidR="00EC4CFD">
      <w:rPr>
        <w:b/>
        <w:noProof/>
        <w:szCs w:val="18"/>
      </w:rPr>
      <w:t>Other disclosures</w:t>
    </w:r>
    <w:r w:rsidRPr="0067054D">
      <w:rPr>
        <w:b/>
        <w:noProof/>
        <w:szCs w:val="18"/>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AC3C2D">
    <w:pPr>
      <w:pStyle w:val="Header"/>
      <w:ind w:left="-450" w:right="-475"/>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9</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Other disclosures</w:t>
    </w:r>
    <w:r w:rsidRPr="0067054D">
      <w:rPr>
        <w:b/>
        <w:noProof/>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left="-450"/>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67054D">
    <w:pPr>
      <w:pStyle w:val="Header"/>
      <w:ind w:right="-475"/>
      <w:jc w:val="right"/>
      <w:rPr>
        <w:b/>
        <w:szCs w:val="18"/>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572502">
    <w:pPr>
      <w:pStyle w:val="Header"/>
    </w:pPr>
    <w:r>
      <w:rPr>
        <w:noProof/>
      </w:rPr>
      <mc:AlternateContent>
        <mc:Choice Requires="wps">
          <w:drawing>
            <wp:anchor distT="0" distB="0" distL="114300" distR="114300" simplePos="0" relativeHeight="251644928" behindDoc="0" locked="0" layoutInCell="1" allowOverlap="1" wp14:anchorId="6F23E55C" wp14:editId="4F22E56B">
              <wp:simplePos x="0" y="0"/>
              <wp:positionH relativeFrom="page">
                <wp:posOffset>-1508760</wp:posOffset>
              </wp:positionH>
              <wp:positionV relativeFrom="page">
                <wp:posOffset>2130425</wp:posOffset>
              </wp:positionV>
              <wp:extent cx="3968496" cy="530352"/>
              <wp:effectExtent l="4445" t="0" r="0" b="0"/>
              <wp:wrapNone/>
              <wp:docPr id="10" name="Text Box 10"/>
              <wp:cNvGraphicFramePr/>
              <a:graphic xmlns:a="http://schemas.openxmlformats.org/drawingml/2006/main">
                <a:graphicData uri="http://schemas.microsoft.com/office/word/2010/wordprocessingShape">
                  <wps:wsp>
                    <wps:cNvSpPr txBox="1"/>
                    <wps:spPr>
                      <a:xfrm rot="5400000">
                        <a:off x="0" y="0"/>
                        <a:ext cx="3968496" cy="530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104</w:t>
                                </w:r>
                                <w:r w:rsidRPr="0018749C">
                                  <w:rPr>
                                    <w:rStyle w:val="PageNumber"/>
                                  </w:rPr>
                                  <w:fldChar w:fldCharType="end"/>
                                </w:r>
                              </w:p>
                            </w:tc>
                            <w:tc>
                              <w:tcPr>
                                <w:tcW w:w="5537"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572502"/>
                        <w:p w:rsidR="00EC50F2" w:rsidRDefault="00EC50F2" w:rsidP="0057250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104</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572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3E55C" id="_x0000_t202" coordsize="21600,21600" o:spt="202" path="m,l,21600r21600,l21600,xe">
              <v:stroke joinstyle="miter"/>
              <v:path gradientshapeok="t" o:connecttype="rect"/>
            </v:shapetype>
            <v:shape id="Text Box 10" o:spid="_x0000_s1038" type="#_x0000_t202" style="position:absolute;left:0;text-align:left;margin-left:-118.8pt;margin-top:167.75pt;width:312.5pt;height:41.75pt;rotation:9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" filled="f" stroked="f" strokeweight=".5pt">
              <v:textbo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104</w:t>
                          </w:r>
                          <w:r w:rsidRPr="0018749C">
                            <w:rPr>
                              <w:rStyle w:val="PageNumber"/>
                            </w:rPr>
                            <w:fldChar w:fldCharType="end"/>
                          </w:r>
                        </w:p>
                      </w:tc>
                      <w:tc>
                        <w:tcPr>
                          <w:tcW w:w="5537"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572502"/>
                  <w:p w:rsidR="00EC50F2" w:rsidRDefault="00EC50F2" w:rsidP="0057250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104</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572502"/>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46487" w:rsidRDefault="00EC50F2" w:rsidP="00572502">
    <w:pPr>
      <w:pStyle w:val="Header"/>
    </w:pPr>
  </w:p>
  <w:p w:rsidR="00EC50F2" w:rsidRPr="00E46487" w:rsidRDefault="00EC50F2" w:rsidP="0028555D">
    <w:pPr>
      <w:pStyle w:val="Header"/>
      <w:jc w:val="right"/>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57250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46487" w:rsidRDefault="00EC50F2" w:rsidP="00572502">
    <w:pPr>
      <w:pStyle w:val="Header"/>
    </w:pPr>
  </w:p>
  <w:p w:rsidR="00EC50F2" w:rsidRPr="00E46487" w:rsidRDefault="00EC50F2" w:rsidP="0028555D">
    <w:pPr>
      <w:pStyle w:val="Header"/>
      <w:jc w:val="righ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572502" w:rsidRDefault="00EC50F2" w:rsidP="0057250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46487" w:rsidRDefault="00EC50F2" w:rsidP="009D6CB6">
    <w:pPr>
      <w:pStyle w:val="Header"/>
    </w:pPr>
    <w:r>
      <w:rPr>
        <w:noProof/>
      </w:rPr>
      <mc:AlternateContent>
        <mc:Choice Requires="wps">
          <w:drawing>
            <wp:anchor distT="0" distB="0" distL="114300" distR="114300" simplePos="0" relativeHeight="251651072" behindDoc="0" locked="0" layoutInCell="0" allowOverlap="0" wp14:anchorId="380A718C" wp14:editId="03B2E167">
              <wp:simplePos x="0" y="0"/>
              <wp:positionH relativeFrom="page">
                <wp:posOffset>-1718945</wp:posOffset>
              </wp:positionH>
              <wp:positionV relativeFrom="page">
                <wp:posOffset>4681855</wp:posOffset>
              </wp:positionV>
              <wp:extent cx="4407408" cy="521208"/>
              <wp:effectExtent l="0" t="0" r="0" b="0"/>
              <wp:wrapNone/>
              <wp:docPr id="11" name="Text Box 11"/>
              <wp:cNvGraphicFramePr/>
              <a:graphic xmlns:a="http://schemas.openxmlformats.org/drawingml/2006/main">
                <a:graphicData uri="http://schemas.microsoft.com/office/word/2010/wordprocessingShape">
                  <wps:wsp>
                    <wps:cNvSpPr txBox="1"/>
                    <wps:spPr>
                      <a:xfrm rot="5400000">
                        <a:off x="0" y="0"/>
                        <a:ext cx="4407408" cy="521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325C78">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p w:rsidR="00EC50F2" w:rsidRDefault="00EC50F2" w:rsidP="0057250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A718C" id="_x0000_t202" coordsize="21600,21600" o:spt="202" path="m,l,21600r21600,l21600,xe">
              <v:stroke joinstyle="miter"/>
              <v:path gradientshapeok="t" o:connecttype="rect"/>
            </v:shapetype>
            <v:shape id="Text Box 11" o:spid="_x0000_s1042" type="#_x0000_t202" style="position:absolute;left:0;text-align:left;margin-left:-135.35pt;margin-top:368.65pt;width:347.05pt;height:41.05pt;rotation:9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" o:allowincell="f" o:allowoverlap="f" filled="f" stroked="f" strokeweight=".5pt">
              <v:textbo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325C78">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p w:rsidR="00EC50F2" w:rsidRDefault="00EC50F2" w:rsidP="0057250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txbxContent>
              </v:textbox>
              <w10:wrap anchorx="page" anchory="page"/>
            </v:shape>
          </w:pict>
        </mc:Fallback>
      </mc:AlternateContent>
    </w:r>
  </w:p>
  <w:p w:rsidR="00EC50F2" w:rsidRPr="00E46487" w:rsidRDefault="00EC50F2" w:rsidP="0028555D">
    <w:pPr>
      <w:pStyle w:val="Header"/>
      <w:jc w:val="right"/>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rsidP="009D6CB6">
    <w:pPr>
      <w:pStyle w:val="Header"/>
      <w:spacing w:after="160"/>
    </w:pPr>
    <w:r>
      <w:rPr>
        <w:noProof/>
      </w:rPr>
      <mc:AlternateContent>
        <mc:Choice Requires="wps">
          <w:drawing>
            <wp:anchor distT="0" distB="0" distL="114300" distR="114300" simplePos="0" relativeHeight="251657216" behindDoc="0" locked="0" layoutInCell="1" allowOverlap="1" wp14:anchorId="06573B4A" wp14:editId="5B8A44E5">
              <wp:simplePos x="0" y="0"/>
              <wp:positionH relativeFrom="page">
                <wp:posOffset>-1508760</wp:posOffset>
              </wp:positionH>
              <wp:positionV relativeFrom="page">
                <wp:posOffset>2130425</wp:posOffset>
              </wp:positionV>
              <wp:extent cx="3968496" cy="530352"/>
              <wp:effectExtent l="4445" t="0" r="0" b="0"/>
              <wp:wrapNone/>
              <wp:docPr id="30" name="Text Box 30"/>
              <wp:cNvGraphicFramePr/>
              <a:graphic xmlns:a="http://schemas.openxmlformats.org/drawingml/2006/main">
                <a:graphicData uri="http://schemas.microsoft.com/office/word/2010/wordprocessingShape">
                  <wps:wsp>
                    <wps:cNvSpPr txBox="1"/>
                    <wps:spPr>
                      <a:xfrm rot="5400000">
                        <a:off x="0" y="0"/>
                        <a:ext cx="3968496" cy="530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110</w:t>
                                </w:r>
                                <w:r w:rsidRPr="0018749C">
                                  <w:rPr>
                                    <w:rStyle w:val="PageNumber"/>
                                  </w:rPr>
                                  <w:fldChar w:fldCharType="end"/>
                                </w:r>
                              </w:p>
                            </w:tc>
                            <w:tc>
                              <w:tcPr>
                                <w:tcW w:w="5537" w:type="dxa"/>
                                <w:shd w:val="clear" w:color="auto" w:fill="auto"/>
                              </w:tcPr>
                              <w:p w:rsidR="00EC50F2" w:rsidRDefault="00EC50F2" w:rsidP="00325C78">
                                <w:pPr>
                                  <w:pStyle w:val="FooterEven"/>
                                </w:pPr>
                                <w:r w:rsidRPr="001B4BD5">
                                  <w:t>Department of Treasury and Finance</w:t>
                                </w:r>
                                <w:r w:rsidRPr="001B4BD5">
                                  <w:br/>
                                </w:r>
                                <w:r w:rsidRPr="00734B39">
                                  <w:t>Annual</w:t>
                                </w:r>
                                <w:r>
                                  <w:t xml:space="preserve"> Report 2017 | 18</w:t>
                                </w:r>
                              </w:p>
                            </w:tc>
                          </w:tr>
                        </w:tbl>
                        <w:p w:rsidR="00EC50F2" w:rsidRDefault="00EC50F2" w:rsidP="004F6CE6"/>
                        <w:p w:rsidR="00EC50F2" w:rsidRDefault="00EC50F2" w:rsidP="004F6CE6"/>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110</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F6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73B4A" id="_x0000_t202" coordsize="21600,21600" o:spt="202" path="m,l,21600r21600,l21600,xe">
              <v:stroke joinstyle="miter"/>
              <v:path gradientshapeok="t" o:connecttype="rect"/>
            </v:shapetype>
            <v:shape id="Text Box 30" o:spid="_x0000_s1044" type="#_x0000_t202" style="position:absolute;left:0;text-align:left;margin-left:-118.8pt;margin-top:167.75pt;width:312.5pt;height:41.75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" filled="f" stroked="f" strokeweight=".5pt">
              <v:textbox>
                <w:txbxContent>
                  <w:tbl>
                    <w:tblPr>
                      <w:tblW w:w="5149" w:type="pct"/>
                      <w:tblLayout w:type="fixed"/>
                      <w:tblCellMar>
                        <w:left w:w="57" w:type="dxa"/>
                        <w:right w:w="57" w:type="dxa"/>
                      </w:tblCellMar>
                      <w:tblLook w:val="0600" w:firstRow="0" w:lastRow="0" w:firstColumn="0" w:lastColumn="0" w:noHBand="1" w:noVBand="1"/>
                    </w:tblPr>
                    <w:tblGrid>
                      <w:gridCol w:w="724"/>
                      <w:gridCol w:w="5537"/>
                    </w:tblGrid>
                    <w:tr w:rsidR="00EC50F2" w:rsidTr="00572502">
                      <w:trPr>
                        <w:cantSplit/>
                      </w:trPr>
                      <w:tc>
                        <w:tcPr>
                          <w:tcW w:w="724"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110</w:t>
                          </w:r>
                          <w:r w:rsidRPr="0018749C">
                            <w:rPr>
                              <w:rStyle w:val="PageNumber"/>
                            </w:rPr>
                            <w:fldChar w:fldCharType="end"/>
                          </w:r>
                        </w:p>
                      </w:tc>
                      <w:tc>
                        <w:tcPr>
                          <w:tcW w:w="5537" w:type="dxa"/>
                          <w:shd w:val="clear" w:color="auto" w:fill="auto"/>
                        </w:tcPr>
                        <w:p w:rsidR="00EC50F2" w:rsidRDefault="00EC50F2" w:rsidP="00325C78">
                          <w:pPr>
                            <w:pStyle w:val="FooterEven"/>
                          </w:pPr>
                          <w:r w:rsidRPr="001B4BD5">
                            <w:t>Department of Treasury and Finance</w:t>
                          </w:r>
                          <w:r w:rsidRPr="001B4BD5">
                            <w:br/>
                          </w:r>
                          <w:r w:rsidRPr="00734B39">
                            <w:t>Annual</w:t>
                          </w:r>
                          <w:r>
                            <w:t xml:space="preserve"> Report 2017 | 18</w:t>
                          </w:r>
                        </w:p>
                      </w:tc>
                    </w:tr>
                  </w:tbl>
                  <w:p w:rsidR="00EC50F2" w:rsidRDefault="00EC50F2" w:rsidP="004F6CE6"/>
                  <w:p w:rsidR="00EC50F2" w:rsidRDefault="00EC50F2" w:rsidP="004F6CE6"/>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110</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4F6CE6"/>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46487" w:rsidRDefault="00EC50F2" w:rsidP="009D6CB6">
    <w:pPr>
      <w:pStyle w:val="Header"/>
      <w:spacing w:after="200"/>
    </w:pPr>
    <w:r>
      <w:rPr>
        <w:noProof/>
      </w:rPr>
      <mc:AlternateContent>
        <mc:Choice Requires="wps">
          <w:drawing>
            <wp:anchor distT="0" distB="0" distL="114300" distR="114300" simplePos="0" relativeHeight="251654144" behindDoc="0" locked="0" layoutInCell="0" allowOverlap="0" wp14:anchorId="6281FC2D" wp14:editId="2FB43546">
              <wp:simplePos x="0" y="0"/>
              <wp:positionH relativeFrom="page">
                <wp:posOffset>-1718945</wp:posOffset>
              </wp:positionH>
              <wp:positionV relativeFrom="page">
                <wp:posOffset>4681855</wp:posOffset>
              </wp:positionV>
              <wp:extent cx="4407408" cy="521208"/>
              <wp:effectExtent l="0" t="0" r="0" b="0"/>
              <wp:wrapNone/>
              <wp:docPr id="12" name="Text Box 12"/>
              <wp:cNvGraphicFramePr/>
              <a:graphic xmlns:a="http://schemas.openxmlformats.org/drawingml/2006/main">
                <a:graphicData uri="http://schemas.microsoft.com/office/word/2010/wordprocessingShape">
                  <wps:wsp>
                    <wps:cNvSpPr txBox="1"/>
                    <wps:spPr>
                      <a:xfrm rot="5400000">
                        <a:off x="0" y="0"/>
                        <a:ext cx="4407408" cy="521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416E9A">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p w:rsidR="00EC50F2" w:rsidRDefault="00EC50F2" w:rsidP="0057250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1FC2D" id="_x0000_t202" coordsize="21600,21600" o:spt="202" path="m,l,21600r21600,l21600,xe">
              <v:stroke joinstyle="miter"/>
              <v:path gradientshapeok="t" o:connecttype="rect"/>
            </v:shapetype>
            <v:shape id="Text Box 12" o:spid="_x0000_s1045" type="#_x0000_t202" style="position:absolute;left:0;text-align:left;margin-left:-135.35pt;margin-top:368.65pt;width:347.05pt;height:41.05pt;rotation:9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" o:allowincell="f" o:allowoverlap="f" filled="f" stroked="f" strokeweight=".5pt">
              <v:textbo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416E9A">
                          <w:pPr>
                            <w:pStyle w:val="FooterEven"/>
                            <w:jc w:val="right"/>
                          </w:pPr>
                          <w:r w:rsidRPr="001B4BD5">
                            <w:t>Department of Treasury and Finance</w:t>
                          </w:r>
                          <w:r w:rsidRPr="001B4BD5">
                            <w:br/>
                          </w:r>
                          <w:r w:rsidRPr="00734B39">
                            <w:t>Annual</w:t>
                          </w:r>
                          <w:r>
                            <w:t xml:space="preserve"> Report 2017 | 18</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p w:rsidR="00EC50F2" w:rsidRDefault="00EC50F2" w:rsidP="0057250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109</w:t>
                          </w:r>
                          <w:r w:rsidRPr="0018749C">
                            <w:rPr>
                              <w:rStyle w:val="PageNumber"/>
                            </w:rPr>
                            <w:fldChar w:fldCharType="end"/>
                          </w:r>
                        </w:p>
                      </w:tc>
                    </w:tr>
                  </w:tbl>
                  <w:p w:rsidR="00EC50F2" w:rsidRDefault="00EC50F2" w:rsidP="00572502"/>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46487" w:rsidRDefault="00EC50F2" w:rsidP="00E4648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46487" w:rsidRDefault="00EC50F2" w:rsidP="0028555D">
    <w:pPr>
      <w:pStyle w:val="Header"/>
      <w:jc w:val="righ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E46487" w:rsidRDefault="00EC50F2" w:rsidP="0028555D">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pPr>
      <w:pStyle w:val="Header"/>
    </w:pPr>
    <w:r>
      <w:rPr>
        <w:noProof/>
      </w:rPr>
      <mc:AlternateContent>
        <mc:Choice Requires="wps">
          <w:drawing>
            <wp:anchor distT="0" distB="0" distL="114300" distR="114300" simplePos="0" relativeHeight="251629568" behindDoc="0" locked="0" layoutInCell="1" allowOverlap="1" wp14:anchorId="349F574E" wp14:editId="5FE5190A">
              <wp:simplePos x="0" y="0"/>
              <wp:positionH relativeFrom="column">
                <wp:posOffset>-2373948</wp:posOffset>
              </wp:positionH>
              <wp:positionV relativeFrom="paragraph">
                <wp:posOffset>1660338</wp:posOffset>
              </wp:positionV>
              <wp:extent cx="3968115" cy="525780"/>
              <wp:effectExtent l="0" t="0" r="952" b="0"/>
              <wp:wrapNone/>
              <wp:docPr id="2" name="Text Box 2"/>
              <wp:cNvGraphicFramePr/>
              <a:graphic xmlns:a="http://schemas.openxmlformats.org/drawingml/2006/main">
                <a:graphicData uri="http://schemas.microsoft.com/office/word/2010/wordprocessingShape">
                  <wps:wsp>
                    <wps:cNvSpPr txBox="1"/>
                    <wps:spPr>
                      <a:xfrm rot="5400000">
                        <a:off x="0" y="0"/>
                        <a:ext cx="396811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48</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B8418B"/>
                        <w:p w:rsidR="00EC50F2" w:rsidRDefault="00EC50F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48</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B84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F574E" id="_x0000_t202" coordsize="21600,21600" o:spt="202" path="m,l,21600r21600,l21600,xe">
              <v:stroke joinstyle="miter"/>
              <v:path gradientshapeok="t" o:connecttype="rect"/>
            </v:shapetype>
            <v:shape id="Text Box 2" o:spid="_x0000_s1026" type="#_x0000_t202" style="position:absolute;left:0;text-align:left;margin-left:-186.95pt;margin-top:130.75pt;width:312.45pt;height:41.4pt;rotation:9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" filled="f" stroked="f" strokeweight=".5pt">
              <v:textbox>
                <w:txbxContent>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48</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2017 | 18</w:t>
                          </w:r>
                        </w:p>
                      </w:tc>
                    </w:tr>
                  </w:tbl>
                  <w:p w:rsidR="00EC50F2" w:rsidRDefault="00EC50F2" w:rsidP="00B8418B"/>
                  <w:p w:rsidR="00EC50F2" w:rsidRDefault="00EC50F2"/>
                  <w:tbl>
                    <w:tblPr>
                      <w:tblW w:w="5001" w:type="pct"/>
                      <w:tblLayout w:type="fixed"/>
                      <w:tblCellMar>
                        <w:left w:w="57" w:type="dxa"/>
                        <w:right w:w="57" w:type="dxa"/>
                      </w:tblCellMar>
                      <w:tblLook w:val="0600" w:firstRow="0" w:lastRow="0" w:firstColumn="0" w:lastColumn="0" w:noHBand="1" w:noVBand="1"/>
                    </w:tblPr>
                    <w:tblGrid>
                      <w:gridCol w:w="544"/>
                      <w:gridCol w:w="5537"/>
                    </w:tblGrid>
                    <w:tr w:rsidR="00EC50F2" w:rsidTr="001C1023">
                      <w:trPr>
                        <w:cantSplit/>
                      </w:trPr>
                      <w:tc>
                        <w:tcPr>
                          <w:tcW w:w="800" w:type="dxa"/>
                        </w:tcPr>
                        <w:p w:rsidR="00EC50F2" w:rsidRDefault="00EC50F2" w:rsidP="001C1023">
                          <w:pPr>
                            <w:pStyle w:val="PageNumberLef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48</w:t>
                          </w:r>
                          <w:r w:rsidRPr="0018749C">
                            <w:rPr>
                              <w:rStyle w:val="PageNumber"/>
                            </w:rPr>
                            <w:fldChar w:fldCharType="end"/>
                          </w:r>
                        </w:p>
                      </w:tc>
                      <w:tc>
                        <w:tcPr>
                          <w:tcW w:w="8918" w:type="dxa"/>
                          <w:shd w:val="clear" w:color="auto" w:fill="auto"/>
                        </w:tcPr>
                        <w:p w:rsidR="00EC50F2" w:rsidRDefault="00EC50F2" w:rsidP="001C1023">
                          <w:pPr>
                            <w:pStyle w:val="FooterEven"/>
                          </w:pPr>
                          <w:r w:rsidRPr="001B4BD5">
                            <w:t>Department of Treasury and Finance</w:t>
                          </w:r>
                          <w:r w:rsidRPr="001B4BD5">
                            <w:br/>
                          </w:r>
                          <w:r w:rsidRPr="00734B39">
                            <w:t>Annual</w:t>
                          </w:r>
                          <w:r>
                            <w:t xml:space="preserve"> Report 2016 | 17</w:t>
                          </w:r>
                        </w:p>
                      </w:tc>
                    </w:tr>
                  </w:tbl>
                  <w:p w:rsidR="00EC50F2" w:rsidRDefault="00EC50F2" w:rsidP="00B8418B"/>
                </w:txbxContent>
              </v:textbox>
            </v:shape>
          </w:pict>
        </mc:Fallback>
      </mc:AlternateContent>
    </w:r>
    <w:r>
      <w:rPr>
        <w:noProof/>
      </w:rPr>
      <mc:AlternateContent>
        <mc:Choice Requires="wps">
          <w:drawing>
            <wp:anchor distT="0" distB="0" distL="114300" distR="114300" simplePos="0" relativeHeight="251632640" behindDoc="0" locked="0" layoutInCell="0" allowOverlap="1" wp14:anchorId="72FE6CF8" wp14:editId="25A76C38">
              <wp:simplePos x="0" y="0"/>
              <wp:positionH relativeFrom="rightMargin">
                <wp:posOffset>276860</wp:posOffset>
              </wp:positionH>
              <wp:positionV relativeFrom="margin">
                <wp:posOffset>-382905</wp:posOffset>
              </wp:positionV>
              <wp:extent cx="510540" cy="632460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324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F2" w:rsidRPr="0067054D" w:rsidRDefault="00EC50F2" w:rsidP="00C02E04">
                          <w:pPr>
                            <w:pStyle w:val="Header"/>
                            <w:ind w:left="0" w:right="-448"/>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2</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Funding delivery of our services</w:t>
                          </w:r>
                          <w:r w:rsidRPr="0067054D">
                            <w:rPr>
                              <w:b/>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FE6CF8" id="Rectangle 3" o:spid="_x0000_s1027" style="position:absolute;left:0;text-align:left;margin-left:21.8pt;margin-top:-30.15pt;width:40.2pt;height:498pt;z-index:251632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" o:allowincell="f" filled="f" stroked="f">
              <v:textbox style="layout-flow:vertical;mso-fit-shape-to-text:t">
                <w:txbxContent>
                  <w:p w:rsidR="00EC50F2" w:rsidRPr="0067054D" w:rsidRDefault="00EC50F2" w:rsidP="00C02E04">
                    <w:pPr>
                      <w:pStyle w:val="Header"/>
                      <w:ind w:left="0" w:right="-448"/>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2</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Funding delivery of our services</w:t>
                    </w:r>
                    <w:r w:rsidRPr="0067054D">
                      <w:rPr>
                        <w:b/>
                        <w:noProof/>
                      </w:rPr>
                      <w:fldChar w:fldCharType="end"/>
                    </w:r>
                  </w:p>
                </w:txbxContent>
              </v:textbox>
              <w10:wrap anchorx="margin" anchory="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Default="00EC50F2">
    <w:pPr>
      <w:pStyle w:val="Header"/>
    </w:pPr>
    <w:r>
      <w:rPr>
        <w:noProof/>
      </w:rPr>
      <mc:AlternateContent>
        <mc:Choice Requires="wps">
          <w:drawing>
            <wp:anchor distT="0" distB="0" distL="114300" distR="114300" simplePos="0" relativeHeight="251635712" behindDoc="0" locked="0" layoutInCell="0" allowOverlap="0" wp14:anchorId="22EF5911" wp14:editId="5338A7E8">
              <wp:simplePos x="0" y="0"/>
              <wp:positionH relativeFrom="page">
                <wp:posOffset>-1718945</wp:posOffset>
              </wp:positionH>
              <wp:positionV relativeFrom="page">
                <wp:posOffset>4681855</wp:posOffset>
              </wp:positionV>
              <wp:extent cx="4407408" cy="521208"/>
              <wp:effectExtent l="0" t="0" r="0" b="0"/>
              <wp:wrapNone/>
              <wp:docPr id="4" name="Text Box 4"/>
              <wp:cNvGraphicFramePr/>
              <a:graphic xmlns:a="http://schemas.openxmlformats.org/drawingml/2006/main">
                <a:graphicData uri="http://schemas.microsoft.com/office/word/2010/wordprocessingShape">
                  <wps:wsp>
                    <wps:cNvSpPr txBox="1"/>
                    <wps:spPr>
                      <a:xfrm rot="5400000">
                        <a:off x="0" y="0"/>
                        <a:ext cx="4407408" cy="5212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49</w:t>
                                </w:r>
                                <w:r w:rsidRPr="0018749C">
                                  <w:rPr>
                                    <w:rStyle w:val="PageNumber"/>
                                  </w:rPr>
                                  <w:fldChar w:fldCharType="end"/>
                                </w:r>
                              </w:p>
                            </w:tc>
                          </w:tr>
                        </w:tbl>
                        <w:p w:rsidR="00EC50F2" w:rsidRDefault="00EC50F2" w:rsidP="00824215"/>
                        <w:p w:rsidR="00EC50F2" w:rsidRDefault="00EC50F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49</w:t>
                                </w:r>
                                <w:r w:rsidRPr="0018749C">
                                  <w:rPr>
                                    <w:rStyle w:val="PageNumber"/>
                                  </w:rPr>
                                  <w:fldChar w:fldCharType="end"/>
                                </w:r>
                              </w:p>
                            </w:tc>
                          </w:tr>
                        </w:tbl>
                        <w:p w:rsidR="00EC50F2" w:rsidRDefault="00EC50F2" w:rsidP="008242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F5911" id="_x0000_t202" coordsize="21600,21600" o:spt="202" path="m,l,21600r21600,l21600,xe">
              <v:stroke joinstyle="miter"/>
              <v:path gradientshapeok="t" o:connecttype="rect"/>
            </v:shapetype>
            <v:shape id="Text Box 4" o:spid="_x0000_s1028" type="#_x0000_t202" style="position:absolute;left:0;text-align:left;margin-left:-135.35pt;margin-top:368.65pt;width:347.05pt;height:41.05pt;rotation:9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" o:allowincell="f" o:allowoverlap="f" filled="f" stroked="f" strokeweight=".5pt">
              <v:textbox>
                <w:txbxContent>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49</w:t>
                          </w:r>
                          <w:r w:rsidRPr="0018749C">
                            <w:rPr>
                              <w:rStyle w:val="PageNumber"/>
                            </w:rPr>
                            <w:fldChar w:fldCharType="end"/>
                          </w:r>
                        </w:p>
                      </w:tc>
                    </w:tr>
                  </w:tbl>
                  <w:p w:rsidR="00EC50F2" w:rsidRDefault="00EC50F2" w:rsidP="00824215"/>
                  <w:p w:rsidR="00EC50F2" w:rsidRDefault="00EC50F2"/>
                  <w:tbl>
                    <w:tblPr>
                      <w:tblW w:w="6814" w:type="dxa"/>
                      <w:tblLayout w:type="fixed"/>
                      <w:tblCellMar>
                        <w:left w:w="57" w:type="dxa"/>
                        <w:right w:w="57" w:type="dxa"/>
                      </w:tblCellMar>
                      <w:tblLook w:val="0600" w:firstRow="0" w:lastRow="0" w:firstColumn="0" w:lastColumn="0" w:noHBand="1" w:noVBand="1"/>
                    </w:tblPr>
                    <w:tblGrid>
                      <w:gridCol w:w="5997"/>
                      <w:gridCol w:w="817"/>
                    </w:tblGrid>
                    <w:tr w:rsidR="00EC50F2" w:rsidTr="00105A1F">
                      <w:trPr>
                        <w:cantSplit/>
                      </w:trPr>
                      <w:tc>
                        <w:tcPr>
                          <w:tcW w:w="5997" w:type="dxa"/>
                          <w:shd w:val="clear" w:color="auto" w:fill="auto"/>
                        </w:tcPr>
                        <w:p w:rsidR="00EC50F2" w:rsidRDefault="00EC50F2" w:rsidP="00105A1F">
                          <w:pPr>
                            <w:pStyle w:val="FooterEven"/>
                            <w:jc w:val="right"/>
                          </w:pPr>
                          <w:r w:rsidRPr="001B4BD5">
                            <w:t>Department of Treasury and Finance</w:t>
                          </w:r>
                          <w:r w:rsidRPr="001B4BD5">
                            <w:br/>
                          </w:r>
                          <w:r w:rsidRPr="00734B39">
                            <w:t>Annual</w:t>
                          </w:r>
                          <w:r>
                            <w:t xml:space="preserve"> Report 2016 | 17</w:t>
                          </w:r>
                        </w:p>
                      </w:tc>
                      <w:tc>
                        <w:tcPr>
                          <w:tcW w:w="817" w:type="dxa"/>
                        </w:tcPr>
                        <w:p w:rsidR="00EC50F2" w:rsidRPr="001B4BD5" w:rsidRDefault="00EC50F2" w:rsidP="00105A1F">
                          <w:pPr>
                            <w:pStyle w:val="FooterEven"/>
                            <w:jc w:val="right"/>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49</w:t>
                          </w:r>
                          <w:r w:rsidRPr="0018749C">
                            <w:rPr>
                              <w:rStyle w:val="PageNumber"/>
                            </w:rPr>
                            <w:fldChar w:fldCharType="end"/>
                          </w:r>
                        </w:p>
                      </w:tc>
                    </w:tr>
                  </w:tbl>
                  <w:p w:rsidR="00EC50F2" w:rsidRDefault="00EC50F2" w:rsidP="00824215"/>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0" allowOverlap="1" wp14:anchorId="3F8E5B1A" wp14:editId="5349DCE5">
              <wp:simplePos x="0" y="0"/>
              <wp:positionH relativeFrom="page">
                <wp:posOffset>9848215</wp:posOffset>
              </wp:positionH>
              <wp:positionV relativeFrom="page">
                <wp:posOffset>868680</wp:posOffset>
              </wp:positionV>
              <wp:extent cx="510540" cy="63246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324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F2" w:rsidRDefault="00EC50F2"/>
                        <w:p w:rsidR="00EC50F2" w:rsidRPr="0067054D" w:rsidRDefault="00EC50F2" w:rsidP="000D3F2C">
                          <w:pPr>
                            <w:pStyle w:val="Header"/>
                            <w:ind w:right="0"/>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2</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Funding delivery of our services</w:t>
                          </w:r>
                          <w:r w:rsidRPr="0067054D">
                            <w:rPr>
                              <w:b/>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8E5B1A" id="_x0000_s1029" style="position:absolute;left:0;text-align:left;margin-left:775.45pt;margin-top:68.4pt;width:40.2pt;height:49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" o:allowincell="f" filled="f" stroked="f">
              <v:textbox style="layout-flow:vertical;mso-fit-shape-to-text:t">
                <w:txbxContent>
                  <w:p w:rsidR="00EC50F2" w:rsidRDefault="00EC50F2"/>
                  <w:p w:rsidR="00EC50F2" w:rsidRPr="0067054D" w:rsidRDefault="00EC50F2" w:rsidP="000D3F2C">
                    <w:pPr>
                      <w:pStyle w:val="Header"/>
                      <w:ind w:right="0"/>
                      <w:jc w:val="right"/>
                      <w:rPr>
                        <w:b/>
                      </w:rPr>
                    </w:pPr>
                    <w:r w:rsidRPr="0067054D">
                      <w:rPr>
                        <w:b/>
                      </w:rPr>
                      <w:fldChar w:fldCharType="begin"/>
                    </w:r>
                    <w:r w:rsidRPr="0067054D">
                      <w:rPr>
                        <w:b/>
                      </w:rPr>
                      <w:instrText xml:space="preserve"> STYLEREF  "Heading 1 numbered" \N  \* MERGEFORMAT </w:instrText>
                    </w:r>
                    <w:r w:rsidRPr="0067054D">
                      <w:rPr>
                        <w:b/>
                      </w:rPr>
                      <w:fldChar w:fldCharType="separate"/>
                    </w:r>
                    <w:r w:rsidR="00BE5F15">
                      <w:rPr>
                        <w:b/>
                        <w:noProof/>
                      </w:rPr>
                      <w:t>2</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BE5F15">
                      <w:rPr>
                        <w:b/>
                        <w:noProof/>
                      </w:rPr>
                      <w:t>Funding delivery of our services</w:t>
                    </w:r>
                    <w:r w:rsidRPr="0067054D">
                      <w:rPr>
                        <w:b/>
                        <w:noProof/>
                      </w:rPr>
                      <w:fldChar w:fldCharType="end"/>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F2" w:rsidRPr="0067054D" w:rsidRDefault="00EC50F2" w:rsidP="005B0593">
    <w:pPr>
      <w:pStyle w:val="Header"/>
      <w:rPr>
        <w:b/>
      </w:rPr>
    </w:pPr>
    <w:r w:rsidRPr="0067054D">
      <w:rPr>
        <w:b/>
      </w:rPr>
      <w:fldChar w:fldCharType="begin"/>
    </w:r>
    <w:r w:rsidRPr="0067054D">
      <w:rPr>
        <w:b/>
      </w:rPr>
      <w:instrText xml:space="preserve"> STYLEREF  "Heading 1 numbered" \N  \* MERGEFORMAT </w:instrText>
    </w:r>
    <w:r w:rsidRPr="0067054D">
      <w:rPr>
        <w:b/>
      </w:rPr>
      <w:fldChar w:fldCharType="separate"/>
    </w:r>
    <w:r w:rsidR="00EC4CFD">
      <w:rPr>
        <w:b/>
        <w:noProof/>
      </w:rPr>
      <w:t>2</w:t>
    </w:r>
    <w:r w:rsidRPr="0067054D">
      <w:rPr>
        <w:b/>
        <w:noProof/>
      </w:rPr>
      <w:fldChar w:fldCharType="end"/>
    </w:r>
    <w:r w:rsidRPr="0067054D">
      <w:rPr>
        <w:b/>
        <w:noProof/>
      </w:rPr>
      <w:t>.</w:t>
    </w:r>
    <w:r>
      <w:rPr>
        <w:b/>
        <w:noProof/>
      </w:rPr>
      <w:t xml:space="preserve"> </w:t>
    </w:r>
    <w:r w:rsidRPr="0067054D">
      <w:rPr>
        <w:b/>
      </w:rPr>
      <w:fldChar w:fldCharType="begin"/>
    </w:r>
    <w:r w:rsidRPr="0067054D">
      <w:rPr>
        <w:b/>
      </w:rPr>
      <w:instrText xml:space="preserve"> STYLEREF  "Heading 1 numbered"  \* MERGEFORMAT </w:instrText>
    </w:r>
    <w:r w:rsidRPr="0067054D">
      <w:rPr>
        <w:b/>
      </w:rPr>
      <w:fldChar w:fldCharType="separate"/>
    </w:r>
    <w:r w:rsidR="00EC4CFD">
      <w:rPr>
        <w:b/>
        <w:noProof/>
      </w:rPr>
      <w:t>Funding delivery of our services</w:t>
    </w:r>
    <w:r w:rsidRPr="0067054D">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9FEF69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FF4C7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A5897"/>
    <w:multiLevelType w:val="hybridMultilevel"/>
    <w:tmpl w:val="AA040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07A2C"/>
    <w:multiLevelType w:val="hybridMultilevel"/>
    <w:tmpl w:val="5C08387E"/>
    <w:lvl w:ilvl="0" w:tplc="9BBE3162">
      <w:start w:val="1"/>
      <w:numFmt w:val="lowerLetter"/>
      <w:lvlText w:val="(%1)"/>
      <w:lvlJc w:val="left"/>
      <w:pPr>
        <w:tabs>
          <w:tab w:val="num" w:pos="1080"/>
        </w:tabs>
        <w:ind w:left="1080" w:hanging="720"/>
      </w:pPr>
      <w:rPr>
        <w:rFonts w:hint="default"/>
      </w:rPr>
    </w:lvl>
    <w:lvl w:ilvl="1" w:tplc="ECA28BFA">
      <w:start w:val="1"/>
      <w:numFmt w:val="bullet"/>
      <w:lvlText w:val=""/>
      <w:lvlJc w:val="left"/>
      <w:pPr>
        <w:tabs>
          <w:tab w:val="num" w:pos="284"/>
        </w:tabs>
        <w:ind w:left="28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721F95"/>
    <w:multiLevelType w:val="hybridMultilevel"/>
    <w:tmpl w:val="3C200E66"/>
    <w:lvl w:ilvl="0" w:tplc="C0C265FE">
      <w:start w:val="1"/>
      <w:numFmt w:val="bullet"/>
      <w:pStyle w:val="Tablebullet"/>
      <w:lvlText w:val=""/>
      <w:lvlJc w:val="left"/>
      <w:pPr>
        <w:tabs>
          <w:tab w:val="num" w:pos="360"/>
        </w:tabs>
        <w:ind w:left="360" w:hanging="360"/>
      </w:pPr>
      <w:rPr>
        <w:rFonts w:ascii="Symbol" w:hAnsi="Symbol" w:hint="default"/>
        <w:sz w:val="14"/>
        <w:szCs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9310A"/>
    <w:multiLevelType w:val="singleLevel"/>
    <w:tmpl w:val="0C090001"/>
    <w:lvl w:ilvl="0">
      <w:start w:val="1"/>
      <w:numFmt w:val="bullet"/>
      <w:lvlText w:val=""/>
      <w:lvlJc w:val="left"/>
      <w:pPr>
        <w:ind w:left="720" w:hanging="360"/>
      </w:pPr>
      <w:rPr>
        <w:rFonts w:ascii="Symbol" w:hAnsi="Symbol" w:hint="default"/>
      </w:rPr>
    </w:lvl>
  </w:abstractNum>
  <w:abstractNum w:abstractNumId="6" w15:restartNumberingAfterBreak="0">
    <w:nsid w:val="1F692B31"/>
    <w:multiLevelType w:val="multilevel"/>
    <w:tmpl w:val="F580C5D0"/>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456FFD"/>
    <w:multiLevelType w:val="multilevel"/>
    <w:tmpl w:val="0EA8B9BE"/>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A54181"/>
    <w:multiLevelType w:val="singleLevel"/>
    <w:tmpl w:val="4F528AEA"/>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2982205B"/>
    <w:multiLevelType w:val="hybridMultilevel"/>
    <w:tmpl w:val="0B16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EF4156"/>
    <w:multiLevelType w:val="hybridMultilevel"/>
    <w:tmpl w:val="ED0A2932"/>
    <w:lvl w:ilvl="0" w:tplc="D172B8FE">
      <w:start w:val="1"/>
      <w:numFmt w:val="bullet"/>
      <w:pStyle w:val="TOC4"/>
      <w:lvlText w:val="-"/>
      <w:lvlJc w:val="left"/>
      <w:pPr>
        <w:ind w:left="2707" w:hanging="360"/>
      </w:pPr>
      <w:rPr>
        <w:rFonts w:ascii="Symbol" w:hAnsi="Symbol" w:hint="default"/>
      </w:rPr>
    </w:lvl>
    <w:lvl w:ilvl="1" w:tplc="0C090003" w:tentative="1">
      <w:start w:val="1"/>
      <w:numFmt w:val="bullet"/>
      <w:lvlText w:val="o"/>
      <w:lvlJc w:val="left"/>
      <w:pPr>
        <w:ind w:left="3427" w:hanging="360"/>
      </w:pPr>
      <w:rPr>
        <w:rFonts w:ascii="Courier New" w:hAnsi="Courier New" w:cs="Courier New" w:hint="default"/>
      </w:rPr>
    </w:lvl>
    <w:lvl w:ilvl="2" w:tplc="0C090005" w:tentative="1">
      <w:start w:val="1"/>
      <w:numFmt w:val="bullet"/>
      <w:lvlText w:val=""/>
      <w:lvlJc w:val="left"/>
      <w:pPr>
        <w:ind w:left="4147" w:hanging="360"/>
      </w:pPr>
      <w:rPr>
        <w:rFonts w:ascii="Wingdings" w:hAnsi="Wingdings" w:hint="default"/>
      </w:rPr>
    </w:lvl>
    <w:lvl w:ilvl="3" w:tplc="0C090001" w:tentative="1">
      <w:start w:val="1"/>
      <w:numFmt w:val="bullet"/>
      <w:lvlText w:val=""/>
      <w:lvlJc w:val="left"/>
      <w:pPr>
        <w:ind w:left="4867" w:hanging="360"/>
      </w:pPr>
      <w:rPr>
        <w:rFonts w:ascii="Symbol" w:hAnsi="Symbol" w:hint="default"/>
      </w:rPr>
    </w:lvl>
    <w:lvl w:ilvl="4" w:tplc="0C090003" w:tentative="1">
      <w:start w:val="1"/>
      <w:numFmt w:val="bullet"/>
      <w:lvlText w:val="o"/>
      <w:lvlJc w:val="left"/>
      <w:pPr>
        <w:ind w:left="5587" w:hanging="360"/>
      </w:pPr>
      <w:rPr>
        <w:rFonts w:ascii="Courier New" w:hAnsi="Courier New" w:cs="Courier New" w:hint="default"/>
      </w:rPr>
    </w:lvl>
    <w:lvl w:ilvl="5" w:tplc="0C090005" w:tentative="1">
      <w:start w:val="1"/>
      <w:numFmt w:val="bullet"/>
      <w:lvlText w:val=""/>
      <w:lvlJc w:val="left"/>
      <w:pPr>
        <w:ind w:left="6307" w:hanging="360"/>
      </w:pPr>
      <w:rPr>
        <w:rFonts w:ascii="Wingdings" w:hAnsi="Wingdings" w:hint="default"/>
      </w:rPr>
    </w:lvl>
    <w:lvl w:ilvl="6" w:tplc="0C090001" w:tentative="1">
      <w:start w:val="1"/>
      <w:numFmt w:val="bullet"/>
      <w:lvlText w:val=""/>
      <w:lvlJc w:val="left"/>
      <w:pPr>
        <w:ind w:left="7027" w:hanging="360"/>
      </w:pPr>
      <w:rPr>
        <w:rFonts w:ascii="Symbol" w:hAnsi="Symbol" w:hint="default"/>
      </w:rPr>
    </w:lvl>
    <w:lvl w:ilvl="7" w:tplc="0C090003" w:tentative="1">
      <w:start w:val="1"/>
      <w:numFmt w:val="bullet"/>
      <w:lvlText w:val="o"/>
      <w:lvlJc w:val="left"/>
      <w:pPr>
        <w:ind w:left="7747" w:hanging="360"/>
      </w:pPr>
      <w:rPr>
        <w:rFonts w:ascii="Courier New" w:hAnsi="Courier New" w:cs="Courier New" w:hint="default"/>
      </w:rPr>
    </w:lvl>
    <w:lvl w:ilvl="8" w:tplc="0C090005" w:tentative="1">
      <w:start w:val="1"/>
      <w:numFmt w:val="bullet"/>
      <w:lvlText w:val=""/>
      <w:lvlJc w:val="left"/>
      <w:pPr>
        <w:ind w:left="8467" w:hanging="360"/>
      </w:pPr>
      <w:rPr>
        <w:rFonts w:ascii="Wingdings" w:hAnsi="Wingdings" w:hint="default"/>
      </w:rPr>
    </w:lvl>
  </w:abstractNum>
  <w:abstractNum w:abstractNumId="11" w15:restartNumberingAfterBreak="0">
    <w:nsid w:val="34624471"/>
    <w:multiLevelType w:val="hybridMultilevel"/>
    <w:tmpl w:val="D390CC90"/>
    <w:lvl w:ilvl="0" w:tplc="25C8D7F4">
      <w:start w:val="1"/>
      <w:numFmt w:val="bullet"/>
      <w:lvlText w:val=""/>
      <w:lvlJc w:val="left"/>
      <w:pPr>
        <w:ind w:left="502" w:hanging="360"/>
      </w:pPr>
      <w:rPr>
        <w:rFonts w:ascii="Symbol" w:hAnsi="Symbol" w:hint="default"/>
        <w:sz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2" w15:restartNumberingAfterBreak="0">
    <w:nsid w:val="36E47BAD"/>
    <w:multiLevelType w:val="multilevel"/>
    <w:tmpl w:val="5E4CF88A"/>
    <w:lvl w:ilvl="0">
      <w:start w:val="1"/>
      <w:numFmt w:val="bullet"/>
      <w:pStyle w:val="TargetMet"/>
      <w:suff w:val="nothing"/>
      <w:lvlText w:val=""/>
      <w:lvlJc w:val="left"/>
      <w:pPr>
        <w:ind w:left="360" w:hanging="360"/>
      </w:pPr>
      <w:rPr>
        <w:rFonts w:ascii="Wingdings" w:hAnsi="Wingdings" w:hint="default"/>
      </w:rPr>
    </w:lvl>
    <w:lvl w:ilvl="1">
      <w:start w:val="1"/>
      <w:numFmt w:val="bullet"/>
      <w:pStyle w:val="TargetNotMet5"/>
      <w:suff w:val="nothing"/>
      <w:lvlText w:val=""/>
      <w:lvlJc w:val="left"/>
      <w:pPr>
        <w:ind w:left="360" w:hanging="360"/>
      </w:pPr>
      <w:rPr>
        <w:rFonts w:ascii="Wingdings" w:hAnsi="Wingdings" w:hint="default"/>
      </w:rPr>
    </w:lvl>
    <w:lvl w:ilvl="2">
      <w:start w:val="1"/>
      <w:numFmt w:val="bullet"/>
      <w:pStyle w:val="TargetNotMet50"/>
      <w:suff w:val="nothing"/>
      <w:lvlText w:val=""/>
      <w:lvlJc w:val="left"/>
      <w:pPr>
        <w:ind w:left="36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00467F"/>
    <w:multiLevelType w:val="multilevel"/>
    <w:tmpl w:val="3766C9F8"/>
    <w:lvl w:ilvl="0">
      <w:start w:val="1"/>
      <w:numFmt w:val="bullet"/>
      <w:pStyle w:val="Bullet"/>
      <w:lvlText w:val=""/>
      <w:lvlJc w:val="left"/>
      <w:pPr>
        <w:tabs>
          <w:tab w:val="num" w:pos="360"/>
        </w:tabs>
        <w:ind w:left="360" w:hanging="360"/>
      </w:pPr>
      <w:rPr>
        <w:rFonts w:ascii="Symbol" w:hAnsi="Symbol" w:hint="default"/>
        <w:b w:val="0"/>
        <w:i w:val="0"/>
        <w:sz w:val="18"/>
      </w:rPr>
    </w:lvl>
    <w:lvl w:ilvl="1">
      <w:start w:val="1"/>
      <w:numFmt w:val="bullet"/>
      <w:pStyle w:val="Dash"/>
      <w:lvlText w:val=""/>
      <w:lvlJc w:val="left"/>
      <w:pPr>
        <w:tabs>
          <w:tab w:val="num" w:pos="720"/>
        </w:tabs>
        <w:ind w:left="720" w:hanging="360"/>
      </w:pPr>
      <w:rPr>
        <w:rFonts w:ascii="Symbol" w:hAnsi="Symbol" w:hint="default"/>
        <w:b w:val="0"/>
        <w:i w:val="0"/>
      </w:rPr>
    </w:lvl>
    <w:lvl w:ilvl="2">
      <w:start w:val="1"/>
      <w:numFmt w:val="decimal"/>
      <w:lvlText w:val="%1.%2.%3"/>
      <w:lvlJc w:val="left"/>
      <w:pPr>
        <w:tabs>
          <w:tab w:val="num" w:pos="1586"/>
        </w:tabs>
        <w:ind w:left="1586" w:hanging="794"/>
      </w:pPr>
      <w:rPr>
        <w:rFonts w:ascii="Calibri" w:hAnsi="Calibri" w:hint="default"/>
        <w:b/>
        <w:i w:val="0"/>
        <w:color w:val="4D4D4D"/>
        <w:sz w:val="26"/>
      </w:rPr>
    </w:lvl>
    <w:lvl w:ilvl="3">
      <w:start w:val="1"/>
      <w:numFmt w:val="decimal"/>
      <w:suff w:val="nothing"/>
      <w:lvlText w:val=""/>
      <w:lvlJc w:val="left"/>
      <w:pPr>
        <w:ind w:left="1586" w:firstLine="0"/>
      </w:pPr>
      <w:rPr>
        <w:rFonts w:ascii="Calibri" w:hAnsi="Calibri" w:hint="default"/>
        <w:b/>
        <w:i w:val="0"/>
        <w:color w:val="4D4D4D"/>
        <w:sz w:val="22"/>
      </w:rPr>
    </w:lvl>
    <w:lvl w:ilvl="4">
      <w:start w:val="1"/>
      <w:numFmt w:val="decimal"/>
      <w:suff w:val="nothing"/>
      <w:lvlText w:val=""/>
      <w:lvlJc w:val="left"/>
      <w:pPr>
        <w:ind w:left="1586" w:firstLine="0"/>
      </w:pPr>
      <w:rPr>
        <w:rFonts w:ascii="Calibri" w:hAnsi="Calibri" w:hint="default"/>
        <w:b/>
        <w:i/>
        <w:color w:val="404040"/>
        <w:sz w:val="22"/>
      </w:rPr>
    </w:lvl>
    <w:lvl w:ilvl="5">
      <w:start w:val="1"/>
      <w:numFmt w:val="decimal"/>
      <w:suff w:val="nothing"/>
      <w:lvlText w:val=""/>
      <w:lvlJc w:val="left"/>
      <w:pPr>
        <w:ind w:left="1586" w:firstLine="0"/>
      </w:pPr>
      <w:rPr>
        <w:rFonts w:ascii="Calibri" w:hAnsi="Calibri" w:hint="default"/>
        <w:b/>
        <w:i/>
        <w:color w:val="404040"/>
        <w:sz w:val="22"/>
      </w:rPr>
    </w:lvl>
    <w:lvl w:ilvl="6">
      <w:start w:val="1"/>
      <w:numFmt w:val="decimal"/>
      <w:suff w:val="nothing"/>
      <w:lvlText w:val=""/>
      <w:lvlJc w:val="left"/>
      <w:pPr>
        <w:ind w:left="1586" w:firstLine="0"/>
      </w:pPr>
      <w:rPr>
        <w:rFonts w:ascii="Calibri" w:hAnsi="Calibri" w:hint="default"/>
        <w:b/>
        <w:i w:val="0"/>
        <w:color w:val="404040"/>
        <w:sz w:val="22"/>
      </w:rPr>
    </w:lvl>
    <w:lvl w:ilvl="7">
      <w:start w:val="1"/>
      <w:numFmt w:val="decimal"/>
      <w:suff w:val="nothing"/>
      <w:lvlText w:val=""/>
      <w:lvlJc w:val="left"/>
      <w:pPr>
        <w:ind w:left="1586" w:firstLine="0"/>
      </w:pPr>
      <w:rPr>
        <w:rFonts w:ascii="Calibri" w:hAnsi="Calibri" w:hint="default"/>
        <w:b w:val="0"/>
        <w:i w:val="0"/>
        <w:color w:val="404040"/>
        <w:sz w:val="22"/>
      </w:rPr>
    </w:lvl>
    <w:lvl w:ilvl="8">
      <w:start w:val="1"/>
      <w:numFmt w:val="decimal"/>
      <w:suff w:val="nothing"/>
      <w:lvlText w:val=""/>
      <w:lvlJc w:val="left"/>
      <w:pPr>
        <w:ind w:left="1586" w:firstLine="0"/>
      </w:pPr>
      <w:rPr>
        <w:rFonts w:ascii="Calibri" w:hAnsi="Calibri" w:hint="default"/>
        <w:b w:val="0"/>
        <w:i w:val="0"/>
        <w:color w:val="404040"/>
        <w:sz w:val="22"/>
      </w:rPr>
    </w:lvl>
  </w:abstractNum>
  <w:abstractNum w:abstractNumId="14" w15:restartNumberingAfterBreak="0">
    <w:nsid w:val="762D5F72"/>
    <w:multiLevelType w:val="hybridMultilevel"/>
    <w:tmpl w:val="BF42C50A"/>
    <w:lvl w:ilvl="0" w:tplc="B5FAAE8E">
      <w:start w:val="1"/>
      <w:numFmt w:val="bullet"/>
      <w:lvlText w:val=""/>
      <w:lvlJc w:val="left"/>
      <w:pPr>
        <w:tabs>
          <w:tab w:val="num" w:pos="786"/>
        </w:tabs>
        <w:ind w:left="786" w:hanging="360"/>
      </w:pPr>
      <w:rPr>
        <w:rFonts w:ascii="Symbol" w:hAnsi="Symbol" w:cs="Symbol" w:hint="default"/>
        <w:color w:val="auto"/>
        <w:sz w:val="20"/>
        <w:szCs w:val="20"/>
      </w:rPr>
    </w:lvl>
    <w:lvl w:ilvl="1" w:tplc="0C090003">
      <w:start w:val="1"/>
      <w:numFmt w:val="bullet"/>
      <w:lvlText w:val=""/>
      <w:lvlJc w:val="left"/>
      <w:pPr>
        <w:tabs>
          <w:tab w:val="num" w:pos="1440"/>
        </w:tabs>
        <w:ind w:left="1440" w:hanging="360"/>
      </w:pPr>
      <w:rPr>
        <w:rFonts w:ascii="Symbol" w:hAnsi="Symbol" w:cs="Symbol" w:hint="default"/>
        <w:sz w:val="16"/>
        <w:szCs w:val="16"/>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D2963C8"/>
    <w:multiLevelType w:val="hybridMultilevel"/>
    <w:tmpl w:val="67F6E522"/>
    <w:lvl w:ilvl="0" w:tplc="E27C5C68">
      <w:start w:val="250"/>
      <w:numFmt w:val="bullet"/>
      <w:lvlText w:val="–"/>
      <w:lvlJc w:val="left"/>
      <w:pPr>
        <w:ind w:left="720" w:hanging="360"/>
      </w:pPr>
      <w:rPr>
        <w:rFonts w:ascii="VIC" w:eastAsia="Times New Roman" w:hAnsi="V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12"/>
  </w:num>
  <w:num w:numId="5">
    <w:abstractNumId w:val="0"/>
    <w:lvlOverride w:ilvl="0">
      <w:startOverride w:val="1"/>
    </w:lvlOverride>
  </w:num>
  <w:num w:numId="6">
    <w:abstractNumId w:val="0"/>
    <w:lvlOverride w:ilvl="0">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9"/>
  </w:num>
  <w:num w:numId="14">
    <w:abstractNumId w:val="2"/>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15"/>
  </w:num>
  <w:num w:numId="21">
    <w:abstractNumId w:val="1"/>
  </w:num>
  <w:num w:numId="22">
    <w:abstractNumId w:val="14"/>
  </w:num>
  <w:num w:numId="23">
    <w:abstractNumId w:val="8"/>
  </w:num>
  <w:num w:numId="24">
    <w:abstractNumId w:val="3"/>
  </w:num>
  <w:num w:numId="25">
    <w:abstractNumId w:val="11"/>
  </w:num>
  <w:num w:numId="26">
    <w:abstractNumId w:val="5"/>
  </w:num>
  <w:num w:numId="27">
    <w:abstractNumId w:val="7"/>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characterSpacingControl w:val="doNotCompress"/>
  <w:hdrShapeDefaults>
    <o:shapedefaults v:ext="edit" spidmax="77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7FC"/>
    <w:rsid w:val="000019FC"/>
    <w:rsid w:val="00001E83"/>
    <w:rsid w:val="000049DB"/>
    <w:rsid w:val="00005C06"/>
    <w:rsid w:val="00005F7A"/>
    <w:rsid w:val="000073F8"/>
    <w:rsid w:val="00007FC2"/>
    <w:rsid w:val="00010AA4"/>
    <w:rsid w:val="00010EF5"/>
    <w:rsid w:val="00010FC3"/>
    <w:rsid w:val="000115CA"/>
    <w:rsid w:val="00011611"/>
    <w:rsid w:val="00012712"/>
    <w:rsid w:val="000131DE"/>
    <w:rsid w:val="00013806"/>
    <w:rsid w:val="0001494E"/>
    <w:rsid w:val="00014DC3"/>
    <w:rsid w:val="0001614E"/>
    <w:rsid w:val="00017316"/>
    <w:rsid w:val="000228FC"/>
    <w:rsid w:val="000247FB"/>
    <w:rsid w:val="00024BB6"/>
    <w:rsid w:val="00025307"/>
    <w:rsid w:val="000258B1"/>
    <w:rsid w:val="0002725F"/>
    <w:rsid w:val="00027B92"/>
    <w:rsid w:val="0003032C"/>
    <w:rsid w:val="00030CEA"/>
    <w:rsid w:val="00031F78"/>
    <w:rsid w:val="00032ABA"/>
    <w:rsid w:val="00032D64"/>
    <w:rsid w:val="0003345C"/>
    <w:rsid w:val="000340FC"/>
    <w:rsid w:val="000353D3"/>
    <w:rsid w:val="00035D40"/>
    <w:rsid w:val="00035E00"/>
    <w:rsid w:val="00035FA4"/>
    <w:rsid w:val="00036359"/>
    <w:rsid w:val="00036BE5"/>
    <w:rsid w:val="000413BE"/>
    <w:rsid w:val="00042CA7"/>
    <w:rsid w:val="00042E13"/>
    <w:rsid w:val="0004574B"/>
    <w:rsid w:val="00046A78"/>
    <w:rsid w:val="000509BA"/>
    <w:rsid w:val="0005156B"/>
    <w:rsid w:val="00053177"/>
    <w:rsid w:val="00053F20"/>
    <w:rsid w:val="00053F5C"/>
    <w:rsid w:val="0005409C"/>
    <w:rsid w:val="00054A3F"/>
    <w:rsid w:val="00056340"/>
    <w:rsid w:val="00056B90"/>
    <w:rsid w:val="00056BD1"/>
    <w:rsid w:val="00061294"/>
    <w:rsid w:val="00064475"/>
    <w:rsid w:val="000651F1"/>
    <w:rsid w:val="00066CCA"/>
    <w:rsid w:val="000679C1"/>
    <w:rsid w:val="00067A60"/>
    <w:rsid w:val="00070244"/>
    <w:rsid w:val="00070AD8"/>
    <w:rsid w:val="00070CE6"/>
    <w:rsid w:val="00070E83"/>
    <w:rsid w:val="00071696"/>
    <w:rsid w:val="0007179B"/>
    <w:rsid w:val="000730D5"/>
    <w:rsid w:val="0007374B"/>
    <w:rsid w:val="00073D6A"/>
    <w:rsid w:val="00074742"/>
    <w:rsid w:val="000750E9"/>
    <w:rsid w:val="000756A3"/>
    <w:rsid w:val="00075BD3"/>
    <w:rsid w:val="000776CA"/>
    <w:rsid w:val="000776F3"/>
    <w:rsid w:val="00077ACF"/>
    <w:rsid w:val="00077F81"/>
    <w:rsid w:val="000801AC"/>
    <w:rsid w:val="000805BE"/>
    <w:rsid w:val="00080663"/>
    <w:rsid w:val="000809A2"/>
    <w:rsid w:val="00080AFD"/>
    <w:rsid w:val="00083842"/>
    <w:rsid w:val="00083A13"/>
    <w:rsid w:val="000849E1"/>
    <w:rsid w:val="000860D1"/>
    <w:rsid w:val="000865FE"/>
    <w:rsid w:val="00087522"/>
    <w:rsid w:val="00090F23"/>
    <w:rsid w:val="0009152A"/>
    <w:rsid w:val="000926AC"/>
    <w:rsid w:val="000958E4"/>
    <w:rsid w:val="00095AE9"/>
    <w:rsid w:val="00095BA5"/>
    <w:rsid w:val="00095D3E"/>
    <w:rsid w:val="000962F6"/>
    <w:rsid w:val="00096CBD"/>
    <w:rsid w:val="0009737A"/>
    <w:rsid w:val="000A0091"/>
    <w:rsid w:val="000A0A30"/>
    <w:rsid w:val="000A0B11"/>
    <w:rsid w:val="000A1070"/>
    <w:rsid w:val="000A194B"/>
    <w:rsid w:val="000A1B79"/>
    <w:rsid w:val="000A2649"/>
    <w:rsid w:val="000A2B48"/>
    <w:rsid w:val="000A2C35"/>
    <w:rsid w:val="000A3364"/>
    <w:rsid w:val="000A442D"/>
    <w:rsid w:val="000A5B0E"/>
    <w:rsid w:val="000A63BE"/>
    <w:rsid w:val="000A6C79"/>
    <w:rsid w:val="000A72C2"/>
    <w:rsid w:val="000A7B02"/>
    <w:rsid w:val="000A7CE4"/>
    <w:rsid w:val="000A7EB7"/>
    <w:rsid w:val="000B027C"/>
    <w:rsid w:val="000B05C0"/>
    <w:rsid w:val="000B0696"/>
    <w:rsid w:val="000B182F"/>
    <w:rsid w:val="000B18D0"/>
    <w:rsid w:val="000B22E7"/>
    <w:rsid w:val="000B3DED"/>
    <w:rsid w:val="000B4D5A"/>
    <w:rsid w:val="000B5B55"/>
    <w:rsid w:val="000B64E8"/>
    <w:rsid w:val="000B6D9C"/>
    <w:rsid w:val="000B7127"/>
    <w:rsid w:val="000C033B"/>
    <w:rsid w:val="000C2BFC"/>
    <w:rsid w:val="000C3353"/>
    <w:rsid w:val="000C3853"/>
    <w:rsid w:val="000C3FAA"/>
    <w:rsid w:val="000C40C7"/>
    <w:rsid w:val="000C4481"/>
    <w:rsid w:val="000C5C6F"/>
    <w:rsid w:val="000C64BE"/>
    <w:rsid w:val="000C6A95"/>
    <w:rsid w:val="000C7422"/>
    <w:rsid w:val="000D15B5"/>
    <w:rsid w:val="000D15DC"/>
    <w:rsid w:val="000D2179"/>
    <w:rsid w:val="000D2226"/>
    <w:rsid w:val="000D3009"/>
    <w:rsid w:val="000D35FE"/>
    <w:rsid w:val="000D3F2C"/>
    <w:rsid w:val="000D6F1D"/>
    <w:rsid w:val="000D702A"/>
    <w:rsid w:val="000D7A32"/>
    <w:rsid w:val="000D7B37"/>
    <w:rsid w:val="000E0377"/>
    <w:rsid w:val="000E0C2C"/>
    <w:rsid w:val="000E262E"/>
    <w:rsid w:val="000E286E"/>
    <w:rsid w:val="000E42DB"/>
    <w:rsid w:val="000E4622"/>
    <w:rsid w:val="000E4997"/>
    <w:rsid w:val="000E5CD2"/>
    <w:rsid w:val="000E6158"/>
    <w:rsid w:val="000E6B44"/>
    <w:rsid w:val="000F02DB"/>
    <w:rsid w:val="000F1630"/>
    <w:rsid w:val="000F1912"/>
    <w:rsid w:val="000F29A7"/>
    <w:rsid w:val="000F346B"/>
    <w:rsid w:val="000F36B9"/>
    <w:rsid w:val="000F4837"/>
    <w:rsid w:val="000F4ACE"/>
    <w:rsid w:val="000F5342"/>
    <w:rsid w:val="000F547F"/>
    <w:rsid w:val="000F57A3"/>
    <w:rsid w:val="000F609E"/>
    <w:rsid w:val="000F7BB2"/>
    <w:rsid w:val="00100196"/>
    <w:rsid w:val="00100D88"/>
    <w:rsid w:val="0010130E"/>
    <w:rsid w:val="00101398"/>
    <w:rsid w:val="00101E02"/>
    <w:rsid w:val="00102311"/>
    <w:rsid w:val="00102CA7"/>
    <w:rsid w:val="0010369B"/>
    <w:rsid w:val="00103BEC"/>
    <w:rsid w:val="00103CD9"/>
    <w:rsid w:val="00103DBD"/>
    <w:rsid w:val="00104BD8"/>
    <w:rsid w:val="00105A1F"/>
    <w:rsid w:val="00105BCD"/>
    <w:rsid w:val="00106288"/>
    <w:rsid w:val="001076D9"/>
    <w:rsid w:val="0011002D"/>
    <w:rsid w:val="00110271"/>
    <w:rsid w:val="00111696"/>
    <w:rsid w:val="001124BC"/>
    <w:rsid w:val="001127DF"/>
    <w:rsid w:val="00114726"/>
    <w:rsid w:val="00114997"/>
    <w:rsid w:val="0011669B"/>
    <w:rsid w:val="00116EDE"/>
    <w:rsid w:val="00117A57"/>
    <w:rsid w:val="00120261"/>
    <w:rsid w:val="001206C6"/>
    <w:rsid w:val="0012183C"/>
    <w:rsid w:val="00124BCC"/>
    <w:rsid w:val="00126A9A"/>
    <w:rsid w:val="00126EFE"/>
    <w:rsid w:val="001275F3"/>
    <w:rsid w:val="00130021"/>
    <w:rsid w:val="001301D3"/>
    <w:rsid w:val="00130956"/>
    <w:rsid w:val="00130D48"/>
    <w:rsid w:val="00130E5C"/>
    <w:rsid w:val="00130F2E"/>
    <w:rsid w:val="00131EC6"/>
    <w:rsid w:val="00132BA5"/>
    <w:rsid w:val="00133820"/>
    <w:rsid w:val="001340EA"/>
    <w:rsid w:val="00134BD5"/>
    <w:rsid w:val="0014082D"/>
    <w:rsid w:val="00140BFD"/>
    <w:rsid w:val="00141472"/>
    <w:rsid w:val="001418E1"/>
    <w:rsid w:val="00141D0F"/>
    <w:rsid w:val="00142A1F"/>
    <w:rsid w:val="00143788"/>
    <w:rsid w:val="001457AB"/>
    <w:rsid w:val="00145EC8"/>
    <w:rsid w:val="00146A66"/>
    <w:rsid w:val="00150383"/>
    <w:rsid w:val="001506EE"/>
    <w:rsid w:val="00151789"/>
    <w:rsid w:val="00151F32"/>
    <w:rsid w:val="00152DAC"/>
    <w:rsid w:val="0015384E"/>
    <w:rsid w:val="00154058"/>
    <w:rsid w:val="001545E1"/>
    <w:rsid w:val="00154CD1"/>
    <w:rsid w:val="00154DC2"/>
    <w:rsid w:val="00154E75"/>
    <w:rsid w:val="00155785"/>
    <w:rsid w:val="00155804"/>
    <w:rsid w:val="001566EE"/>
    <w:rsid w:val="00156CFD"/>
    <w:rsid w:val="001600D3"/>
    <w:rsid w:val="0016063A"/>
    <w:rsid w:val="00160927"/>
    <w:rsid w:val="00161453"/>
    <w:rsid w:val="001614D4"/>
    <w:rsid w:val="00161587"/>
    <w:rsid w:val="0016175F"/>
    <w:rsid w:val="001627F2"/>
    <w:rsid w:val="0016314E"/>
    <w:rsid w:val="0016357D"/>
    <w:rsid w:val="00166C7E"/>
    <w:rsid w:val="00167745"/>
    <w:rsid w:val="00167925"/>
    <w:rsid w:val="00167D32"/>
    <w:rsid w:val="00171632"/>
    <w:rsid w:val="00171803"/>
    <w:rsid w:val="0017202B"/>
    <w:rsid w:val="001735B9"/>
    <w:rsid w:val="00173F8C"/>
    <w:rsid w:val="00174AEA"/>
    <w:rsid w:val="0017562C"/>
    <w:rsid w:val="00176F47"/>
    <w:rsid w:val="00177E83"/>
    <w:rsid w:val="001802F6"/>
    <w:rsid w:val="00180D0A"/>
    <w:rsid w:val="00180FDC"/>
    <w:rsid w:val="00182947"/>
    <w:rsid w:val="00182D61"/>
    <w:rsid w:val="001838B3"/>
    <w:rsid w:val="0018404D"/>
    <w:rsid w:val="00184EAF"/>
    <w:rsid w:val="00185866"/>
    <w:rsid w:val="00185EB9"/>
    <w:rsid w:val="001903B1"/>
    <w:rsid w:val="00190991"/>
    <w:rsid w:val="001911AB"/>
    <w:rsid w:val="001915CC"/>
    <w:rsid w:val="00193F13"/>
    <w:rsid w:val="0019544F"/>
    <w:rsid w:val="00195730"/>
    <w:rsid w:val="00196412"/>
    <w:rsid w:val="001970F9"/>
    <w:rsid w:val="001A07F7"/>
    <w:rsid w:val="001A1146"/>
    <w:rsid w:val="001A20C0"/>
    <w:rsid w:val="001A289B"/>
    <w:rsid w:val="001A3005"/>
    <w:rsid w:val="001A325A"/>
    <w:rsid w:val="001A32DF"/>
    <w:rsid w:val="001A4628"/>
    <w:rsid w:val="001A6179"/>
    <w:rsid w:val="001A6994"/>
    <w:rsid w:val="001A7209"/>
    <w:rsid w:val="001A74BD"/>
    <w:rsid w:val="001B1C65"/>
    <w:rsid w:val="001B4BD5"/>
    <w:rsid w:val="001B593B"/>
    <w:rsid w:val="001B59FD"/>
    <w:rsid w:val="001B5A6B"/>
    <w:rsid w:val="001C1023"/>
    <w:rsid w:val="001C10E3"/>
    <w:rsid w:val="001C17C3"/>
    <w:rsid w:val="001C184C"/>
    <w:rsid w:val="001C190D"/>
    <w:rsid w:val="001C31F7"/>
    <w:rsid w:val="001C386A"/>
    <w:rsid w:val="001C5E0E"/>
    <w:rsid w:val="001C5E1A"/>
    <w:rsid w:val="001D16EF"/>
    <w:rsid w:val="001D2527"/>
    <w:rsid w:val="001D2E8A"/>
    <w:rsid w:val="001D51C9"/>
    <w:rsid w:val="001D6931"/>
    <w:rsid w:val="001E0595"/>
    <w:rsid w:val="001E075F"/>
    <w:rsid w:val="001E0D0D"/>
    <w:rsid w:val="001E1011"/>
    <w:rsid w:val="001E1A82"/>
    <w:rsid w:val="001E1DE2"/>
    <w:rsid w:val="001E1F65"/>
    <w:rsid w:val="001E2617"/>
    <w:rsid w:val="001E2742"/>
    <w:rsid w:val="001E4083"/>
    <w:rsid w:val="001E4C11"/>
    <w:rsid w:val="001E4F3B"/>
    <w:rsid w:val="001E66E8"/>
    <w:rsid w:val="001E6A32"/>
    <w:rsid w:val="001E7B04"/>
    <w:rsid w:val="001E7E7F"/>
    <w:rsid w:val="001F0321"/>
    <w:rsid w:val="001F1735"/>
    <w:rsid w:val="001F2BA6"/>
    <w:rsid w:val="001F3A43"/>
    <w:rsid w:val="001F3AC3"/>
    <w:rsid w:val="001F460D"/>
    <w:rsid w:val="001F5A76"/>
    <w:rsid w:val="001F6F18"/>
    <w:rsid w:val="001F71A9"/>
    <w:rsid w:val="001F7AFD"/>
    <w:rsid w:val="00204B9E"/>
    <w:rsid w:val="00205124"/>
    <w:rsid w:val="00206E13"/>
    <w:rsid w:val="00207DD4"/>
    <w:rsid w:val="00210118"/>
    <w:rsid w:val="002106BE"/>
    <w:rsid w:val="002116A3"/>
    <w:rsid w:val="0021241E"/>
    <w:rsid w:val="00212645"/>
    <w:rsid w:val="002130B7"/>
    <w:rsid w:val="002137FA"/>
    <w:rsid w:val="0021386B"/>
    <w:rsid w:val="00214AFA"/>
    <w:rsid w:val="00216F59"/>
    <w:rsid w:val="0021744F"/>
    <w:rsid w:val="0021768C"/>
    <w:rsid w:val="0022016A"/>
    <w:rsid w:val="002205E9"/>
    <w:rsid w:val="00220EEE"/>
    <w:rsid w:val="0022294A"/>
    <w:rsid w:val="0022516E"/>
    <w:rsid w:val="0022585C"/>
    <w:rsid w:val="00225A95"/>
    <w:rsid w:val="00226972"/>
    <w:rsid w:val="00227140"/>
    <w:rsid w:val="00227D03"/>
    <w:rsid w:val="00230151"/>
    <w:rsid w:val="0023251A"/>
    <w:rsid w:val="0023320E"/>
    <w:rsid w:val="00233341"/>
    <w:rsid w:val="00233A34"/>
    <w:rsid w:val="0024017D"/>
    <w:rsid w:val="00241912"/>
    <w:rsid w:val="00241AD4"/>
    <w:rsid w:val="00243640"/>
    <w:rsid w:val="00243FD9"/>
    <w:rsid w:val="0024425F"/>
    <w:rsid w:val="0024452D"/>
    <w:rsid w:val="00245243"/>
    <w:rsid w:val="00245BBA"/>
    <w:rsid w:val="00247347"/>
    <w:rsid w:val="002475A2"/>
    <w:rsid w:val="00247626"/>
    <w:rsid w:val="00251464"/>
    <w:rsid w:val="00252AF1"/>
    <w:rsid w:val="002533C0"/>
    <w:rsid w:val="0025344C"/>
    <w:rsid w:val="00254495"/>
    <w:rsid w:val="002560B7"/>
    <w:rsid w:val="0025645C"/>
    <w:rsid w:val="002568F4"/>
    <w:rsid w:val="00257031"/>
    <w:rsid w:val="00257DD8"/>
    <w:rsid w:val="00260EDE"/>
    <w:rsid w:val="00261017"/>
    <w:rsid w:val="002617E7"/>
    <w:rsid w:val="00261D76"/>
    <w:rsid w:val="00261EBA"/>
    <w:rsid w:val="0026228F"/>
    <w:rsid w:val="00262645"/>
    <w:rsid w:val="00262BB9"/>
    <w:rsid w:val="00263930"/>
    <w:rsid w:val="00264578"/>
    <w:rsid w:val="002648D7"/>
    <w:rsid w:val="00264FFA"/>
    <w:rsid w:val="002671F5"/>
    <w:rsid w:val="00270120"/>
    <w:rsid w:val="00270A70"/>
    <w:rsid w:val="00270E3E"/>
    <w:rsid w:val="00271574"/>
    <w:rsid w:val="00271ADA"/>
    <w:rsid w:val="00271AF2"/>
    <w:rsid w:val="00273EE9"/>
    <w:rsid w:val="0027531A"/>
    <w:rsid w:val="002753E8"/>
    <w:rsid w:val="0027540A"/>
    <w:rsid w:val="002767F2"/>
    <w:rsid w:val="00276F5F"/>
    <w:rsid w:val="0028064C"/>
    <w:rsid w:val="0028094F"/>
    <w:rsid w:val="00281CB2"/>
    <w:rsid w:val="00282661"/>
    <w:rsid w:val="00282DA7"/>
    <w:rsid w:val="0028555D"/>
    <w:rsid w:val="0028558F"/>
    <w:rsid w:val="002869E3"/>
    <w:rsid w:val="002900B3"/>
    <w:rsid w:val="00290248"/>
    <w:rsid w:val="0029101C"/>
    <w:rsid w:val="00292CA2"/>
    <w:rsid w:val="00292D5E"/>
    <w:rsid w:val="00292F94"/>
    <w:rsid w:val="00293BC8"/>
    <w:rsid w:val="0029415A"/>
    <w:rsid w:val="0029582F"/>
    <w:rsid w:val="00295F31"/>
    <w:rsid w:val="00295FB1"/>
    <w:rsid w:val="002967F7"/>
    <w:rsid w:val="00296A77"/>
    <w:rsid w:val="002A00F9"/>
    <w:rsid w:val="002A1C0A"/>
    <w:rsid w:val="002A3FA5"/>
    <w:rsid w:val="002A7D75"/>
    <w:rsid w:val="002A7D77"/>
    <w:rsid w:val="002B138D"/>
    <w:rsid w:val="002B314F"/>
    <w:rsid w:val="002B55D9"/>
    <w:rsid w:val="002B60EB"/>
    <w:rsid w:val="002B6113"/>
    <w:rsid w:val="002B70DE"/>
    <w:rsid w:val="002B7617"/>
    <w:rsid w:val="002C3EDE"/>
    <w:rsid w:val="002C4E90"/>
    <w:rsid w:val="002C4FE2"/>
    <w:rsid w:val="002C5485"/>
    <w:rsid w:val="002C55A2"/>
    <w:rsid w:val="002C58B1"/>
    <w:rsid w:val="002C70FA"/>
    <w:rsid w:val="002C74D6"/>
    <w:rsid w:val="002D08B1"/>
    <w:rsid w:val="002D16FD"/>
    <w:rsid w:val="002D2303"/>
    <w:rsid w:val="002D35D3"/>
    <w:rsid w:val="002D36B2"/>
    <w:rsid w:val="002D4A7A"/>
    <w:rsid w:val="002D4E90"/>
    <w:rsid w:val="002D5380"/>
    <w:rsid w:val="002D54ED"/>
    <w:rsid w:val="002D57D9"/>
    <w:rsid w:val="002D6FCA"/>
    <w:rsid w:val="002D701F"/>
    <w:rsid w:val="002D7C9F"/>
    <w:rsid w:val="002D7D81"/>
    <w:rsid w:val="002E24BE"/>
    <w:rsid w:val="002E3766"/>
    <w:rsid w:val="002E38A4"/>
    <w:rsid w:val="002E3C58"/>
    <w:rsid w:val="002E4157"/>
    <w:rsid w:val="002E4D5F"/>
    <w:rsid w:val="002E5F9D"/>
    <w:rsid w:val="002E63A6"/>
    <w:rsid w:val="002E663F"/>
    <w:rsid w:val="002E6848"/>
    <w:rsid w:val="002F082B"/>
    <w:rsid w:val="002F0EAE"/>
    <w:rsid w:val="002F16E5"/>
    <w:rsid w:val="002F2DBA"/>
    <w:rsid w:val="002F333E"/>
    <w:rsid w:val="002F3669"/>
    <w:rsid w:val="002F3828"/>
    <w:rsid w:val="002F3AE3"/>
    <w:rsid w:val="002F3B38"/>
    <w:rsid w:val="002F4830"/>
    <w:rsid w:val="002F56BC"/>
    <w:rsid w:val="002F5933"/>
    <w:rsid w:val="002F5F17"/>
    <w:rsid w:val="002F7FB7"/>
    <w:rsid w:val="00300173"/>
    <w:rsid w:val="00300C6B"/>
    <w:rsid w:val="00301999"/>
    <w:rsid w:val="00301BF8"/>
    <w:rsid w:val="0030205B"/>
    <w:rsid w:val="003022D2"/>
    <w:rsid w:val="0030261B"/>
    <w:rsid w:val="00305B47"/>
    <w:rsid w:val="003074B5"/>
    <w:rsid w:val="00310795"/>
    <w:rsid w:val="003118F3"/>
    <w:rsid w:val="00313C02"/>
    <w:rsid w:val="00313C69"/>
    <w:rsid w:val="00313EF7"/>
    <w:rsid w:val="003149ED"/>
    <w:rsid w:val="00314ACD"/>
    <w:rsid w:val="003152F5"/>
    <w:rsid w:val="00315340"/>
    <w:rsid w:val="00316070"/>
    <w:rsid w:val="00316E99"/>
    <w:rsid w:val="003173E7"/>
    <w:rsid w:val="00320927"/>
    <w:rsid w:val="00321979"/>
    <w:rsid w:val="003219D3"/>
    <w:rsid w:val="003228AA"/>
    <w:rsid w:val="00322B59"/>
    <w:rsid w:val="003236A5"/>
    <w:rsid w:val="003243E1"/>
    <w:rsid w:val="00324A78"/>
    <w:rsid w:val="00325C78"/>
    <w:rsid w:val="00325D75"/>
    <w:rsid w:val="003276F2"/>
    <w:rsid w:val="003301A1"/>
    <w:rsid w:val="0033020A"/>
    <w:rsid w:val="003305AC"/>
    <w:rsid w:val="00331063"/>
    <w:rsid w:val="00331EA2"/>
    <w:rsid w:val="00332099"/>
    <w:rsid w:val="003328C2"/>
    <w:rsid w:val="00332CFE"/>
    <w:rsid w:val="003336BC"/>
    <w:rsid w:val="00335267"/>
    <w:rsid w:val="00335907"/>
    <w:rsid w:val="003366DC"/>
    <w:rsid w:val="00336F0C"/>
    <w:rsid w:val="0033704B"/>
    <w:rsid w:val="00342932"/>
    <w:rsid w:val="003431F7"/>
    <w:rsid w:val="00343238"/>
    <w:rsid w:val="00344380"/>
    <w:rsid w:val="0034541D"/>
    <w:rsid w:val="00347FA0"/>
    <w:rsid w:val="0035062B"/>
    <w:rsid w:val="003515C1"/>
    <w:rsid w:val="00351BB0"/>
    <w:rsid w:val="003527AD"/>
    <w:rsid w:val="0035290B"/>
    <w:rsid w:val="00352A50"/>
    <w:rsid w:val="00355ADD"/>
    <w:rsid w:val="00356A13"/>
    <w:rsid w:val="00356D8C"/>
    <w:rsid w:val="003576CB"/>
    <w:rsid w:val="00360658"/>
    <w:rsid w:val="003632C3"/>
    <w:rsid w:val="003637E5"/>
    <w:rsid w:val="0036408F"/>
    <w:rsid w:val="00364341"/>
    <w:rsid w:val="00365093"/>
    <w:rsid w:val="00365568"/>
    <w:rsid w:val="00365C85"/>
    <w:rsid w:val="00371D54"/>
    <w:rsid w:val="00372BC7"/>
    <w:rsid w:val="00375393"/>
    <w:rsid w:val="0037549D"/>
    <w:rsid w:val="00375ECD"/>
    <w:rsid w:val="00376EE9"/>
    <w:rsid w:val="00380502"/>
    <w:rsid w:val="003807CA"/>
    <w:rsid w:val="003813C9"/>
    <w:rsid w:val="00381596"/>
    <w:rsid w:val="003818DA"/>
    <w:rsid w:val="0038487C"/>
    <w:rsid w:val="00385D43"/>
    <w:rsid w:val="00387DF2"/>
    <w:rsid w:val="00391874"/>
    <w:rsid w:val="003933E3"/>
    <w:rsid w:val="00395163"/>
    <w:rsid w:val="00395FCD"/>
    <w:rsid w:val="003975AA"/>
    <w:rsid w:val="003A0A9E"/>
    <w:rsid w:val="003A0CE3"/>
    <w:rsid w:val="003A11F3"/>
    <w:rsid w:val="003A27FC"/>
    <w:rsid w:val="003A4013"/>
    <w:rsid w:val="003A5C16"/>
    <w:rsid w:val="003A768D"/>
    <w:rsid w:val="003A787A"/>
    <w:rsid w:val="003B2DC2"/>
    <w:rsid w:val="003B48E5"/>
    <w:rsid w:val="003B4FC8"/>
    <w:rsid w:val="003B6791"/>
    <w:rsid w:val="003B779C"/>
    <w:rsid w:val="003B77B5"/>
    <w:rsid w:val="003C0657"/>
    <w:rsid w:val="003C2A95"/>
    <w:rsid w:val="003C3189"/>
    <w:rsid w:val="003C32E9"/>
    <w:rsid w:val="003C6BC2"/>
    <w:rsid w:val="003D155B"/>
    <w:rsid w:val="003D15E3"/>
    <w:rsid w:val="003D1814"/>
    <w:rsid w:val="003D1A2C"/>
    <w:rsid w:val="003D1D96"/>
    <w:rsid w:val="003D4308"/>
    <w:rsid w:val="003D52DC"/>
    <w:rsid w:val="003D67BF"/>
    <w:rsid w:val="003D68DB"/>
    <w:rsid w:val="003D6B43"/>
    <w:rsid w:val="003D6F34"/>
    <w:rsid w:val="003D7542"/>
    <w:rsid w:val="003E00F5"/>
    <w:rsid w:val="003E13AA"/>
    <w:rsid w:val="003E1D97"/>
    <w:rsid w:val="003E31A7"/>
    <w:rsid w:val="003E431C"/>
    <w:rsid w:val="003E549B"/>
    <w:rsid w:val="003E55B1"/>
    <w:rsid w:val="003E5669"/>
    <w:rsid w:val="003E5A85"/>
    <w:rsid w:val="003E5C58"/>
    <w:rsid w:val="003E7408"/>
    <w:rsid w:val="003E7CC1"/>
    <w:rsid w:val="003F0A50"/>
    <w:rsid w:val="003F0AD8"/>
    <w:rsid w:val="003F0B1E"/>
    <w:rsid w:val="003F1D07"/>
    <w:rsid w:val="003F3345"/>
    <w:rsid w:val="003F3509"/>
    <w:rsid w:val="003F546B"/>
    <w:rsid w:val="003F603E"/>
    <w:rsid w:val="0040018D"/>
    <w:rsid w:val="004011C6"/>
    <w:rsid w:val="00401215"/>
    <w:rsid w:val="004013CA"/>
    <w:rsid w:val="00405E15"/>
    <w:rsid w:val="004063C6"/>
    <w:rsid w:val="004077A9"/>
    <w:rsid w:val="00407E0C"/>
    <w:rsid w:val="00410886"/>
    <w:rsid w:val="004124DA"/>
    <w:rsid w:val="00412A95"/>
    <w:rsid w:val="00413594"/>
    <w:rsid w:val="004135AA"/>
    <w:rsid w:val="004145DE"/>
    <w:rsid w:val="00415FA5"/>
    <w:rsid w:val="00416E9A"/>
    <w:rsid w:val="00417B79"/>
    <w:rsid w:val="00417D6D"/>
    <w:rsid w:val="00420342"/>
    <w:rsid w:val="00420659"/>
    <w:rsid w:val="0042156D"/>
    <w:rsid w:val="00421E02"/>
    <w:rsid w:val="004235C7"/>
    <w:rsid w:val="00424C0B"/>
    <w:rsid w:val="00425BFF"/>
    <w:rsid w:val="004269E7"/>
    <w:rsid w:val="004325FB"/>
    <w:rsid w:val="00432676"/>
    <w:rsid w:val="004332B3"/>
    <w:rsid w:val="00433E95"/>
    <w:rsid w:val="00434625"/>
    <w:rsid w:val="00434D5B"/>
    <w:rsid w:val="0043564A"/>
    <w:rsid w:val="004407A1"/>
    <w:rsid w:val="004408C7"/>
    <w:rsid w:val="00440BB4"/>
    <w:rsid w:val="00440E3A"/>
    <w:rsid w:val="0044198E"/>
    <w:rsid w:val="00442121"/>
    <w:rsid w:val="0044385E"/>
    <w:rsid w:val="00443D03"/>
    <w:rsid w:val="0044419B"/>
    <w:rsid w:val="00444204"/>
    <w:rsid w:val="00444C00"/>
    <w:rsid w:val="00447441"/>
    <w:rsid w:val="00447A65"/>
    <w:rsid w:val="00447E45"/>
    <w:rsid w:val="00450932"/>
    <w:rsid w:val="0045259F"/>
    <w:rsid w:val="00452AA8"/>
    <w:rsid w:val="00453538"/>
    <w:rsid w:val="00453C91"/>
    <w:rsid w:val="00456B85"/>
    <w:rsid w:val="00457F94"/>
    <w:rsid w:val="0046076F"/>
    <w:rsid w:val="004629B9"/>
    <w:rsid w:val="00463061"/>
    <w:rsid w:val="004630EB"/>
    <w:rsid w:val="00463741"/>
    <w:rsid w:val="00463784"/>
    <w:rsid w:val="004650D8"/>
    <w:rsid w:val="00465F5E"/>
    <w:rsid w:val="00466019"/>
    <w:rsid w:val="004673AC"/>
    <w:rsid w:val="004679B2"/>
    <w:rsid w:val="00467DBE"/>
    <w:rsid w:val="00467F11"/>
    <w:rsid w:val="00470229"/>
    <w:rsid w:val="00470D0B"/>
    <w:rsid w:val="00471552"/>
    <w:rsid w:val="00471AAC"/>
    <w:rsid w:val="0047251C"/>
    <w:rsid w:val="00472CA1"/>
    <w:rsid w:val="00475FBE"/>
    <w:rsid w:val="00476B41"/>
    <w:rsid w:val="00477CAE"/>
    <w:rsid w:val="004809DE"/>
    <w:rsid w:val="00480C88"/>
    <w:rsid w:val="00480C8B"/>
    <w:rsid w:val="00484A99"/>
    <w:rsid w:val="004850FD"/>
    <w:rsid w:val="00485F8D"/>
    <w:rsid w:val="00486742"/>
    <w:rsid w:val="00490C9A"/>
    <w:rsid w:val="00491F1E"/>
    <w:rsid w:val="00493230"/>
    <w:rsid w:val="00493A5E"/>
    <w:rsid w:val="00494801"/>
    <w:rsid w:val="0049515A"/>
    <w:rsid w:val="004961EF"/>
    <w:rsid w:val="004A03A3"/>
    <w:rsid w:val="004A0DF2"/>
    <w:rsid w:val="004A12A0"/>
    <w:rsid w:val="004A3756"/>
    <w:rsid w:val="004A51CF"/>
    <w:rsid w:val="004A523B"/>
    <w:rsid w:val="004A6796"/>
    <w:rsid w:val="004A6859"/>
    <w:rsid w:val="004A74FC"/>
    <w:rsid w:val="004B00F1"/>
    <w:rsid w:val="004B0249"/>
    <w:rsid w:val="004B05F6"/>
    <w:rsid w:val="004B27C9"/>
    <w:rsid w:val="004B39E8"/>
    <w:rsid w:val="004B3AE0"/>
    <w:rsid w:val="004B4007"/>
    <w:rsid w:val="004B4B9F"/>
    <w:rsid w:val="004B72E1"/>
    <w:rsid w:val="004B7C34"/>
    <w:rsid w:val="004C002D"/>
    <w:rsid w:val="004C0328"/>
    <w:rsid w:val="004C49E8"/>
    <w:rsid w:val="004D0B09"/>
    <w:rsid w:val="004D3E00"/>
    <w:rsid w:val="004D486C"/>
    <w:rsid w:val="004D613B"/>
    <w:rsid w:val="004D65DD"/>
    <w:rsid w:val="004D744B"/>
    <w:rsid w:val="004D79E4"/>
    <w:rsid w:val="004D7B42"/>
    <w:rsid w:val="004E0877"/>
    <w:rsid w:val="004E1490"/>
    <w:rsid w:val="004E1895"/>
    <w:rsid w:val="004E2026"/>
    <w:rsid w:val="004E35FF"/>
    <w:rsid w:val="004E3D78"/>
    <w:rsid w:val="004E4B5A"/>
    <w:rsid w:val="004E59C7"/>
    <w:rsid w:val="004E5F10"/>
    <w:rsid w:val="004E666E"/>
    <w:rsid w:val="004F0EB2"/>
    <w:rsid w:val="004F1F45"/>
    <w:rsid w:val="004F382E"/>
    <w:rsid w:val="004F3CD7"/>
    <w:rsid w:val="004F49E8"/>
    <w:rsid w:val="004F4BBA"/>
    <w:rsid w:val="004F5380"/>
    <w:rsid w:val="004F6CE6"/>
    <w:rsid w:val="004F74CE"/>
    <w:rsid w:val="004F7614"/>
    <w:rsid w:val="0050002D"/>
    <w:rsid w:val="005006E6"/>
    <w:rsid w:val="0050071B"/>
    <w:rsid w:val="00500B38"/>
    <w:rsid w:val="00501934"/>
    <w:rsid w:val="00501998"/>
    <w:rsid w:val="00502AE7"/>
    <w:rsid w:val="005039C3"/>
    <w:rsid w:val="00504B82"/>
    <w:rsid w:val="00505C8A"/>
    <w:rsid w:val="00506014"/>
    <w:rsid w:val="00506C19"/>
    <w:rsid w:val="00511402"/>
    <w:rsid w:val="005114BF"/>
    <w:rsid w:val="00511CAD"/>
    <w:rsid w:val="00512C84"/>
    <w:rsid w:val="00513F45"/>
    <w:rsid w:val="00514DD8"/>
    <w:rsid w:val="005151AF"/>
    <w:rsid w:val="005156E1"/>
    <w:rsid w:val="005157AA"/>
    <w:rsid w:val="00517FEE"/>
    <w:rsid w:val="00521350"/>
    <w:rsid w:val="00522F12"/>
    <w:rsid w:val="00523948"/>
    <w:rsid w:val="00525778"/>
    <w:rsid w:val="00525A0B"/>
    <w:rsid w:val="00525A7F"/>
    <w:rsid w:val="00526B86"/>
    <w:rsid w:val="005275B2"/>
    <w:rsid w:val="00527734"/>
    <w:rsid w:val="00527B14"/>
    <w:rsid w:val="00530754"/>
    <w:rsid w:val="005329F9"/>
    <w:rsid w:val="0053584A"/>
    <w:rsid w:val="00535F1C"/>
    <w:rsid w:val="00537359"/>
    <w:rsid w:val="00540BD4"/>
    <w:rsid w:val="00541E10"/>
    <w:rsid w:val="005422AF"/>
    <w:rsid w:val="005422E0"/>
    <w:rsid w:val="00542B90"/>
    <w:rsid w:val="00543A77"/>
    <w:rsid w:val="005445B0"/>
    <w:rsid w:val="00545302"/>
    <w:rsid w:val="0054598D"/>
    <w:rsid w:val="00546352"/>
    <w:rsid w:val="00546FA8"/>
    <w:rsid w:val="00547A6A"/>
    <w:rsid w:val="00550007"/>
    <w:rsid w:val="00551B97"/>
    <w:rsid w:val="00552070"/>
    <w:rsid w:val="00552FB2"/>
    <w:rsid w:val="00553CD1"/>
    <w:rsid w:val="00555EB2"/>
    <w:rsid w:val="00555EBC"/>
    <w:rsid w:val="0055629B"/>
    <w:rsid w:val="00556ACC"/>
    <w:rsid w:val="00556FA1"/>
    <w:rsid w:val="00557081"/>
    <w:rsid w:val="00557568"/>
    <w:rsid w:val="005602B2"/>
    <w:rsid w:val="00561084"/>
    <w:rsid w:val="00562245"/>
    <w:rsid w:val="00562EB9"/>
    <w:rsid w:val="00563480"/>
    <w:rsid w:val="005635AB"/>
    <w:rsid w:val="00564D58"/>
    <w:rsid w:val="00565208"/>
    <w:rsid w:val="005664C3"/>
    <w:rsid w:val="0056705F"/>
    <w:rsid w:val="00567A37"/>
    <w:rsid w:val="005712D1"/>
    <w:rsid w:val="00571711"/>
    <w:rsid w:val="005718E8"/>
    <w:rsid w:val="00572502"/>
    <w:rsid w:val="00572CDC"/>
    <w:rsid w:val="00573F01"/>
    <w:rsid w:val="00577907"/>
    <w:rsid w:val="00580884"/>
    <w:rsid w:val="0058145D"/>
    <w:rsid w:val="0058161B"/>
    <w:rsid w:val="005820A7"/>
    <w:rsid w:val="00582152"/>
    <w:rsid w:val="00583232"/>
    <w:rsid w:val="00583243"/>
    <w:rsid w:val="00587AB2"/>
    <w:rsid w:val="00587F69"/>
    <w:rsid w:val="00590668"/>
    <w:rsid w:val="005907C6"/>
    <w:rsid w:val="005907D5"/>
    <w:rsid w:val="005908EA"/>
    <w:rsid w:val="00590B8F"/>
    <w:rsid w:val="00591354"/>
    <w:rsid w:val="00591744"/>
    <w:rsid w:val="0059177C"/>
    <w:rsid w:val="005917A1"/>
    <w:rsid w:val="00592B81"/>
    <w:rsid w:val="0059490C"/>
    <w:rsid w:val="005951DA"/>
    <w:rsid w:val="005952EF"/>
    <w:rsid w:val="005966B3"/>
    <w:rsid w:val="00597353"/>
    <w:rsid w:val="00597488"/>
    <w:rsid w:val="005A054C"/>
    <w:rsid w:val="005A1562"/>
    <w:rsid w:val="005A34BA"/>
    <w:rsid w:val="005A3B11"/>
    <w:rsid w:val="005A4319"/>
    <w:rsid w:val="005A4CBB"/>
    <w:rsid w:val="005A4CE3"/>
    <w:rsid w:val="005A4DEA"/>
    <w:rsid w:val="005A5035"/>
    <w:rsid w:val="005A64F7"/>
    <w:rsid w:val="005A6586"/>
    <w:rsid w:val="005A782B"/>
    <w:rsid w:val="005B0593"/>
    <w:rsid w:val="005B32E9"/>
    <w:rsid w:val="005B410C"/>
    <w:rsid w:val="005B42FD"/>
    <w:rsid w:val="005B45B4"/>
    <w:rsid w:val="005B4D29"/>
    <w:rsid w:val="005B599D"/>
    <w:rsid w:val="005B64C6"/>
    <w:rsid w:val="005B7229"/>
    <w:rsid w:val="005B7E08"/>
    <w:rsid w:val="005C0148"/>
    <w:rsid w:val="005C0370"/>
    <w:rsid w:val="005C2B86"/>
    <w:rsid w:val="005C3815"/>
    <w:rsid w:val="005C5B5D"/>
    <w:rsid w:val="005C6573"/>
    <w:rsid w:val="005C6E4A"/>
    <w:rsid w:val="005C700D"/>
    <w:rsid w:val="005C75B4"/>
    <w:rsid w:val="005C797E"/>
    <w:rsid w:val="005C79A1"/>
    <w:rsid w:val="005C7B55"/>
    <w:rsid w:val="005D199C"/>
    <w:rsid w:val="005D1FC8"/>
    <w:rsid w:val="005D312C"/>
    <w:rsid w:val="005D4CBB"/>
    <w:rsid w:val="005D4D31"/>
    <w:rsid w:val="005E0A93"/>
    <w:rsid w:val="005E1994"/>
    <w:rsid w:val="005E20D1"/>
    <w:rsid w:val="005E2CA6"/>
    <w:rsid w:val="005E55B3"/>
    <w:rsid w:val="005E5744"/>
    <w:rsid w:val="005E6023"/>
    <w:rsid w:val="005E7978"/>
    <w:rsid w:val="005F0653"/>
    <w:rsid w:val="005F181D"/>
    <w:rsid w:val="005F1C9B"/>
    <w:rsid w:val="005F1E7C"/>
    <w:rsid w:val="005F2ABA"/>
    <w:rsid w:val="005F2D7B"/>
    <w:rsid w:val="005F352A"/>
    <w:rsid w:val="005F3D56"/>
    <w:rsid w:val="005F5829"/>
    <w:rsid w:val="005F6801"/>
    <w:rsid w:val="005F68C8"/>
    <w:rsid w:val="005F7D48"/>
    <w:rsid w:val="00600B28"/>
    <w:rsid w:val="00600D6B"/>
    <w:rsid w:val="00601460"/>
    <w:rsid w:val="00601715"/>
    <w:rsid w:val="00602226"/>
    <w:rsid w:val="0060273B"/>
    <w:rsid w:val="006050B1"/>
    <w:rsid w:val="0060571A"/>
    <w:rsid w:val="006078A3"/>
    <w:rsid w:val="00607A9B"/>
    <w:rsid w:val="00607B17"/>
    <w:rsid w:val="00607ED6"/>
    <w:rsid w:val="00612184"/>
    <w:rsid w:val="0061224A"/>
    <w:rsid w:val="006125DC"/>
    <w:rsid w:val="00613385"/>
    <w:rsid w:val="00613EB0"/>
    <w:rsid w:val="00613EE9"/>
    <w:rsid w:val="00614091"/>
    <w:rsid w:val="00617365"/>
    <w:rsid w:val="0061763E"/>
    <w:rsid w:val="00620AF9"/>
    <w:rsid w:val="00620FC6"/>
    <w:rsid w:val="0062117D"/>
    <w:rsid w:val="00623C75"/>
    <w:rsid w:val="00624920"/>
    <w:rsid w:val="0062514A"/>
    <w:rsid w:val="0062585D"/>
    <w:rsid w:val="0062689F"/>
    <w:rsid w:val="00626985"/>
    <w:rsid w:val="006304FD"/>
    <w:rsid w:val="00631FDC"/>
    <w:rsid w:val="00632C5C"/>
    <w:rsid w:val="00633527"/>
    <w:rsid w:val="0063381B"/>
    <w:rsid w:val="0063393D"/>
    <w:rsid w:val="00634CA6"/>
    <w:rsid w:val="00635003"/>
    <w:rsid w:val="006358F2"/>
    <w:rsid w:val="00635C35"/>
    <w:rsid w:val="00637DF1"/>
    <w:rsid w:val="00637F7C"/>
    <w:rsid w:val="00640A8E"/>
    <w:rsid w:val="00641254"/>
    <w:rsid w:val="00642232"/>
    <w:rsid w:val="006426A4"/>
    <w:rsid w:val="00642C3A"/>
    <w:rsid w:val="006438D3"/>
    <w:rsid w:val="00644182"/>
    <w:rsid w:val="006453F8"/>
    <w:rsid w:val="00645455"/>
    <w:rsid w:val="00647E67"/>
    <w:rsid w:val="00647F5C"/>
    <w:rsid w:val="00650AB6"/>
    <w:rsid w:val="00650CB9"/>
    <w:rsid w:val="00650DAE"/>
    <w:rsid w:val="00650DB2"/>
    <w:rsid w:val="00651189"/>
    <w:rsid w:val="006526D9"/>
    <w:rsid w:val="00653065"/>
    <w:rsid w:val="006541F7"/>
    <w:rsid w:val="006543D9"/>
    <w:rsid w:val="00654566"/>
    <w:rsid w:val="006554C4"/>
    <w:rsid w:val="00655C14"/>
    <w:rsid w:val="00655FF7"/>
    <w:rsid w:val="0065794B"/>
    <w:rsid w:val="00660A5B"/>
    <w:rsid w:val="00660FCF"/>
    <w:rsid w:val="00661262"/>
    <w:rsid w:val="006617D4"/>
    <w:rsid w:val="00661DDC"/>
    <w:rsid w:val="00662BCD"/>
    <w:rsid w:val="00663374"/>
    <w:rsid w:val="00663599"/>
    <w:rsid w:val="006638A9"/>
    <w:rsid w:val="00665B78"/>
    <w:rsid w:val="006665C0"/>
    <w:rsid w:val="00666C97"/>
    <w:rsid w:val="00666FA6"/>
    <w:rsid w:val="0067054D"/>
    <w:rsid w:val="00670D21"/>
    <w:rsid w:val="0067123C"/>
    <w:rsid w:val="00672830"/>
    <w:rsid w:val="00673A0E"/>
    <w:rsid w:val="006745DB"/>
    <w:rsid w:val="00674982"/>
    <w:rsid w:val="00675E25"/>
    <w:rsid w:val="006763FB"/>
    <w:rsid w:val="00676696"/>
    <w:rsid w:val="0067679F"/>
    <w:rsid w:val="00676B62"/>
    <w:rsid w:val="00677BF0"/>
    <w:rsid w:val="00680673"/>
    <w:rsid w:val="00681316"/>
    <w:rsid w:val="00681F52"/>
    <w:rsid w:val="00682ECE"/>
    <w:rsid w:val="00683C4F"/>
    <w:rsid w:val="006844D2"/>
    <w:rsid w:val="00684A24"/>
    <w:rsid w:val="00685415"/>
    <w:rsid w:val="00686C6F"/>
    <w:rsid w:val="00687A1C"/>
    <w:rsid w:val="006901A7"/>
    <w:rsid w:val="006913C2"/>
    <w:rsid w:val="0069253E"/>
    <w:rsid w:val="00693F9E"/>
    <w:rsid w:val="006941B3"/>
    <w:rsid w:val="00694437"/>
    <w:rsid w:val="006950D0"/>
    <w:rsid w:val="0069525E"/>
    <w:rsid w:val="00695893"/>
    <w:rsid w:val="006963E4"/>
    <w:rsid w:val="00697367"/>
    <w:rsid w:val="00697A3C"/>
    <w:rsid w:val="006A0768"/>
    <w:rsid w:val="006A0FB7"/>
    <w:rsid w:val="006A2418"/>
    <w:rsid w:val="006A2E88"/>
    <w:rsid w:val="006A3C60"/>
    <w:rsid w:val="006A4B76"/>
    <w:rsid w:val="006A610B"/>
    <w:rsid w:val="006A7EC3"/>
    <w:rsid w:val="006B03D5"/>
    <w:rsid w:val="006B0B27"/>
    <w:rsid w:val="006B1AA6"/>
    <w:rsid w:val="006B1C0E"/>
    <w:rsid w:val="006B207B"/>
    <w:rsid w:val="006B26CE"/>
    <w:rsid w:val="006B3C84"/>
    <w:rsid w:val="006B5CD2"/>
    <w:rsid w:val="006B6B92"/>
    <w:rsid w:val="006B6C15"/>
    <w:rsid w:val="006B77B4"/>
    <w:rsid w:val="006B7D7B"/>
    <w:rsid w:val="006C04F7"/>
    <w:rsid w:val="006C1AB7"/>
    <w:rsid w:val="006C2273"/>
    <w:rsid w:val="006C35F4"/>
    <w:rsid w:val="006C496A"/>
    <w:rsid w:val="006C4CA5"/>
    <w:rsid w:val="006C5542"/>
    <w:rsid w:val="006C57CA"/>
    <w:rsid w:val="006C678B"/>
    <w:rsid w:val="006C72AE"/>
    <w:rsid w:val="006D13AF"/>
    <w:rsid w:val="006D1E2F"/>
    <w:rsid w:val="006D1F43"/>
    <w:rsid w:val="006D2026"/>
    <w:rsid w:val="006D3CFA"/>
    <w:rsid w:val="006D3F92"/>
    <w:rsid w:val="006D4EBD"/>
    <w:rsid w:val="006D50FC"/>
    <w:rsid w:val="006D631C"/>
    <w:rsid w:val="006D6A87"/>
    <w:rsid w:val="006D6C0B"/>
    <w:rsid w:val="006D7CEA"/>
    <w:rsid w:val="006D7E5A"/>
    <w:rsid w:val="006E07DA"/>
    <w:rsid w:val="006E1012"/>
    <w:rsid w:val="006E1789"/>
    <w:rsid w:val="006E17BF"/>
    <w:rsid w:val="006E231D"/>
    <w:rsid w:val="006E2864"/>
    <w:rsid w:val="006E40B0"/>
    <w:rsid w:val="006E55DC"/>
    <w:rsid w:val="006E6B8E"/>
    <w:rsid w:val="006E7CD5"/>
    <w:rsid w:val="006F069A"/>
    <w:rsid w:val="006F06FC"/>
    <w:rsid w:val="006F0EFD"/>
    <w:rsid w:val="006F1095"/>
    <w:rsid w:val="006F10EC"/>
    <w:rsid w:val="006F312C"/>
    <w:rsid w:val="006F43CB"/>
    <w:rsid w:val="006F5BC7"/>
    <w:rsid w:val="006F7A3B"/>
    <w:rsid w:val="007007C5"/>
    <w:rsid w:val="00700E33"/>
    <w:rsid w:val="00701171"/>
    <w:rsid w:val="0070167E"/>
    <w:rsid w:val="00702BE9"/>
    <w:rsid w:val="00702C8D"/>
    <w:rsid w:val="00704317"/>
    <w:rsid w:val="00704837"/>
    <w:rsid w:val="007051C2"/>
    <w:rsid w:val="00705EE6"/>
    <w:rsid w:val="007064E0"/>
    <w:rsid w:val="00706ACD"/>
    <w:rsid w:val="0070720B"/>
    <w:rsid w:val="007072F4"/>
    <w:rsid w:val="00707933"/>
    <w:rsid w:val="0071012E"/>
    <w:rsid w:val="00710B32"/>
    <w:rsid w:val="00710BB2"/>
    <w:rsid w:val="00711468"/>
    <w:rsid w:val="00711F38"/>
    <w:rsid w:val="00712899"/>
    <w:rsid w:val="0071297A"/>
    <w:rsid w:val="00713BFC"/>
    <w:rsid w:val="007153CE"/>
    <w:rsid w:val="00716FAE"/>
    <w:rsid w:val="007205C0"/>
    <w:rsid w:val="00720A05"/>
    <w:rsid w:val="00720AE0"/>
    <w:rsid w:val="00722DD6"/>
    <w:rsid w:val="00722E5C"/>
    <w:rsid w:val="0072505C"/>
    <w:rsid w:val="007259FB"/>
    <w:rsid w:val="00731C6D"/>
    <w:rsid w:val="00732A71"/>
    <w:rsid w:val="00732FE9"/>
    <w:rsid w:val="00733636"/>
    <w:rsid w:val="00734B39"/>
    <w:rsid w:val="00737C94"/>
    <w:rsid w:val="007420CB"/>
    <w:rsid w:val="00742300"/>
    <w:rsid w:val="007423F8"/>
    <w:rsid w:val="00742E50"/>
    <w:rsid w:val="00743511"/>
    <w:rsid w:val="00743737"/>
    <w:rsid w:val="00743F94"/>
    <w:rsid w:val="00745273"/>
    <w:rsid w:val="0075050A"/>
    <w:rsid w:val="0075052E"/>
    <w:rsid w:val="00750E68"/>
    <w:rsid w:val="00752156"/>
    <w:rsid w:val="00752277"/>
    <w:rsid w:val="00752278"/>
    <w:rsid w:val="00753831"/>
    <w:rsid w:val="00753B5C"/>
    <w:rsid w:val="007544F6"/>
    <w:rsid w:val="00754A95"/>
    <w:rsid w:val="00754FD1"/>
    <w:rsid w:val="00755F45"/>
    <w:rsid w:val="0075639E"/>
    <w:rsid w:val="00756767"/>
    <w:rsid w:val="007613CE"/>
    <w:rsid w:val="00761426"/>
    <w:rsid w:val="007616E3"/>
    <w:rsid w:val="00761D53"/>
    <w:rsid w:val="00762980"/>
    <w:rsid w:val="00764AB8"/>
    <w:rsid w:val="00766AE2"/>
    <w:rsid w:val="0076756D"/>
    <w:rsid w:val="00767A81"/>
    <w:rsid w:val="00771851"/>
    <w:rsid w:val="00771AB5"/>
    <w:rsid w:val="007728D4"/>
    <w:rsid w:val="00773066"/>
    <w:rsid w:val="0077429A"/>
    <w:rsid w:val="0077454F"/>
    <w:rsid w:val="00774A4E"/>
    <w:rsid w:val="00774F16"/>
    <w:rsid w:val="00780AE7"/>
    <w:rsid w:val="007814E8"/>
    <w:rsid w:val="00782C33"/>
    <w:rsid w:val="00783E0C"/>
    <w:rsid w:val="0078409C"/>
    <w:rsid w:val="0078449E"/>
    <w:rsid w:val="007854DE"/>
    <w:rsid w:val="00786A8E"/>
    <w:rsid w:val="00786C81"/>
    <w:rsid w:val="00786DBF"/>
    <w:rsid w:val="00786EBC"/>
    <w:rsid w:val="007871FF"/>
    <w:rsid w:val="00787809"/>
    <w:rsid w:val="00787A7D"/>
    <w:rsid w:val="007904DD"/>
    <w:rsid w:val="0079070C"/>
    <w:rsid w:val="00790856"/>
    <w:rsid w:val="00791570"/>
    <w:rsid w:val="007927AE"/>
    <w:rsid w:val="007932B0"/>
    <w:rsid w:val="007935EB"/>
    <w:rsid w:val="00794668"/>
    <w:rsid w:val="0079497E"/>
    <w:rsid w:val="00794AF0"/>
    <w:rsid w:val="00795076"/>
    <w:rsid w:val="007951DF"/>
    <w:rsid w:val="007963FF"/>
    <w:rsid w:val="0079716F"/>
    <w:rsid w:val="00797CB5"/>
    <w:rsid w:val="007A1724"/>
    <w:rsid w:val="007A2912"/>
    <w:rsid w:val="007A3101"/>
    <w:rsid w:val="007A3581"/>
    <w:rsid w:val="007A4440"/>
    <w:rsid w:val="007A464E"/>
    <w:rsid w:val="007A58DF"/>
    <w:rsid w:val="007A6BF0"/>
    <w:rsid w:val="007A6CEC"/>
    <w:rsid w:val="007A79F6"/>
    <w:rsid w:val="007A7DE4"/>
    <w:rsid w:val="007B0CEF"/>
    <w:rsid w:val="007B42D4"/>
    <w:rsid w:val="007B549F"/>
    <w:rsid w:val="007B6119"/>
    <w:rsid w:val="007B644F"/>
    <w:rsid w:val="007B64EC"/>
    <w:rsid w:val="007B6A6D"/>
    <w:rsid w:val="007B7064"/>
    <w:rsid w:val="007B77A5"/>
    <w:rsid w:val="007B7A25"/>
    <w:rsid w:val="007C0B2C"/>
    <w:rsid w:val="007C15BA"/>
    <w:rsid w:val="007C1B68"/>
    <w:rsid w:val="007C1C44"/>
    <w:rsid w:val="007C25A2"/>
    <w:rsid w:val="007C29BC"/>
    <w:rsid w:val="007C440B"/>
    <w:rsid w:val="007C47CB"/>
    <w:rsid w:val="007C4970"/>
    <w:rsid w:val="007C4C15"/>
    <w:rsid w:val="007C4F12"/>
    <w:rsid w:val="007C5E8F"/>
    <w:rsid w:val="007C6412"/>
    <w:rsid w:val="007C7267"/>
    <w:rsid w:val="007C79F8"/>
    <w:rsid w:val="007C7C63"/>
    <w:rsid w:val="007D1155"/>
    <w:rsid w:val="007D1D2B"/>
    <w:rsid w:val="007D2042"/>
    <w:rsid w:val="007D215E"/>
    <w:rsid w:val="007D27AE"/>
    <w:rsid w:val="007D2DFC"/>
    <w:rsid w:val="007D2EDA"/>
    <w:rsid w:val="007D4023"/>
    <w:rsid w:val="007D4277"/>
    <w:rsid w:val="007D43EB"/>
    <w:rsid w:val="007D468A"/>
    <w:rsid w:val="007D55CC"/>
    <w:rsid w:val="007D645C"/>
    <w:rsid w:val="007E0E56"/>
    <w:rsid w:val="007E2899"/>
    <w:rsid w:val="007E33B1"/>
    <w:rsid w:val="007E3E73"/>
    <w:rsid w:val="007E4DBD"/>
    <w:rsid w:val="007E661F"/>
    <w:rsid w:val="007E6BFE"/>
    <w:rsid w:val="007E7422"/>
    <w:rsid w:val="007F08C4"/>
    <w:rsid w:val="007F0B75"/>
    <w:rsid w:val="007F3545"/>
    <w:rsid w:val="007F3DFC"/>
    <w:rsid w:val="007F3FA7"/>
    <w:rsid w:val="007F419B"/>
    <w:rsid w:val="007F4786"/>
    <w:rsid w:val="007F4B21"/>
    <w:rsid w:val="007F53E0"/>
    <w:rsid w:val="007F58AD"/>
    <w:rsid w:val="007F5BA8"/>
    <w:rsid w:val="007F665C"/>
    <w:rsid w:val="007F6D4C"/>
    <w:rsid w:val="007F6FBF"/>
    <w:rsid w:val="007F7F6F"/>
    <w:rsid w:val="008010B9"/>
    <w:rsid w:val="00802467"/>
    <w:rsid w:val="00803642"/>
    <w:rsid w:val="008044A1"/>
    <w:rsid w:val="00804876"/>
    <w:rsid w:val="00804AD0"/>
    <w:rsid w:val="008052D6"/>
    <w:rsid w:val="00806289"/>
    <w:rsid w:val="00806E93"/>
    <w:rsid w:val="00811270"/>
    <w:rsid w:val="008116A7"/>
    <w:rsid w:val="00811E6F"/>
    <w:rsid w:val="00812D00"/>
    <w:rsid w:val="00813DBF"/>
    <w:rsid w:val="00814920"/>
    <w:rsid w:val="00814ED6"/>
    <w:rsid w:val="00815184"/>
    <w:rsid w:val="008157C2"/>
    <w:rsid w:val="00820CC2"/>
    <w:rsid w:val="00823ADC"/>
    <w:rsid w:val="00823F9B"/>
    <w:rsid w:val="00824139"/>
    <w:rsid w:val="00824215"/>
    <w:rsid w:val="0082473F"/>
    <w:rsid w:val="00825106"/>
    <w:rsid w:val="00825DA3"/>
    <w:rsid w:val="00830CBC"/>
    <w:rsid w:val="00831448"/>
    <w:rsid w:val="008316B0"/>
    <w:rsid w:val="008326E8"/>
    <w:rsid w:val="00832F8B"/>
    <w:rsid w:val="0083354A"/>
    <w:rsid w:val="00833DF4"/>
    <w:rsid w:val="00833E78"/>
    <w:rsid w:val="00833ED4"/>
    <w:rsid w:val="0083455D"/>
    <w:rsid w:val="00834D97"/>
    <w:rsid w:val="00835BA0"/>
    <w:rsid w:val="00835E22"/>
    <w:rsid w:val="0083647B"/>
    <w:rsid w:val="00836ADE"/>
    <w:rsid w:val="00837DAE"/>
    <w:rsid w:val="00840A64"/>
    <w:rsid w:val="00840ADD"/>
    <w:rsid w:val="00840BE4"/>
    <w:rsid w:val="008421F3"/>
    <w:rsid w:val="00842EF7"/>
    <w:rsid w:val="0084404D"/>
    <w:rsid w:val="00846FAE"/>
    <w:rsid w:val="0084769D"/>
    <w:rsid w:val="00850A28"/>
    <w:rsid w:val="00852225"/>
    <w:rsid w:val="0085375F"/>
    <w:rsid w:val="0085431B"/>
    <w:rsid w:val="00854E99"/>
    <w:rsid w:val="008560B8"/>
    <w:rsid w:val="00857D78"/>
    <w:rsid w:val="00861466"/>
    <w:rsid w:val="008614BF"/>
    <w:rsid w:val="00862DFD"/>
    <w:rsid w:val="0086409B"/>
    <w:rsid w:val="008649FA"/>
    <w:rsid w:val="0086520D"/>
    <w:rsid w:val="00865491"/>
    <w:rsid w:val="00865E1E"/>
    <w:rsid w:val="00867528"/>
    <w:rsid w:val="00870C5A"/>
    <w:rsid w:val="00870D46"/>
    <w:rsid w:val="008712E2"/>
    <w:rsid w:val="00871BDD"/>
    <w:rsid w:val="00871DBD"/>
    <w:rsid w:val="00872E47"/>
    <w:rsid w:val="00873578"/>
    <w:rsid w:val="0087387A"/>
    <w:rsid w:val="00873A92"/>
    <w:rsid w:val="00873E2B"/>
    <w:rsid w:val="00873EB9"/>
    <w:rsid w:val="00874203"/>
    <w:rsid w:val="00874541"/>
    <w:rsid w:val="00874A0B"/>
    <w:rsid w:val="00876371"/>
    <w:rsid w:val="00876DE2"/>
    <w:rsid w:val="00881458"/>
    <w:rsid w:val="008833CC"/>
    <w:rsid w:val="0088439B"/>
    <w:rsid w:val="00884FE9"/>
    <w:rsid w:val="00885130"/>
    <w:rsid w:val="0088560D"/>
    <w:rsid w:val="0088796C"/>
    <w:rsid w:val="00887A4F"/>
    <w:rsid w:val="00890C73"/>
    <w:rsid w:val="00890E75"/>
    <w:rsid w:val="00890F4E"/>
    <w:rsid w:val="008911FB"/>
    <w:rsid w:val="00892080"/>
    <w:rsid w:val="00893C89"/>
    <w:rsid w:val="00894509"/>
    <w:rsid w:val="00894A90"/>
    <w:rsid w:val="00894F4D"/>
    <w:rsid w:val="00895DC7"/>
    <w:rsid w:val="00895E42"/>
    <w:rsid w:val="008965FF"/>
    <w:rsid w:val="00897000"/>
    <w:rsid w:val="00897191"/>
    <w:rsid w:val="00897AA5"/>
    <w:rsid w:val="00897F0A"/>
    <w:rsid w:val="008A0CE4"/>
    <w:rsid w:val="008A0F6B"/>
    <w:rsid w:val="008A1813"/>
    <w:rsid w:val="008A28CD"/>
    <w:rsid w:val="008A3128"/>
    <w:rsid w:val="008A3976"/>
    <w:rsid w:val="008A4252"/>
    <w:rsid w:val="008A4D17"/>
    <w:rsid w:val="008A55A8"/>
    <w:rsid w:val="008A5CFE"/>
    <w:rsid w:val="008A609E"/>
    <w:rsid w:val="008A6B78"/>
    <w:rsid w:val="008B0AEC"/>
    <w:rsid w:val="008B0FBF"/>
    <w:rsid w:val="008B1C54"/>
    <w:rsid w:val="008B2C73"/>
    <w:rsid w:val="008B3AC2"/>
    <w:rsid w:val="008B3AD6"/>
    <w:rsid w:val="008B427F"/>
    <w:rsid w:val="008B4413"/>
    <w:rsid w:val="008B5D64"/>
    <w:rsid w:val="008B6850"/>
    <w:rsid w:val="008C01C9"/>
    <w:rsid w:val="008C0E64"/>
    <w:rsid w:val="008C103B"/>
    <w:rsid w:val="008C1585"/>
    <w:rsid w:val="008C2A86"/>
    <w:rsid w:val="008C2F9C"/>
    <w:rsid w:val="008C3FC8"/>
    <w:rsid w:val="008C4258"/>
    <w:rsid w:val="008C7513"/>
    <w:rsid w:val="008D1347"/>
    <w:rsid w:val="008D25C6"/>
    <w:rsid w:val="008D312D"/>
    <w:rsid w:val="008D3E32"/>
    <w:rsid w:val="008D4636"/>
    <w:rsid w:val="008D511B"/>
    <w:rsid w:val="008E07B0"/>
    <w:rsid w:val="008E1834"/>
    <w:rsid w:val="008E1F35"/>
    <w:rsid w:val="008E23E6"/>
    <w:rsid w:val="008E27E8"/>
    <w:rsid w:val="008E39EA"/>
    <w:rsid w:val="008E5E65"/>
    <w:rsid w:val="008E611E"/>
    <w:rsid w:val="008E61CF"/>
    <w:rsid w:val="008E6CC8"/>
    <w:rsid w:val="008E6E90"/>
    <w:rsid w:val="008E7098"/>
    <w:rsid w:val="008E7793"/>
    <w:rsid w:val="008E7EDC"/>
    <w:rsid w:val="008F3749"/>
    <w:rsid w:val="008F4403"/>
    <w:rsid w:val="008F524C"/>
    <w:rsid w:val="008F632E"/>
    <w:rsid w:val="008F67DE"/>
    <w:rsid w:val="008F6BC2"/>
    <w:rsid w:val="008F720B"/>
    <w:rsid w:val="00901651"/>
    <w:rsid w:val="00902008"/>
    <w:rsid w:val="009030BC"/>
    <w:rsid w:val="009045BC"/>
    <w:rsid w:val="00904A29"/>
    <w:rsid w:val="009062DE"/>
    <w:rsid w:val="009063A4"/>
    <w:rsid w:val="00907CBA"/>
    <w:rsid w:val="00910F6B"/>
    <w:rsid w:val="00911253"/>
    <w:rsid w:val="009112CC"/>
    <w:rsid w:val="009125DB"/>
    <w:rsid w:val="009128C9"/>
    <w:rsid w:val="00915E93"/>
    <w:rsid w:val="009175D7"/>
    <w:rsid w:val="00920566"/>
    <w:rsid w:val="0092078A"/>
    <w:rsid w:val="00920E60"/>
    <w:rsid w:val="00921AE8"/>
    <w:rsid w:val="009251CE"/>
    <w:rsid w:val="009253F0"/>
    <w:rsid w:val="00926B73"/>
    <w:rsid w:val="00926F99"/>
    <w:rsid w:val="009279CA"/>
    <w:rsid w:val="00927A0C"/>
    <w:rsid w:val="00927C6A"/>
    <w:rsid w:val="00927D1B"/>
    <w:rsid w:val="00930650"/>
    <w:rsid w:val="00930A8E"/>
    <w:rsid w:val="00931465"/>
    <w:rsid w:val="009324D3"/>
    <w:rsid w:val="0093490F"/>
    <w:rsid w:val="009403C6"/>
    <w:rsid w:val="00940ED9"/>
    <w:rsid w:val="009418AF"/>
    <w:rsid w:val="0094191F"/>
    <w:rsid w:val="00941CFC"/>
    <w:rsid w:val="00941D0A"/>
    <w:rsid w:val="00942123"/>
    <w:rsid w:val="009427DB"/>
    <w:rsid w:val="0094285A"/>
    <w:rsid w:val="009429F2"/>
    <w:rsid w:val="00943F97"/>
    <w:rsid w:val="00946030"/>
    <w:rsid w:val="009469FE"/>
    <w:rsid w:val="00950894"/>
    <w:rsid w:val="00954959"/>
    <w:rsid w:val="00954A63"/>
    <w:rsid w:val="00955FAB"/>
    <w:rsid w:val="00956A92"/>
    <w:rsid w:val="00957559"/>
    <w:rsid w:val="0095790C"/>
    <w:rsid w:val="0096207D"/>
    <w:rsid w:val="0096304E"/>
    <w:rsid w:val="0096357C"/>
    <w:rsid w:val="009636FA"/>
    <w:rsid w:val="00963A6E"/>
    <w:rsid w:val="009646AE"/>
    <w:rsid w:val="00964E74"/>
    <w:rsid w:val="00965D0E"/>
    <w:rsid w:val="00966CA0"/>
    <w:rsid w:val="0097029A"/>
    <w:rsid w:val="00970737"/>
    <w:rsid w:val="0097242D"/>
    <w:rsid w:val="00972655"/>
    <w:rsid w:val="00974279"/>
    <w:rsid w:val="009748CB"/>
    <w:rsid w:val="00974E5F"/>
    <w:rsid w:val="00977988"/>
    <w:rsid w:val="009817AC"/>
    <w:rsid w:val="00981C0F"/>
    <w:rsid w:val="00981DEC"/>
    <w:rsid w:val="009826BB"/>
    <w:rsid w:val="00982D62"/>
    <w:rsid w:val="0098678D"/>
    <w:rsid w:val="00987B97"/>
    <w:rsid w:val="00987CEF"/>
    <w:rsid w:val="00990BAE"/>
    <w:rsid w:val="00991112"/>
    <w:rsid w:val="00991AF0"/>
    <w:rsid w:val="009926B2"/>
    <w:rsid w:val="0099284A"/>
    <w:rsid w:val="00992A4E"/>
    <w:rsid w:val="00992F44"/>
    <w:rsid w:val="0099434D"/>
    <w:rsid w:val="0099442A"/>
    <w:rsid w:val="00994E57"/>
    <w:rsid w:val="00995235"/>
    <w:rsid w:val="00995347"/>
    <w:rsid w:val="009A14BD"/>
    <w:rsid w:val="009A19DD"/>
    <w:rsid w:val="009A26DD"/>
    <w:rsid w:val="009A2F2D"/>
    <w:rsid w:val="009A317F"/>
    <w:rsid w:val="009A409E"/>
    <w:rsid w:val="009A4376"/>
    <w:rsid w:val="009A4B74"/>
    <w:rsid w:val="009B036A"/>
    <w:rsid w:val="009B0BDB"/>
    <w:rsid w:val="009B0F59"/>
    <w:rsid w:val="009B1253"/>
    <w:rsid w:val="009B12CB"/>
    <w:rsid w:val="009B171E"/>
    <w:rsid w:val="009B27E2"/>
    <w:rsid w:val="009B2F00"/>
    <w:rsid w:val="009B3F85"/>
    <w:rsid w:val="009B4296"/>
    <w:rsid w:val="009B47CF"/>
    <w:rsid w:val="009B47F6"/>
    <w:rsid w:val="009B5C00"/>
    <w:rsid w:val="009B6FF4"/>
    <w:rsid w:val="009B778F"/>
    <w:rsid w:val="009B77F1"/>
    <w:rsid w:val="009C0C5F"/>
    <w:rsid w:val="009C1895"/>
    <w:rsid w:val="009C1CD8"/>
    <w:rsid w:val="009C2E93"/>
    <w:rsid w:val="009C4DB4"/>
    <w:rsid w:val="009C51BA"/>
    <w:rsid w:val="009C5495"/>
    <w:rsid w:val="009C60BB"/>
    <w:rsid w:val="009C6303"/>
    <w:rsid w:val="009D012F"/>
    <w:rsid w:val="009D0164"/>
    <w:rsid w:val="009D0316"/>
    <w:rsid w:val="009D0A73"/>
    <w:rsid w:val="009D1CCF"/>
    <w:rsid w:val="009D2A1D"/>
    <w:rsid w:val="009D41CA"/>
    <w:rsid w:val="009D425C"/>
    <w:rsid w:val="009D4396"/>
    <w:rsid w:val="009D6CB6"/>
    <w:rsid w:val="009D7C0C"/>
    <w:rsid w:val="009D7C0D"/>
    <w:rsid w:val="009E0A01"/>
    <w:rsid w:val="009E2023"/>
    <w:rsid w:val="009E31EE"/>
    <w:rsid w:val="009E4088"/>
    <w:rsid w:val="009E40D0"/>
    <w:rsid w:val="009E4816"/>
    <w:rsid w:val="009E5644"/>
    <w:rsid w:val="009E57A5"/>
    <w:rsid w:val="009E6C16"/>
    <w:rsid w:val="009E7581"/>
    <w:rsid w:val="009F0A20"/>
    <w:rsid w:val="009F0FDD"/>
    <w:rsid w:val="009F144C"/>
    <w:rsid w:val="009F1C02"/>
    <w:rsid w:val="009F1CFD"/>
    <w:rsid w:val="009F2644"/>
    <w:rsid w:val="009F2E4E"/>
    <w:rsid w:val="009F33B2"/>
    <w:rsid w:val="009F3B38"/>
    <w:rsid w:val="009F4ACD"/>
    <w:rsid w:val="009F4F8E"/>
    <w:rsid w:val="009F4FFE"/>
    <w:rsid w:val="009F63EE"/>
    <w:rsid w:val="009F681D"/>
    <w:rsid w:val="009F6EC4"/>
    <w:rsid w:val="009F7F4E"/>
    <w:rsid w:val="00A004CF"/>
    <w:rsid w:val="00A010A8"/>
    <w:rsid w:val="00A01703"/>
    <w:rsid w:val="00A02B2A"/>
    <w:rsid w:val="00A03CA4"/>
    <w:rsid w:val="00A044E3"/>
    <w:rsid w:val="00A04979"/>
    <w:rsid w:val="00A0525E"/>
    <w:rsid w:val="00A055DA"/>
    <w:rsid w:val="00A06D35"/>
    <w:rsid w:val="00A075CF"/>
    <w:rsid w:val="00A0773A"/>
    <w:rsid w:val="00A10669"/>
    <w:rsid w:val="00A10B9E"/>
    <w:rsid w:val="00A1124F"/>
    <w:rsid w:val="00A11275"/>
    <w:rsid w:val="00A13C2E"/>
    <w:rsid w:val="00A15428"/>
    <w:rsid w:val="00A15B96"/>
    <w:rsid w:val="00A20228"/>
    <w:rsid w:val="00A20CDA"/>
    <w:rsid w:val="00A2293A"/>
    <w:rsid w:val="00A22DCD"/>
    <w:rsid w:val="00A23C35"/>
    <w:rsid w:val="00A248AD"/>
    <w:rsid w:val="00A24CB8"/>
    <w:rsid w:val="00A24FC8"/>
    <w:rsid w:val="00A2501A"/>
    <w:rsid w:val="00A25E7F"/>
    <w:rsid w:val="00A266DC"/>
    <w:rsid w:val="00A26F8C"/>
    <w:rsid w:val="00A33E71"/>
    <w:rsid w:val="00A342A9"/>
    <w:rsid w:val="00A34F38"/>
    <w:rsid w:val="00A37C1D"/>
    <w:rsid w:val="00A407D9"/>
    <w:rsid w:val="00A40FE2"/>
    <w:rsid w:val="00A415EF"/>
    <w:rsid w:val="00A416B6"/>
    <w:rsid w:val="00A41F89"/>
    <w:rsid w:val="00A43B5F"/>
    <w:rsid w:val="00A43C30"/>
    <w:rsid w:val="00A448E4"/>
    <w:rsid w:val="00A456AF"/>
    <w:rsid w:val="00A45EEA"/>
    <w:rsid w:val="00A4624A"/>
    <w:rsid w:val="00A46FA6"/>
    <w:rsid w:val="00A47921"/>
    <w:rsid w:val="00A47A00"/>
    <w:rsid w:val="00A47BF7"/>
    <w:rsid w:val="00A47FC3"/>
    <w:rsid w:val="00A5358C"/>
    <w:rsid w:val="00A54A15"/>
    <w:rsid w:val="00A56099"/>
    <w:rsid w:val="00A56BC1"/>
    <w:rsid w:val="00A57C66"/>
    <w:rsid w:val="00A62F81"/>
    <w:rsid w:val="00A6304C"/>
    <w:rsid w:val="00A63C5F"/>
    <w:rsid w:val="00A64017"/>
    <w:rsid w:val="00A6439B"/>
    <w:rsid w:val="00A67102"/>
    <w:rsid w:val="00A70411"/>
    <w:rsid w:val="00A70B4F"/>
    <w:rsid w:val="00A716FC"/>
    <w:rsid w:val="00A71CB9"/>
    <w:rsid w:val="00A725DF"/>
    <w:rsid w:val="00A72713"/>
    <w:rsid w:val="00A76928"/>
    <w:rsid w:val="00A76EA4"/>
    <w:rsid w:val="00A7798C"/>
    <w:rsid w:val="00A80A21"/>
    <w:rsid w:val="00A81EC2"/>
    <w:rsid w:val="00A830E2"/>
    <w:rsid w:val="00A8405D"/>
    <w:rsid w:val="00A8488E"/>
    <w:rsid w:val="00A84A2A"/>
    <w:rsid w:val="00A84B8B"/>
    <w:rsid w:val="00A85B9E"/>
    <w:rsid w:val="00A861DA"/>
    <w:rsid w:val="00A86723"/>
    <w:rsid w:val="00A872B1"/>
    <w:rsid w:val="00A87D6E"/>
    <w:rsid w:val="00A9122F"/>
    <w:rsid w:val="00A91720"/>
    <w:rsid w:val="00A91CDB"/>
    <w:rsid w:val="00A924C4"/>
    <w:rsid w:val="00A92CF3"/>
    <w:rsid w:val="00A9355A"/>
    <w:rsid w:val="00A936E5"/>
    <w:rsid w:val="00A93B5E"/>
    <w:rsid w:val="00A93BF8"/>
    <w:rsid w:val="00A944C3"/>
    <w:rsid w:val="00A94762"/>
    <w:rsid w:val="00A9568C"/>
    <w:rsid w:val="00A961C4"/>
    <w:rsid w:val="00AA0E66"/>
    <w:rsid w:val="00AA12C4"/>
    <w:rsid w:val="00AA1DA1"/>
    <w:rsid w:val="00AA1DC0"/>
    <w:rsid w:val="00AA240F"/>
    <w:rsid w:val="00AA3158"/>
    <w:rsid w:val="00AA4E8E"/>
    <w:rsid w:val="00AA5802"/>
    <w:rsid w:val="00AA5EB5"/>
    <w:rsid w:val="00AA5FCC"/>
    <w:rsid w:val="00AB1EBB"/>
    <w:rsid w:val="00AB31B1"/>
    <w:rsid w:val="00AB38C5"/>
    <w:rsid w:val="00AB5BC2"/>
    <w:rsid w:val="00AB66BB"/>
    <w:rsid w:val="00AB6753"/>
    <w:rsid w:val="00AB6E4D"/>
    <w:rsid w:val="00AC00BD"/>
    <w:rsid w:val="00AC3BD2"/>
    <w:rsid w:val="00AC3C2D"/>
    <w:rsid w:val="00AC3CC2"/>
    <w:rsid w:val="00AC5DD0"/>
    <w:rsid w:val="00AC6BC0"/>
    <w:rsid w:val="00AD0AD8"/>
    <w:rsid w:val="00AD1D02"/>
    <w:rsid w:val="00AD1FE4"/>
    <w:rsid w:val="00AD2989"/>
    <w:rsid w:val="00AD2FBB"/>
    <w:rsid w:val="00AD3A70"/>
    <w:rsid w:val="00AD5C00"/>
    <w:rsid w:val="00AD6659"/>
    <w:rsid w:val="00AD6EB2"/>
    <w:rsid w:val="00AD6EB8"/>
    <w:rsid w:val="00AD7AE4"/>
    <w:rsid w:val="00AE14C5"/>
    <w:rsid w:val="00AE30D6"/>
    <w:rsid w:val="00AE48A5"/>
    <w:rsid w:val="00AE4A97"/>
    <w:rsid w:val="00AE6C3D"/>
    <w:rsid w:val="00AE6F74"/>
    <w:rsid w:val="00AE7931"/>
    <w:rsid w:val="00AE7C34"/>
    <w:rsid w:val="00AF109E"/>
    <w:rsid w:val="00AF1BA8"/>
    <w:rsid w:val="00AF2B5C"/>
    <w:rsid w:val="00AF37D6"/>
    <w:rsid w:val="00AF47A2"/>
    <w:rsid w:val="00AF5254"/>
    <w:rsid w:val="00AF5909"/>
    <w:rsid w:val="00AF6866"/>
    <w:rsid w:val="00AF68A3"/>
    <w:rsid w:val="00AF7FC3"/>
    <w:rsid w:val="00B0089F"/>
    <w:rsid w:val="00B010DA"/>
    <w:rsid w:val="00B01ACE"/>
    <w:rsid w:val="00B02B07"/>
    <w:rsid w:val="00B02D75"/>
    <w:rsid w:val="00B03237"/>
    <w:rsid w:val="00B03F4D"/>
    <w:rsid w:val="00B0520F"/>
    <w:rsid w:val="00B073EA"/>
    <w:rsid w:val="00B1006A"/>
    <w:rsid w:val="00B108C9"/>
    <w:rsid w:val="00B10EF4"/>
    <w:rsid w:val="00B1111D"/>
    <w:rsid w:val="00B11539"/>
    <w:rsid w:val="00B1250D"/>
    <w:rsid w:val="00B12BAB"/>
    <w:rsid w:val="00B14057"/>
    <w:rsid w:val="00B14789"/>
    <w:rsid w:val="00B14A60"/>
    <w:rsid w:val="00B15455"/>
    <w:rsid w:val="00B16690"/>
    <w:rsid w:val="00B2015E"/>
    <w:rsid w:val="00B211BF"/>
    <w:rsid w:val="00B22CB3"/>
    <w:rsid w:val="00B23F1F"/>
    <w:rsid w:val="00B24721"/>
    <w:rsid w:val="00B249EB"/>
    <w:rsid w:val="00B26795"/>
    <w:rsid w:val="00B26826"/>
    <w:rsid w:val="00B30195"/>
    <w:rsid w:val="00B305FF"/>
    <w:rsid w:val="00B3174A"/>
    <w:rsid w:val="00B31AF2"/>
    <w:rsid w:val="00B320EF"/>
    <w:rsid w:val="00B322CD"/>
    <w:rsid w:val="00B336DF"/>
    <w:rsid w:val="00B34076"/>
    <w:rsid w:val="00B34AF6"/>
    <w:rsid w:val="00B357B6"/>
    <w:rsid w:val="00B35FE2"/>
    <w:rsid w:val="00B36C3C"/>
    <w:rsid w:val="00B37986"/>
    <w:rsid w:val="00B37DC9"/>
    <w:rsid w:val="00B37F8B"/>
    <w:rsid w:val="00B40256"/>
    <w:rsid w:val="00B4092A"/>
    <w:rsid w:val="00B41B5B"/>
    <w:rsid w:val="00B445F3"/>
    <w:rsid w:val="00B47340"/>
    <w:rsid w:val="00B5040E"/>
    <w:rsid w:val="00B5497A"/>
    <w:rsid w:val="00B54ECD"/>
    <w:rsid w:val="00B557D9"/>
    <w:rsid w:val="00B619A9"/>
    <w:rsid w:val="00B61BAB"/>
    <w:rsid w:val="00B627F2"/>
    <w:rsid w:val="00B62B20"/>
    <w:rsid w:val="00B6566F"/>
    <w:rsid w:val="00B65ADB"/>
    <w:rsid w:val="00B66660"/>
    <w:rsid w:val="00B669A0"/>
    <w:rsid w:val="00B706BF"/>
    <w:rsid w:val="00B7196D"/>
    <w:rsid w:val="00B71A3D"/>
    <w:rsid w:val="00B71BF6"/>
    <w:rsid w:val="00B71CC7"/>
    <w:rsid w:val="00B72D01"/>
    <w:rsid w:val="00B74301"/>
    <w:rsid w:val="00B756E9"/>
    <w:rsid w:val="00B7606F"/>
    <w:rsid w:val="00B76FBA"/>
    <w:rsid w:val="00B801DB"/>
    <w:rsid w:val="00B8048C"/>
    <w:rsid w:val="00B80CF3"/>
    <w:rsid w:val="00B80DF5"/>
    <w:rsid w:val="00B81829"/>
    <w:rsid w:val="00B820C5"/>
    <w:rsid w:val="00B825B6"/>
    <w:rsid w:val="00B8290D"/>
    <w:rsid w:val="00B83423"/>
    <w:rsid w:val="00B8418B"/>
    <w:rsid w:val="00B84F88"/>
    <w:rsid w:val="00B85D83"/>
    <w:rsid w:val="00B862C1"/>
    <w:rsid w:val="00B8639B"/>
    <w:rsid w:val="00B8661C"/>
    <w:rsid w:val="00B8708E"/>
    <w:rsid w:val="00B9043F"/>
    <w:rsid w:val="00B91817"/>
    <w:rsid w:val="00B935B5"/>
    <w:rsid w:val="00B93A96"/>
    <w:rsid w:val="00BA014F"/>
    <w:rsid w:val="00BA093C"/>
    <w:rsid w:val="00BA2CA9"/>
    <w:rsid w:val="00BA5247"/>
    <w:rsid w:val="00BA55C8"/>
    <w:rsid w:val="00BA6746"/>
    <w:rsid w:val="00BB0E75"/>
    <w:rsid w:val="00BB2153"/>
    <w:rsid w:val="00BB311C"/>
    <w:rsid w:val="00BB7090"/>
    <w:rsid w:val="00BB75B1"/>
    <w:rsid w:val="00BB7E07"/>
    <w:rsid w:val="00BC02A9"/>
    <w:rsid w:val="00BC4A6D"/>
    <w:rsid w:val="00BC576A"/>
    <w:rsid w:val="00BC5843"/>
    <w:rsid w:val="00BC6C33"/>
    <w:rsid w:val="00BD0710"/>
    <w:rsid w:val="00BD0F73"/>
    <w:rsid w:val="00BD13F7"/>
    <w:rsid w:val="00BD15C9"/>
    <w:rsid w:val="00BD3381"/>
    <w:rsid w:val="00BD419B"/>
    <w:rsid w:val="00BD4425"/>
    <w:rsid w:val="00BD442D"/>
    <w:rsid w:val="00BD6E2A"/>
    <w:rsid w:val="00BD6FC6"/>
    <w:rsid w:val="00BD7BFF"/>
    <w:rsid w:val="00BE0009"/>
    <w:rsid w:val="00BE0244"/>
    <w:rsid w:val="00BE1C02"/>
    <w:rsid w:val="00BE24C6"/>
    <w:rsid w:val="00BE3AA1"/>
    <w:rsid w:val="00BE3DA0"/>
    <w:rsid w:val="00BE4A65"/>
    <w:rsid w:val="00BE5395"/>
    <w:rsid w:val="00BE5D0A"/>
    <w:rsid w:val="00BE5F15"/>
    <w:rsid w:val="00BE6CD8"/>
    <w:rsid w:val="00BF1840"/>
    <w:rsid w:val="00BF199C"/>
    <w:rsid w:val="00BF1FC7"/>
    <w:rsid w:val="00BF270F"/>
    <w:rsid w:val="00BF61EF"/>
    <w:rsid w:val="00BF697F"/>
    <w:rsid w:val="00BF6B83"/>
    <w:rsid w:val="00BF6C76"/>
    <w:rsid w:val="00BF7358"/>
    <w:rsid w:val="00C00876"/>
    <w:rsid w:val="00C016C8"/>
    <w:rsid w:val="00C02E04"/>
    <w:rsid w:val="00C048FC"/>
    <w:rsid w:val="00C04F33"/>
    <w:rsid w:val="00C05EBE"/>
    <w:rsid w:val="00C06247"/>
    <w:rsid w:val="00C06AD9"/>
    <w:rsid w:val="00C07648"/>
    <w:rsid w:val="00C1009B"/>
    <w:rsid w:val="00C1081D"/>
    <w:rsid w:val="00C12736"/>
    <w:rsid w:val="00C129B6"/>
    <w:rsid w:val="00C12C77"/>
    <w:rsid w:val="00C12F00"/>
    <w:rsid w:val="00C1351F"/>
    <w:rsid w:val="00C1368E"/>
    <w:rsid w:val="00C147D5"/>
    <w:rsid w:val="00C14D64"/>
    <w:rsid w:val="00C153AD"/>
    <w:rsid w:val="00C159CB"/>
    <w:rsid w:val="00C15CA9"/>
    <w:rsid w:val="00C15DE6"/>
    <w:rsid w:val="00C16129"/>
    <w:rsid w:val="00C1674E"/>
    <w:rsid w:val="00C1677B"/>
    <w:rsid w:val="00C213F9"/>
    <w:rsid w:val="00C21B44"/>
    <w:rsid w:val="00C2397D"/>
    <w:rsid w:val="00C24BEB"/>
    <w:rsid w:val="00C263BF"/>
    <w:rsid w:val="00C27310"/>
    <w:rsid w:val="00C3010F"/>
    <w:rsid w:val="00C30BB6"/>
    <w:rsid w:val="00C30DAF"/>
    <w:rsid w:val="00C312CB"/>
    <w:rsid w:val="00C3393C"/>
    <w:rsid w:val="00C33CDE"/>
    <w:rsid w:val="00C34D41"/>
    <w:rsid w:val="00C359E4"/>
    <w:rsid w:val="00C363FA"/>
    <w:rsid w:val="00C366C3"/>
    <w:rsid w:val="00C368A8"/>
    <w:rsid w:val="00C4030F"/>
    <w:rsid w:val="00C40E6E"/>
    <w:rsid w:val="00C41140"/>
    <w:rsid w:val="00C41390"/>
    <w:rsid w:val="00C41D60"/>
    <w:rsid w:val="00C421C2"/>
    <w:rsid w:val="00C4305B"/>
    <w:rsid w:val="00C434B4"/>
    <w:rsid w:val="00C4647C"/>
    <w:rsid w:val="00C520AB"/>
    <w:rsid w:val="00C5298F"/>
    <w:rsid w:val="00C53C7F"/>
    <w:rsid w:val="00C5421C"/>
    <w:rsid w:val="00C57BD7"/>
    <w:rsid w:val="00C60704"/>
    <w:rsid w:val="00C60776"/>
    <w:rsid w:val="00C6134A"/>
    <w:rsid w:val="00C6154D"/>
    <w:rsid w:val="00C61D22"/>
    <w:rsid w:val="00C62404"/>
    <w:rsid w:val="00C626F9"/>
    <w:rsid w:val="00C627AE"/>
    <w:rsid w:val="00C63642"/>
    <w:rsid w:val="00C6404F"/>
    <w:rsid w:val="00C6433B"/>
    <w:rsid w:val="00C64B4F"/>
    <w:rsid w:val="00C65D78"/>
    <w:rsid w:val="00C65F2A"/>
    <w:rsid w:val="00C67AA5"/>
    <w:rsid w:val="00C70EFB"/>
    <w:rsid w:val="00C71091"/>
    <w:rsid w:val="00C71628"/>
    <w:rsid w:val="00C73900"/>
    <w:rsid w:val="00C7550E"/>
    <w:rsid w:val="00C760AC"/>
    <w:rsid w:val="00C80276"/>
    <w:rsid w:val="00C8160C"/>
    <w:rsid w:val="00C84BF2"/>
    <w:rsid w:val="00C85B90"/>
    <w:rsid w:val="00C870FD"/>
    <w:rsid w:val="00C902B6"/>
    <w:rsid w:val="00C91302"/>
    <w:rsid w:val="00C92473"/>
    <w:rsid w:val="00C9381B"/>
    <w:rsid w:val="00C94D45"/>
    <w:rsid w:val="00C955D2"/>
    <w:rsid w:val="00C95E6E"/>
    <w:rsid w:val="00C978A1"/>
    <w:rsid w:val="00C97B18"/>
    <w:rsid w:val="00CA0012"/>
    <w:rsid w:val="00CA21CE"/>
    <w:rsid w:val="00CA227A"/>
    <w:rsid w:val="00CA32A5"/>
    <w:rsid w:val="00CA4396"/>
    <w:rsid w:val="00CA4A76"/>
    <w:rsid w:val="00CA510A"/>
    <w:rsid w:val="00CA54D4"/>
    <w:rsid w:val="00CA6769"/>
    <w:rsid w:val="00CA68BD"/>
    <w:rsid w:val="00CA6976"/>
    <w:rsid w:val="00CA6FEC"/>
    <w:rsid w:val="00CA7CBB"/>
    <w:rsid w:val="00CB0D4C"/>
    <w:rsid w:val="00CB101A"/>
    <w:rsid w:val="00CB2690"/>
    <w:rsid w:val="00CB2B61"/>
    <w:rsid w:val="00CB3060"/>
    <w:rsid w:val="00CB31D2"/>
    <w:rsid w:val="00CB7F0A"/>
    <w:rsid w:val="00CC0734"/>
    <w:rsid w:val="00CC0788"/>
    <w:rsid w:val="00CC29F1"/>
    <w:rsid w:val="00CC2FC0"/>
    <w:rsid w:val="00CC31F5"/>
    <w:rsid w:val="00CC35C3"/>
    <w:rsid w:val="00CC5A3B"/>
    <w:rsid w:val="00CC6061"/>
    <w:rsid w:val="00CC66E9"/>
    <w:rsid w:val="00CC6F77"/>
    <w:rsid w:val="00CC74C7"/>
    <w:rsid w:val="00CC7611"/>
    <w:rsid w:val="00CD00B1"/>
    <w:rsid w:val="00CD08B0"/>
    <w:rsid w:val="00CD10AF"/>
    <w:rsid w:val="00CD236A"/>
    <w:rsid w:val="00CD2A52"/>
    <w:rsid w:val="00CD2BBF"/>
    <w:rsid w:val="00CD321A"/>
    <w:rsid w:val="00CD5243"/>
    <w:rsid w:val="00CD5377"/>
    <w:rsid w:val="00CD65D5"/>
    <w:rsid w:val="00CD72C6"/>
    <w:rsid w:val="00CE0BBD"/>
    <w:rsid w:val="00CE0EA3"/>
    <w:rsid w:val="00CE146A"/>
    <w:rsid w:val="00CE1F29"/>
    <w:rsid w:val="00CE2FF9"/>
    <w:rsid w:val="00CE3039"/>
    <w:rsid w:val="00CE3750"/>
    <w:rsid w:val="00CE3E31"/>
    <w:rsid w:val="00CE4AA5"/>
    <w:rsid w:val="00CE5C31"/>
    <w:rsid w:val="00CE68F1"/>
    <w:rsid w:val="00CE6F40"/>
    <w:rsid w:val="00CE72C4"/>
    <w:rsid w:val="00CE74F2"/>
    <w:rsid w:val="00CF016A"/>
    <w:rsid w:val="00CF22DC"/>
    <w:rsid w:val="00CF5990"/>
    <w:rsid w:val="00CF5F39"/>
    <w:rsid w:val="00D00B76"/>
    <w:rsid w:val="00D011CE"/>
    <w:rsid w:val="00D01693"/>
    <w:rsid w:val="00D0237D"/>
    <w:rsid w:val="00D03E89"/>
    <w:rsid w:val="00D051CE"/>
    <w:rsid w:val="00D05436"/>
    <w:rsid w:val="00D0624D"/>
    <w:rsid w:val="00D06D04"/>
    <w:rsid w:val="00D0717D"/>
    <w:rsid w:val="00D07345"/>
    <w:rsid w:val="00D10B8B"/>
    <w:rsid w:val="00D10C24"/>
    <w:rsid w:val="00D12901"/>
    <w:rsid w:val="00D12963"/>
    <w:rsid w:val="00D1684C"/>
    <w:rsid w:val="00D16853"/>
    <w:rsid w:val="00D20D6B"/>
    <w:rsid w:val="00D2292F"/>
    <w:rsid w:val="00D251A7"/>
    <w:rsid w:val="00D27E59"/>
    <w:rsid w:val="00D30916"/>
    <w:rsid w:val="00D31006"/>
    <w:rsid w:val="00D311EE"/>
    <w:rsid w:val="00D314AF"/>
    <w:rsid w:val="00D32681"/>
    <w:rsid w:val="00D339E5"/>
    <w:rsid w:val="00D360E4"/>
    <w:rsid w:val="00D405E6"/>
    <w:rsid w:val="00D411C8"/>
    <w:rsid w:val="00D41871"/>
    <w:rsid w:val="00D438BC"/>
    <w:rsid w:val="00D43C8C"/>
    <w:rsid w:val="00D46D66"/>
    <w:rsid w:val="00D4775B"/>
    <w:rsid w:val="00D50A2D"/>
    <w:rsid w:val="00D51AAB"/>
    <w:rsid w:val="00D52B27"/>
    <w:rsid w:val="00D57125"/>
    <w:rsid w:val="00D604CC"/>
    <w:rsid w:val="00D6244A"/>
    <w:rsid w:val="00D62F24"/>
    <w:rsid w:val="00D6462D"/>
    <w:rsid w:val="00D6586E"/>
    <w:rsid w:val="00D66811"/>
    <w:rsid w:val="00D67B58"/>
    <w:rsid w:val="00D67B90"/>
    <w:rsid w:val="00D67D25"/>
    <w:rsid w:val="00D710EF"/>
    <w:rsid w:val="00D72608"/>
    <w:rsid w:val="00D7327B"/>
    <w:rsid w:val="00D73995"/>
    <w:rsid w:val="00D740EE"/>
    <w:rsid w:val="00D74564"/>
    <w:rsid w:val="00D77411"/>
    <w:rsid w:val="00D80676"/>
    <w:rsid w:val="00D8159B"/>
    <w:rsid w:val="00D82122"/>
    <w:rsid w:val="00D8412D"/>
    <w:rsid w:val="00D8441D"/>
    <w:rsid w:val="00D8576B"/>
    <w:rsid w:val="00D85CB4"/>
    <w:rsid w:val="00D86010"/>
    <w:rsid w:val="00D86A11"/>
    <w:rsid w:val="00D86A1A"/>
    <w:rsid w:val="00D86F17"/>
    <w:rsid w:val="00D87089"/>
    <w:rsid w:val="00D905BB"/>
    <w:rsid w:val="00D92A20"/>
    <w:rsid w:val="00D95A16"/>
    <w:rsid w:val="00D95FD6"/>
    <w:rsid w:val="00D96395"/>
    <w:rsid w:val="00D968A9"/>
    <w:rsid w:val="00D97168"/>
    <w:rsid w:val="00DA0ABF"/>
    <w:rsid w:val="00DA10E9"/>
    <w:rsid w:val="00DA194D"/>
    <w:rsid w:val="00DA25AD"/>
    <w:rsid w:val="00DA2A3E"/>
    <w:rsid w:val="00DA3B71"/>
    <w:rsid w:val="00DA5DF0"/>
    <w:rsid w:val="00DA614E"/>
    <w:rsid w:val="00DB28CC"/>
    <w:rsid w:val="00DB29EA"/>
    <w:rsid w:val="00DB3687"/>
    <w:rsid w:val="00DB38B7"/>
    <w:rsid w:val="00DB6360"/>
    <w:rsid w:val="00DB7E60"/>
    <w:rsid w:val="00DC0FCB"/>
    <w:rsid w:val="00DC2CA5"/>
    <w:rsid w:val="00DC3277"/>
    <w:rsid w:val="00DC3BFA"/>
    <w:rsid w:val="00DC57CB"/>
    <w:rsid w:val="00DC584D"/>
    <w:rsid w:val="00DC5D0D"/>
    <w:rsid w:val="00DC5E98"/>
    <w:rsid w:val="00DC5FF9"/>
    <w:rsid w:val="00DC6004"/>
    <w:rsid w:val="00DC6918"/>
    <w:rsid w:val="00DD0795"/>
    <w:rsid w:val="00DD1037"/>
    <w:rsid w:val="00DD2C61"/>
    <w:rsid w:val="00DD3203"/>
    <w:rsid w:val="00DD3763"/>
    <w:rsid w:val="00DD3A16"/>
    <w:rsid w:val="00DD3F0B"/>
    <w:rsid w:val="00DD4004"/>
    <w:rsid w:val="00DD43DD"/>
    <w:rsid w:val="00DD4E70"/>
    <w:rsid w:val="00DD73C5"/>
    <w:rsid w:val="00DD7AE7"/>
    <w:rsid w:val="00DE0CB9"/>
    <w:rsid w:val="00DE16BB"/>
    <w:rsid w:val="00DE17AC"/>
    <w:rsid w:val="00DE3731"/>
    <w:rsid w:val="00DE429E"/>
    <w:rsid w:val="00DE5123"/>
    <w:rsid w:val="00DE5E97"/>
    <w:rsid w:val="00DE7A43"/>
    <w:rsid w:val="00DE7C20"/>
    <w:rsid w:val="00DF015F"/>
    <w:rsid w:val="00DF0A5B"/>
    <w:rsid w:val="00DF0F90"/>
    <w:rsid w:val="00DF1411"/>
    <w:rsid w:val="00DF2BB0"/>
    <w:rsid w:val="00DF446B"/>
    <w:rsid w:val="00DF49AA"/>
    <w:rsid w:val="00DF5A01"/>
    <w:rsid w:val="00DF5A5F"/>
    <w:rsid w:val="00DF6252"/>
    <w:rsid w:val="00DF71E1"/>
    <w:rsid w:val="00E00356"/>
    <w:rsid w:val="00E00AF4"/>
    <w:rsid w:val="00E00E30"/>
    <w:rsid w:val="00E03756"/>
    <w:rsid w:val="00E0455F"/>
    <w:rsid w:val="00E0494C"/>
    <w:rsid w:val="00E059F8"/>
    <w:rsid w:val="00E06462"/>
    <w:rsid w:val="00E0673E"/>
    <w:rsid w:val="00E07735"/>
    <w:rsid w:val="00E07B1B"/>
    <w:rsid w:val="00E07F6D"/>
    <w:rsid w:val="00E11242"/>
    <w:rsid w:val="00E11FC4"/>
    <w:rsid w:val="00E12EA3"/>
    <w:rsid w:val="00E13AF5"/>
    <w:rsid w:val="00E13F7C"/>
    <w:rsid w:val="00E14CFD"/>
    <w:rsid w:val="00E16454"/>
    <w:rsid w:val="00E16B1E"/>
    <w:rsid w:val="00E17037"/>
    <w:rsid w:val="00E176DF"/>
    <w:rsid w:val="00E17911"/>
    <w:rsid w:val="00E2015B"/>
    <w:rsid w:val="00E207D8"/>
    <w:rsid w:val="00E20AE5"/>
    <w:rsid w:val="00E20B4C"/>
    <w:rsid w:val="00E20DBC"/>
    <w:rsid w:val="00E21428"/>
    <w:rsid w:val="00E21A3A"/>
    <w:rsid w:val="00E2226A"/>
    <w:rsid w:val="00E22A58"/>
    <w:rsid w:val="00E22EDB"/>
    <w:rsid w:val="00E23F64"/>
    <w:rsid w:val="00E25F57"/>
    <w:rsid w:val="00E27129"/>
    <w:rsid w:val="00E30871"/>
    <w:rsid w:val="00E31331"/>
    <w:rsid w:val="00E313AD"/>
    <w:rsid w:val="00E31CED"/>
    <w:rsid w:val="00E327A5"/>
    <w:rsid w:val="00E32BC9"/>
    <w:rsid w:val="00E32BED"/>
    <w:rsid w:val="00E33294"/>
    <w:rsid w:val="00E3566B"/>
    <w:rsid w:val="00E363ED"/>
    <w:rsid w:val="00E371B7"/>
    <w:rsid w:val="00E376C3"/>
    <w:rsid w:val="00E40CE5"/>
    <w:rsid w:val="00E41665"/>
    <w:rsid w:val="00E41757"/>
    <w:rsid w:val="00E4175A"/>
    <w:rsid w:val="00E42017"/>
    <w:rsid w:val="00E421C6"/>
    <w:rsid w:val="00E43EC6"/>
    <w:rsid w:val="00E4472F"/>
    <w:rsid w:val="00E44C40"/>
    <w:rsid w:val="00E460B4"/>
    <w:rsid w:val="00E46487"/>
    <w:rsid w:val="00E47C76"/>
    <w:rsid w:val="00E501E0"/>
    <w:rsid w:val="00E51113"/>
    <w:rsid w:val="00E540D8"/>
    <w:rsid w:val="00E54232"/>
    <w:rsid w:val="00E54523"/>
    <w:rsid w:val="00E54C63"/>
    <w:rsid w:val="00E54D59"/>
    <w:rsid w:val="00E5594D"/>
    <w:rsid w:val="00E6029F"/>
    <w:rsid w:val="00E6132B"/>
    <w:rsid w:val="00E6191B"/>
    <w:rsid w:val="00E63007"/>
    <w:rsid w:val="00E63972"/>
    <w:rsid w:val="00E66150"/>
    <w:rsid w:val="00E67247"/>
    <w:rsid w:val="00E70122"/>
    <w:rsid w:val="00E702DC"/>
    <w:rsid w:val="00E720A2"/>
    <w:rsid w:val="00E728A1"/>
    <w:rsid w:val="00E73ED0"/>
    <w:rsid w:val="00E74804"/>
    <w:rsid w:val="00E75194"/>
    <w:rsid w:val="00E753BC"/>
    <w:rsid w:val="00E763C8"/>
    <w:rsid w:val="00E771DD"/>
    <w:rsid w:val="00E772D4"/>
    <w:rsid w:val="00E777BE"/>
    <w:rsid w:val="00E77A0D"/>
    <w:rsid w:val="00E77BD3"/>
    <w:rsid w:val="00E80753"/>
    <w:rsid w:val="00E80B5F"/>
    <w:rsid w:val="00E8192C"/>
    <w:rsid w:val="00E819A3"/>
    <w:rsid w:val="00E83046"/>
    <w:rsid w:val="00E85336"/>
    <w:rsid w:val="00E8673D"/>
    <w:rsid w:val="00E86979"/>
    <w:rsid w:val="00E9038D"/>
    <w:rsid w:val="00E90CCD"/>
    <w:rsid w:val="00E924E7"/>
    <w:rsid w:val="00E92958"/>
    <w:rsid w:val="00E937DF"/>
    <w:rsid w:val="00E94918"/>
    <w:rsid w:val="00E94F97"/>
    <w:rsid w:val="00E97207"/>
    <w:rsid w:val="00E97330"/>
    <w:rsid w:val="00EA05C4"/>
    <w:rsid w:val="00EA0F44"/>
    <w:rsid w:val="00EA18C3"/>
    <w:rsid w:val="00EA5150"/>
    <w:rsid w:val="00EA5B30"/>
    <w:rsid w:val="00EA6C63"/>
    <w:rsid w:val="00EA6F08"/>
    <w:rsid w:val="00EA78F8"/>
    <w:rsid w:val="00EA7F31"/>
    <w:rsid w:val="00EB0039"/>
    <w:rsid w:val="00EB2016"/>
    <w:rsid w:val="00EB21AC"/>
    <w:rsid w:val="00EB288F"/>
    <w:rsid w:val="00EB3F7D"/>
    <w:rsid w:val="00EB5D5C"/>
    <w:rsid w:val="00EB5E52"/>
    <w:rsid w:val="00EB60FD"/>
    <w:rsid w:val="00EB653A"/>
    <w:rsid w:val="00EB6F60"/>
    <w:rsid w:val="00EB7B0F"/>
    <w:rsid w:val="00EC1E40"/>
    <w:rsid w:val="00EC4CFD"/>
    <w:rsid w:val="00EC50F2"/>
    <w:rsid w:val="00EC565A"/>
    <w:rsid w:val="00EC69FA"/>
    <w:rsid w:val="00EC6D02"/>
    <w:rsid w:val="00EC7FDD"/>
    <w:rsid w:val="00ED0258"/>
    <w:rsid w:val="00ED1661"/>
    <w:rsid w:val="00ED267C"/>
    <w:rsid w:val="00ED2CE7"/>
    <w:rsid w:val="00ED3BA9"/>
    <w:rsid w:val="00ED4FE1"/>
    <w:rsid w:val="00ED534A"/>
    <w:rsid w:val="00ED68A0"/>
    <w:rsid w:val="00ED71C1"/>
    <w:rsid w:val="00EE0041"/>
    <w:rsid w:val="00EE0719"/>
    <w:rsid w:val="00EE29A7"/>
    <w:rsid w:val="00EE3CC5"/>
    <w:rsid w:val="00EE4E8D"/>
    <w:rsid w:val="00EE5D29"/>
    <w:rsid w:val="00EF0CF1"/>
    <w:rsid w:val="00EF0D18"/>
    <w:rsid w:val="00EF144C"/>
    <w:rsid w:val="00EF165B"/>
    <w:rsid w:val="00EF1BB9"/>
    <w:rsid w:val="00EF1D88"/>
    <w:rsid w:val="00EF5D5D"/>
    <w:rsid w:val="00EF5F83"/>
    <w:rsid w:val="00EF6D23"/>
    <w:rsid w:val="00EF7632"/>
    <w:rsid w:val="00F0249E"/>
    <w:rsid w:val="00F0326E"/>
    <w:rsid w:val="00F038E1"/>
    <w:rsid w:val="00F04F68"/>
    <w:rsid w:val="00F05AC3"/>
    <w:rsid w:val="00F07512"/>
    <w:rsid w:val="00F07516"/>
    <w:rsid w:val="00F10296"/>
    <w:rsid w:val="00F10BB5"/>
    <w:rsid w:val="00F10C67"/>
    <w:rsid w:val="00F11393"/>
    <w:rsid w:val="00F128EE"/>
    <w:rsid w:val="00F1314F"/>
    <w:rsid w:val="00F1360B"/>
    <w:rsid w:val="00F13C85"/>
    <w:rsid w:val="00F16626"/>
    <w:rsid w:val="00F21189"/>
    <w:rsid w:val="00F2216D"/>
    <w:rsid w:val="00F22B69"/>
    <w:rsid w:val="00F22C07"/>
    <w:rsid w:val="00F230DA"/>
    <w:rsid w:val="00F245FE"/>
    <w:rsid w:val="00F25321"/>
    <w:rsid w:val="00F25BA6"/>
    <w:rsid w:val="00F3325A"/>
    <w:rsid w:val="00F33471"/>
    <w:rsid w:val="00F336DC"/>
    <w:rsid w:val="00F34CC6"/>
    <w:rsid w:val="00F34E10"/>
    <w:rsid w:val="00F34E82"/>
    <w:rsid w:val="00F34FDF"/>
    <w:rsid w:val="00F35915"/>
    <w:rsid w:val="00F36551"/>
    <w:rsid w:val="00F3746D"/>
    <w:rsid w:val="00F378A3"/>
    <w:rsid w:val="00F42E91"/>
    <w:rsid w:val="00F434D7"/>
    <w:rsid w:val="00F43618"/>
    <w:rsid w:val="00F45DE3"/>
    <w:rsid w:val="00F47799"/>
    <w:rsid w:val="00F509D6"/>
    <w:rsid w:val="00F5147E"/>
    <w:rsid w:val="00F5196F"/>
    <w:rsid w:val="00F53657"/>
    <w:rsid w:val="00F53C54"/>
    <w:rsid w:val="00F53D5A"/>
    <w:rsid w:val="00F55483"/>
    <w:rsid w:val="00F56718"/>
    <w:rsid w:val="00F574CC"/>
    <w:rsid w:val="00F60107"/>
    <w:rsid w:val="00F604B3"/>
    <w:rsid w:val="00F610CA"/>
    <w:rsid w:val="00F61BD8"/>
    <w:rsid w:val="00F621F3"/>
    <w:rsid w:val="00F62608"/>
    <w:rsid w:val="00F62FB0"/>
    <w:rsid w:val="00F63EA1"/>
    <w:rsid w:val="00F6430D"/>
    <w:rsid w:val="00F669E7"/>
    <w:rsid w:val="00F67254"/>
    <w:rsid w:val="00F702F2"/>
    <w:rsid w:val="00F70E91"/>
    <w:rsid w:val="00F73308"/>
    <w:rsid w:val="00F759C3"/>
    <w:rsid w:val="00F77A3B"/>
    <w:rsid w:val="00F8088B"/>
    <w:rsid w:val="00F823BB"/>
    <w:rsid w:val="00F829F1"/>
    <w:rsid w:val="00F83839"/>
    <w:rsid w:val="00F84643"/>
    <w:rsid w:val="00F853A7"/>
    <w:rsid w:val="00F8667D"/>
    <w:rsid w:val="00F90F20"/>
    <w:rsid w:val="00F91C19"/>
    <w:rsid w:val="00F923F1"/>
    <w:rsid w:val="00F93010"/>
    <w:rsid w:val="00F932D6"/>
    <w:rsid w:val="00F9361E"/>
    <w:rsid w:val="00F93645"/>
    <w:rsid w:val="00F93A60"/>
    <w:rsid w:val="00F93D5C"/>
    <w:rsid w:val="00F9607F"/>
    <w:rsid w:val="00F96836"/>
    <w:rsid w:val="00F96B2B"/>
    <w:rsid w:val="00F97BB9"/>
    <w:rsid w:val="00FA01E4"/>
    <w:rsid w:val="00FA0EF4"/>
    <w:rsid w:val="00FA262B"/>
    <w:rsid w:val="00FA50C5"/>
    <w:rsid w:val="00FA50DA"/>
    <w:rsid w:val="00FA624E"/>
    <w:rsid w:val="00FA6FFE"/>
    <w:rsid w:val="00FA723F"/>
    <w:rsid w:val="00FB1323"/>
    <w:rsid w:val="00FB1A90"/>
    <w:rsid w:val="00FB1B91"/>
    <w:rsid w:val="00FB2D28"/>
    <w:rsid w:val="00FB34B2"/>
    <w:rsid w:val="00FB4BD6"/>
    <w:rsid w:val="00FB511F"/>
    <w:rsid w:val="00FB5AAA"/>
    <w:rsid w:val="00FB6640"/>
    <w:rsid w:val="00FB7E55"/>
    <w:rsid w:val="00FB7F80"/>
    <w:rsid w:val="00FC035F"/>
    <w:rsid w:val="00FC088C"/>
    <w:rsid w:val="00FC1175"/>
    <w:rsid w:val="00FC37CA"/>
    <w:rsid w:val="00FC3AC5"/>
    <w:rsid w:val="00FC4824"/>
    <w:rsid w:val="00FC4995"/>
    <w:rsid w:val="00FC4DF9"/>
    <w:rsid w:val="00FC6122"/>
    <w:rsid w:val="00FC7D6B"/>
    <w:rsid w:val="00FD098A"/>
    <w:rsid w:val="00FD1369"/>
    <w:rsid w:val="00FD1AAB"/>
    <w:rsid w:val="00FD3B1C"/>
    <w:rsid w:val="00FD44D3"/>
    <w:rsid w:val="00FD45D8"/>
    <w:rsid w:val="00FD5A22"/>
    <w:rsid w:val="00FD6237"/>
    <w:rsid w:val="00FD7161"/>
    <w:rsid w:val="00FD7531"/>
    <w:rsid w:val="00FE03E9"/>
    <w:rsid w:val="00FE1037"/>
    <w:rsid w:val="00FE1CA3"/>
    <w:rsid w:val="00FE20B7"/>
    <w:rsid w:val="00FE33FE"/>
    <w:rsid w:val="00FE3D28"/>
    <w:rsid w:val="00FE47F2"/>
    <w:rsid w:val="00FE4871"/>
    <w:rsid w:val="00FE4A78"/>
    <w:rsid w:val="00FE4BB0"/>
    <w:rsid w:val="00FE6D84"/>
    <w:rsid w:val="00FE7D03"/>
    <w:rsid w:val="00FF04BE"/>
    <w:rsid w:val="00FF130B"/>
    <w:rsid w:val="00FF21DD"/>
    <w:rsid w:val="00FF2510"/>
    <w:rsid w:val="00FF2933"/>
    <w:rsid w:val="00FF3E52"/>
    <w:rsid w:val="00FF5C20"/>
    <w:rsid w:val="00FF5EEB"/>
    <w:rsid w:val="00FF7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85"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5F15"/>
    <w:pPr>
      <w:spacing w:before="120" w:after="120" w:line="252" w:lineRule="auto"/>
    </w:pPr>
    <w:rPr>
      <w:rFonts w:asciiTheme="minorHAnsi" w:hAnsiTheme="minorHAnsi"/>
      <w:sz w:val="18"/>
      <w:szCs w:val="24"/>
    </w:rPr>
  </w:style>
  <w:style w:type="paragraph" w:styleId="Heading1">
    <w:name w:val="heading 1"/>
    <w:basedOn w:val="Normal"/>
    <w:next w:val="Normal"/>
    <w:link w:val="Heading1Char"/>
    <w:qFormat/>
    <w:rsid w:val="00C8160C"/>
    <w:pPr>
      <w:keepNext/>
      <w:tabs>
        <w:tab w:val="left" w:pos="5180"/>
      </w:tabs>
      <w:spacing w:line="216" w:lineRule="auto"/>
      <w:outlineLvl w:val="0"/>
    </w:pPr>
    <w:rPr>
      <w:rFonts w:asciiTheme="majorHAnsi" w:hAnsiTheme="majorHAnsi"/>
      <w:b/>
      <w:color w:val="4C4C4C"/>
      <w:sz w:val="40"/>
      <w:szCs w:val="48"/>
    </w:rPr>
  </w:style>
  <w:style w:type="paragraph" w:styleId="Heading2">
    <w:name w:val="heading 2"/>
    <w:basedOn w:val="Heading1"/>
    <w:next w:val="Normal"/>
    <w:link w:val="Heading2Char"/>
    <w:qFormat/>
    <w:rsid w:val="003E13AA"/>
    <w:pPr>
      <w:outlineLvl w:val="1"/>
    </w:pPr>
    <w:rPr>
      <w:rFonts w:asciiTheme="minorHAnsi" w:hAnsiTheme="minorHAnsi" w:cstheme="minorHAnsi"/>
      <w:color w:val="404040"/>
      <w:sz w:val="24"/>
      <w:szCs w:val="28"/>
    </w:rPr>
  </w:style>
  <w:style w:type="paragraph" w:styleId="Heading3">
    <w:name w:val="heading 3"/>
    <w:basedOn w:val="Heading2"/>
    <w:next w:val="Normal"/>
    <w:link w:val="Heading3Char"/>
    <w:qFormat/>
    <w:rsid w:val="00E47C76"/>
    <w:pPr>
      <w:outlineLvl w:val="2"/>
    </w:pPr>
    <w:rPr>
      <w:rFonts w:cs="Arial"/>
      <w:bCs/>
      <w:color w:val="4F4F4F"/>
      <w:sz w:val="22"/>
      <w:szCs w:val="26"/>
    </w:rPr>
  </w:style>
  <w:style w:type="paragraph" w:styleId="Heading4">
    <w:name w:val="heading 4"/>
    <w:basedOn w:val="Heading3"/>
    <w:next w:val="Normal"/>
    <w:link w:val="Heading4Char"/>
    <w:qFormat/>
    <w:rsid w:val="006941B3"/>
    <w:pPr>
      <w:outlineLvl w:val="3"/>
    </w:pPr>
    <w:rPr>
      <w:bCs w:val="0"/>
      <w:color w:val="4D4D4D"/>
      <w:sz w:val="19"/>
      <w:szCs w:val="20"/>
    </w:rPr>
  </w:style>
  <w:style w:type="paragraph" w:styleId="Heading5">
    <w:name w:val="heading 5"/>
    <w:basedOn w:val="Heading4"/>
    <w:next w:val="Normal"/>
    <w:link w:val="Heading5Char"/>
    <w:qFormat/>
    <w:rsid w:val="003E13AA"/>
    <w:pPr>
      <w:outlineLvl w:val="4"/>
    </w:pPr>
    <w:rPr>
      <w:b w:val="0"/>
      <w:i/>
      <w:sz w:val="18"/>
    </w:rPr>
  </w:style>
  <w:style w:type="paragraph" w:styleId="Heading6">
    <w:name w:val="heading 6"/>
    <w:basedOn w:val="Normal"/>
    <w:next w:val="Normal"/>
    <w:link w:val="Heading6Char"/>
    <w:semiHidden/>
    <w:unhideWhenUsed/>
    <w:qFormat/>
    <w:rsid w:val="00356A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520A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F3746D"/>
    <w:pPr>
      <w:numPr>
        <w:numId w:val="1"/>
      </w:numPr>
      <w:spacing w:before="80" w:after="80"/>
    </w:pPr>
  </w:style>
  <w:style w:type="paragraph" w:customStyle="1" w:styleId="Dash">
    <w:name w:val="Dash"/>
    <w:basedOn w:val="Normal"/>
    <w:link w:val="DashChar"/>
    <w:qFormat/>
    <w:rsid w:val="0053584A"/>
    <w:pPr>
      <w:numPr>
        <w:ilvl w:val="1"/>
        <w:numId w:val="1"/>
      </w:numPr>
      <w:spacing w:before="60" w:after="60"/>
    </w:pPr>
  </w:style>
  <w:style w:type="paragraph" w:customStyle="1" w:styleId="Heading1numbered">
    <w:name w:val="Heading 1 numbered"/>
    <w:basedOn w:val="Heading1"/>
    <w:next w:val="Normal"/>
    <w:link w:val="Heading1numberedChar"/>
    <w:rsid w:val="00780AE7"/>
    <w:pPr>
      <w:numPr>
        <w:numId w:val="7"/>
      </w:numPr>
      <w:spacing w:after="160"/>
    </w:pPr>
  </w:style>
  <w:style w:type="paragraph" w:customStyle="1" w:styleId="Heading2numbered">
    <w:name w:val="Heading 2 numbered"/>
    <w:basedOn w:val="Heading2"/>
    <w:next w:val="Normal"/>
    <w:rsid w:val="00BF61EF"/>
    <w:pPr>
      <w:numPr>
        <w:ilvl w:val="1"/>
        <w:numId w:val="7"/>
      </w:numPr>
    </w:pPr>
    <w:rPr>
      <w:sz w:val="20"/>
    </w:rPr>
  </w:style>
  <w:style w:type="paragraph" w:customStyle="1" w:styleId="Heading3numbered">
    <w:name w:val="Heading 3 numbered"/>
    <w:basedOn w:val="Heading3"/>
    <w:next w:val="Normal"/>
    <w:qFormat/>
    <w:rsid w:val="000962F6"/>
    <w:pPr>
      <w:numPr>
        <w:ilvl w:val="2"/>
        <w:numId w:val="7"/>
      </w:numPr>
      <w:ind w:left="576" w:hanging="576"/>
    </w:pPr>
    <w:rPr>
      <w:sz w:val="18"/>
    </w:rPr>
  </w:style>
  <w:style w:type="paragraph" w:styleId="ListNumber">
    <w:name w:val="List Number"/>
    <w:basedOn w:val="Normal"/>
    <w:rsid w:val="00E47C76"/>
    <w:pPr>
      <w:numPr>
        <w:numId w:val="2"/>
      </w:numPr>
      <w:spacing w:before="20" w:after="60"/>
    </w:pPr>
  </w:style>
  <w:style w:type="paragraph" w:customStyle="1" w:styleId="Tabletext">
    <w:name w:val="Table text"/>
    <w:basedOn w:val="Normal"/>
    <w:link w:val="TabletextChar"/>
    <w:qFormat/>
    <w:rsid w:val="009F7F4E"/>
    <w:pPr>
      <w:spacing w:before="30" w:after="30"/>
    </w:pPr>
    <w:rPr>
      <w:color w:val="4D4D4D"/>
      <w:sz w:val="15"/>
    </w:rPr>
  </w:style>
  <w:style w:type="paragraph" w:styleId="Footer">
    <w:name w:val="footer"/>
    <w:basedOn w:val="Normal"/>
    <w:link w:val="FooterChar"/>
    <w:uiPriority w:val="99"/>
    <w:rsid w:val="003E13AA"/>
    <w:pPr>
      <w:tabs>
        <w:tab w:val="center" w:pos="4153"/>
        <w:tab w:val="right" w:pos="8306"/>
      </w:tabs>
      <w:jc w:val="right"/>
    </w:pPr>
    <w:rPr>
      <w:sz w:val="16"/>
      <w:szCs w:val="16"/>
    </w:rPr>
  </w:style>
  <w:style w:type="paragraph" w:customStyle="1" w:styleId="FooterEven">
    <w:name w:val="Footer Even"/>
    <w:basedOn w:val="Footer"/>
    <w:rsid w:val="00E47C76"/>
    <w:pPr>
      <w:jc w:val="left"/>
    </w:pPr>
  </w:style>
  <w:style w:type="paragraph" w:styleId="NormalIndent">
    <w:name w:val="Normal Indent"/>
    <w:basedOn w:val="Normal"/>
    <w:qFormat/>
    <w:rsid w:val="00E47C76"/>
    <w:pPr>
      <w:ind w:left="360"/>
    </w:pPr>
  </w:style>
  <w:style w:type="paragraph" w:customStyle="1" w:styleId="Notes">
    <w:name w:val="Notes"/>
    <w:basedOn w:val="Normal"/>
    <w:link w:val="NotesChar"/>
    <w:qFormat/>
    <w:rsid w:val="00E47C76"/>
    <w:pPr>
      <w:spacing w:before="60" w:after="60"/>
    </w:pPr>
    <w:rPr>
      <w:rFonts w:cs="AGaramondPro-Regular"/>
      <w:color w:val="4A4A4A"/>
      <w:sz w:val="14"/>
      <w:szCs w:val="18"/>
    </w:rPr>
  </w:style>
  <w:style w:type="character" w:styleId="PageNumber">
    <w:name w:val="page number"/>
    <w:rsid w:val="003E13AA"/>
    <w:rPr>
      <w:rFonts w:asciiTheme="minorHAnsi" w:hAnsiTheme="minorHAnsi"/>
      <w:b/>
      <w:color w:val="4C4C4C"/>
      <w:sz w:val="28"/>
    </w:rPr>
  </w:style>
  <w:style w:type="paragraph" w:customStyle="1" w:styleId="Spacer">
    <w:name w:val="Spacer"/>
    <w:basedOn w:val="Normal"/>
    <w:qFormat/>
    <w:rsid w:val="00E47C76"/>
    <w:pPr>
      <w:spacing w:before="0" w:after="0" w:line="120" w:lineRule="atLeast"/>
    </w:pPr>
    <w:rPr>
      <w:rFonts w:ascii="Calibri" w:hAnsi="Calibri" w:cs="Calibri"/>
      <w:sz w:val="12"/>
      <w:szCs w:val="22"/>
    </w:rPr>
  </w:style>
  <w:style w:type="paragraph" w:customStyle="1" w:styleId="Tablebullet">
    <w:name w:val="Table bullet"/>
    <w:basedOn w:val="Tabletext"/>
    <w:uiPriority w:val="7"/>
    <w:rsid w:val="006453F8"/>
    <w:pPr>
      <w:numPr>
        <w:numId w:val="3"/>
      </w:numPr>
      <w:tabs>
        <w:tab w:val="clear" w:pos="360"/>
        <w:tab w:val="num" w:pos="257"/>
      </w:tabs>
      <w:ind w:left="257" w:right="-58" w:hanging="257"/>
    </w:pPr>
  </w:style>
  <w:style w:type="paragraph" w:customStyle="1" w:styleId="Tabletextcentred">
    <w:name w:val="Table text centred"/>
    <w:basedOn w:val="Tabletext"/>
    <w:qFormat/>
    <w:rsid w:val="00E47C76"/>
    <w:pPr>
      <w:jc w:val="center"/>
    </w:pPr>
  </w:style>
  <w:style w:type="paragraph" w:customStyle="1" w:styleId="Tabletextheadingleft">
    <w:name w:val="Table text heading left"/>
    <w:basedOn w:val="Tabletextcentred"/>
    <w:rsid w:val="00992A4E"/>
    <w:pPr>
      <w:spacing w:before="40" w:after="40"/>
      <w:jc w:val="left"/>
    </w:pPr>
    <w:rPr>
      <w:b/>
      <w:sz w:val="16"/>
    </w:rPr>
  </w:style>
  <w:style w:type="paragraph" w:customStyle="1" w:styleId="Tabletextheadingright">
    <w:name w:val="Table text heading right"/>
    <w:basedOn w:val="Tabletextheadingleft"/>
    <w:qFormat/>
    <w:rsid w:val="004B4007"/>
    <w:pPr>
      <w:jc w:val="right"/>
    </w:pPr>
  </w:style>
  <w:style w:type="paragraph" w:customStyle="1" w:styleId="Tabletextheadingcentred">
    <w:name w:val="Table text heading centred"/>
    <w:basedOn w:val="Tabletextheadingleft"/>
    <w:rsid w:val="001124BC"/>
    <w:pPr>
      <w:jc w:val="center"/>
    </w:pPr>
  </w:style>
  <w:style w:type="paragraph" w:styleId="TOC1">
    <w:name w:val="toc 1"/>
    <w:basedOn w:val="Normal"/>
    <w:next w:val="Normal"/>
    <w:uiPriority w:val="39"/>
    <w:rsid w:val="00F25321"/>
    <w:pPr>
      <w:tabs>
        <w:tab w:val="left" w:pos="360"/>
        <w:tab w:val="right" w:leader="dot" w:pos="8460"/>
      </w:tabs>
      <w:spacing w:before="80" w:after="80"/>
      <w:ind w:right="1512"/>
    </w:pPr>
    <w:rPr>
      <w:b/>
      <w:noProof/>
      <w:color w:val="4A4A4A"/>
      <w:szCs w:val="20"/>
    </w:rPr>
  </w:style>
  <w:style w:type="paragraph" w:styleId="TOC2">
    <w:name w:val="toc 2"/>
    <w:basedOn w:val="TOC1"/>
    <w:next w:val="Normal"/>
    <w:uiPriority w:val="39"/>
    <w:rsid w:val="003E13AA"/>
    <w:pPr>
      <w:tabs>
        <w:tab w:val="left" w:pos="1540"/>
      </w:tabs>
      <w:spacing w:before="60" w:after="60"/>
      <w:ind w:left="202"/>
    </w:pPr>
    <w:rPr>
      <w:b w:val="0"/>
      <w:sz w:val="17"/>
    </w:rPr>
  </w:style>
  <w:style w:type="character" w:styleId="Hyperlink">
    <w:name w:val="Hyperlink"/>
    <w:basedOn w:val="DefaultParagraphFont"/>
    <w:uiPriority w:val="99"/>
    <w:rsid w:val="00E47C76"/>
    <w:rPr>
      <w:color w:val="4D4D4D"/>
      <w:u w:val="none"/>
    </w:rPr>
  </w:style>
  <w:style w:type="paragraph" w:styleId="Header">
    <w:name w:val="header"/>
    <w:basedOn w:val="Normal"/>
    <w:link w:val="HeaderChar"/>
    <w:uiPriority w:val="85"/>
    <w:rsid w:val="005B0593"/>
    <w:pPr>
      <w:tabs>
        <w:tab w:val="center" w:pos="4153"/>
        <w:tab w:val="right" w:pos="8306"/>
      </w:tabs>
      <w:ind w:left="-446" w:right="-446"/>
    </w:pPr>
  </w:style>
  <w:style w:type="paragraph" w:customStyle="1" w:styleId="PageNumberLeft">
    <w:name w:val="Page Number Left"/>
    <w:basedOn w:val="Normal"/>
    <w:rsid w:val="00E47C76"/>
    <w:pPr>
      <w:tabs>
        <w:tab w:val="center" w:pos="4153"/>
        <w:tab w:val="right" w:pos="8306"/>
      </w:tabs>
    </w:pPr>
    <w:rPr>
      <w:rFonts w:ascii="Calibri" w:hAnsi="Calibri"/>
      <w:sz w:val="16"/>
      <w:szCs w:val="16"/>
    </w:rPr>
  </w:style>
  <w:style w:type="paragraph" w:customStyle="1" w:styleId="TargetMet">
    <w:name w:val="TargetMet"/>
    <w:basedOn w:val="Normal"/>
    <w:qFormat/>
    <w:rsid w:val="00E47C76"/>
    <w:pPr>
      <w:numPr>
        <w:numId w:val="4"/>
      </w:numPr>
      <w:spacing w:before="30" w:after="30"/>
      <w:jc w:val="right"/>
    </w:pPr>
    <w:rPr>
      <w:color w:val="4D4D4D"/>
      <w:sz w:val="16"/>
    </w:rPr>
  </w:style>
  <w:style w:type="paragraph" w:customStyle="1" w:styleId="TargetNotMet5">
    <w:name w:val="TargetNotMet&lt;5"/>
    <w:basedOn w:val="Normal"/>
    <w:qFormat/>
    <w:rsid w:val="00E47C76"/>
    <w:pPr>
      <w:numPr>
        <w:ilvl w:val="1"/>
        <w:numId w:val="4"/>
      </w:numPr>
      <w:spacing w:before="30" w:after="30"/>
      <w:jc w:val="right"/>
    </w:pPr>
    <w:rPr>
      <w:color w:val="4D4D4D"/>
      <w:sz w:val="16"/>
    </w:rPr>
  </w:style>
  <w:style w:type="paragraph" w:customStyle="1" w:styleId="TargetNotMet50">
    <w:name w:val="TargetNotMet&gt;5"/>
    <w:basedOn w:val="Normal"/>
    <w:qFormat/>
    <w:rsid w:val="00E47C76"/>
    <w:pPr>
      <w:numPr>
        <w:ilvl w:val="2"/>
        <w:numId w:val="4"/>
      </w:numPr>
      <w:spacing w:before="30" w:after="30"/>
      <w:jc w:val="right"/>
    </w:pPr>
    <w:rPr>
      <w:color w:val="4D4D4D"/>
      <w:sz w:val="16"/>
    </w:rPr>
  </w:style>
  <w:style w:type="table" w:styleId="TableColumns3">
    <w:name w:val="Table Columns 3"/>
    <w:basedOn w:val="TableNormal"/>
    <w:rsid w:val="00E47C76"/>
    <w:pPr>
      <w:spacing w:before="100" w:after="10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AnnualReporttexttable">
    <w:name w:val="Annual Report text table"/>
    <w:basedOn w:val="TableNormal"/>
    <w:uiPriority w:val="99"/>
    <w:rsid w:val="00653065"/>
    <w:pPr>
      <w:spacing w:before="30" w:after="30"/>
    </w:pPr>
    <w:rPr>
      <w:rFonts w:asciiTheme="minorHAnsi" w:hAnsiTheme="minorHAnsi"/>
      <w:color w:val="4D4D4D"/>
      <w:sz w:val="16"/>
    </w:rPr>
    <w:tblPr>
      <w:tblStyleColBandSize w:val="1"/>
    </w:tblPr>
    <w:trPr>
      <w:cantSplit/>
    </w:trPr>
    <w:tcPr>
      <w:shd w:val="clear" w:color="auto" w:fill="FFFFFF" w:themeFill="background1"/>
    </w:tcPr>
    <w:tblStylePr w:type="firstRow">
      <w:pPr>
        <w:jc w:val="right"/>
      </w:pPr>
      <w:rPr>
        <w:b/>
        <w:color w:val="4D4D4D"/>
        <w:sz w:val="16"/>
      </w:rPr>
    </w:tblStylePr>
    <w:tblStylePr w:type="firstCol">
      <w:pPr>
        <w:jc w:val="left"/>
      </w:pPr>
    </w:tblStylePr>
    <w:tblStylePr w:type="band1Vert">
      <w:tblPr/>
      <w:tcPr>
        <w:shd w:val="clear" w:color="auto" w:fill="E0E0E0"/>
      </w:tcPr>
    </w:tblStylePr>
    <w:tblStylePr w:type="band2Vert">
      <w:rPr>
        <w:color w:val="auto"/>
      </w:rPr>
    </w:tblStylePr>
  </w:style>
  <w:style w:type="table" w:customStyle="1" w:styleId="AnnualReportfinancialtable">
    <w:name w:val="Annual Report financial table"/>
    <w:basedOn w:val="TableNormal"/>
    <w:uiPriority w:val="99"/>
    <w:rsid w:val="00E47C76"/>
    <w:pPr>
      <w:spacing w:before="30" w:after="30"/>
      <w:jc w:val="right"/>
    </w:pPr>
    <w:rPr>
      <w:rFonts w:asciiTheme="minorHAnsi" w:hAnsiTheme="minorHAnsi"/>
      <w:color w:val="4D4D4D"/>
      <w:sz w:val="16"/>
    </w:rPr>
    <w:tblPr>
      <w:tblStyleRowBandSize w:val="1"/>
      <w:tblStyleColBandSize w:val="1"/>
      <w:tblCellMar>
        <w:left w:w="86" w:type="dxa"/>
        <w:right w:w="86" w:type="dxa"/>
      </w:tblCellMar>
    </w:tblPr>
    <w:tblStylePr w:type="firstRow">
      <w:rPr>
        <w:b/>
      </w:rPr>
      <w:tblPr/>
      <w:tcPr>
        <w:shd w:val="clear" w:color="auto" w:fill="FFFFFF" w:themeFill="background1"/>
      </w:tcPr>
    </w:tblStylePr>
    <w:tblStylePr w:type="firstCol">
      <w:pPr>
        <w:jc w:val="left"/>
      </w:pPr>
    </w:tblStylePr>
    <w:tblStylePr w:type="band1Vert">
      <w:tblPr/>
      <w:tcPr>
        <w:shd w:val="clear" w:color="auto" w:fill="E0E0E0"/>
      </w:tcPr>
    </w:tblStylePr>
    <w:tblStylePr w:type="band2Vert">
      <w:rPr>
        <w:color w:val="auto"/>
      </w:rPr>
      <w:tblPr/>
      <w:tcPr>
        <w:shd w:val="clear" w:color="auto" w:fill="FFFFFF" w:themeFill="background1"/>
      </w:tcPr>
    </w:tblStylePr>
  </w:style>
  <w:style w:type="paragraph" w:customStyle="1" w:styleId="Heading1a">
    <w:name w:val="Heading 1a"/>
    <w:basedOn w:val="Heading1"/>
    <w:qFormat/>
    <w:rsid w:val="003E13AA"/>
  </w:style>
  <w:style w:type="character" w:customStyle="1" w:styleId="Heading2Char">
    <w:name w:val="Heading 2 Char"/>
    <w:link w:val="Heading2"/>
    <w:locked/>
    <w:rsid w:val="003E13AA"/>
    <w:rPr>
      <w:rFonts w:asciiTheme="minorHAnsi" w:hAnsiTheme="minorHAnsi" w:cstheme="minorHAnsi"/>
      <w:b/>
      <w:color w:val="404040"/>
      <w:sz w:val="24"/>
      <w:szCs w:val="28"/>
    </w:rPr>
  </w:style>
  <w:style w:type="character" w:customStyle="1" w:styleId="FooterChar">
    <w:name w:val="Footer Char"/>
    <w:basedOn w:val="DefaultParagraphFont"/>
    <w:link w:val="Footer"/>
    <w:uiPriority w:val="99"/>
    <w:rsid w:val="003E13AA"/>
    <w:rPr>
      <w:rFonts w:asciiTheme="minorHAnsi" w:hAnsiTheme="minorHAnsi"/>
      <w:sz w:val="16"/>
      <w:szCs w:val="16"/>
    </w:rPr>
  </w:style>
  <w:style w:type="character" w:customStyle="1" w:styleId="Heading1Char">
    <w:name w:val="Heading 1 Char"/>
    <w:link w:val="Heading1"/>
    <w:rsid w:val="00C8160C"/>
    <w:rPr>
      <w:rFonts w:asciiTheme="majorHAnsi" w:hAnsiTheme="majorHAnsi"/>
      <w:b/>
      <w:color w:val="4C4C4C"/>
      <w:sz w:val="40"/>
      <w:szCs w:val="48"/>
    </w:rPr>
  </w:style>
  <w:style w:type="character" w:customStyle="1" w:styleId="BulletChar">
    <w:name w:val="Bullet Char"/>
    <w:link w:val="Bullet"/>
    <w:rsid w:val="00F3746D"/>
    <w:rPr>
      <w:rFonts w:asciiTheme="minorHAnsi" w:hAnsiTheme="minorHAnsi"/>
      <w:sz w:val="17"/>
      <w:szCs w:val="24"/>
    </w:rPr>
  </w:style>
  <w:style w:type="paragraph" w:customStyle="1" w:styleId="Tabletextrightbold">
    <w:name w:val="Table text right bold"/>
    <w:basedOn w:val="Tabletextright"/>
    <w:qFormat/>
    <w:rsid w:val="00E47C76"/>
    <w:rPr>
      <w:b/>
      <w:bCs/>
      <w:szCs w:val="19"/>
    </w:rPr>
  </w:style>
  <w:style w:type="character" w:customStyle="1" w:styleId="Heading3Char">
    <w:name w:val="Heading 3 Char"/>
    <w:link w:val="Heading3"/>
    <w:locked/>
    <w:rsid w:val="00E47C76"/>
    <w:rPr>
      <w:rFonts w:asciiTheme="majorHAnsi" w:hAnsiTheme="majorHAnsi" w:cs="Arial"/>
      <w:b/>
      <w:bCs/>
      <w:color w:val="4F4F4F"/>
      <w:spacing w:val="2"/>
      <w:sz w:val="22"/>
      <w:szCs w:val="26"/>
    </w:rPr>
  </w:style>
  <w:style w:type="character" w:customStyle="1" w:styleId="TabletextChar">
    <w:name w:val="Table text Char"/>
    <w:link w:val="Tabletext"/>
    <w:rsid w:val="009F7F4E"/>
    <w:rPr>
      <w:rFonts w:asciiTheme="minorHAnsi" w:hAnsiTheme="minorHAnsi"/>
      <w:color w:val="4D4D4D"/>
      <w:sz w:val="15"/>
      <w:szCs w:val="24"/>
    </w:rPr>
  </w:style>
  <w:style w:type="paragraph" w:customStyle="1" w:styleId="Tableheading">
    <w:name w:val="Table heading"/>
    <w:basedOn w:val="Normal"/>
    <w:link w:val="TableheadingChar"/>
    <w:qFormat/>
    <w:rsid w:val="00405E15"/>
    <w:pPr>
      <w:keepNext/>
      <w:tabs>
        <w:tab w:val="right" w:pos="9605"/>
      </w:tabs>
      <w:spacing w:before="30" w:after="30" w:line="264" w:lineRule="auto"/>
    </w:pPr>
    <w:rPr>
      <w:b/>
      <w:color w:val="4D4D4D"/>
    </w:rPr>
  </w:style>
  <w:style w:type="character" w:customStyle="1" w:styleId="Heading1numberedChar">
    <w:name w:val="Heading 1 numbered Char"/>
    <w:basedOn w:val="Heading1Char"/>
    <w:link w:val="Heading1numbered"/>
    <w:rsid w:val="00780AE7"/>
    <w:rPr>
      <w:rFonts w:asciiTheme="majorHAnsi" w:hAnsiTheme="majorHAnsi"/>
      <w:b/>
      <w:color w:val="4C4C4C"/>
      <w:sz w:val="40"/>
      <w:szCs w:val="48"/>
    </w:rPr>
  </w:style>
  <w:style w:type="paragraph" w:customStyle="1" w:styleId="Tabletextright">
    <w:name w:val="Table text right"/>
    <w:basedOn w:val="Tabletext"/>
    <w:link w:val="TabletextrightChar"/>
    <w:qFormat/>
    <w:rsid w:val="00B03F4D"/>
    <w:pPr>
      <w:jc w:val="right"/>
    </w:pPr>
    <w:rPr>
      <w:szCs w:val="18"/>
    </w:rPr>
  </w:style>
  <w:style w:type="table" w:styleId="TableGrid">
    <w:name w:val="Table Grid"/>
    <w:basedOn w:val="TableNormal"/>
    <w:rsid w:val="00FB6640"/>
    <w:pPr>
      <w:spacing w:before="30" w:after="30"/>
      <w:jc w:val="right"/>
    </w:pPr>
    <w:rPr>
      <w:rFonts w:asciiTheme="minorHAnsi" w:hAnsiTheme="minorHAnsi"/>
      <w:color w:val="4D4D4D"/>
      <w:sz w:val="16"/>
    </w:rPr>
    <w:tblPr>
      <w:tblStyleRowBandSize w:val="1"/>
      <w:tblStyleColBandSize w:val="1"/>
      <w:tblCellMar>
        <w:left w:w="86" w:type="dxa"/>
        <w:right w:w="86" w:type="dxa"/>
      </w:tblCellMar>
    </w:tblPr>
    <w:tblStylePr w:type="firstCol">
      <w:pPr>
        <w:jc w:val="left"/>
      </w:pPr>
    </w:tblStylePr>
    <w:tblStylePr w:type="band1Vert">
      <w:tblPr/>
      <w:tcPr>
        <w:shd w:val="clear" w:color="auto" w:fill="E0E0E0"/>
      </w:tcPr>
    </w:tblStylePr>
    <w:tblStylePr w:type="band2Vert">
      <w:rPr>
        <w:color w:val="auto"/>
      </w:rPr>
      <w:tblPr/>
      <w:tcPr>
        <w:shd w:val="clear" w:color="auto" w:fill="FFFFFF" w:themeFill="background1"/>
      </w:tcPr>
    </w:tblStylePr>
  </w:style>
  <w:style w:type="character" w:customStyle="1" w:styleId="Heading4Char">
    <w:name w:val="Heading 4 Char"/>
    <w:basedOn w:val="DefaultParagraphFont"/>
    <w:link w:val="Heading4"/>
    <w:rsid w:val="006941B3"/>
    <w:rPr>
      <w:rFonts w:asciiTheme="minorHAnsi" w:hAnsiTheme="minorHAnsi" w:cs="Arial"/>
      <w:b/>
      <w:color w:val="4D4D4D"/>
      <w:sz w:val="19"/>
    </w:rPr>
  </w:style>
  <w:style w:type="character" w:customStyle="1" w:styleId="Heading5Char">
    <w:name w:val="Heading 5 Char"/>
    <w:basedOn w:val="DefaultParagraphFont"/>
    <w:link w:val="Heading5"/>
    <w:rsid w:val="003E13AA"/>
    <w:rPr>
      <w:rFonts w:asciiTheme="minorHAnsi" w:hAnsiTheme="minorHAnsi" w:cs="Arial"/>
      <w:i/>
      <w:color w:val="4D4D4D"/>
      <w:sz w:val="18"/>
    </w:rPr>
  </w:style>
  <w:style w:type="paragraph" w:customStyle="1" w:styleId="Tabletextbold">
    <w:name w:val="Table text bold"/>
    <w:basedOn w:val="Tabletext"/>
    <w:qFormat/>
    <w:rsid w:val="00722E5C"/>
    <w:rPr>
      <w:b/>
    </w:rPr>
  </w:style>
  <w:style w:type="paragraph" w:styleId="TOC3">
    <w:name w:val="toc 3"/>
    <w:basedOn w:val="TOC5"/>
    <w:next w:val="Normal"/>
    <w:uiPriority w:val="39"/>
    <w:rsid w:val="00270E3E"/>
    <w:pPr>
      <w:tabs>
        <w:tab w:val="clear" w:pos="4410"/>
      </w:tabs>
      <w:ind w:left="1260" w:right="1771" w:hanging="454"/>
    </w:pPr>
  </w:style>
  <w:style w:type="paragraph" w:customStyle="1" w:styleId="Heading1App">
    <w:name w:val="Heading 1 App"/>
    <w:basedOn w:val="Heading1a"/>
    <w:qFormat/>
    <w:rsid w:val="00C8160C"/>
    <w:pPr>
      <w:tabs>
        <w:tab w:val="clear" w:pos="5180"/>
        <w:tab w:val="left" w:pos="2430"/>
      </w:tabs>
      <w:spacing w:before="100" w:after="160"/>
    </w:pPr>
    <w:rPr>
      <w:rFonts w:cstheme="minorHAnsi"/>
    </w:rPr>
  </w:style>
  <w:style w:type="paragraph" w:customStyle="1" w:styleId="Footerodd">
    <w:name w:val="Footer (odd)"/>
    <w:basedOn w:val="Normal"/>
    <w:uiPriority w:val="84"/>
    <w:rsid w:val="00B03F4D"/>
    <w:pPr>
      <w:pBdr>
        <w:top w:val="single" w:sz="6" w:space="1" w:color="auto"/>
      </w:pBdr>
      <w:tabs>
        <w:tab w:val="center" w:pos="4876"/>
        <w:tab w:val="right" w:pos="7710"/>
      </w:tabs>
      <w:spacing w:before="0"/>
    </w:pPr>
    <w:rPr>
      <w:rFonts w:asciiTheme="majorHAnsi" w:hAnsiTheme="majorHAnsi"/>
      <w:szCs w:val="20"/>
      <w:lang w:eastAsia="en-US"/>
    </w:rPr>
  </w:style>
  <w:style w:type="paragraph" w:customStyle="1" w:styleId="NoteDash">
    <w:name w:val="Note Dash"/>
    <w:basedOn w:val="Normal"/>
    <w:next w:val="Normal"/>
    <w:uiPriority w:val="53"/>
    <w:rsid w:val="00B03F4D"/>
    <w:pPr>
      <w:spacing w:before="20"/>
      <w:ind w:left="568" w:hanging="284"/>
      <w:contextualSpacing/>
    </w:pPr>
    <w:rPr>
      <w:rFonts w:asciiTheme="majorHAnsi" w:hAnsiTheme="majorHAnsi"/>
      <w:i/>
      <w:spacing w:val="-2"/>
      <w:sz w:val="14"/>
      <w:szCs w:val="20"/>
      <w:lang w:eastAsia="en-US"/>
    </w:rPr>
  </w:style>
  <w:style w:type="paragraph" w:customStyle="1" w:styleId="Tabletextnotes">
    <w:name w:val="Table text notes"/>
    <w:basedOn w:val="Tabletext"/>
    <w:qFormat/>
    <w:rsid w:val="00160927"/>
    <w:pPr>
      <w:spacing w:after="60"/>
      <w:ind w:left="144"/>
    </w:pPr>
    <w:rPr>
      <w:sz w:val="13"/>
    </w:rPr>
  </w:style>
  <w:style w:type="paragraph" w:styleId="FootnoteText">
    <w:name w:val="footnote text"/>
    <w:basedOn w:val="Normal"/>
    <w:link w:val="FootnoteTextChar"/>
    <w:rsid w:val="0007179B"/>
    <w:pPr>
      <w:spacing w:before="0" w:after="0"/>
    </w:pPr>
    <w:rPr>
      <w:szCs w:val="20"/>
    </w:rPr>
  </w:style>
  <w:style w:type="character" w:customStyle="1" w:styleId="FootnoteTextChar">
    <w:name w:val="Footnote Text Char"/>
    <w:basedOn w:val="DefaultParagraphFont"/>
    <w:link w:val="FootnoteText"/>
    <w:rsid w:val="0007179B"/>
    <w:rPr>
      <w:rFonts w:asciiTheme="minorHAnsi" w:hAnsiTheme="minorHAnsi"/>
      <w:spacing w:val="2"/>
      <w:sz w:val="17"/>
    </w:rPr>
  </w:style>
  <w:style w:type="character" w:styleId="FootnoteReference">
    <w:name w:val="footnote reference"/>
    <w:basedOn w:val="DefaultParagraphFont"/>
    <w:rsid w:val="0007179B"/>
    <w:rPr>
      <w:vertAlign w:val="superscript"/>
    </w:rPr>
  </w:style>
  <w:style w:type="paragraph" w:styleId="TOC4">
    <w:name w:val="toc 4"/>
    <w:next w:val="Normal"/>
    <w:uiPriority w:val="39"/>
    <w:rsid w:val="00E77BD3"/>
    <w:pPr>
      <w:numPr>
        <w:numId w:val="9"/>
      </w:numPr>
      <w:tabs>
        <w:tab w:val="right" w:pos="8460"/>
      </w:tabs>
      <w:spacing w:before="20" w:after="20"/>
      <w:ind w:left="2070" w:right="1505"/>
      <w:contextualSpacing/>
    </w:pPr>
    <w:rPr>
      <w:rFonts w:asciiTheme="minorHAnsi" w:eastAsiaTheme="minorEastAsia" w:hAnsiTheme="minorHAnsi" w:cstheme="minorBidi"/>
      <w:noProof/>
      <w:color w:val="4D4D4D"/>
      <w:sz w:val="16"/>
      <w:szCs w:val="22"/>
    </w:rPr>
  </w:style>
  <w:style w:type="character" w:styleId="PlaceholderText">
    <w:name w:val="Placeholder Text"/>
    <w:basedOn w:val="DefaultParagraphFont"/>
    <w:uiPriority w:val="99"/>
    <w:semiHidden/>
    <w:rsid w:val="00F53657"/>
    <w:rPr>
      <w:color w:val="808080"/>
    </w:rPr>
  </w:style>
  <w:style w:type="character" w:customStyle="1" w:styleId="Heading8Char">
    <w:name w:val="Heading 8 Char"/>
    <w:basedOn w:val="DefaultParagraphFont"/>
    <w:link w:val="Heading8"/>
    <w:semiHidden/>
    <w:rsid w:val="00C520AB"/>
    <w:rPr>
      <w:rFonts w:asciiTheme="majorHAnsi" w:eastAsiaTheme="majorEastAsia" w:hAnsiTheme="majorHAnsi" w:cstheme="majorBidi"/>
      <w:color w:val="404040" w:themeColor="text1" w:themeTint="BF"/>
      <w:spacing w:val="2"/>
    </w:rPr>
  </w:style>
  <w:style w:type="character" w:customStyle="1" w:styleId="DashChar">
    <w:name w:val="Dash Char"/>
    <w:link w:val="Dash"/>
    <w:rsid w:val="0053584A"/>
    <w:rPr>
      <w:rFonts w:asciiTheme="minorHAnsi" w:hAnsiTheme="minorHAnsi"/>
      <w:sz w:val="17"/>
      <w:szCs w:val="24"/>
    </w:rPr>
  </w:style>
  <w:style w:type="character" w:customStyle="1" w:styleId="NotesChar">
    <w:name w:val="Notes Char"/>
    <w:link w:val="Notes"/>
    <w:locked/>
    <w:rsid w:val="00C520AB"/>
    <w:rPr>
      <w:rFonts w:asciiTheme="minorHAnsi" w:hAnsiTheme="minorHAnsi" w:cs="AGaramondPro-Regular"/>
      <w:color w:val="4A4A4A"/>
      <w:spacing w:val="2"/>
      <w:sz w:val="14"/>
      <w:szCs w:val="18"/>
    </w:rPr>
  </w:style>
  <w:style w:type="paragraph" w:customStyle="1" w:styleId="Normalhanging">
    <w:name w:val="Normal hanging"/>
    <w:basedOn w:val="Normal"/>
    <w:qFormat/>
    <w:rsid w:val="0053584A"/>
    <w:pPr>
      <w:ind w:left="360" w:hanging="360"/>
    </w:pPr>
    <w:rPr>
      <w:color w:val="000000"/>
    </w:rPr>
  </w:style>
  <w:style w:type="paragraph" w:customStyle="1" w:styleId="Tabletexthanging">
    <w:name w:val="Table text hanging"/>
    <w:basedOn w:val="Tabletext"/>
    <w:qFormat/>
    <w:rsid w:val="00C520AB"/>
    <w:pPr>
      <w:ind w:left="630" w:hanging="270"/>
    </w:pPr>
  </w:style>
  <w:style w:type="character" w:customStyle="1" w:styleId="TableheadingChar">
    <w:name w:val="Table heading Char"/>
    <w:link w:val="Tableheading"/>
    <w:rsid w:val="00405E15"/>
    <w:rPr>
      <w:rFonts w:asciiTheme="minorHAnsi" w:hAnsiTheme="minorHAnsi"/>
      <w:b/>
      <w:color w:val="4D4D4D"/>
      <w:sz w:val="17"/>
      <w:szCs w:val="24"/>
    </w:rPr>
  </w:style>
  <w:style w:type="paragraph" w:customStyle="1" w:styleId="Tabletextindent">
    <w:name w:val="Table text indent"/>
    <w:basedOn w:val="Tabletext"/>
    <w:qFormat/>
    <w:rsid w:val="00C520AB"/>
    <w:pPr>
      <w:ind w:left="360"/>
    </w:pPr>
  </w:style>
  <w:style w:type="paragraph" w:styleId="TOC9">
    <w:name w:val="toc 9"/>
    <w:basedOn w:val="Normal"/>
    <w:next w:val="Normal"/>
    <w:autoRedefine/>
    <w:uiPriority w:val="39"/>
    <w:rsid w:val="00FE4BB0"/>
    <w:pPr>
      <w:spacing w:after="100"/>
      <w:ind w:left="1360"/>
    </w:pPr>
  </w:style>
  <w:style w:type="paragraph" w:styleId="BalloonText">
    <w:name w:val="Balloon Text"/>
    <w:basedOn w:val="Normal"/>
    <w:link w:val="BalloonTextChar"/>
    <w:rsid w:val="00BD419B"/>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419B"/>
    <w:rPr>
      <w:rFonts w:ascii="Tahoma" w:hAnsi="Tahoma" w:cs="Tahoma"/>
      <w:sz w:val="16"/>
      <w:szCs w:val="16"/>
    </w:rPr>
  </w:style>
  <w:style w:type="character" w:customStyle="1" w:styleId="TabletextrightChar">
    <w:name w:val="Table text right Char"/>
    <w:link w:val="Tabletextright"/>
    <w:rsid w:val="00AC5DD0"/>
    <w:rPr>
      <w:rFonts w:asciiTheme="minorHAnsi" w:hAnsiTheme="minorHAnsi"/>
      <w:color w:val="4D4D4D"/>
      <w:sz w:val="15"/>
      <w:szCs w:val="18"/>
    </w:rPr>
  </w:style>
  <w:style w:type="paragraph" w:customStyle="1" w:styleId="FooterEvenpage">
    <w:name w:val="Footer (Even page)"/>
    <w:basedOn w:val="Footer"/>
    <w:uiPriority w:val="98"/>
    <w:qFormat/>
    <w:rsid w:val="001C1023"/>
    <w:pPr>
      <w:pBdr>
        <w:top w:val="single" w:sz="6" w:space="1" w:color="4F81BD" w:themeColor="accent1"/>
      </w:pBdr>
      <w:tabs>
        <w:tab w:val="clear" w:pos="4153"/>
        <w:tab w:val="clear" w:pos="8306"/>
        <w:tab w:val="center" w:pos="3686"/>
        <w:tab w:val="right" w:pos="9639"/>
      </w:tabs>
      <w:spacing w:before="0" w:after="0" w:line="264" w:lineRule="auto"/>
      <w:jc w:val="left"/>
    </w:pPr>
    <w:rPr>
      <w:rFonts w:asciiTheme="majorHAnsi" w:eastAsiaTheme="minorHAnsi" w:hAnsiTheme="majorHAnsi" w:cstheme="minorBidi"/>
      <w:sz w:val="18"/>
      <w:szCs w:val="22"/>
      <w:lang w:eastAsia="en-US"/>
    </w:rPr>
  </w:style>
  <w:style w:type="character" w:customStyle="1" w:styleId="HeaderChar">
    <w:name w:val="Header Char"/>
    <w:basedOn w:val="DefaultParagraphFont"/>
    <w:link w:val="Header"/>
    <w:uiPriority w:val="85"/>
    <w:rsid w:val="005B0593"/>
    <w:rPr>
      <w:rFonts w:asciiTheme="minorHAnsi" w:hAnsiTheme="minorHAnsi"/>
      <w:sz w:val="17"/>
      <w:szCs w:val="24"/>
    </w:rPr>
  </w:style>
  <w:style w:type="paragraph" w:customStyle="1" w:styleId="Tableheader">
    <w:name w:val="Table header"/>
    <w:basedOn w:val="Tabletext"/>
    <w:qFormat/>
    <w:rsid w:val="002D7D81"/>
    <w:pPr>
      <w:jc w:val="right"/>
    </w:pPr>
  </w:style>
  <w:style w:type="paragraph" w:customStyle="1" w:styleId="Heading1b">
    <w:name w:val="Heading 1b"/>
    <w:basedOn w:val="Heading1App"/>
    <w:qFormat/>
    <w:rsid w:val="007E4DBD"/>
    <w:pPr>
      <w:spacing w:line="204" w:lineRule="auto"/>
    </w:pPr>
    <w:rPr>
      <w:sz w:val="30"/>
    </w:rPr>
  </w:style>
  <w:style w:type="paragraph" w:styleId="TOC5">
    <w:name w:val="toc 5"/>
    <w:basedOn w:val="TOC4"/>
    <w:next w:val="Normal"/>
    <w:uiPriority w:val="39"/>
    <w:rsid w:val="00270E3E"/>
    <w:pPr>
      <w:numPr>
        <w:numId w:val="0"/>
      </w:numPr>
      <w:tabs>
        <w:tab w:val="right" w:pos="4410"/>
      </w:tabs>
      <w:ind w:left="720" w:right="392" w:hanging="360"/>
    </w:pPr>
    <w:rPr>
      <w:noProof w:val="0"/>
    </w:rPr>
  </w:style>
  <w:style w:type="paragraph" w:styleId="TOC6">
    <w:name w:val="toc 6"/>
    <w:basedOn w:val="Normal"/>
    <w:next w:val="Normal"/>
    <w:autoRedefine/>
    <w:uiPriority w:val="39"/>
    <w:unhideWhenUsed/>
    <w:rsid w:val="00B249EB"/>
    <w:pPr>
      <w:spacing w:before="0"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B249EB"/>
    <w:pPr>
      <w:spacing w:before="0"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B249EB"/>
    <w:pPr>
      <w:spacing w:before="0" w:after="100" w:line="276" w:lineRule="auto"/>
      <w:ind w:left="1540"/>
    </w:pPr>
    <w:rPr>
      <w:rFonts w:eastAsiaTheme="minorEastAsia" w:cstheme="minorBidi"/>
      <w:sz w:val="22"/>
      <w:szCs w:val="22"/>
    </w:rPr>
  </w:style>
  <w:style w:type="paragraph" w:customStyle="1" w:styleId="HeadingFin">
    <w:name w:val="Heading Fin"/>
    <w:basedOn w:val="Heading1a"/>
    <w:qFormat/>
    <w:rsid w:val="00F25321"/>
  </w:style>
  <w:style w:type="paragraph" w:customStyle="1" w:styleId="a">
    <w:rsid w:val="005F1C9B"/>
    <w:pPr>
      <w:spacing w:before="120" w:after="120"/>
    </w:pPr>
    <w:rPr>
      <w:rFonts w:asciiTheme="minorHAnsi" w:hAnsiTheme="minorHAnsi"/>
      <w:sz w:val="17"/>
      <w:szCs w:val="24"/>
    </w:rPr>
  </w:style>
  <w:style w:type="paragraph" w:customStyle="1" w:styleId="a0">
    <w:next w:val="a"/>
    <w:rsid w:val="005F1C9B"/>
    <w:pPr>
      <w:spacing w:before="120" w:after="120"/>
    </w:pPr>
    <w:rPr>
      <w:rFonts w:asciiTheme="minorHAnsi" w:hAnsiTheme="minorHAnsi"/>
      <w:sz w:val="17"/>
      <w:szCs w:val="24"/>
    </w:rPr>
  </w:style>
  <w:style w:type="paragraph" w:customStyle="1" w:styleId="Heading1a0">
    <w:name w:val="Heading 1a"/>
    <w:basedOn w:val="Heading1"/>
    <w:next w:val="Heading1a"/>
    <w:qFormat/>
    <w:rsid w:val="003E13AA"/>
  </w:style>
  <w:style w:type="paragraph" w:customStyle="1" w:styleId="Tabletextmeasure">
    <w:name w:val="Table text measure"/>
    <w:basedOn w:val="Tabletext"/>
    <w:qFormat/>
    <w:rsid w:val="008A4252"/>
    <w:pPr>
      <w:keepNext/>
      <w:spacing w:before="60"/>
    </w:pPr>
    <w:rPr>
      <w:b/>
      <w:sz w:val="16"/>
    </w:rPr>
  </w:style>
  <w:style w:type="table" w:styleId="TableColumns1">
    <w:name w:val="Table Columns 1"/>
    <w:basedOn w:val="TableNormal"/>
    <w:rsid w:val="00C4305B"/>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heading">
    <w:name w:val="Table text heading"/>
    <w:basedOn w:val="Tabletextright"/>
    <w:qFormat/>
    <w:rsid w:val="003527AD"/>
    <w:rPr>
      <w:b/>
    </w:rPr>
  </w:style>
  <w:style w:type="character" w:customStyle="1" w:styleId="Heading6Char">
    <w:name w:val="Heading 6 Char"/>
    <w:basedOn w:val="DefaultParagraphFont"/>
    <w:link w:val="Heading6"/>
    <w:semiHidden/>
    <w:rsid w:val="00356A13"/>
    <w:rPr>
      <w:rFonts w:asciiTheme="majorHAnsi" w:eastAsiaTheme="majorEastAsia" w:hAnsiTheme="majorHAnsi" w:cstheme="majorBidi"/>
      <w:i/>
      <w:iCs/>
      <w:color w:val="243F60" w:themeColor="accent1" w:themeShade="7F"/>
      <w:sz w:val="17"/>
      <w:szCs w:val="24"/>
    </w:rPr>
  </w:style>
  <w:style w:type="paragraph" w:customStyle="1" w:styleId="Normalbold">
    <w:name w:val="Normal bold"/>
    <w:basedOn w:val="Normal"/>
    <w:qFormat/>
    <w:rsid w:val="00472CA1"/>
    <w:pPr>
      <w:keepNext/>
      <w:keepLines/>
      <w:spacing w:before="240"/>
    </w:pPr>
    <w:rPr>
      <w:b/>
    </w:rPr>
  </w:style>
  <w:style w:type="paragraph" w:styleId="Caption">
    <w:name w:val="caption"/>
    <w:basedOn w:val="Normal"/>
    <w:next w:val="Normal"/>
    <w:unhideWhenUsed/>
    <w:qFormat/>
    <w:rsid w:val="006E7CD5"/>
    <w:pPr>
      <w:spacing w:before="0" w:after="200"/>
    </w:pPr>
    <w:rPr>
      <w:b/>
      <w:bCs/>
      <w:color w:val="4F81BD" w:themeColor="accent1"/>
      <w:szCs w:val="18"/>
    </w:rPr>
  </w:style>
  <w:style w:type="paragraph" w:styleId="BodyTextIndent2">
    <w:name w:val="Body Text Indent 2"/>
    <w:basedOn w:val="Normal"/>
    <w:link w:val="BodyTextIndent2Char"/>
    <w:semiHidden/>
    <w:unhideWhenUsed/>
    <w:rsid w:val="00174AEA"/>
    <w:pPr>
      <w:spacing w:line="480" w:lineRule="auto"/>
      <w:ind w:left="283"/>
    </w:pPr>
  </w:style>
  <w:style w:type="character" w:customStyle="1" w:styleId="BodyTextIndent2Char">
    <w:name w:val="Body Text Indent 2 Char"/>
    <w:basedOn w:val="DefaultParagraphFont"/>
    <w:link w:val="BodyTextIndent2"/>
    <w:semiHidden/>
    <w:rsid w:val="00174AEA"/>
    <w:rPr>
      <w:rFonts w:asciiTheme="minorHAnsi" w:hAnsiTheme="minorHAnsi"/>
      <w:sz w:val="17"/>
      <w:szCs w:val="24"/>
    </w:rPr>
  </w:style>
  <w:style w:type="paragraph" w:customStyle="1" w:styleId="Tabledash">
    <w:name w:val="Table dash"/>
    <w:basedOn w:val="Tablebullet"/>
    <w:uiPriority w:val="9"/>
    <w:rsid w:val="00174AEA"/>
    <w:pPr>
      <w:numPr>
        <w:numId w:val="0"/>
      </w:numPr>
      <w:spacing w:before="50" w:after="50" w:line="264" w:lineRule="auto"/>
      <w:ind w:left="576" w:right="0" w:hanging="288"/>
    </w:pPr>
    <w:rPr>
      <w:rFonts w:eastAsiaTheme="minorEastAsia" w:cstheme="minorBidi"/>
      <w:color w:val="auto"/>
      <w:spacing w:val="2"/>
      <w:sz w:val="17"/>
      <w:szCs w:val="20"/>
    </w:rPr>
  </w:style>
  <w:style w:type="paragraph" w:customStyle="1" w:styleId="Char">
    <w:name w:val="Char"/>
    <w:basedOn w:val="Normal"/>
    <w:rsid w:val="00DF49AA"/>
    <w:pPr>
      <w:spacing w:before="0" w:after="160" w:line="240" w:lineRule="exact"/>
    </w:pPr>
    <w:rPr>
      <w:rFonts w:ascii="Tahoma" w:hAnsi="Tahoma" w:cs="Tahoma"/>
      <w:sz w:val="20"/>
      <w:szCs w:val="20"/>
      <w:lang w:val="en-US" w:eastAsia="en-US"/>
    </w:rPr>
  </w:style>
  <w:style w:type="paragraph" w:customStyle="1" w:styleId="Tabletextheadingrightbold">
    <w:name w:val="Table text heading right bold"/>
    <w:basedOn w:val="Tabletextheadingright"/>
    <w:qFormat/>
    <w:rsid w:val="00C6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9032">
      <w:bodyDiv w:val="1"/>
      <w:marLeft w:val="0"/>
      <w:marRight w:val="0"/>
      <w:marTop w:val="0"/>
      <w:marBottom w:val="0"/>
      <w:divBdr>
        <w:top w:val="none" w:sz="0" w:space="0" w:color="auto"/>
        <w:left w:val="none" w:sz="0" w:space="0" w:color="auto"/>
        <w:bottom w:val="none" w:sz="0" w:space="0" w:color="auto"/>
        <w:right w:val="none" w:sz="0" w:space="0" w:color="auto"/>
      </w:divBdr>
    </w:div>
    <w:div w:id="440494760">
      <w:bodyDiv w:val="1"/>
      <w:marLeft w:val="0"/>
      <w:marRight w:val="0"/>
      <w:marTop w:val="0"/>
      <w:marBottom w:val="0"/>
      <w:divBdr>
        <w:top w:val="none" w:sz="0" w:space="0" w:color="auto"/>
        <w:left w:val="none" w:sz="0" w:space="0" w:color="auto"/>
        <w:bottom w:val="none" w:sz="0" w:space="0" w:color="auto"/>
        <w:right w:val="none" w:sz="0" w:space="0" w:color="auto"/>
      </w:divBdr>
    </w:div>
    <w:div w:id="603146184">
      <w:bodyDiv w:val="1"/>
      <w:marLeft w:val="0"/>
      <w:marRight w:val="0"/>
      <w:marTop w:val="0"/>
      <w:marBottom w:val="0"/>
      <w:divBdr>
        <w:top w:val="none" w:sz="0" w:space="0" w:color="auto"/>
        <w:left w:val="none" w:sz="0" w:space="0" w:color="auto"/>
        <w:bottom w:val="none" w:sz="0" w:space="0" w:color="auto"/>
        <w:right w:val="none" w:sz="0" w:space="0" w:color="auto"/>
      </w:divBdr>
    </w:div>
    <w:div w:id="652873377">
      <w:bodyDiv w:val="1"/>
      <w:marLeft w:val="0"/>
      <w:marRight w:val="0"/>
      <w:marTop w:val="0"/>
      <w:marBottom w:val="0"/>
      <w:divBdr>
        <w:top w:val="none" w:sz="0" w:space="0" w:color="auto"/>
        <w:left w:val="none" w:sz="0" w:space="0" w:color="auto"/>
        <w:bottom w:val="none" w:sz="0" w:space="0" w:color="auto"/>
        <w:right w:val="none" w:sz="0" w:space="0" w:color="auto"/>
      </w:divBdr>
    </w:div>
    <w:div w:id="717625973">
      <w:bodyDiv w:val="1"/>
      <w:marLeft w:val="0"/>
      <w:marRight w:val="0"/>
      <w:marTop w:val="0"/>
      <w:marBottom w:val="0"/>
      <w:divBdr>
        <w:top w:val="none" w:sz="0" w:space="0" w:color="auto"/>
        <w:left w:val="none" w:sz="0" w:space="0" w:color="auto"/>
        <w:bottom w:val="none" w:sz="0" w:space="0" w:color="auto"/>
        <w:right w:val="none" w:sz="0" w:space="0" w:color="auto"/>
      </w:divBdr>
    </w:div>
    <w:div w:id="898397905">
      <w:bodyDiv w:val="1"/>
      <w:marLeft w:val="0"/>
      <w:marRight w:val="0"/>
      <w:marTop w:val="0"/>
      <w:marBottom w:val="0"/>
      <w:divBdr>
        <w:top w:val="none" w:sz="0" w:space="0" w:color="auto"/>
        <w:left w:val="none" w:sz="0" w:space="0" w:color="auto"/>
        <w:bottom w:val="none" w:sz="0" w:space="0" w:color="auto"/>
        <w:right w:val="none" w:sz="0" w:space="0" w:color="auto"/>
      </w:divBdr>
    </w:div>
    <w:div w:id="921992934">
      <w:bodyDiv w:val="1"/>
      <w:marLeft w:val="0"/>
      <w:marRight w:val="0"/>
      <w:marTop w:val="0"/>
      <w:marBottom w:val="0"/>
      <w:divBdr>
        <w:top w:val="none" w:sz="0" w:space="0" w:color="auto"/>
        <w:left w:val="none" w:sz="0" w:space="0" w:color="auto"/>
        <w:bottom w:val="none" w:sz="0" w:space="0" w:color="auto"/>
        <w:right w:val="none" w:sz="0" w:space="0" w:color="auto"/>
      </w:divBdr>
    </w:div>
    <w:div w:id="946349874">
      <w:bodyDiv w:val="1"/>
      <w:marLeft w:val="0"/>
      <w:marRight w:val="0"/>
      <w:marTop w:val="0"/>
      <w:marBottom w:val="0"/>
      <w:divBdr>
        <w:top w:val="none" w:sz="0" w:space="0" w:color="auto"/>
        <w:left w:val="none" w:sz="0" w:space="0" w:color="auto"/>
        <w:bottom w:val="none" w:sz="0" w:space="0" w:color="auto"/>
        <w:right w:val="none" w:sz="0" w:space="0" w:color="auto"/>
      </w:divBdr>
    </w:div>
    <w:div w:id="985402311">
      <w:bodyDiv w:val="1"/>
      <w:marLeft w:val="0"/>
      <w:marRight w:val="0"/>
      <w:marTop w:val="0"/>
      <w:marBottom w:val="0"/>
      <w:divBdr>
        <w:top w:val="none" w:sz="0" w:space="0" w:color="auto"/>
        <w:left w:val="none" w:sz="0" w:space="0" w:color="auto"/>
        <w:bottom w:val="none" w:sz="0" w:space="0" w:color="auto"/>
        <w:right w:val="none" w:sz="0" w:space="0" w:color="auto"/>
      </w:divBdr>
    </w:div>
    <w:div w:id="990401329">
      <w:bodyDiv w:val="1"/>
      <w:marLeft w:val="0"/>
      <w:marRight w:val="0"/>
      <w:marTop w:val="0"/>
      <w:marBottom w:val="0"/>
      <w:divBdr>
        <w:top w:val="none" w:sz="0" w:space="0" w:color="auto"/>
        <w:left w:val="none" w:sz="0" w:space="0" w:color="auto"/>
        <w:bottom w:val="none" w:sz="0" w:space="0" w:color="auto"/>
        <w:right w:val="none" w:sz="0" w:space="0" w:color="auto"/>
      </w:divBdr>
    </w:div>
    <w:div w:id="1002780642">
      <w:bodyDiv w:val="1"/>
      <w:marLeft w:val="0"/>
      <w:marRight w:val="0"/>
      <w:marTop w:val="0"/>
      <w:marBottom w:val="0"/>
      <w:divBdr>
        <w:top w:val="none" w:sz="0" w:space="0" w:color="auto"/>
        <w:left w:val="none" w:sz="0" w:space="0" w:color="auto"/>
        <w:bottom w:val="none" w:sz="0" w:space="0" w:color="auto"/>
        <w:right w:val="none" w:sz="0" w:space="0" w:color="auto"/>
      </w:divBdr>
    </w:div>
    <w:div w:id="1070887921">
      <w:bodyDiv w:val="1"/>
      <w:marLeft w:val="0"/>
      <w:marRight w:val="0"/>
      <w:marTop w:val="0"/>
      <w:marBottom w:val="0"/>
      <w:divBdr>
        <w:top w:val="none" w:sz="0" w:space="0" w:color="auto"/>
        <w:left w:val="none" w:sz="0" w:space="0" w:color="auto"/>
        <w:bottom w:val="none" w:sz="0" w:space="0" w:color="auto"/>
        <w:right w:val="none" w:sz="0" w:space="0" w:color="auto"/>
      </w:divBdr>
    </w:div>
    <w:div w:id="1127427259">
      <w:bodyDiv w:val="1"/>
      <w:marLeft w:val="0"/>
      <w:marRight w:val="0"/>
      <w:marTop w:val="0"/>
      <w:marBottom w:val="0"/>
      <w:divBdr>
        <w:top w:val="none" w:sz="0" w:space="0" w:color="auto"/>
        <w:left w:val="none" w:sz="0" w:space="0" w:color="auto"/>
        <w:bottom w:val="none" w:sz="0" w:space="0" w:color="auto"/>
        <w:right w:val="none" w:sz="0" w:space="0" w:color="auto"/>
      </w:divBdr>
    </w:div>
    <w:div w:id="1253972571">
      <w:bodyDiv w:val="1"/>
      <w:marLeft w:val="0"/>
      <w:marRight w:val="0"/>
      <w:marTop w:val="0"/>
      <w:marBottom w:val="0"/>
      <w:divBdr>
        <w:top w:val="none" w:sz="0" w:space="0" w:color="auto"/>
        <w:left w:val="none" w:sz="0" w:space="0" w:color="auto"/>
        <w:bottom w:val="none" w:sz="0" w:space="0" w:color="auto"/>
        <w:right w:val="none" w:sz="0" w:space="0" w:color="auto"/>
      </w:divBdr>
    </w:div>
    <w:div w:id="1293445475">
      <w:bodyDiv w:val="1"/>
      <w:marLeft w:val="0"/>
      <w:marRight w:val="0"/>
      <w:marTop w:val="0"/>
      <w:marBottom w:val="0"/>
      <w:divBdr>
        <w:top w:val="none" w:sz="0" w:space="0" w:color="auto"/>
        <w:left w:val="none" w:sz="0" w:space="0" w:color="auto"/>
        <w:bottom w:val="none" w:sz="0" w:space="0" w:color="auto"/>
        <w:right w:val="none" w:sz="0" w:space="0" w:color="auto"/>
      </w:divBdr>
    </w:div>
    <w:div w:id="1411384574">
      <w:bodyDiv w:val="1"/>
      <w:marLeft w:val="0"/>
      <w:marRight w:val="0"/>
      <w:marTop w:val="0"/>
      <w:marBottom w:val="0"/>
      <w:divBdr>
        <w:top w:val="none" w:sz="0" w:space="0" w:color="auto"/>
        <w:left w:val="none" w:sz="0" w:space="0" w:color="auto"/>
        <w:bottom w:val="none" w:sz="0" w:space="0" w:color="auto"/>
        <w:right w:val="none" w:sz="0" w:space="0" w:color="auto"/>
      </w:divBdr>
    </w:div>
    <w:div w:id="1432579342">
      <w:bodyDiv w:val="1"/>
      <w:marLeft w:val="0"/>
      <w:marRight w:val="0"/>
      <w:marTop w:val="0"/>
      <w:marBottom w:val="0"/>
      <w:divBdr>
        <w:top w:val="none" w:sz="0" w:space="0" w:color="auto"/>
        <w:left w:val="none" w:sz="0" w:space="0" w:color="auto"/>
        <w:bottom w:val="none" w:sz="0" w:space="0" w:color="auto"/>
        <w:right w:val="none" w:sz="0" w:space="0" w:color="auto"/>
      </w:divBdr>
    </w:div>
    <w:div w:id="1433818147">
      <w:bodyDiv w:val="1"/>
      <w:marLeft w:val="0"/>
      <w:marRight w:val="0"/>
      <w:marTop w:val="0"/>
      <w:marBottom w:val="0"/>
      <w:divBdr>
        <w:top w:val="none" w:sz="0" w:space="0" w:color="auto"/>
        <w:left w:val="none" w:sz="0" w:space="0" w:color="auto"/>
        <w:bottom w:val="none" w:sz="0" w:space="0" w:color="auto"/>
        <w:right w:val="none" w:sz="0" w:space="0" w:color="auto"/>
      </w:divBdr>
    </w:div>
    <w:div w:id="1495145077">
      <w:bodyDiv w:val="1"/>
      <w:marLeft w:val="0"/>
      <w:marRight w:val="0"/>
      <w:marTop w:val="0"/>
      <w:marBottom w:val="0"/>
      <w:divBdr>
        <w:top w:val="none" w:sz="0" w:space="0" w:color="auto"/>
        <w:left w:val="none" w:sz="0" w:space="0" w:color="auto"/>
        <w:bottom w:val="none" w:sz="0" w:space="0" w:color="auto"/>
        <w:right w:val="none" w:sz="0" w:space="0" w:color="auto"/>
      </w:divBdr>
    </w:div>
    <w:div w:id="1570311117">
      <w:bodyDiv w:val="1"/>
      <w:marLeft w:val="0"/>
      <w:marRight w:val="0"/>
      <w:marTop w:val="0"/>
      <w:marBottom w:val="0"/>
      <w:divBdr>
        <w:top w:val="none" w:sz="0" w:space="0" w:color="auto"/>
        <w:left w:val="none" w:sz="0" w:space="0" w:color="auto"/>
        <w:bottom w:val="none" w:sz="0" w:space="0" w:color="auto"/>
        <w:right w:val="none" w:sz="0" w:space="0" w:color="auto"/>
      </w:divBdr>
    </w:div>
    <w:div w:id="1626472793">
      <w:bodyDiv w:val="1"/>
      <w:marLeft w:val="0"/>
      <w:marRight w:val="0"/>
      <w:marTop w:val="0"/>
      <w:marBottom w:val="0"/>
      <w:divBdr>
        <w:top w:val="none" w:sz="0" w:space="0" w:color="auto"/>
        <w:left w:val="none" w:sz="0" w:space="0" w:color="auto"/>
        <w:bottom w:val="none" w:sz="0" w:space="0" w:color="auto"/>
        <w:right w:val="none" w:sz="0" w:space="0" w:color="auto"/>
      </w:divBdr>
    </w:div>
    <w:div w:id="1626496192">
      <w:bodyDiv w:val="1"/>
      <w:marLeft w:val="0"/>
      <w:marRight w:val="0"/>
      <w:marTop w:val="0"/>
      <w:marBottom w:val="0"/>
      <w:divBdr>
        <w:top w:val="none" w:sz="0" w:space="0" w:color="auto"/>
        <w:left w:val="none" w:sz="0" w:space="0" w:color="auto"/>
        <w:bottom w:val="none" w:sz="0" w:space="0" w:color="auto"/>
        <w:right w:val="none" w:sz="0" w:space="0" w:color="auto"/>
      </w:divBdr>
    </w:div>
    <w:div w:id="1654291101">
      <w:bodyDiv w:val="1"/>
      <w:marLeft w:val="0"/>
      <w:marRight w:val="0"/>
      <w:marTop w:val="0"/>
      <w:marBottom w:val="0"/>
      <w:divBdr>
        <w:top w:val="none" w:sz="0" w:space="0" w:color="auto"/>
        <w:left w:val="none" w:sz="0" w:space="0" w:color="auto"/>
        <w:bottom w:val="none" w:sz="0" w:space="0" w:color="auto"/>
        <w:right w:val="none" w:sz="0" w:space="0" w:color="auto"/>
      </w:divBdr>
    </w:div>
    <w:div w:id="1938977132">
      <w:bodyDiv w:val="1"/>
      <w:marLeft w:val="0"/>
      <w:marRight w:val="0"/>
      <w:marTop w:val="0"/>
      <w:marBottom w:val="0"/>
      <w:divBdr>
        <w:top w:val="none" w:sz="0" w:space="0" w:color="auto"/>
        <w:left w:val="none" w:sz="0" w:space="0" w:color="auto"/>
        <w:bottom w:val="none" w:sz="0" w:space="0" w:color="auto"/>
        <w:right w:val="none" w:sz="0" w:space="0" w:color="auto"/>
      </w:divBdr>
    </w:div>
    <w:div w:id="1956331608">
      <w:bodyDiv w:val="1"/>
      <w:marLeft w:val="0"/>
      <w:marRight w:val="0"/>
      <w:marTop w:val="0"/>
      <w:marBottom w:val="0"/>
      <w:divBdr>
        <w:top w:val="none" w:sz="0" w:space="0" w:color="auto"/>
        <w:left w:val="none" w:sz="0" w:space="0" w:color="auto"/>
        <w:bottom w:val="none" w:sz="0" w:space="0" w:color="auto"/>
        <w:right w:val="none" w:sz="0" w:space="0" w:color="auto"/>
      </w:divBdr>
    </w:div>
    <w:div w:id="2054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eader" Target="header64.xml"/><Relationship Id="rId21" Type="http://schemas.openxmlformats.org/officeDocument/2006/relationships/footer" Target="footer7.xml"/><Relationship Id="rId42" Type="http://schemas.openxmlformats.org/officeDocument/2006/relationships/footer" Target="footer12.xml"/><Relationship Id="rId47" Type="http://schemas.openxmlformats.org/officeDocument/2006/relationships/header" Target="header14.xml"/><Relationship Id="rId63" Type="http://schemas.openxmlformats.org/officeDocument/2006/relationships/header" Target="header28.xml"/><Relationship Id="rId68" Type="http://schemas.openxmlformats.org/officeDocument/2006/relationships/footer" Target="footer16.xml"/><Relationship Id="rId84" Type="http://schemas.openxmlformats.org/officeDocument/2006/relationships/header" Target="header45.xml"/><Relationship Id="rId89" Type="http://schemas.openxmlformats.org/officeDocument/2006/relationships/header" Target="header48.xml"/><Relationship Id="rId112" Type="http://schemas.openxmlformats.org/officeDocument/2006/relationships/footer" Target="footer30.xml"/><Relationship Id="rId133" Type="http://schemas.openxmlformats.org/officeDocument/2006/relationships/chart" Target="charts/chart6.xml"/><Relationship Id="rId138" Type="http://schemas.openxmlformats.org/officeDocument/2006/relationships/hyperlink" Target="https://www.dtf.vic.gov.au/funds-programs-and-policies/community-support-fund" TargetMode="External"/><Relationship Id="rId16" Type="http://schemas.openxmlformats.org/officeDocument/2006/relationships/footer" Target="footer4.xml"/><Relationship Id="rId107" Type="http://schemas.openxmlformats.org/officeDocument/2006/relationships/footer" Target="footer27.xml"/><Relationship Id="rId11" Type="http://schemas.microsoft.com/office/2007/relationships/hdphoto" Target="media/hdphoto1.wdp"/><Relationship Id="rId32" Type="http://schemas.openxmlformats.org/officeDocument/2006/relationships/header" Target="header3.xml"/><Relationship Id="rId37" Type="http://schemas.openxmlformats.org/officeDocument/2006/relationships/header" Target="header8.xml"/><Relationship Id="rId53" Type="http://schemas.openxmlformats.org/officeDocument/2006/relationships/header" Target="header20.xml"/><Relationship Id="rId58" Type="http://schemas.openxmlformats.org/officeDocument/2006/relationships/header" Target="header25.xml"/><Relationship Id="rId74" Type="http://schemas.openxmlformats.org/officeDocument/2006/relationships/footer" Target="footer19.xml"/><Relationship Id="rId79" Type="http://schemas.openxmlformats.org/officeDocument/2006/relationships/header" Target="header40.xml"/><Relationship Id="rId102" Type="http://schemas.openxmlformats.org/officeDocument/2006/relationships/footer" Target="footer24.xml"/><Relationship Id="rId123" Type="http://schemas.openxmlformats.org/officeDocument/2006/relationships/footer" Target="footer37.xml"/><Relationship Id="rId128" Type="http://schemas.openxmlformats.org/officeDocument/2006/relationships/header" Target="header69.xm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49.xml"/><Relationship Id="rId95" Type="http://schemas.openxmlformats.org/officeDocument/2006/relationships/header" Target="header52.xml"/><Relationship Id="rId22" Type="http://schemas.openxmlformats.org/officeDocument/2006/relationships/chart" Target="charts/chart1.xml"/><Relationship Id="rId27" Type="http://schemas.openxmlformats.org/officeDocument/2006/relationships/image" Target="media/image7.png"/><Relationship Id="rId43" Type="http://schemas.openxmlformats.org/officeDocument/2006/relationships/footer" Target="footer13.xml"/><Relationship Id="rId48" Type="http://schemas.openxmlformats.org/officeDocument/2006/relationships/header" Target="header15.xml"/><Relationship Id="rId64" Type="http://schemas.openxmlformats.org/officeDocument/2006/relationships/header" Target="header29.xml"/><Relationship Id="rId69" Type="http://schemas.openxmlformats.org/officeDocument/2006/relationships/footer" Target="footer17.xml"/><Relationship Id="rId113" Type="http://schemas.openxmlformats.org/officeDocument/2006/relationships/footer" Target="footer31.xml"/><Relationship Id="rId118" Type="http://schemas.openxmlformats.org/officeDocument/2006/relationships/footer" Target="footer34.xml"/><Relationship Id="rId134" Type="http://schemas.openxmlformats.org/officeDocument/2006/relationships/chart" Target="charts/chart7.xml"/><Relationship Id="rId139" Type="http://schemas.openxmlformats.org/officeDocument/2006/relationships/hyperlink" Target="file:///C:\Documents%20and%20Settings\vict3v8\Local%20Settings\Temp\notesD72EE2\www.ibac.vic.gov.au" TargetMode="External"/><Relationship Id="rId80" Type="http://schemas.openxmlformats.org/officeDocument/2006/relationships/header" Target="header41.xml"/><Relationship Id="rId85" Type="http://schemas.openxmlformats.org/officeDocument/2006/relationships/header" Target="header4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eader" Target="header4.xml"/><Relationship Id="rId38" Type="http://schemas.openxmlformats.org/officeDocument/2006/relationships/footer" Target="footer10.xml"/><Relationship Id="rId46" Type="http://schemas.openxmlformats.org/officeDocument/2006/relationships/header" Target="header13.xml"/><Relationship Id="rId59" Type="http://schemas.openxmlformats.org/officeDocument/2006/relationships/footer" Target="footer14.xml"/><Relationship Id="rId67" Type="http://schemas.openxmlformats.org/officeDocument/2006/relationships/header" Target="header32.xml"/><Relationship Id="rId103" Type="http://schemas.openxmlformats.org/officeDocument/2006/relationships/footer" Target="footer25.xml"/><Relationship Id="rId108" Type="http://schemas.openxmlformats.org/officeDocument/2006/relationships/header" Target="header61.xml"/><Relationship Id="rId116" Type="http://schemas.openxmlformats.org/officeDocument/2006/relationships/footer" Target="footer33.xml"/><Relationship Id="rId124" Type="http://schemas.openxmlformats.org/officeDocument/2006/relationships/header" Target="header67.xml"/><Relationship Id="rId129" Type="http://schemas.openxmlformats.org/officeDocument/2006/relationships/footer" Target="footer40.xml"/><Relationship Id="rId137" Type="http://schemas.openxmlformats.org/officeDocument/2006/relationships/hyperlink" Target="https://foicommissioner.vic.gov.au/" TargetMode="External"/><Relationship Id="rId20" Type="http://schemas.openxmlformats.org/officeDocument/2006/relationships/footer" Target="footer6.xml"/><Relationship Id="rId41" Type="http://schemas.openxmlformats.org/officeDocument/2006/relationships/header" Target="header10.xml"/><Relationship Id="rId54" Type="http://schemas.openxmlformats.org/officeDocument/2006/relationships/header" Target="header21.xml"/><Relationship Id="rId62" Type="http://schemas.openxmlformats.org/officeDocument/2006/relationships/header" Target="header27.xml"/><Relationship Id="rId70" Type="http://schemas.openxmlformats.org/officeDocument/2006/relationships/header" Target="header33.xml"/><Relationship Id="rId75" Type="http://schemas.openxmlformats.org/officeDocument/2006/relationships/header" Target="header36.xml"/><Relationship Id="rId83" Type="http://schemas.openxmlformats.org/officeDocument/2006/relationships/header" Target="header44.xml"/><Relationship Id="rId88" Type="http://schemas.openxmlformats.org/officeDocument/2006/relationships/footer" Target="footer21.xml"/><Relationship Id="rId91" Type="http://schemas.openxmlformats.org/officeDocument/2006/relationships/footer" Target="footer22.xml"/><Relationship Id="rId96" Type="http://schemas.openxmlformats.org/officeDocument/2006/relationships/header" Target="header53.xml"/><Relationship Id="rId111" Type="http://schemas.openxmlformats.org/officeDocument/2006/relationships/header" Target="header62.xml"/><Relationship Id="rId132" Type="http://schemas.openxmlformats.org/officeDocument/2006/relationships/chart" Target="charts/chart5.xml"/><Relationship Id="rId140" Type="http://schemas.openxmlformats.org/officeDocument/2006/relationships/hyperlink" Target="mailto:information@dtf.vic.gov.au"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image" Target="media/image8.png"/><Relationship Id="rId36" Type="http://schemas.openxmlformats.org/officeDocument/2006/relationships/header" Target="header7.xml"/><Relationship Id="rId49" Type="http://schemas.openxmlformats.org/officeDocument/2006/relationships/header" Target="header16.xml"/><Relationship Id="rId57" Type="http://schemas.openxmlformats.org/officeDocument/2006/relationships/header" Target="header24.xml"/><Relationship Id="rId106" Type="http://schemas.openxmlformats.org/officeDocument/2006/relationships/footer" Target="footer26.xml"/><Relationship Id="rId114" Type="http://schemas.openxmlformats.org/officeDocument/2006/relationships/header" Target="header63.xml"/><Relationship Id="rId119" Type="http://schemas.openxmlformats.org/officeDocument/2006/relationships/footer" Target="footer35.xml"/><Relationship Id="rId127" Type="http://schemas.openxmlformats.org/officeDocument/2006/relationships/footer" Target="footer39.xml"/><Relationship Id="rId10" Type="http://schemas.openxmlformats.org/officeDocument/2006/relationships/image" Target="media/image3.png"/><Relationship Id="rId31" Type="http://schemas.openxmlformats.org/officeDocument/2006/relationships/header" Target="header2.xml"/><Relationship Id="rId44" Type="http://schemas.openxmlformats.org/officeDocument/2006/relationships/header" Target="header11.xml"/><Relationship Id="rId52" Type="http://schemas.openxmlformats.org/officeDocument/2006/relationships/header" Target="header19.xml"/><Relationship Id="rId60" Type="http://schemas.openxmlformats.org/officeDocument/2006/relationships/footer" Target="footer15.xml"/><Relationship Id="rId65" Type="http://schemas.openxmlformats.org/officeDocument/2006/relationships/header" Target="header30.xm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header" Target="header47.xml"/><Relationship Id="rId94" Type="http://schemas.openxmlformats.org/officeDocument/2006/relationships/header" Target="header51.xml"/><Relationship Id="rId99" Type="http://schemas.openxmlformats.org/officeDocument/2006/relationships/header" Target="header56.xml"/><Relationship Id="rId101" Type="http://schemas.openxmlformats.org/officeDocument/2006/relationships/header" Target="header58.xml"/><Relationship Id="rId122" Type="http://schemas.openxmlformats.org/officeDocument/2006/relationships/footer" Target="footer36.xml"/><Relationship Id="rId130" Type="http://schemas.openxmlformats.org/officeDocument/2006/relationships/footer" Target="footer41.xml"/><Relationship Id="rId135" Type="http://schemas.openxmlformats.org/officeDocument/2006/relationships/hyperlink" Target="http://www.dtf.vic.gov.au" TargetMode="External"/><Relationship Id="rId143"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4.emf"/><Relationship Id="rId39" Type="http://schemas.openxmlformats.org/officeDocument/2006/relationships/footer" Target="footer11.xml"/><Relationship Id="rId109" Type="http://schemas.openxmlformats.org/officeDocument/2006/relationships/footer" Target="footer28.xml"/><Relationship Id="rId34" Type="http://schemas.openxmlformats.org/officeDocument/2006/relationships/header" Target="header5.xml"/><Relationship Id="rId50" Type="http://schemas.openxmlformats.org/officeDocument/2006/relationships/header" Target="header17.xml"/><Relationship Id="rId55" Type="http://schemas.openxmlformats.org/officeDocument/2006/relationships/header" Target="header22.xml"/><Relationship Id="rId76" Type="http://schemas.openxmlformats.org/officeDocument/2006/relationships/header" Target="header37.xml"/><Relationship Id="rId97" Type="http://schemas.openxmlformats.org/officeDocument/2006/relationships/header" Target="header54.xml"/><Relationship Id="rId104" Type="http://schemas.openxmlformats.org/officeDocument/2006/relationships/header" Target="header59.xml"/><Relationship Id="rId120" Type="http://schemas.openxmlformats.org/officeDocument/2006/relationships/header" Target="header65.xml"/><Relationship Id="rId125" Type="http://schemas.openxmlformats.org/officeDocument/2006/relationships/header" Target="header68.xml"/><Relationship Id="rId141" Type="http://schemas.openxmlformats.org/officeDocument/2006/relationships/image" Target="media/image9.png"/><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footer" Target="footer23.xml"/><Relationship Id="rId2" Type="http://schemas.openxmlformats.org/officeDocument/2006/relationships/numbering" Target="numbering.xml"/><Relationship Id="rId29" Type="http://schemas.openxmlformats.org/officeDocument/2006/relationships/footer" Target="footer8.xml"/><Relationship Id="rId24" Type="http://schemas.openxmlformats.org/officeDocument/2006/relationships/chart" Target="charts/chart3.xml"/><Relationship Id="rId40" Type="http://schemas.openxmlformats.org/officeDocument/2006/relationships/header" Target="header9.xml"/><Relationship Id="rId45" Type="http://schemas.openxmlformats.org/officeDocument/2006/relationships/header" Target="header12.xml"/><Relationship Id="rId66" Type="http://schemas.openxmlformats.org/officeDocument/2006/relationships/header" Target="header31.xml"/><Relationship Id="rId87" Type="http://schemas.openxmlformats.org/officeDocument/2006/relationships/footer" Target="footer20.xml"/><Relationship Id="rId110" Type="http://schemas.openxmlformats.org/officeDocument/2006/relationships/footer" Target="footer29.xml"/><Relationship Id="rId115" Type="http://schemas.openxmlformats.org/officeDocument/2006/relationships/footer" Target="footer32.xml"/><Relationship Id="rId131" Type="http://schemas.openxmlformats.org/officeDocument/2006/relationships/chart" Target="charts/chart4.xml"/><Relationship Id="rId136" Type="http://schemas.openxmlformats.org/officeDocument/2006/relationships/hyperlink" Target="http://www.foi.vic.gov.au" TargetMode="External"/><Relationship Id="rId61" Type="http://schemas.openxmlformats.org/officeDocument/2006/relationships/header" Target="header26.xml"/><Relationship Id="rId82" Type="http://schemas.openxmlformats.org/officeDocument/2006/relationships/header" Target="header43.xml"/><Relationship Id="rId19" Type="http://schemas.openxmlformats.org/officeDocument/2006/relationships/oleObject" Target="embeddings/Microsoft_Visio_2003-2010_Drawing.vsd"/><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6.xml"/><Relationship Id="rId56" Type="http://schemas.openxmlformats.org/officeDocument/2006/relationships/header" Target="header23.xml"/><Relationship Id="rId77" Type="http://schemas.openxmlformats.org/officeDocument/2006/relationships/header" Target="header38.xml"/><Relationship Id="rId100" Type="http://schemas.openxmlformats.org/officeDocument/2006/relationships/header" Target="header57.xml"/><Relationship Id="rId105" Type="http://schemas.openxmlformats.org/officeDocument/2006/relationships/header" Target="header60.xml"/><Relationship Id="rId126" Type="http://schemas.openxmlformats.org/officeDocument/2006/relationships/footer" Target="footer38.xml"/><Relationship Id="rId8" Type="http://schemas.openxmlformats.org/officeDocument/2006/relationships/image" Target="media/image1.png"/><Relationship Id="rId51" Type="http://schemas.openxmlformats.org/officeDocument/2006/relationships/header" Target="header18.xml"/><Relationship Id="rId72" Type="http://schemas.openxmlformats.org/officeDocument/2006/relationships/footer" Target="footer18.xml"/><Relationship Id="rId93" Type="http://schemas.openxmlformats.org/officeDocument/2006/relationships/header" Target="header50.xml"/><Relationship Id="rId98" Type="http://schemas.openxmlformats.org/officeDocument/2006/relationships/header" Target="header55.xml"/><Relationship Id="rId121" Type="http://schemas.openxmlformats.org/officeDocument/2006/relationships/header" Target="header66.xml"/><Relationship Id="rId142" Type="http://schemas.openxmlformats.org/officeDocument/2006/relationships/footer" Target="footer42.xml"/></Relationships>
</file>

<file path=word/charts/_rels/chart1.xml.rels><?xml version="1.0" encoding="UTF-8" standalone="yes"?>
<Relationships xmlns="http://schemas.openxmlformats.org/package/2006/relationships"><Relationship Id="rId1" Type="http://schemas.openxmlformats.org/officeDocument/2006/relationships/oleObject" Target="file:///\\pvfdtf001\DTF_DATA02$\TRIM\Corpcom_CSS\COMMUNICATIONS\Formatting\DTF%20Annual%20Report\2017-18\Miscellaneous\Report%20of%20Operations%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fdtf001\DTF_DATA02$\TRIM\Corpcom_CSS\COMMUNICATIONS\Formatting\DTF%20Annual%20Report\2017-18\Miscellaneous\Report%20of%20Operations%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vfdtf001\DTF_DATA02$\TRIM\Corpcom_CSS\COMMUNICATIONS\Formatting\DTF%20Annual%20Report\2017-18\Miscellaneous\Datasets%20for%20Report%20of%20Operations%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vfdtf001\DTF_DATA02$\TRIM\Corpcom_CSS\COMMUNICATIONS\Formatting\DTF%20Annual%20Report\2017-18\Miscellaneous\Enviro%20charts%202017-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vfdtf001\DTF_DATA02$\TRIM\Corpcom_CSS\COMMUNICATIONS\Formatting\DTF%20Annual%20Report\2017-18\Miscellaneous\Enviro%20charts%202017-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vfdtf001\DTF_DATA02$\TRIM\Corpcom_CSS\COMMUNICATIONS\Formatting\DTF%20Annual%20Report\2017-18\Miscellaneous\Enviro%20charts%202017-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vfdtf001\DTF_DATA02$\TRIM\Corpcom_CSS\COMMUNICATIONS\Formatting\DTF%20Annual%20Report\2017-18\Miscellaneous\Enviro%20charts%202017-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1545396980054"/>
          <c:y val="5.0321144747515277E-2"/>
          <c:w val="0.80661458905393058"/>
          <c:h val="0.76055187822768511"/>
        </c:manualLayout>
      </c:layout>
      <c:lineChart>
        <c:grouping val="standard"/>
        <c:varyColors val="0"/>
        <c:ser>
          <c:idx val="0"/>
          <c:order val="0"/>
          <c:spPr>
            <a:ln w="19050">
              <a:solidFill>
                <a:srgbClr val="626262"/>
              </a:solidFill>
            </a:ln>
          </c:spPr>
          <c:marker>
            <c:symbol val="square"/>
            <c:size val="3"/>
            <c:spPr>
              <a:solidFill>
                <a:srgbClr val="626262"/>
              </a:solidFill>
              <a:ln w="19050">
                <a:solidFill>
                  <a:srgbClr val="626262"/>
                </a:solidFill>
              </a:ln>
            </c:spPr>
          </c:marker>
          <c:cat>
            <c:strRef>
              <c:f>'CommsData Annual report'!$A$21:$A$24</c:f>
              <c:strCache>
                <c:ptCount val="4"/>
                <c:pt idx="0">
                  <c:v>2014-15</c:v>
                </c:pt>
                <c:pt idx="1">
                  <c:v>2015-16</c:v>
                </c:pt>
                <c:pt idx="2">
                  <c:v>2016-17</c:v>
                </c:pt>
                <c:pt idx="3">
                  <c:v>2017-18</c:v>
                </c:pt>
              </c:strCache>
            </c:strRef>
          </c:cat>
          <c:val>
            <c:numRef>
              <c:f>'CommsData Annual report'!$C$21:$C$24</c:f>
              <c:numCache>
                <c:formatCode>0</c:formatCode>
                <c:ptCount val="4"/>
                <c:pt idx="0">
                  <c:v>1214</c:v>
                </c:pt>
                <c:pt idx="1">
                  <c:v>2664</c:v>
                </c:pt>
                <c:pt idx="2">
                  <c:v>2710</c:v>
                </c:pt>
                <c:pt idx="3">
                  <c:v>2310</c:v>
                </c:pt>
              </c:numCache>
            </c:numRef>
          </c:val>
          <c:smooth val="0"/>
          <c:extLst>
            <c:ext xmlns:c16="http://schemas.microsoft.com/office/drawing/2014/chart" uri="{C3380CC4-5D6E-409C-BE32-E72D297353CC}">
              <c16:uniqueId val="{00000000-5EE7-4EA3-8E0B-51B968A804B8}"/>
            </c:ext>
          </c:extLst>
        </c:ser>
        <c:dLbls>
          <c:showLegendKey val="0"/>
          <c:showVal val="0"/>
          <c:showCatName val="0"/>
          <c:showSerName val="0"/>
          <c:showPercent val="0"/>
          <c:showBubbleSize val="0"/>
        </c:dLbls>
        <c:marker val="1"/>
        <c:smooth val="0"/>
        <c:axId val="513551360"/>
        <c:axId val="35492992"/>
      </c:lineChart>
      <c:catAx>
        <c:axId val="513551360"/>
        <c:scaling>
          <c:orientation val="minMax"/>
        </c:scaling>
        <c:delete val="0"/>
        <c:axPos val="b"/>
        <c:title>
          <c:tx>
            <c:rich>
              <a:bodyPr/>
              <a:lstStyle/>
              <a:p>
                <a:pPr>
                  <a:defRPr/>
                </a:pPr>
                <a:r>
                  <a:rPr lang="en-AU"/>
                  <a:t>Year</a:t>
                </a:r>
              </a:p>
            </c:rich>
          </c:tx>
          <c:layout>
            <c:manualLayout>
              <c:xMode val="edge"/>
              <c:yMode val="edge"/>
              <c:x val="0.51062872235472767"/>
              <c:y val="0.91979925927422734"/>
            </c:manualLayout>
          </c:layout>
          <c:overlay val="0"/>
        </c:title>
        <c:numFmt formatCode="General" sourceLinked="0"/>
        <c:majorTickMark val="out"/>
        <c:minorTickMark val="none"/>
        <c:tickLblPos val="nextTo"/>
        <c:crossAx val="35492992"/>
        <c:crosses val="autoZero"/>
        <c:auto val="1"/>
        <c:lblAlgn val="ctr"/>
        <c:lblOffset val="100"/>
        <c:noMultiLvlLbl val="0"/>
      </c:catAx>
      <c:valAx>
        <c:axId val="35492992"/>
        <c:scaling>
          <c:orientation val="minMax"/>
        </c:scaling>
        <c:delete val="0"/>
        <c:axPos val="l"/>
        <c:majorGridlines>
          <c:spPr>
            <a:ln>
              <a:solidFill>
                <a:schemeClr val="bg1">
                  <a:lumMod val="75000"/>
                </a:schemeClr>
              </a:solidFill>
              <a:prstDash val="solid"/>
            </a:ln>
          </c:spPr>
        </c:majorGridlines>
        <c:title>
          <c:tx>
            <c:rich>
              <a:bodyPr rot="-5400000" vert="horz"/>
              <a:lstStyle/>
              <a:p>
                <a:pPr>
                  <a:defRPr/>
                </a:pPr>
                <a:r>
                  <a:rPr lang="en-AU"/>
                  <a:t>$ million </a:t>
                </a:r>
              </a:p>
            </c:rich>
          </c:tx>
          <c:layout>
            <c:manualLayout>
              <c:xMode val="edge"/>
              <c:yMode val="edge"/>
              <c:x val="1.5219240955336921E-2"/>
              <c:y val="0.30493294541294469"/>
            </c:manualLayout>
          </c:layout>
          <c:overlay val="0"/>
        </c:title>
        <c:numFmt formatCode="#\ ##0" sourceLinked="0"/>
        <c:majorTickMark val="out"/>
        <c:minorTickMark val="none"/>
        <c:tickLblPos val="nextTo"/>
        <c:crossAx val="513551360"/>
        <c:crosses val="autoZero"/>
        <c:crossBetween val="between"/>
      </c:valAx>
      <c:spPr>
        <a:solidFill>
          <a:srgbClr val="ECECEC"/>
        </a:solidFill>
      </c:spPr>
    </c:plotArea>
    <c:plotVisOnly val="1"/>
    <c:dispBlanksAs val="gap"/>
    <c:showDLblsOverMax val="0"/>
  </c:chart>
  <c:spPr>
    <a:ln>
      <a:noFill/>
    </a:ln>
  </c:spPr>
  <c:txPr>
    <a:bodyPr/>
    <a:lstStyle/>
    <a:p>
      <a:pPr>
        <a:defRPr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03557274712975"/>
          <c:y val="5.0321144747515277E-2"/>
          <c:w val="0.83573362662363493"/>
          <c:h val="0.76055187822768511"/>
        </c:manualLayout>
      </c:layout>
      <c:lineChart>
        <c:grouping val="standard"/>
        <c:varyColors val="0"/>
        <c:ser>
          <c:idx val="0"/>
          <c:order val="0"/>
          <c:spPr>
            <a:ln w="19050">
              <a:solidFill>
                <a:srgbClr val="626262"/>
              </a:solidFill>
            </a:ln>
          </c:spPr>
          <c:marker>
            <c:symbol val="diamond"/>
            <c:size val="3"/>
            <c:spPr>
              <a:solidFill>
                <a:srgbClr val="626262"/>
              </a:solidFill>
              <a:ln w="19050">
                <a:solidFill>
                  <a:srgbClr val="626262"/>
                </a:solidFill>
              </a:ln>
            </c:spPr>
          </c:marker>
          <c:cat>
            <c:strRef>
              <c:f>'CommsData Annual report'!$A$28:$A$31</c:f>
              <c:strCache>
                <c:ptCount val="4"/>
                <c:pt idx="0">
                  <c:v>2014-15</c:v>
                </c:pt>
                <c:pt idx="1">
                  <c:v>2015-16</c:v>
                </c:pt>
                <c:pt idx="2">
                  <c:v>2016-17</c:v>
                </c:pt>
                <c:pt idx="3">
                  <c:v>2017-18</c:v>
                </c:pt>
              </c:strCache>
            </c:strRef>
          </c:cat>
          <c:val>
            <c:numRef>
              <c:f>'CommsData Annual report'!$B$28:$B$31</c:f>
              <c:numCache>
                <c:formatCode>0.0</c:formatCode>
                <c:ptCount val="4"/>
                <c:pt idx="0">
                  <c:v>6</c:v>
                </c:pt>
                <c:pt idx="1">
                  <c:v>5.8</c:v>
                </c:pt>
                <c:pt idx="2">
                  <c:v>3.9</c:v>
                </c:pt>
                <c:pt idx="3">
                  <c:v>4.7</c:v>
                </c:pt>
              </c:numCache>
            </c:numRef>
          </c:val>
          <c:smooth val="0"/>
          <c:extLst>
            <c:ext xmlns:c16="http://schemas.microsoft.com/office/drawing/2014/chart" uri="{C3380CC4-5D6E-409C-BE32-E72D297353CC}">
              <c16:uniqueId val="{00000000-5180-49DE-919D-08FC8230BD1F}"/>
            </c:ext>
          </c:extLst>
        </c:ser>
        <c:dLbls>
          <c:showLegendKey val="0"/>
          <c:showVal val="0"/>
          <c:showCatName val="0"/>
          <c:showSerName val="0"/>
          <c:showPercent val="0"/>
          <c:showBubbleSize val="0"/>
        </c:dLbls>
        <c:marker val="1"/>
        <c:smooth val="0"/>
        <c:axId val="544428416"/>
        <c:axId val="544430720"/>
      </c:lineChart>
      <c:catAx>
        <c:axId val="544428416"/>
        <c:scaling>
          <c:orientation val="minMax"/>
        </c:scaling>
        <c:delete val="0"/>
        <c:axPos val="b"/>
        <c:title>
          <c:tx>
            <c:rich>
              <a:bodyPr/>
              <a:lstStyle/>
              <a:p>
                <a:pPr>
                  <a:defRPr/>
                </a:pPr>
                <a:r>
                  <a:rPr lang="en-AU"/>
                  <a:t>Year</a:t>
                </a:r>
              </a:p>
            </c:rich>
          </c:tx>
          <c:layout>
            <c:manualLayout>
              <c:xMode val="edge"/>
              <c:yMode val="edge"/>
              <c:x val="0.51062872235472767"/>
              <c:y val="0.91979925927422734"/>
            </c:manualLayout>
          </c:layout>
          <c:overlay val="0"/>
        </c:title>
        <c:numFmt formatCode="General" sourceLinked="0"/>
        <c:majorTickMark val="out"/>
        <c:minorTickMark val="none"/>
        <c:tickLblPos val="nextTo"/>
        <c:crossAx val="544430720"/>
        <c:crossesAt val="0"/>
        <c:auto val="1"/>
        <c:lblAlgn val="ctr"/>
        <c:lblOffset val="100"/>
        <c:noMultiLvlLbl val="0"/>
      </c:catAx>
      <c:valAx>
        <c:axId val="544430720"/>
        <c:scaling>
          <c:orientation val="minMax"/>
          <c:min val="1"/>
        </c:scaling>
        <c:delete val="0"/>
        <c:axPos val="l"/>
        <c:majorGridlines>
          <c:spPr>
            <a:ln>
              <a:solidFill>
                <a:schemeClr val="bg1">
                  <a:lumMod val="75000"/>
                </a:schemeClr>
              </a:solidFill>
              <a:prstDash val="solid"/>
            </a:ln>
          </c:spPr>
        </c:majorGridlines>
        <c:title>
          <c:tx>
            <c:rich>
              <a:bodyPr rot="-5400000" vert="horz"/>
              <a:lstStyle/>
              <a:p>
                <a:pPr>
                  <a:defRPr/>
                </a:pPr>
                <a:r>
                  <a:rPr lang="en-AU"/>
                  <a:t>per cent</a:t>
                </a:r>
              </a:p>
            </c:rich>
          </c:tx>
          <c:layout>
            <c:manualLayout>
              <c:xMode val="edge"/>
              <c:yMode val="edge"/>
              <c:x val="1.5219240955336921E-2"/>
              <c:y val="0.30493294541294469"/>
            </c:manualLayout>
          </c:layout>
          <c:overlay val="0"/>
        </c:title>
        <c:numFmt formatCode="#,##0" sourceLinked="0"/>
        <c:majorTickMark val="out"/>
        <c:minorTickMark val="none"/>
        <c:tickLblPos val="nextTo"/>
        <c:crossAx val="544428416"/>
        <c:crosses val="autoZero"/>
        <c:crossBetween val="between"/>
      </c:valAx>
      <c:spPr>
        <a:solidFill>
          <a:srgbClr val="ECECEC"/>
        </a:solidFill>
      </c:spPr>
    </c:plotArea>
    <c:plotVisOnly val="1"/>
    <c:dispBlanksAs val="gap"/>
    <c:showDLblsOverMax val="0"/>
  </c:chart>
  <c:spPr>
    <a:ln>
      <a:noFill/>
    </a:ln>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AU" sz="800"/>
              <a:t>Number of major capital projects monitored by DTF</a:t>
            </a:r>
          </a:p>
        </c:rich>
      </c:tx>
      <c:overlay val="1"/>
    </c:title>
    <c:autoTitleDeleted val="0"/>
    <c:plotArea>
      <c:layout>
        <c:manualLayout>
          <c:layoutTarget val="inner"/>
          <c:xMode val="edge"/>
          <c:yMode val="edge"/>
          <c:x val="7.6778354285830741E-2"/>
          <c:y val="0.22386911216936206"/>
          <c:w val="0.89780280804465273"/>
          <c:h val="0.68879500840838015"/>
        </c:manualLayout>
      </c:layout>
      <c:barChart>
        <c:barDir val="col"/>
        <c:grouping val="stacked"/>
        <c:varyColors val="0"/>
        <c:ser>
          <c:idx val="0"/>
          <c:order val="0"/>
          <c:spPr>
            <a:solidFill>
              <a:schemeClr val="bg1">
                <a:lumMod val="65000"/>
              </a:schemeClr>
            </a:solidFill>
          </c:spPr>
          <c:invertIfNegative val="0"/>
          <c:dLbls>
            <c:dLbl>
              <c:idx val="0"/>
              <c:layout>
                <c:manualLayout>
                  <c:x val="2.7166873634697592E-3"/>
                  <c:y val="-0.319114185892560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75-47FC-82A6-057E8DFE17A8}"/>
                </c:ext>
              </c:extLst>
            </c:dLbl>
            <c:dLbl>
              <c:idx val="1"/>
              <c:layout>
                <c:manualLayout>
                  <c:x val="0"/>
                  <c:y val="-0.3230766864432275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75-47FC-82A6-057E8DFE17A8}"/>
                </c:ext>
              </c:extLst>
            </c:dLbl>
            <c:dLbl>
              <c:idx val="2"/>
              <c:layout>
                <c:manualLayout>
                  <c:x val="0"/>
                  <c:y val="-0.326185251054915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75-47FC-82A6-057E8DFE17A8}"/>
                </c:ext>
              </c:extLst>
            </c:dLbl>
            <c:dLbl>
              <c:idx val="3"/>
              <c:layout>
                <c:manualLayout>
                  <c:x val="-1.481580980485245E-3"/>
                  <c:y val="-0.3233209605996474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75-47FC-82A6-057E8DFE17A8}"/>
                </c:ext>
              </c:extLst>
            </c:dLbl>
            <c:dLbl>
              <c:idx val="4"/>
              <c:layout>
                <c:manualLayout>
                  <c:x val="0"/>
                  <c:y val="-0.353000661651877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75-47FC-82A6-057E8DFE17A8}"/>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'CommsData Annual report'!$A$33:$A$37</c:f>
              <c:strCache>
                <c:ptCount val="5"/>
                <c:pt idx="0">
                  <c:v>Jun 13-14</c:v>
                </c:pt>
                <c:pt idx="1">
                  <c:v>Jun 14-15</c:v>
                </c:pt>
                <c:pt idx="2">
                  <c:v>Jun 15-16</c:v>
                </c:pt>
                <c:pt idx="3">
                  <c:v>Jun 16-17</c:v>
                </c:pt>
                <c:pt idx="4">
                  <c:v>Jun 17-18</c:v>
                </c:pt>
              </c:strCache>
            </c:strRef>
          </c:cat>
          <c:val>
            <c:numRef>
              <c:f>'CommsData Annual report'!$B$33:$B$37</c:f>
              <c:numCache>
                <c:formatCode>General</c:formatCode>
                <c:ptCount val="5"/>
                <c:pt idx="0">
                  <c:v>42</c:v>
                </c:pt>
                <c:pt idx="1">
                  <c:v>40</c:v>
                </c:pt>
                <c:pt idx="2">
                  <c:v>42</c:v>
                </c:pt>
                <c:pt idx="3">
                  <c:v>45</c:v>
                </c:pt>
                <c:pt idx="4">
                  <c:v>55</c:v>
                </c:pt>
              </c:numCache>
            </c:numRef>
          </c:val>
          <c:extLst>
            <c:ext xmlns:c16="http://schemas.microsoft.com/office/drawing/2014/chart" uri="{C3380CC4-5D6E-409C-BE32-E72D297353CC}">
              <c16:uniqueId val="{00000005-2475-47FC-82A6-057E8DFE17A8}"/>
            </c:ext>
          </c:extLst>
        </c:ser>
        <c:dLbls>
          <c:showLegendKey val="0"/>
          <c:showVal val="0"/>
          <c:showCatName val="0"/>
          <c:showSerName val="0"/>
          <c:showPercent val="0"/>
          <c:showBubbleSize val="0"/>
        </c:dLbls>
        <c:gapWidth val="150"/>
        <c:overlap val="100"/>
        <c:axId val="544450048"/>
        <c:axId val="544451584"/>
      </c:barChart>
      <c:catAx>
        <c:axId val="544450048"/>
        <c:scaling>
          <c:orientation val="minMax"/>
        </c:scaling>
        <c:delete val="0"/>
        <c:axPos val="b"/>
        <c:numFmt formatCode="General" sourceLinked="0"/>
        <c:majorTickMark val="out"/>
        <c:minorTickMark val="none"/>
        <c:tickLblPos val="nextTo"/>
        <c:crossAx val="544451584"/>
        <c:crosses val="autoZero"/>
        <c:auto val="1"/>
        <c:lblAlgn val="ctr"/>
        <c:lblOffset val="100"/>
        <c:noMultiLvlLbl val="0"/>
      </c:catAx>
      <c:valAx>
        <c:axId val="544451584"/>
        <c:scaling>
          <c:orientation val="minMax"/>
          <c:max val="60"/>
          <c:min val="0"/>
        </c:scaling>
        <c:delete val="0"/>
        <c:axPos val="l"/>
        <c:majorGridlines>
          <c:spPr>
            <a:ln>
              <a:solidFill>
                <a:schemeClr val="bg1">
                  <a:lumMod val="75000"/>
                </a:schemeClr>
              </a:solidFill>
              <a:prstDash val="dash"/>
            </a:ln>
          </c:spPr>
        </c:majorGridlines>
        <c:numFmt formatCode="General" sourceLinked="1"/>
        <c:majorTickMark val="out"/>
        <c:minorTickMark val="none"/>
        <c:tickLblPos val="nextTo"/>
        <c:crossAx val="544450048"/>
        <c:crosses val="autoZero"/>
        <c:crossBetween val="between"/>
        <c:majorUnit val="5"/>
      </c:valAx>
      <c:spPr>
        <a:solidFill>
          <a:schemeClr val="bg1"/>
        </a:solidFill>
      </c:spPr>
    </c:plotArea>
    <c:plotVisOnly val="1"/>
    <c:dispBlanksAs val="gap"/>
    <c:showDLblsOverMax val="0"/>
  </c:chart>
  <c:spPr>
    <a:ln>
      <a:noFill/>
    </a:ln>
  </c:spPr>
  <c:txPr>
    <a:bodyPr/>
    <a:lstStyle/>
    <a:p>
      <a:pPr>
        <a:defRPr sz="65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b="1"/>
            </a:pPr>
            <a:r>
              <a:rPr lang="en-AU" b="1"/>
              <a:t>DTF annual energy use per unit of office area</a:t>
            </a:r>
          </a:p>
        </c:rich>
      </c:tx>
      <c:layout>
        <c:manualLayout>
          <c:xMode val="edge"/>
          <c:yMode val="edge"/>
          <c:x val="0.23394251394251392"/>
          <c:y val="2.0529819559357107E-2"/>
        </c:manualLayout>
      </c:layout>
      <c:overlay val="0"/>
      <c:spPr>
        <a:noFill/>
        <a:ln w="25400">
          <a:noFill/>
        </a:ln>
      </c:spPr>
    </c:title>
    <c:autoTitleDeleted val="0"/>
    <c:plotArea>
      <c:layout>
        <c:manualLayout>
          <c:layoutTarget val="inner"/>
          <c:xMode val="edge"/>
          <c:yMode val="edge"/>
          <c:x val="0.12893720918427318"/>
          <c:y val="0.11841151835715967"/>
          <c:w val="0.85800587628722269"/>
          <c:h val="0.81196548400993018"/>
        </c:manualLayout>
      </c:layout>
      <c:lineChart>
        <c:grouping val="standard"/>
        <c:varyColors val="0"/>
        <c:ser>
          <c:idx val="0"/>
          <c:order val="0"/>
          <c:tx>
            <c:strRef>
              <c:f>data!$C$8</c:f>
              <c:strCache>
                <c:ptCount val="1"/>
                <c:pt idx="0">
                  <c:v>MJ/FTE</c:v>
                </c:pt>
              </c:strCache>
            </c:strRef>
          </c:tx>
          <c:spPr>
            <a:ln w="12700">
              <a:solidFill>
                <a:srgbClr val="808080"/>
              </a:solidFill>
              <a:prstDash val="solid"/>
            </a:ln>
          </c:spPr>
          <c:marker>
            <c:symbol val="diamond"/>
            <c:size val="3"/>
            <c:spPr>
              <a:solidFill>
                <a:srgbClr val="808080"/>
              </a:solidFill>
              <a:ln w="12700">
                <a:solidFill>
                  <a:srgbClr val="808080"/>
                </a:solidFill>
                <a:prstDash val="solid"/>
              </a:ln>
            </c:spPr>
          </c:marker>
          <c:trendline>
            <c:name>Trend</c:name>
            <c:spPr>
              <a:ln w="12700">
                <a:solidFill>
                  <a:srgbClr val="000000"/>
                </a:solidFill>
              </a:ln>
            </c:spPr>
            <c:trendlineType val="linear"/>
            <c:dispRSqr val="0"/>
            <c:dispEq val="0"/>
          </c:trendline>
          <c:cat>
            <c:strRef>
              <c:f>data!$J$2:$P$2</c:f>
              <c:strCache>
                <c:ptCount val="7"/>
                <c:pt idx="0">
                  <c:v>2011-12</c:v>
                </c:pt>
                <c:pt idx="1">
                  <c:v>2012-13</c:v>
                </c:pt>
                <c:pt idx="2">
                  <c:v>2013-14</c:v>
                </c:pt>
                <c:pt idx="3">
                  <c:v>2014-15</c:v>
                </c:pt>
                <c:pt idx="4">
                  <c:v>2015-16</c:v>
                </c:pt>
                <c:pt idx="5">
                  <c:v>2016-17</c:v>
                </c:pt>
                <c:pt idx="6">
                  <c:v>2017-18</c:v>
                </c:pt>
              </c:strCache>
            </c:strRef>
          </c:cat>
          <c:val>
            <c:numRef>
              <c:f>data!$J$7:$P$7</c:f>
              <c:numCache>
                <c:formatCode>General</c:formatCode>
                <c:ptCount val="7"/>
                <c:pt idx="0">
                  <c:v>307</c:v>
                </c:pt>
                <c:pt idx="1">
                  <c:v>317</c:v>
                </c:pt>
                <c:pt idx="2">
                  <c:v>203</c:v>
                </c:pt>
                <c:pt idx="3">
                  <c:v>201</c:v>
                </c:pt>
                <c:pt idx="4">
                  <c:v>193</c:v>
                </c:pt>
                <c:pt idx="5">
                  <c:v>192</c:v>
                </c:pt>
                <c:pt idx="6">
                  <c:v>192</c:v>
                </c:pt>
              </c:numCache>
            </c:numRef>
          </c:val>
          <c:smooth val="0"/>
          <c:extLst>
            <c:ext xmlns:c16="http://schemas.microsoft.com/office/drawing/2014/chart" uri="{C3380CC4-5D6E-409C-BE32-E72D297353CC}">
              <c16:uniqueId val="{00000001-FE5E-43BD-8EAC-60A854470B53}"/>
            </c:ext>
          </c:extLst>
        </c:ser>
        <c:dLbls>
          <c:showLegendKey val="0"/>
          <c:showVal val="0"/>
          <c:showCatName val="0"/>
          <c:showSerName val="0"/>
          <c:showPercent val="0"/>
          <c:showBubbleSize val="0"/>
        </c:dLbls>
        <c:marker val="1"/>
        <c:smooth val="0"/>
        <c:axId val="558515712"/>
        <c:axId val="558517248"/>
      </c:lineChart>
      <c:catAx>
        <c:axId val="558515712"/>
        <c:scaling>
          <c:orientation val="minMax"/>
        </c:scaling>
        <c:delete val="0"/>
        <c:axPos val="b"/>
        <c:numFmt formatCode="General" sourceLinked="1"/>
        <c:majorTickMark val="out"/>
        <c:minorTickMark val="none"/>
        <c:tickLblPos val="nextTo"/>
        <c:txPr>
          <a:bodyPr rot="0" vert="horz"/>
          <a:lstStyle/>
          <a:p>
            <a:pPr>
              <a:defRPr/>
            </a:pPr>
            <a:endParaRPr lang="en-US"/>
          </a:p>
        </c:txPr>
        <c:crossAx val="558517248"/>
        <c:crosses val="autoZero"/>
        <c:auto val="1"/>
        <c:lblAlgn val="ctr"/>
        <c:lblOffset val="100"/>
        <c:noMultiLvlLbl val="0"/>
      </c:catAx>
      <c:valAx>
        <c:axId val="558517248"/>
        <c:scaling>
          <c:orientation val="minMax"/>
          <c:max val="400"/>
          <c:min val="150"/>
        </c:scaling>
        <c:delete val="0"/>
        <c:axPos val="l"/>
        <c:majorGridlines/>
        <c:title>
          <c:tx>
            <c:rich>
              <a:bodyPr/>
              <a:lstStyle/>
              <a:p>
                <a:pPr>
                  <a:defRPr b="1"/>
                </a:pPr>
                <a:r>
                  <a:rPr lang="en-AU" b="1"/>
                  <a:t>MJ/M2</a:t>
                </a:r>
              </a:p>
            </c:rich>
          </c:tx>
          <c:layout>
            <c:manualLayout>
              <c:xMode val="edge"/>
              <c:yMode val="edge"/>
              <c:x val="8.0991473577347196E-3"/>
              <c:y val="0.43804582054361851"/>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558515712"/>
        <c:crosses val="autoZero"/>
        <c:crossBetween val="between"/>
        <c:majorUnit val="25"/>
      </c:valAx>
      <c:spPr>
        <a:solidFill>
          <a:schemeClr val="bg1">
            <a:lumMod val="95000"/>
          </a:schemeClr>
        </a:solidFill>
        <a:ln w="25400">
          <a:noFill/>
        </a:ln>
      </c:spPr>
    </c:plotArea>
    <c:legend>
      <c:legendPos val="r"/>
      <c:layout>
        <c:manualLayout>
          <c:xMode val="edge"/>
          <c:yMode val="edge"/>
          <c:x val="0.56998960573476698"/>
          <c:y val="0.1302812529144517"/>
          <c:w val="0.40541541218637994"/>
          <c:h val="6.883242137105744E-2"/>
        </c:manualLayout>
      </c:layout>
      <c:overlay val="0"/>
    </c:legend>
    <c:plotVisOnly val="1"/>
    <c:dispBlanksAs val="gap"/>
    <c:showDLblsOverMax val="0"/>
  </c:chart>
  <c:spPr>
    <a:solidFill>
      <a:sysClr val="window" lastClr="FFFFFF"/>
    </a:solidFill>
    <a:ln w="9525">
      <a:noFill/>
    </a:ln>
  </c:spPr>
  <c:txPr>
    <a:bodyPr/>
    <a:lstStyle/>
    <a:p>
      <a:pPr>
        <a:defRPr sz="500" b="0" i="0" u="none" strike="noStrike" baseline="0">
          <a:solidFill>
            <a:srgbClr val="000000"/>
          </a:solidFill>
          <a:latin typeface="+mn-lt"/>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AU"/>
              <a:t>DTF annual paper use</a:t>
            </a:r>
          </a:p>
        </c:rich>
      </c:tx>
      <c:layout>
        <c:manualLayout>
          <c:xMode val="edge"/>
          <c:yMode val="edge"/>
          <c:x val="0.3659960072558498"/>
          <c:y val="1.6066189695831169E-2"/>
        </c:manualLayout>
      </c:layout>
      <c:overlay val="0"/>
    </c:title>
    <c:autoTitleDeleted val="0"/>
    <c:plotArea>
      <c:layout>
        <c:manualLayout>
          <c:layoutTarget val="inner"/>
          <c:xMode val="edge"/>
          <c:yMode val="edge"/>
          <c:x val="0.14854251326692272"/>
          <c:y val="9.7240053115188019E-2"/>
          <c:w val="0.83319368862675947"/>
          <c:h val="0.82772150943061051"/>
        </c:manualLayout>
      </c:layout>
      <c:lineChart>
        <c:grouping val="standard"/>
        <c:varyColors val="0"/>
        <c:ser>
          <c:idx val="0"/>
          <c:order val="0"/>
          <c:tx>
            <c:v>Paper</c:v>
          </c:tx>
          <c:spPr>
            <a:ln w="12700">
              <a:solidFill>
                <a:srgbClr val="808080"/>
              </a:solidFill>
            </a:ln>
          </c:spPr>
          <c:marker>
            <c:symbol val="diamond"/>
            <c:size val="3"/>
            <c:spPr>
              <a:solidFill>
                <a:srgbClr val="808080"/>
              </a:solidFill>
              <a:ln w="12700">
                <a:solidFill>
                  <a:srgbClr val="808080"/>
                </a:solidFill>
              </a:ln>
            </c:spPr>
          </c:marker>
          <c:trendline>
            <c:name>Trend</c:name>
            <c:spPr>
              <a:ln w="12700">
                <a:solidFill>
                  <a:srgbClr val="000000"/>
                </a:solidFill>
              </a:ln>
            </c:spPr>
            <c:trendlineType val="linear"/>
            <c:dispRSqr val="0"/>
            <c:dispEq val="0"/>
          </c:trendline>
          <c:cat>
            <c:strRef>
              <c:f>data!$J$17:$P$17</c:f>
              <c:strCache>
                <c:ptCount val="7"/>
                <c:pt idx="0">
                  <c:v>2011-12</c:v>
                </c:pt>
                <c:pt idx="1">
                  <c:v>2012-13</c:v>
                </c:pt>
                <c:pt idx="2">
                  <c:v>2013-14</c:v>
                </c:pt>
                <c:pt idx="3">
                  <c:v>2014-15</c:v>
                </c:pt>
                <c:pt idx="4">
                  <c:v>2015-16</c:v>
                </c:pt>
                <c:pt idx="5">
                  <c:v>2016-17</c:v>
                </c:pt>
                <c:pt idx="6">
                  <c:v>2017-18</c:v>
                </c:pt>
              </c:strCache>
            </c:strRef>
          </c:cat>
          <c:val>
            <c:numRef>
              <c:f>data!$J$18:$P$18</c:f>
              <c:numCache>
                <c:formatCode>General</c:formatCode>
                <c:ptCount val="7"/>
                <c:pt idx="0">
                  <c:v>10747</c:v>
                </c:pt>
                <c:pt idx="1">
                  <c:v>8387</c:v>
                </c:pt>
                <c:pt idx="2">
                  <c:v>6609</c:v>
                </c:pt>
                <c:pt idx="3">
                  <c:v>5258</c:v>
                </c:pt>
                <c:pt idx="4">
                  <c:v>5826</c:v>
                </c:pt>
                <c:pt idx="5">
                  <c:v>7347</c:v>
                </c:pt>
                <c:pt idx="6">
                  <c:v>7291</c:v>
                </c:pt>
              </c:numCache>
            </c:numRef>
          </c:val>
          <c:smooth val="0"/>
          <c:extLst>
            <c:ext xmlns:c16="http://schemas.microsoft.com/office/drawing/2014/chart" uri="{C3380CC4-5D6E-409C-BE32-E72D297353CC}">
              <c16:uniqueId val="{00000001-6AA1-4869-82EE-BF6F1ADC2AB6}"/>
            </c:ext>
          </c:extLst>
        </c:ser>
        <c:dLbls>
          <c:showLegendKey val="0"/>
          <c:showVal val="0"/>
          <c:showCatName val="0"/>
          <c:showSerName val="0"/>
          <c:showPercent val="0"/>
          <c:showBubbleSize val="0"/>
        </c:dLbls>
        <c:marker val="1"/>
        <c:smooth val="0"/>
        <c:axId val="558543616"/>
        <c:axId val="558545152"/>
      </c:lineChart>
      <c:catAx>
        <c:axId val="558543616"/>
        <c:scaling>
          <c:orientation val="minMax"/>
        </c:scaling>
        <c:delete val="0"/>
        <c:axPos val="b"/>
        <c:numFmt formatCode="General" sourceLinked="1"/>
        <c:majorTickMark val="out"/>
        <c:minorTickMark val="none"/>
        <c:tickLblPos val="nextTo"/>
        <c:txPr>
          <a:bodyPr rot="0" vert="horz"/>
          <a:lstStyle/>
          <a:p>
            <a:pPr>
              <a:defRPr/>
            </a:pPr>
            <a:endParaRPr lang="en-US"/>
          </a:p>
        </c:txPr>
        <c:crossAx val="558545152"/>
        <c:crosses val="autoZero"/>
        <c:auto val="1"/>
        <c:lblAlgn val="ctr"/>
        <c:lblOffset val="100"/>
        <c:tickLblSkip val="1"/>
        <c:tickMarkSkip val="1"/>
        <c:noMultiLvlLbl val="0"/>
      </c:catAx>
      <c:valAx>
        <c:axId val="558545152"/>
        <c:scaling>
          <c:orientation val="minMax"/>
          <c:max val="13000"/>
          <c:min val="5000"/>
        </c:scaling>
        <c:delete val="0"/>
        <c:axPos val="l"/>
        <c:majorGridlines/>
        <c:title>
          <c:tx>
            <c:rich>
              <a:bodyPr/>
              <a:lstStyle/>
              <a:p>
                <a:pPr>
                  <a:defRPr/>
                </a:pPr>
                <a:r>
                  <a:rPr lang="en-AU"/>
                  <a:t>reams per year</a:t>
                </a:r>
              </a:p>
            </c:rich>
          </c:tx>
          <c:layout>
            <c:manualLayout>
              <c:xMode val="edge"/>
              <c:yMode val="edge"/>
              <c:x val="6.6032697329908869E-3"/>
              <c:y val="0.37575052438908207"/>
            </c:manualLayout>
          </c:layout>
          <c:overlay val="0"/>
        </c:title>
        <c:numFmt formatCode="#\ ##0" sourceLinked="0"/>
        <c:majorTickMark val="out"/>
        <c:minorTickMark val="none"/>
        <c:tickLblPos val="nextTo"/>
        <c:txPr>
          <a:bodyPr rot="0" vert="horz"/>
          <a:lstStyle/>
          <a:p>
            <a:pPr>
              <a:defRPr/>
            </a:pPr>
            <a:endParaRPr lang="en-US"/>
          </a:p>
        </c:txPr>
        <c:crossAx val="558543616"/>
        <c:crosses val="autoZero"/>
        <c:crossBetween val="between"/>
        <c:majorUnit val="1000"/>
      </c:valAx>
      <c:spPr>
        <a:solidFill>
          <a:schemeClr val="bg1">
            <a:lumMod val="95000"/>
          </a:schemeClr>
        </a:solidFill>
      </c:spPr>
    </c:plotArea>
    <c:legend>
      <c:legendPos val="r"/>
      <c:layout>
        <c:manualLayout>
          <c:xMode val="edge"/>
          <c:yMode val="edge"/>
          <c:x val="0.58554587813620074"/>
          <c:y val="0.12752262661274794"/>
          <c:w val="0.36159689205798545"/>
          <c:h val="6.0716121307343718E-2"/>
        </c:manualLayout>
      </c:layout>
      <c:overlay val="0"/>
    </c:legend>
    <c:plotVisOnly val="1"/>
    <c:dispBlanksAs val="gap"/>
    <c:showDLblsOverMax val="0"/>
  </c:chart>
  <c:spPr>
    <a:ln>
      <a:noFill/>
    </a:ln>
  </c:spPr>
  <c:txPr>
    <a:bodyPr/>
    <a:lstStyle/>
    <a:p>
      <a:pPr>
        <a:defRPr sz="5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b="1"/>
            </a:pPr>
            <a:r>
              <a:rPr lang="en-AU" b="1"/>
              <a:t>DTF annual car travel from operations</a:t>
            </a:r>
          </a:p>
        </c:rich>
      </c:tx>
      <c:layout>
        <c:manualLayout>
          <c:xMode val="edge"/>
          <c:yMode val="edge"/>
          <c:x val="0.2719433043842493"/>
          <c:y val="1.7419294669384602E-2"/>
        </c:manualLayout>
      </c:layout>
      <c:overlay val="0"/>
      <c:spPr>
        <a:noFill/>
        <a:ln w="25400">
          <a:noFill/>
        </a:ln>
      </c:spPr>
    </c:title>
    <c:autoTitleDeleted val="0"/>
    <c:plotArea>
      <c:layout>
        <c:manualLayout>
          <c:layoutTarget val="inner"/>
          <c:xMode val="edge"/>
          <c:yMode val="edge"/>
          <c:x val="0.14802903225806452"/>
          <c:y val="0.10313885891167157"/>
          <c:w val="0.83362078853046595"/>
          <c:h val="0.82495774322625914"/>
        </c:manualLayout>
      </c:layout>
      <c:lineChart>
        <c:grouping val="standard"/>
        <c:varyColors val="0"/>
        <c:ser>
          <c:idx val="0"/>
          <c:order val="0"/>
          <c:tx>
            <c:v>kms per year</c:v>
          </c:tx>
          <c:spPr>
            <a:ln w="12700">
              <a:solidFill>
                <a:srgbClr val="969696"/>
              </a:solidFill>
              <a:prstDash val="solid"/>
            </a:ln>
          </c:spPr>
          <c:marker>
            <c:symbol val="diamond"/>
            <c:size val="3"/>
            <c:spPr>
              <a:solidFill>
                <a:srgbClr val="808080"/>
              </a:solidFill>
              <a:ln w="12700">
                <a:solidFill>
                  <a:srgbClr val="808080"/>
                </a:solidFill>
                <a:prstDash val="solid"/>
              </a:ln>
            </c:spPr>
          </c:marker>
          <c:trendline>
            <c:spPr>
              <a:ln w="12700"/>
            </c:spPr>
            <c:trendlineType val="linear"/>
            <c:dispRSqr val="0"/>
            <c:dispEq val="0"/>
          </c:trendline>
          <c:cat>
            <c:strRef>
              <c:f>data!$J$26:$P$26</c:f>
              <c:strCache>
                <c:ptCount val="7"/>
                <c:pt idx="0">
                  <c:v>2011-12</c:v>
                </c:pt>
                <c:pt idx="1">
                  <c:v>2012-13</c:v>
                </c:pt>
                <c:pt idx="2">
                  <c:v>2013-14</c:v>
                </c:pt>
                <c:pt idx="3">
                  <c:v>2014-15</c:v>
                </c:pt>
                <c:pt idx="4">
                  <c:v>2015-16</c:v>
                </c:pt>
                <c:pt idx="5">
                  <c:v>2016-17</c:v>
                </c:pt>
                <c:pt idx="6">
                  <c:v>2017-18</c:v>
                </c:pt>
              </c:strCache>
            </c:strRef>
          </c:cat>
          <c:val>
            <c:numRef>
              <c:f>data!$J$28:$P$28</c:f>
              <c:numCache>
                <c:formatCode>General</c:formatCode>
                <c:ptCount val="7"/>
                <c:pt idx="0">
                  <c:v>57956</c:v>
                </c:pt>
                <c:pt idx="1">
                  <c:v>52434</c:v>
                </c:pt>
                <c:pt idx="2">
                  <c:v>48624</c:v>
                </c:pt>
                <c:pt idx="3">
                  <c:v>28277</c:v>
                </c:pt>
                <c:pt idx="4">
                  <c:v>21609</c:v>
                </c:pt>
                <c:pt idx="5">
                  <c:v>35126</c:v>
                </c:pt>
                <c:pt idx="6">
                  <c:v>19912</c:v>
                </c:pt>
              </c:numCache>
            </c:numRef>
          </c:val>
          <c:smooth val="0"/>
          <c:extLst>
            <c:ext xmlns:c16="http://schemas.microsoft.com/office/drawing/2014/chart" uri="{C3380CC4-5D6E-409C-BE32-E72D297353CC}">
              <c16:uniqueId val="{00000001-8751-4941-A53C-EE17B1807B5E}"/>
            </c:ext>
          </c:extLst>
        </c:ser>
        <c:dLbls>
          <c:showLegendKey val="0"/>
          <c:showVal val="0"/>
          <c:showCatName val="0"/>
          <c:showSerName val="0"/>
          <c:showPercent val="0"/>
          <c:showBubbleSize val="0"/>
        </c:dLbls>
        <c:marker val="1"/>
        <c:smooth val="0"/>
        <c:axId val="561659904"/>
        <c:axId val="561661440"/>
      </c:lineChart>
      <c:catAx>
        <c:axId val="561659904"/>
        <c:scaling>
          <c:orientation val="minMax"/>
        </c:scaling>
        <c:delete val="0"/>
        <c:axPos val="b"/>
        <c:numFmt formatCode="General" sourceLinked="1"/>
        <c:majorTickMark val="out"/>
        <c:minorTickMark val="none"/>
        <c:tickLblPos val="nextTo"/>
        <c:txPr>
          <a:bodyPr rot="0" vert="horz"/>
          <a:lstStyle/>
          <a:p>
            <a:pPr>
              <a:defRPr/>
            </a:pPr>
            <a:endParaRPr lang="en-US"/>
          </a:p>
        </c:txPr>
        <c:crossAx val="561661440"/>
        <c:crosses val="autoZero"/>
        <c:auto val="1"/>
        <c:lblAlgn val="ctr"/>
        <c:lblOffset val="100"/>
        <c:tickLblSkip val="1"/>
        <c:tickMarkSkip val="1"/>
        <c:noMultiLvlLbl val="0"/>
      </c:catAx>
      <c:valAx>
        <c:axId val="561661440"/>
        <c:scaling>
          <c:orientation val="minMax"/>
          <c:max val="70000"/>
          <c:min val="10000"/>
        </c:scaling>
        <c:delete val="0"/>
        <c:axPos val="l"/>
        <c:majorGridlines/>
        <c:title>
          <c:tx>
            <c:rich>
              <a:bodyPr/>
              <a:lstStyle/>
              <a:p>
                <a:pPr>
                  <a:defRPr b="1"/>
                </a:pPr>
                <a:r>
                  <a:rPr lang="en-AU" b="1"/>
                  <a:t>km per year</a:t>
                </a:r>
              </a:p>
            </c:rich>
          </c:tx>
          <c:layout>
            <c:manualLayout>
              <c:xMode val="edge"/>
              <c:yMode val="edge"/>
              <c:x val="1.5199451419923864E-3"/>
              <c:y val="0.39381518934498672"/>
            </c:manualLayout>
          </c:layout>
          <c:overlay val="0"/>
          <c:spPr>
            <a:noFill/>
            <a:ln w="25400">
              <a:noFill/>
            </a:ln>
          </c:spPr>
        </c:title>
        <c:numFmt formatCode="#\ ##0" sourceLinked="0"/>
        <c:majorTickMark val="out"/>
        <c:minorTickMark val="none"/>
        <c:tickLblPos val="nextTo"/>
        <c:txPr>
          <a:bodyPr rot="0" vert="horz"/>
          <a:lstStyle/>
          <a:p>
            <a:pPr>
              <a:defRPr/>
            </a:pPr>
            <a:endParaRPr lang="en-US"/>
          </a:p>
        </c:txPr>
        <c:crossAx val="561659904"/>
        <c:crosses val="autoZero"/>
        <c:crossBetween val="between"/>
        <c:majorUnit val="10000"/>
      </c:valAx>
      <c:spPr>
        <a:solidFill>
          <a:schemeClr val="bg1">
            <a:lumMod val="95000"/>
          </a:schemeClr>
        </a:solidFill>
        <a:ln w="25400">
          <a:noFill/>
        </a:ln>
      </c:spPr>
    </c:plotArea>
    <c:legend>
      <c:legendPos val="r"/>
      <c:layout>
        <c:manualLayout>
          <c:xMode val="edge"/>
          <c:yMode val="edge"/>
          <c:x val="0.3224567477398872"/>
          <c:y val="0.12159252028684429"/>
          <c:w val="0.65642580645161286"/>
          <c:h val="6.7050385247693134E-2"/>
        </c:manualLayout>
      </c:layout>
      <c:overlay val="0"/>
    </c:legend>
    <c:plotVisOnly val="1"/>
    <c:dispBlanksAs val="gap"/>
    <c:showDLblsOverMax val="0"/>
  </c:chart>
  <c:spPr>
    <a:solidFill>
      <a:sysClr val="window" lastClr="FFFFFF"/>
    </a:solidFill>
    <a:ln w="9525">
      <a:noFill/>
    </a:ln>
  </c:spPr>
  <c:txPr>
    <a:bodyPr/>
    <a:lstStyle/>
    <a:p>
      <a:pPr>
        <a:defRPr sz="500" b="0" i="0" u="none" strike="noStrike" baseline="0">
          <a:solidFill>
            <a:srgbClr val="000000"/>
          </a:solidFill>
          <a:latin typeface="+mn-lt"/>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b="1"/>
            </a:pPr>
            <a:r>
              <a:rPr lang="en-AU" b="1"/>
              <a:t>DTF annual waste generation</a:t>
            </a:r>
          </a:p>
        </c:rich>
      </c:tx>
      <c:layout>
        <c:manualLayout>
          <c:xMode val="edge"/>
          <c:yMode val="edge"/>
          <c:x val="0.34005627674919015"/>
          <c:y val="2.4187484178690863E-2"/>
        </c:manualLayout>
      </c:layout>
      <c:overlay val="0"/>
      <c:spPr>
        <a:noFill/>
        <a:ln w="25400">
          <a:noFill/>
        </a:ln>
      </c:spPr>
    </c:title>
    <c:autoTitleDeleted val="0"/>
    <c:plotArea>
      <c:layout>
        <c:manualLayout>
          <c:layoutTarget val="inner"/>
          <c:xMode val="edge"/>
          <c:yMode val="edge"/>
          <c:x val="0.16288709677419352"/>
          <c:y val="0.1229479999498214"/>
          <c:w val="0.81865663082437279"/>
          <c:h val="0.80831985961299224"/>
        </c:manualLayout>
      </c:layout>
      <c:lineChart>
        <c:grouping val="standard"/>
        <c:varyColors val="0"/>
        <c:ser>
          <c:idx val="0"/>
          <c:order val="0"/>
          <c:tx>
            <c:v>kg of waste</c:v>
          </c:tx>
          <c:spPr>
            <a:ln w="12700">
              <a:solidFill>
                <a:srgbClr val="969696"/>
              </a:solidFill>
              <a:prstDash val="solid"/>
            </a:ln>
          </c:spPr>
          <c:marker>
            <c:symbol val="diamond"/>
            <c:size val="3"/>
            <c:spPr>
              <a:solidFill>
                <a:srgbClr val="808080"/>
              </a:solidFill>
              <a:ln w="12700">
                <a:solidFill>
                  <a:srgbClr val="808080"/>
                </a:solidFill>
                <a:prstDash val="solid"/>
              </a:ln>
            </c:spPr>
          </c:marker>
          <c:trendline>
            <c:name>Trend</c:name>
            <c:spPr>
              <a:ln w="12700"/>
            </c:spPr>
            <c:trendlineType val="linear"/>
            <c:dispRSqr val="0"/>
            <c:dispEq val="0"/>
          </c:trendline>
          <c:cat>
            <c:strRef>
              <c:f>data!$J$12:$P$12</c:f>
              <c:strCache>
                <c:ptCount val="7"/>
                <c:pt idx="0">
                  <c:v>2011-12</c:v>
                </c:pt>
                <c:pt idx="1">
                  <c:v>2012-13</c:v>
                </c:pt>
                <c:pt idx="2">
                  <c:v>2013-14</c:v>
                </c:pt>
                <c:pt idx="3">
                  <c:v>2014-15</c:v>
                </c:pt>
                <c:pt idx="4">
                  <c:v>2015-16</c:v>
                </c:pt>
                <c:pt idx="5">
                  <c:v>2016-17</c:v>
                </c:pt>
                <c:pt idx="6">
                  <c:v>2017-18</c:v>
                </c:pt>
              </c:strCache>
            </c:strRef>
          </c:cat>
          <c:val>
            <c:numRef>
              <c:f>data!$J$14:$P$14</c:f>
              <c:numCache>
                <c:formatCode>General</c:formatCode>
                <c:ptCount val="7"/>
                <c:pt idx="0">
                  <c:v>63513</c:v>
                </c:pt>
                <c:pt idx="1">
                  <c:v>53912</c:v>
                </c:pt>
                <c:pt idx="2">
                  <c:v>54914</c:v>
                </c:pt>
                <c:pt idx="3">
                  <c:v>55687</c:v>
                </c:pt>
                <c:pt idx="4">
                  <c:v>50566</c:v>
                </c:pt>
                <c:pt idx="5">
                  <c:v>49446</c:v>
                </c:pt>
                <c:pt idx="6">
                  <c:v>45483</c:v>
                </c:pt>
              </c:numCache>
            </c:numRef>
          </c:val>
          <c:smooth val="0"/>
          <c:extLst>
            <c:ext xmlns:c16="http://schemas.microsoft.com/office/drawing/2014/chart" uri="{C3380CC4-5D6E-409C-BE32-E72D297353CC}">
              <c16:uniqueId val="{00000001-46AD-4FF4-BBE6-1DE677CBBFEE}"/>
            </c:ext>
          </c:extLst>
        </c:ser>
        <c:dLbls>
          <c:showLegendKey val="0"/>
          <c:showVal val="0"/>
          <c:showCatName val="0"/>
          <c:showSerName val="0"/>
          <c:showPercent val="0"/>
          <c:showBubbleSize val="0"/>
        </c:dLbls>
        <c:marker val="1"/>
        <c:smooth val="0"/>
        <c:axId val="561683456"/>
        <c:axId val="561697536"/>
      </c:lineChart>
      <c:catAx>
        <c:axId val="561683456"/>
        <c:scaling>
          <c:orientation val="minMax"/>
        </c:scaling>
        <c:delete val="0"/>
        <c:axPos val="b"/>
        <c:numFmt formatCode="General" sourceLinked="1"/>
        <c:majorTickMark val="out"/>
        <c:minorTickMark val="none"/>
        <c:tickLblPos val="nextTo"/>
        <c:txPr>
          <a:bodyPr rot="0" vert="horz"/>
          <a:lstStyle/>
          <a:p>
            <a:pPr>
              <a:defRPr/>
            </a:pPr>
            <a:endParaRPr lang="en-US"/>
          </a:p>
        </c:txPr>
        <c:crossAx val="561697536"/>
        <c:crosses val="autoZero"/>
        <c:auto val="1"/>
        <c:lblAlgn val="ctr"/>
        <c:lblOffset val="100"/>
        <c:tickLblSkip val="1"/>
        <c:tickMarkSkip val="1"/>
        <c:noMultiLvlLbl val="0"/>
      </c:catAx>
      <c:valAx>
        <c:axId val="561697536"/>
        <c:scaling>
          <c:orientation val="minMax"/>
          <c:max val="90000"/>
          <c:min val="40000"/>
        </c:scaling>
        <c:delete val="0"/>
        <c:axPos val="l"/>
        <c:majorGridlines/>
        <c:title>
          <c:tx>
            <c:rich>
              <a:bodyPr/>
              <a:lstStyle/>
              <a:p>
                <a:pPr>
                  <a:defRPr b="1"/>
                </a:pPr>
                <a:r>
                  <a:rPr lang="en-AU" b="1"/>
                  <a:t>kg per year</a:t>
                </a:r>
              </a:p>
            </c:rich>
          </c:tx>
          <c:layout>
            <c:manualLayout>
              <c:xMode val="edge"/>
              <c:yMode val="edge"/>
              <c:x val="4.9791344453984816E-3"/>
              <c:y val="0.41472372014201969"/>
            </c:manualLayout>
          </c:layout>
          <c:overlay val="0"/>
          <c:spPr>
            <a:noFill/>
            <a:ln w="25400">
              <a:noFill/>
            </a:ln>
          </c:spPr>
        </c:title>
        <c:numFmt formatCode="#\ ##0" sourceLinked="0"/>
        <c:majorTickMark val="out"/>
        <c:minorTickMark val="none"/>
        <c:tickLblPos val="nextTo"/>
        <c:txPr>
          <a:bodyPr rot="0" vert="horz"/>
          <a:lstStyle/>
          <a:p>
            <a:pPr>
              <a:defRPr/>
            </a:pPr>
            <a:endParaRPr lang="en-US"/>
          </a:p>
        </c:txPr>
        <c:crossAx val="561683456"/>
        <c:crosses val="autoZero"/>
        <c:crossBetween val="between"/>
        <c:majorUnit val="10000"/>
      </c:valAx>
      <c:spPr>
        <a:solidFill>
          <a:schemeClr val="bg1">
            <a:lumMod val="95000"/>
          </a:schemeClr>
        </a:solidFill>
        <a:ln w="25400">
          <a:noFill/>
        </a:ln>
      </c:spPr>
    </c:plotArea>
    <c:legend>
      <c:legendPos val="r"/>
      <c:layout>
        <c:manualLayout>
          <c:xMode val="edge"/>
          <c:yMode val="edge"/>
          <c:x val="0.53217455197132613"/>
          <c:y val="0.14653090699017909"/>
          <c:w val="0.42664976827666773"/>
          <c:h val="7.8298038001565012E-2"/>
        </c:manualLayout>
      </c:layout>
      <c:overlay val="0"/>
    </c:legend>
    <c:plotVisOnly val="1"/>
    <c:dispBlanksAs val="gap"/>
    <c:showDLblsOverMax val="0"/>
  </c:chart>
  <c:spPr>
    <a:solidFill>
      <a:sysClr val="window" lastClr="FFFFFF"/>
    </a:solidFill>
    <a:ln w="9525">
      <a:noFill/>
    </a:ln>
  </c:spPr>
  <c:txPr>
    <a:bodyPr/>
    <a:lstStyle/>
    <a:p>
      <a:pPr>
        <a:defRPr sz="500" b="0" i="0" u="none" strike="noStrike" baseline="0">
          <a:solidFill>
            <a:srgbClr val="000000"/>
          </a:solidFill>
          <a:latin typeface="+mn-lt"/>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99FE-8290-415E-B2F0-9DDE4305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49674</Words>
  <Characters>283146</Characters>
  <Application>Microsoft Office Word</Application>
  <DocSecurity>0</DocSecurity>
  <Lines>2359</Lines>
  <Paragraphs>664</Paragraphs>
  <ScaleCrop>false</ScaleCrop>
  <Company/>
  <LinksUpToDate>false</LinksUpToDate>
  <CharactersWithSpaces>332156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2018-09-19T00:17:00Z</dcterms:created>
  <dcterms:modified xsi:type="dcterms:W3CDTF">2018-09-20T04:17:00Z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a0c0adca-159f-470f-a172-df17c95fd38f</vt:lpwstr>
  </property>
  <property fmtid="{D5CDD505-2E9C-101B-9397-08002B2CF9AE}" pid="3" name="Classification">
    <vt:lpwstr>Do Not Mark</vt:lpwstr>
  </property>
</Properties>
</file>