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327" w:type="dxa"/>
        <w:tblLayout w:type="fixed"/>
        <w:tblLook w:val="0620" w:firstRow="1" w:lastRow="0" w:firstColumn="0" w:lastColumn="0" w:noHBand="1" w:noVBand="1"/>
      </w:tblPr>
      <w:tblGrid>
        <w:gridCol w:w="2293"/>
        <w:gridCol w:w="270"/>
        <w:gridCol w:w="540"/>
        <w:gridCol w:w="6224"/>
      </w:tblGrid>
      <w:tr w:rsidR="006C78FB" w:rsidRPr="00231BD3" w14:paraId="0A66DD99" w14:textId="77777777" w:rsidTr="00F912EF">
        <w:trPr>
          <w:cnfStyle w:val="100000000000" w:firstRow="1" w:lastRow="0" w:firstColumn="0" w:lastColumn="0" w:oddVBand="0" w:evenVBand="0" w:oddHBand="0" w:evenHBand="0" w:firstRowFirstColumn="0" w:firstRowLastColumn="0" w:lastRowFirstColumn="0" w:lastRowLastColumn="0"/>
        </w:trPr>
        <w:tc>
          <w:tcPr>
            <w:tcW w:w="2293" w:type="dxa"/>
          </w:tcPr>
          <w:p w14:paraId="62B6F736" w14:textId="222F073C" w:rsidR="006C78FB" w:rsidRPr="00231BD3" w:rsidRDefault="006C78FB" w:rsidP="00B8224B">
            <w:pPr>
              <w:pStyle w:val="FRDNumber"/>
            </w:pPr>
            <w:r w:rsidRPr="00231BD3">
              <w:t xml:space="preserve">FRD </w:t>
            </w:r>
            <w:r w:rsidR="009D605B">
              <w:t>13</w:t>
            </w:r>
          </w:p>
        </w:tc>
        <w:tc>
          <w:tcPr>
            <w:tcW w:w="270" w:type="dxa"/>
          </w:tcPr>
          <w:p w14:paraId="2036B0BB" w14:textId="77777777" w:rsidR="006C78FB" w:rsidRPr="00231BD3" w:rsidRDefault="006C78FB" w:rsidP="00B8224B"/>
        </w:tc>
        <w:tc>
          <w:tcPr>
            <w:tcW w:w="540" w:type="dxa"/>
          </w:tcPr>
          <w:p w14:paraId="6D26AECD" w14:textId="77777777" w:rsidR="006C78FB" w:rsidRPr="00231BD3" w:rsidRDefault="006C78FB" w:rsidP="00B8224B"/>
        </w:tc>
        <w:tc>
          <w:tcPr>
            <w:tcW w:w="6224" w:type="dxa"/>
          </w:tcPr>
          <w:p w14:paraId="000CE982" w14:textId="170E6C4B" w:rsidR="006C78FB" w:rsidRPr="00231BD3" w:rsidRDefault="009D605B" w:rsidP="00B8224B">
            <w:pPr>
              <w:pStyle w:val="FRDHeader"/>
            </w:pPr>
            <w:r w:rsidRPr="009D605B">
              <w:t>Disclosure of Parliamentary Appropriations (April 202</w:t>
            </w:r>
            <w:r w:rsidR="00A0681E">
              <w:t>4</w:t>
            </w:r>
            <w:r w:rsidRPr="009D605B">
              <w:t>)</w:t>
            </w:r>
          </w:p>
        </w:tc>
      </w:tr>
      <w:tr w:rsidR="006C78FB" w:rsidRPr="00E10ADB" w14:paraId="4C9B20C7" w14:textId="77777777" w:rsidTr="00F912EF">
        <w:trPr>
          <w:trHeight w:hRule="exact" w:val="120"/>
        </w:trPr>
        <w:tc>
          <w:tcPr>
            <w:tcW w:w="2293" w:type="dxa"/>
          </w:tcPr>
          <w:p w14:paraId="274FE0FF" w14:textId="77777777" w:rsidR="006C78FB" w:rsidRPr="008A601F" w:rsidRDefault="006C78FB" w:rsidP="00B8224B">
            <w:pPr>
              <w:pStyle w:val="Tabletext"/>
            </w:pPr>
          </w:p>
        </w:tc>
        <w:tc>
          <w:tcPr>
            <w:tcW w:w="270" w:type="dxa"/>
          </w:tcPr>
          <w:p w14:paraId="3E77506D" w14:textId="77777777" w:rsidR="006C78FB" w:rsidRPr="008A601F" w:rsidRDefault="006C78FB" w:rsidP="006D66F9">
            <w:pPr>
              <w:pStyle w:val="Normalgrey"/>
            </w:pPr>
          </w:p>
        </w:tc>
        <w:tc>
          <w:tcPr>
            <w:tcW w:w="540" w:type="dxa"/>
          </w:tcPr>
          <w:p w14:paraId="0255394C" w14:textId="77777777" w:rsidR="006C78FB" w:rsidRPr="008A601F" w:rsidRDefault="006C78FB" w:rsidP="00B8224B"/>
        </w:tc>
        <w:tc>
          <w:tcPr>
            <w:tcW w:w="6224" w:type="dxa"/>
          </w:tcPr>
          <w:p w14:paraId="1A83C7F7" w14:textId="77777777" w:rsidR="006C78FB" w:rsidRPr="008A601F" w:rsidRDefault="006C78FB" w:rsidP="00B8224B"/>
        </w:tc>
      </w:tr>
      <w:tr w:rsidR="005828FE" w:rsidRPr="005828FE" w14:paraId="695ED42E" w14:textId="77777777" w:rsidTr="00F912EF">
        <w:tc>
          <w:tcPr>
            <w:tcW w:w="2293" w:type="dxa"/>
          </w:tcPr>
          <w:p w14:paraId="76455F29" w14:textId="77777777" w:rsidR="006C78FB" w:rsidRPr="005828FE" w:rsidRDefault="006C78FB" w:rsidP="00382EE1">
            <w:pPr>
              <w:pStyle w:val="Normalgrey"/>
            </w:pPr>
            <w:r w:rsidRPr="005828FE">
              <w:t>Purpose</w:t>
            </w:r>
          </w:p>
        </w:tc>
        <w:tc>
          <w:tcPr>
            <w:tcW w:w="270" w:type="dxa"/>
          </w:tcPr>
          <w:p w14:paraId="5E60A52C" w14:textId="35397ADF" w:rsidR="006C78FB" w:rsidRPr="005828FE" w:rsidRDefault="006C78FB" w:rsidP="00286F9A">
            <w:pPr>
              <w:pStyle w:val="Normalgrey"/>
            </w:pPr>
          </w:p>
        </w:tc>
        <w:tc>
          <w:tcPr>
            <w:tcW w:w="540" w:type="dxa"/>
          </w:tcPr>
          <w:p w14:paraId="3CAD7DCC" w14:textId="77777777" w:rsidR="006C78FB" w:rsidRPr="005828FE" w:rsidRDefault="006C78FB" w:rsidP="00946158">
            <w:pPr>
              <w:pStyle w:val="Refnum2"/>
            </w:pPr>
          </w:p>
        </w:tc>
        <w:tc>
          <w:tcPr>
            <w:tcW w:w="6224" w:type="dxa"/>
          </w:tcPr>
          <w:p w14:paraId="66BFDBC4" w14:textId="7E6037F1" w:rsidR="006C78FB" w:rsidRPr="005828FE" w:rsidRDefault="001B01DE" w:rsidP="00CE0B0D">
            <w:pPr>
              <w:pStyle w:val="Normalgrey"/>
            </w:pPr>
            <w:r w:rsidRPr="001B01DE">
              <w:t xml:space="preserve">To specify the format for disclosure </w:t>
            </w:r>
            <w:r w:rsidR="001137DC">
              <w:t>of</w:t>
            </w:r>
            <w:r w:rsidR="00A0681E">
              <w:t xml:space="preserve"> parliamentary appropriations</w:t>
            </w:r>
            <w:r w:rsidRPr="001B01DE">
              <w:t>.</w:t>
            </w:r>
          </w:p>
        </w:tc>
      </w:tr>
      <w:tr w:rsidR="006C78FB" w:rsidRPr="005828FE" w14:paraId="0679FC13" w14:textId="77777777" w:rsidTr="00F912EF">
        <w:tc>
          <w:tcPr>
            <w:tcW w:w="2293" w:type="dxa"/>
            <w:shd w:val="clear" w:color="auto" w:fill="F2F2F2" w:themeFill="background1" w:themeFillShade="F2"/>
          </w:tcPr>
          <w:p w14:paraId="75FECAB7" w14:textId="77777777" w:rsidR="006C78FB" w:rsidRPr="005828FE" w:rsidRDefault="006C78FB" w:rsidP="00A516DE">
            <w:pPr>
              <w:pStyle w:val="Normalbold"/>
            </w:pPr>
            <w:r w:rsidRPr="005828FE">
              <w:t>Application</w:t>
            </w:r>
          </w:p>
        </w:tc>
        <w:tc>
          <w:tcPr>
            <w:tcW w:w="270" w:type="dxa"/>
            <w:shd w:val="clear" w:color="auto" w:fill="F2F2F2" w:themeFill="background1" w:themeFillShade="F2"/>
          </w:tcPr>
          <w:p w14:paraId="4AB3BECC" w14:textId="77777777" w:rsidR="006C78FB" w:rsidRPr="008B2A17" w:rsidRDefault="006C78FB" w:rsidP="00E43B3A">
            <w:pPr>
              <w:pStyle w:val="Refnum1grey"/>
              <w:numPr>
                <w:ilvl w:val="0"/>
                <w:numId w:val="0"/>
              </w:numPr>
            </w:pPr>
          </w:p>
        </w:tc>
        <w:tc>
          <w:tcPr>
            <w:tcW w:w="540" w:type="dxa"/>
            <w:shd w:val="clear" w:color="auto" w:fill="F2F2F2" w:themeFill="background1" w:themeFillShade="F2"/>
          </w:tcPr>
          <w:p w14:paraId="14A01B21" w14:textId="77777777" w:rsidR="00E43B3A" w:rsidRPr="007F6E24" w:rsidRDefault="00E43B3A" w:rsidP="00BB37C5">
            <w:pPr>
              <w:pStyle w:val="ListParagraph"/>
              <w:numPr>
                <w:ilvl w:val="0"/>
                <w:numId w:val="4"/>
              </w:numPr>
              <w:spacing w:line="240" w:lineRule="auto"/>
              <w:ind w:left="0"/>
              <w:contextualSpacing w:val="0"/>
              <w:rPr>
                <w:rFonts w:eastAsia="Calibri" w:cs="Times New Roman"/>
                <w:b/>
                <w:bCs/>
                <w:vanish/>
                <w:color w:val="FFFFFF" w:themeColor="background1"/>
                <w:spacing w:val="0"/>
              </w:rPr>
            </w:pPr>
          </w:p>
          <w:p w14:paraId="54BD4981" w14:textId="77777777" w:rsidR="00E43B3A" w:rsidRPr="007F6E24" w:rsidRDefault="00E43B3A" w:rsidP="00BB37C5">
            <w:pPr>
              <w:pStyle w:val="ListParagraph"/>
              <w:numPr>
                <w:ilvl w:val="1"/>
                <w:numId w:val="4"/>
              </w:numPr>
              <w:ind w:left="0"/>
              <w:contextualSpacing w:val="0"/>
              <w:rPr>
                <w:b/>
                <w:bCs/>
                <w:vanish/>
              </w:rPr>
            </w:pPr>
          </w:p>
          <w:p w14:paraId="6CAB7CBC" w14:textId="6383DCDF" w:rsidR="006C78FB" w:rsidRPr="007F6E24" w:rsidRDefault="006C78FB" w:rsidP="00E43B3A">
            <w:pPr>
              <w:pStyle w:val="Refnum2"/>
              <w:rPr>
                <w:b/>
                <w:bCs/>
              </w:rPr>
            </w:pPr>
          </w:p>
        </w:tc>
        <w:tc>
          <w:tcPr>
            <w:tcW w:w="6224" w:type="dxa"/>
            <w:shd w:val="clear" w:color="auto" w:fill="F2F2F2" w:themeFill="background1" w:themeFillShade="F2"/>
          </w:tcPr>
          <w:p w14:paraId="09DD3654" w14:textId="6DB713B5" w:rsidR="006C78FB" w:rsidRPr="005828FE" w:rsidRDefault="009D605B" w:rsidP="00A516DE">
            <w:pPr>
              <w:pStyle w:val="Normalbold"/>
            </w:pPr>
            <w:r w:rsidRPr="009D605B">
              <w:t xml:space="preserve">Applies to all entities defined as a </w:t>
            </w:r>
            <w:r w:rsidR="00414A1B">
              <w:t>‘</w:t>
            </w:r>
            <w:r w:rsidRPr="009D605B">
              <w:t>department</w:t>
            </w:r>
            <w:r w:rsidR="00414A1B">
              <w:t>’</w:t>
            </w:r>
            <w:r w:rsidRPr="009D605B">
              <w:t xml:space="preserve"> under section 3 of the </w:t>
            </w:r>
            <w:r w:rsidRPr="009D605B">
              <w:rPr>
                <w:i/>
                <w:iCs/>
              </w:rPr>
              <w:t>Financial Management Act 1994</w:t>
            </w:r>
            <w:r w:rsidRPr="009D605B">
              <w:t>.</w:t>
            </w:r>
          </w:p>
        </w:tc>
      </w:tr>
      <w:tr w:rsidR="006C78FB" w:rsidRPr="005828FE" w14:paraId="5A484E14" w14:textId="77777777" w:rsidTr="00F912EF">
        <w:tc>
          <w:tcPr>
            <w:tcW w:w="2293" w:type="dxa"/>
            <w:shd w:val="clear" w:color="auto" w:fill="F2F2F2" w:themeFill="background1" w:themeFillShade="F2"/>
          </w:tcPr>
          <w:p w14:paraId="10C82A4A" w14:textId="77777777" w:rsidR="006C78FB" w:rsidRPr="005828FE" w:rsidRDefault="006C78FB" w:rsidP="00A516DE">
            <w:pPr>
              <w:pStyle w:val="Normalbold"/>
            </w:pPr>
            <w:r w:rsidRPr="005828FE">
              <w:t>Operative date</w:t>
            </w:r>
          </w:p>
        </w:tc>
        <w:tc>
          <w:tcPr>
            <w:tcW w:w="270" w:type="dxa"/>
            <w:shd w:val="clear" w:color="auto" w:fill="F2F2F2" w:themeFill="background1" w:themeFillShade="F2"/>
          </w:tcPr>
          <w:p w14:paraId="6A0B1400" w14:textId="77777777" w:rsidR="006C78FB" w:rsidRPr="008B2A17" w:rsidRDefault="006C78FB" w:rsidP="00E43B3A">
            <w:pPr>
              <w:pStyle w:val="Refnum1grey"/>
              <w:numPr>
                <w:ilvl w:val="0"/>
                <w:numId w:val="0"/>
              </w:numPr>
            </w:pPr>
          </w:p>
        </w:tc>
        <w:tc>
          <w:tcPr>
            <w:tcW w:w="540" w:type="dxa"/>
            <w:shd w:val="clear" w:color="auto" w:fill="F2F2F2" w:themeFill="background1" w:themeFillShade="F2"/>
          </w:tcPr>
          <w:p w14:paraId="7BA8E45F" w14:textId="77777777" w:rsidR="00E43B3A" w:rsidRPr="007F6E24" w:rsidRDefault="00E43B3A" w:rsidP="00BB37C5">
            <w:pPr>
              <w:pStyle w:val="ListParagraph"/>
              <w:numPr>
                <w:ilvl w:val="0"/>
                <w:numId w:val="4"/>
              </w:numPr>
              <w:spacing w:line="240" w:lineRule="auto"/>
              <w:ind w:left="0"/>
              <w:contextualSpacing w:val="0"/>
              <w:rPr>
                <w:rFonts w:eastAsia="Calibri" w:cs="Times New Roman"/>
                <w:b/>
                <w:bCs/>
                <w:vanish/>
                <w:color w:val="FFFFFF" w:themeColor="background1"/>
                <w:spacing w:val="0"/>
              </w:rPr>
            </w:pPr>
          </w:p>
          <w:p w14:paraId="34FB36FB" w14:textId="77777777" w:rsidR="00E43B3A" w:rsidRPr="007F6E24" w:rsidRDefault="00E43B3A" w:rsidP="00BB37C5">
            <w:pPr>
              <w:pStyle w:val="ListParagraph"/>
              <w:numPr>
                <w:ilvl w:val="1"/>
                <w:numId w:val="4"/>
              </w:numPr>
              <w:ind w:left="0"/>
              <w:contextualSpacing w:val="0"/>
              <w:rPr>
                <w:b/>
                <w:bCs/>
                <w:vanish/>
              </w:rPr>
            </w:pPr>
          </w:p>
          <w:p w14:paraId="460B29E7" w14:textId="35811B25" w:rsidR="006C78FB" w:rsidRPr="007F6E24" w:rsidRDefault="006C78FB" w:rsidP="00E43B3A">
            <w:pPr>
              <w:pStyle w:val="Refnum2"/>
              <w:rPr>
                <w:b/>
                <w:bCs/>
              </w:rPr>
            </w:pPr>
          </w:p>
        </w:tc>
        <w:tc>
          <w:tcPr>
            <w:tcW w:w="6224" w:type="dxa"/>
            <w:shd w:val="clear" w:color="auto" w:fill="F2F2F2" w:themeFill="background1" w:themeFillShade="F2"/>
          </w:tcPr>
          <w:p w14:paraId="35535DF5" w14:textId="5BE8B548" w:rsidR="006C78FB" w:rsidRPr="005828FE" w:rsidRDefault="009D605B" w:rsidP="00A516DE">
            <w:pPr>
              <w:pStyle w:val="Normalbold"/>
            </w:pPr>
            <w:r w:rsidRPr="009D605B">
              <w:t>Reporting periods commencing on or after 1 July 20</w:t>
            </w:r>
            <w:r w:rsidR="00A0681E">
              <w:t>23</w:t>
            </w:r>
          </w:p>
        </w:tc>
      </w:tr>
      <w:tr w:rsidR="00BC6691" w:rsidRPr="005828FE" w14:paraId="166AB9AA" w14:textId="77777777" w:rsidTr="00F912EF">
        <w:tc>
          <w:tcPr>
            <w:tcW w:w="2293" w:type="dxa"/>
            <w:shd w:val="clear" w:color="auto" w:fill="F2F2F2" w:themeFill="background1" w:themeFillShade="F2"/>
          </w:tcPr>
          <w:p w14:paraId="22E83972" w14:textId="77777777" w:rsidR="00BC6691" w:rsidRPr="005828FE" w:rsidRDefault="00BC6691" w:rsidP="00A0322D">
            <w:pPr>
              <w:pStyle w:val="Normalbold"/>
            </w:pPr>
            <w:r w:rsidRPr="005828FE">
              <w:t>Requirement</w:t>
            </w:r>
            <w:r>
              <w:t>s</w:t>
            </w:r>
          </w:p>
        </w:tc>
        <w:tc>
          <w:tcPr>
            <w:tcW w:w="270" w:type="dxa"/>
            <w:shd w:val="clear" w:color="auto" w:fill="F2F2F2" w:themeFill="background1" w:themeFillShade="F2"/>
          </w:tcPr>
          <w:p w14:paraId="41F09EA2" w14:textId="77777777" w:rsidR="00BC6691" w:rsidRPr="008B2A17" w:rsidRDefault="00BC6691" w:rsidP="00E43B3A">
            <w:pPr>
              <w:pStyle w:val="Refnum1grey"/>
              <w:numPr>
                <w:ilvl w:val="0"/>
                <w:numId w:val="0"/>
              </w:numPr>
            </w:pPr>
          </w:p>
        </w:tc>
        <w:tc>
          <w:tcPr>
            <w:tcW w:w="540" w:type="dxa"/>
            <w:shd w:val="clear" w:color="auto" w:fill="F2F2F2" w:themeFill="background1" w:themeFillShade="F2"/>
          </w:tcPr>
          <w:p w14:paraId="75FE8E5B" w14:textId="77777777" w:rsidR="00E43B3A" w:rsidRPr="007F6E24" w:rsidRDefault="00E43B3A" w:rsidP="00BB37C5">
            <w:pPr>
              <w:pStyle w:val="ListParagraph"/>
              <w:numPr>
                <w:ilvl w:val="0"/>
                <w:numId w:val="4"/>
              </w:numPr>
              <w:spacing w:line="240" w:lineRule="auto"/>
              <w:ind w:left="0"/>
              <w:contextualSpacing w:val="0"/>
              <w:rPr>
                <w:rFonts w:eastAsia="Calibri" w:cs="Times New Roman"/>
                <w:b/>
                <w:bCs/>
                <w:vanish/>
                <w:color w:val="FFFFFF" w:themeColor="background1"/>
                <w:spacing w:val="0"/>
              </w:rPr>
            </w:pPr>
          </w:p>
          <w:p w14:paraId="6772E582" w14:textId="77777777" w:rsidR="00E43B3A" w:rsidRPr="007F6E24" w:rsidRDefault="00E43B3A" w:rsidP="00BB37C5">
            <w:pPr>
              <w:pStyle w:val="ListParagraph"/>
              <w:numPr>
                <w:ilvl w:val="1"/>
                <w:numId w:val="4"/>
              </w:numPr>
              <w:ind w:left="0"/>
              <w:contextualSpacing w:val="0"/>
              <w:rPr>
                <w:b/>
                <w:bCs/>
                <w:vanish/>
              </w:rPr>
            </w:pPr>
          </w:p>
          <w:p w14:paraId="47028CFC" w14:textId="1EB6D76B" w:rsidR="00BC6691" w:rsidRPr="007F6E24" w:rsidRDefault="00BC6691" w:rsidP="00E43B3A">
            <w:pPr>
              <w:pStyle w:val="Refnum2"/>
              <w:rPr>
                <w:b/>
                <w:bCs/>
              </w:rPr>
            </w:pPr>
          </w:p>
        </w:tc>
        <w:tc>
          <w:tcPr>
            <w:tcW w:w="6224" w:type="dxa"/>
            <w:shd w:val="clear" w:color="auto" w:fill="F2F2F2" w:themeFill="background1" w:themeFillShade="F2"/>
          </w:tcPr>
          <w:p w14:paraId="47E77B1C" w14:textId="3E20337D" w:rsidR="00BC6691" w:rsidRPr="005828FE" w:rsidRDefault="00A0681E" w:rsidP="009D605B">
            <w:pPr>
              <w:pStyle w:val="Normalbold"/>
            </w:pPr>
            <w:r w:rsidRPr="00A0681E">
              <w:t xml:space="preserve">The disclosures required under paragraph 39 of AASB 1058 </w:t>
            </w:r>
            <w:r w:rsidRPr="00307E21">
              <w:rPr>
                <w:i/>
                <w:iCs/>
              </w:rPr>
              <w:t>Income of Not-for-Profit Entities</w:t>
            </w:r>
            <w:r w:rsidRPr="00A0681E">
              <w:t xml:space="preserve"> must be presented in a tabular format. This </w:t>
            </w:r>
            <w:r w:rsidR="001137DC">
              <w:t>disclosure</w:t>
            </w:r>
            <w:r w:rsidRPr="00A0681E">
              <w:t xml:space="preserve"> has been illustrated in the </w:t>
            </w:r>
            <w:r w:rsidRPr="00307E21">
              <w:rPr>
                <w:i/>
                <w:iCs/>
              </w:rPr>
              <w:t>Model Report for Victorian Government Departments.</w:t>
            </w:r>
          </w:p>
        </w:tc>
      </w:tr>
      <w:tr w:rsidR="00946158" w:rsidRPr="005828FE" w14:paraId="0D1772A7" w14:textId="77777777" w:rsidTr="00F912EF">
        <w:tc>
          <w:tcPr>
            <w:tcW w:w="2293" w:type="dxa"/>
            <w:shd w:val="clear" w:color="auto" w:fill="F2F2F2" w:themeFill="background1" w:themeFillShade="F2"/>
          </w:tcPr>
          <w:p w14:paraId="24110690" w14:textId="77777777" w:rsidR="00946158" w:rsidRPr="005828FE" w:rsidRDefault="00946158" w:rsidP="00A0322D">
            <w:pPr>
              <w:pStyle w:val="Normalbold"/>
            </w:pPr>
          </w:p>
        </w:tc>
        <w:tc>
          <w:tcPr>
            <w:tcW w:w="270" w:type="dxa"/>
            <w:shd w:val="clear" w:color="auto" w:fill="F2F2F2" w:themeFill="background1" w:themeFillShade="F2"/>
          </w:tcPr>
          <w:p w14:paraId="3C35970F" w14:textId="77777777" w:rsidR="00946158" w:rsidRPr="008B2A17" w:rsidRDefault="00946158" w:rsidP="00946158">
            <w:pPr>
              <w:pStyle w:val="Tabletext"/>
            </w:pPr>
          </w:p>
        </w:tc>
        <w:tc>
          <w:tcPr>
            <w:tcW w:w="540" w:type="dxa"/>
            <w:shd w:val="clear" w:color="auto" w:fill="F2F2F2" w:themeFill="background1" w:themeFillShade="F2"/>
          </w:tcPr>
          <w:p w14:paraId="6EF0DEA2" w14:textId="77777777" w:rsidR="00946158" w:rsidRPr="007F6E24" w:rsidRDefault="00946158" w:rsidP="00946158">
            <w:pPr>
              <w:pStyle w:val="Refnum2"/>
              <w:rPr>
                <w:b/>
                <w:bCs/>
              </w:rPr>
            </w:pPr>
          </w:p>
        </w:tc>
        <w:tc>
          <w:tcPr>
            <w:tcW w:w="6224" w:type="dxa"/>
            <w:shd w:val="clear" w:color="auto" w:fill="F2F2F2" w:themeFill="background1" w:themeFillShade="F2"/>
          </w:tcPr>
          <w:p w14:paraId="2999D1EE" w14:textId="65D0D975" w:rsidR="00946158" w:rsidRPr="001A1F03" w:rsidRDefault="00A0681E" w:rsidP="00A0322D">
            <w:pPr>
              <w:pStyle w:val="Normalbold"/>
            </w:pPr>
            <w:r w:rsidRPr="00A0681E">
              <w:t>Additional disclosures are required where Advances from the Treasurer have not been fully spent or applied in the current reporting period. This includes disclosing the unspent amounts and explaining why these amounts were not applied during the reporting period.</w:t>
            </w:r>
          </w:p>
        </w:tc>
      </w:tr>
      <w:tr w:rsidR="00DF5B90" w:rsidRPr="005828FE" w14:paraId="475A9677" w14:textId="77777777" w:rsidTr="00F912EF">
        <w:tc>
          <w:tcPr>
            <w:tcW w:w="2293" w:type="dxa"/>
          </w:tcPr>
          <w:p w14:paraId="17617618" w14:textId="374C6C39" w:rsidR="00DF5B90" w:rsidRPr="009D605B" w:rsidRDefault="009D605B" w:rsidP="00DF5B90">
            <w:pPr>
              <w:pStyle w:val="Normalbold"/>
              <w:rPr>
                <w:b w:val="0"/>
                <w:bCs/>
              </w:rPr>
            </w:pPr>
            <w:r w:rsidRPr="009D605B">
              <w:rPr>
                <w:b w:val="0"/>
                <w:bCs/>
              </w:rPr>
              <w:t>Relevant pronouncements</w:t>
            </w:r>
          </w:p>
        </w:tc>
        <w:tc>
          <w:tcPr>
            <w:tcW w:w="270" w:type="dxa"/>
          </w:tcPr>
          <w:p w14:paraId="10FC2733" w14:textId="77777777" w:rsidR="00DF5B90" w:rsidRPr="00946158" w:rsidRDefault="00DF5B90" w:rsidP="00E43B3A">
            <w:pPr>
              <w:pStyle w:val="Refnum1grey"/>
              <w:numPr>
                <w:ilvl w:val="0"/>
                <w:numId w:val="0"/>
              </w:numPr>
              <w:rPr>
                <w:color w:val="FFFFFF" w:themeColor="background1"/>
              </w:rPr>
            </w:pPr>
          </w:p>
        </w:tc>
        <w:tc>
          <w:tcPr>
            <w:tcW w:w="540" w:type="dxa"/>
          </w:tcPr>
          <w:p w14:paraId="6F157B81" w14:textId="77777777" w:rsidR="00E43B3A" w:rsidRPr="00E43B3A" w:rsidRDefault="00E43B3A" w:rsidP="00BB37C5">
            <w:pPr>
              <w:pStyle w:val="ListParagraph"/>
              <w:numPr>
                <w:ilvl w:val="0"/>
                <w:numId w:val="4"/>
              </w:numPr>
              <w:spacing w:line="240" w:lineRule="auto"/>
              <w:ind w:left="0"/>
              <w:contextualSpacing w:val="0"/>
              <w:rPr>
                <w:rFonts w:eastAsia="Calibri" w:cs="Times New Roman"/>
                <w:vanish/>
                <w:color w:val="FFFFFF" w:themeColor="background1"/>
                <w:spacing w:val="0"/>
              </w:rPr>
            </w:pPr>
          </w:p>
          <w:p w14:paraId="0B683990" w14:textId="77777777" w:rsidR="00E43B3A" w:rsidRPr="00E43B3A" w:rsidRDefault="00E43B3A" w:rsidP="00BB37C5">
            <w:pPr>
              <w:pStyle w:val="ListParagraph"/>
              <w:numPr>
                <w:ilvl w:val="1"/>
                <w:numId w:val="4"/>
              </w:numPr>
              <w:ind w:left="0"/>
              <w:contextualSpacing w:val="0"/>
              <w:rPr>
                <w:vanish/>
              </w:rPr>
            </w:pPr>
          </w:p>
          <w:p w14:paraId="34789703" w14:textId="4E00AFE1" w:rsidR="00DF5B90" w:rsidRPr="005828FE" w:rsidRDefault="00DF5B90" w:rsidP="00E43B3A">
            <w:pPr>
              <w:pStyle w:val="Refnum2"/>
            </w:pPr>
          </w:p>
        </w:tc>
        <w:tc>
          <w:tcPr>
            <w:tcW w:w="6224" w:type="dxa"/>
          </w:tcPr>
          <w:p w14:paraId="11460C82" w14:textId="2484337D" w:rsidR="00DF5B90" w:rsidRPr="001223E1" w:rsidRDefault="009D605B" w:rsidP="00DF5B90">
            <w:pPr>
              <w:pStyle w:val="Normalbold"/>
              <w:rPr>
                <w:b w:val="0"/>
                <w:bCs/>
              </w:rPr>
            </w:pPr>
            <w:r w:rsidRPr="009D605B">
              <w:rPr>
                <w:b w:val="0"/>
                <w:bCs/>
              </w:rPr>
              <w:t xml:space="preserve">AASB 1058 </w:t>
            </w:r>
            <w:r w:rsidRPr="00414A1B">
              <w:rPr>
                <w:b w:val="0"/>
                <w:bCs/>
                <w:i/>
                <w:iCs/>
              </w:rPr>
              <w:t>Income of Not-for-Profit entities</w:t>
            </w:r>
          </w:p>
        </w:tc>
      </w:tr>
      <w:tr w:rsidR="00946158" w:rsidRPr="005828FE" w14:paraId="20B4425E" w14:textId="77777777" w:rsidTr="00F912EF">
        <w:tc>
          <w:tcPr>
            <w:tcW w:w="2293" w:type="dxa"/>
          </w:tcPr>
          <w:p w14:paraId="24A85DF4" w14:textId="5E7C0F1D" w:rsidR="00946158" w:rsidRPr="009D605B" w:rsidRDefault="009D605B" w:rsidP="00DF5B90">
            <w:pPr>
              <w:pStyle w:val="Normalbold"/>
              <w:rPr>
                <w:b w:val="0"/>
                <w:bCs/>
              </w:rPr>
            </w:pPr>
            <w:r w:rsidRPr="009D605B">
              <w:rPr>
                <w:b w:val="0"/>
                <w:bCs/>
              </w:rPr>
              <w:t>Background</w:t>
            </w:r>
          </w:p>
        </w:tc>
        <w:tc>
          <w:tcPr>
            <w:tcW w:w="270" w:type="dxa"/>
          </w:tcPr>
          <w:p w14:paraId="6A293281" w14:textId="77777777" w:rsidR="00946158" w:rsidRPr="00946158" w:rsidRDefault="00946158" w:rsidP="00946158">
            <w:pPr>
              <w:pStyle w:val="Tabletextcentred"/>
            </w:pPr>
          </w:p>
        </w:tc>
        <w:tc>
          <w:tcPr>
            <w:tcW w:w="540" w:type="dxa"/>
          </w:tcPr>
          <w:p w14:paraId="58D9B67D" w14:textId="77777777" w:rsidR="009D605B" w:rsidRPr="009D605B" w:rsidRDefault="009D605B" w:rsidP="009D605B">
            <w:pPr>
              <w:pStyle w:val="ListParagraph"/>
              <w:numPr>
                <w:ilvl w:val="0"/>
                <w:numId w:val="4"/>
              </w:numPr>
              <w:spacing w:line="240" w:lineRule="auto"/>
              <w:ind w:left="0"/>
              <w:contextualSpacing w:val="0"/>
              <w:rPr>
                <w:rFonts w:eastAsia="Calibri" w:cs="Times New Roman"/>
                <w:vanish/>
                <w:color w:val="FFFFFF" w:themeColor="background1"/>
                <w:spacing w:val="0"/>
              </w:rPr>
            </w:pPr>
          </w:p>
          <w:p w14:paraId="541E80C1" w14:textId="77777777" w:rsidR="009D605B" w:rsidRPr="009D605B" w:rsidRDefault="009D605B" w:rsidP="009D605B">
            <w:pPr>
              <w:pStyle w:val="ListParagraph"/>
              <w:numPr>
                <w:ilvl w:val="1"/>
                <w:numId w:val="4"/>
              </w:numPr>
              <w:ind w:left="0"/>
              <w:contextualSpacing w:val="0"/>
              <w:rPr>
                <w:vanish/>
              </w:rPr>
            </w:pPr>
          </w:p>
          <w:p w14:paraId="49836909" w14:textId="684FAFF7" w:rsidR="00946158" w:rsidRPr="005828FE" w:rsidRDefault="00946158" w:rsidP="009D605B">
            <w:pPr>
              <w:pStyle w:val="Refnum2"/>
            </w:pPr>
          </w:p>
        </w:tc>
        <w:tc>
          <w:tcPr>
            <w:tcW w:w="6224" w:type="dxa"/>
          </w:tcPr>
          <w:p w14:paraId="516166DE" w14:textId="5526CF74" w:rsidR="00946158" w:rsidRPr="008E0051" w:rsidRDefault="00A0681E" w:rsidP="009D605B">
            <w:pPr>
              <w:pStyle w:val="Normalgrey"/>
            </w:pPr>
            <w:r w:rsidRPr="00A0681E">
              <w:t>This FRD specifies the format for disclosure of parliamentary appropriations. This is to ensure consistency and comparability of information between departments. AFRB No. 28 previously required the format prescribed by this FRD.</w:t>
            </w:r>
          </w:p>
        </w:tc>
      </w:tr>
      <w:tr w:rsidR="00946158" w:rsidRPr="005828FE" w14:paraId="655E195B" w14:textId="77777777" w:rsidTr="00F912EF">
        <w:tc>
          <w:tcPr>
            <w:tcW w:w="2293" w:type="dxa"/>
          </w:tcPr>
          <w:p w14:paraId="311292F6" w14:textId="77777777" w:rsidR="00946158" w:rsidRDefault="00946158" w:rsidP="00DF5B90">
            <w:pPr>
              <w:pStyle w:val="Normalbold"/>
            </w:pPr>
          </w:p>
        </w:tc>
        <w:tc>
          <w:tcPr>
            <w:tcW w:w="270" w:type="dxa"/>
          </w:tcPr>
          <w:p w14:paraId="309CA975" w14:textId="77777777" w:rsidR="00946158" w:rsidRPr="00946158" w:rsidRDefault="00946158" w:rsidP="00946158">
            <w:pPr>
              <w:pStyle w:val="Tabletextcentred"/>
            </w:pPr>
          </w:p>
        </w:tc>
        <w:tc>
          <w:tcPr>
            <w:tcW w:w="540" w:type="dxa"/>
          </w:tcPr>
          <w:p w14:paraId="051DA8ED" w14:textId="77777777" w:rsidR="00946158" w:rsidRPr="005828FE" w:rsidRDefault="00946158" w:rsidP="00946158">
            <w:pPr>
              <w:pStyle w:val="Refnum2"/>
            </w:pPr>
          </w:p>
        </w:tc>
        <w:tc>
          <w:tcPr>
            <w:tcW w:w="6224" w:type="dxa"/>
          </w:tcPr>
          <w:p w14:paraId="2DF901B0" w14:textId="77777777" w:rsidR="001B01DE" w:rsidRPr="001B01DE" w:rsidRDefault="001B01DE" w:rsidP="001B01DE">
            <w:pPr>
              <w:pStyle w:val="Normalbold"/>
              <w:rPr>
                <w:b w:val="0"/>
                <w:bCs/>
              </w:rPr>
            </w:pPr>
            <w:r w:rsidRPr="001B01DE">
              <w:rPr>
                <w:b w:val="0"/>
                <w:bCs/>
              </w:rPr>
              <w:t>This FRD was updated in:</w:t>
            </w:r>
          </w:p>
          <w:p w14:paraId="038B52C2" w14:textId="5997EC87" w:rsidR="00A0681E" w:rsidRPr="00A0681E" w:rsidRDefault="00A0681E" w:rsidP="00A0681E">
            <w:pPr>
              <w:pStyle w:val="Bullet1grey"/>
            </w:pPr>
            <w:r w:rsidRPr="00A0681E">
              <w:t>July 2003 to withdraw AFRB No. 28 Disclosure of Parliamentary Appropriation effective 1 July 2003.</w:t>
            </w:r>
          </w:p>
          <w:p w14:paraId="7FCD3F6C" w14:textId="77777777" w:rsidR="00946158" w:rsidRPr="00A0681E" w:rsidRDefault="001B01DE" w:rsidP="001B01DE">
            <w:pPr>
              <w:pStyle w:val="Bullet1grey"/>
            </w:pPr>
            <w:r w:rsidRPr="001B01DE">
              <w:rPr>
                <w:bCs/>
              </w:rPr>
              <w:t>April 2022 to update references from AAS 29 to AASB 1058 and remove Appendix 1 as an identical illustration is included in the Model Report.</w:t>
            </w:r>
          </w:p>
          <w:p w14:paraId="5DE64125" w14:textId="57D527D1" w:rsidR="00A0681E" w:rsidRPr="001A1F03" w:rsidRDefault="00A0681E" w:rsidP="00A0681E">
            <w:pPr>
              <w:pStyle w:val="Bullet1grey"/>
            </w:pPr>
            <w:r w:rsidRPr="00A0681E">
              <w:t>April 2024 to require additional disclosures where funds relating to Advances from the Treasurer have not been fully spent or applied in the current reporting period.</w:t>
            </w:r>
          </w:p>
        </w:tc>
      </w:tr>
      <w:tr w:rsidR="00946158" w:rsidRPr="005828FE" w14:paraId="0CF0480E" w14:textId="77777777" w:rsidTr="00F912EF">
        <w:tc>
          <w:tcPr>
            <w:tcW w:w="2293" w:type="dxa"/>
          </w:tcPr>
          <w:p w14:paraId="1AB4019A" w14:textId="2DDDDC51" w:rsidR="00946158" w:rsidRPr="009D605B" w:rsidRDefault="009D605B" w:rsidP="00DF5B90">
            <w:pPr>
              <w:pStyle w:val="Normalbold"/>
              <w:rPr>
                <w:b w:val="0"/>
                <w:bCs/>
              </w:rPr>
            </w:pPr>
            <w:r w:rsidRPr="009D605B">
              <w:rPr>
                <w:b w:val="0"/>
                <w:bCs/>
              </w:rPr>
              <w:t>Model for Disclosure</w:t>
            </w:r>
          </w:p>
        </w:tc>
        <w:tc>
          <w:tcPr>
            <w:tcW w:w="270" w:type="dxa"/>
          </w:tcPr>
          <w:p w14:paraId="06AE3881" w14:textId="77777777" w:rsidR="00946158" w:rsidRPr="00946158" w:rsidRDefault="00946158" w:rsidP="00946158">
            <w:pPr>
              <w:pStyle w:val="Tabletextcentred"/>
            </w:pPr>
          </w:p>
        </w:tc>
        <w:tc>
          <w:tcPr>
            <w:tcW w:w="540" w:type="dxa"/>
          </w:tcPr>
          <w:p w14:paraId="15787C6F" w14:textId="77777777" w:rsidR="009D605B" w:rsidRPr="009D605B" w:rsidRDefault="009D605B" w:rsidP="009D605B">
            <w:pPr>
              <w:pStyle w:val="ListParagraph"/>
              <w:numPr>
                <w:ilvl w:val="0"/>
                <w:numId w:val="4"/>
              </w:numPr>
              <w:spacing w:line="240" w:lineRule="auto"/>
              <w:ind w:left="0"/>
              <w:contextualSpacing w:val="0"/>
              <w:rPr>
                <w:rFonts w:eastAsia="Calibri" w:cs="Times New Roman"/>
                <w:vanish/>
                <w:color w:val="FFFFFF" w:themeColor="background1"/>
                <w:spacing w:val="0"/>
              </w:rPr>
            </w:pPr>
          </w:p>
          <w:p w14:paraId="4E515775" w14:textId="77777777" w:rsidR="009D605B" w:rsidRPr="009D605B" w:rsidRDefault="009D605B" w:rsidP="009D605B">
            <w:pPr>
              <w:pStyle w:val="ListParagraph"/>
              <w:numPr>
                <w:ilvl w:val="1"/>
                <w:numId w:val="4"/>
              </w:numPr>
              <w:ind w:left="0"/>
              <w:contextualSpacing w:val="0"/>
              <w:rPr>
                <w:vanish/>
              </w:rPr>
            </w:pPr>
          </w:p>
          <w:p w14:paraId="64BA723F" w14:textId="6BCDB979" w:rsidR="00946158" w:rsidRPr="005828FE" w:rsidRDefault="00946158" w:rsidP="009D605B">
            <w:pPr>
              <w:pStyle w:val="Refnum2"/>
            </w:pPr>
          </w:p>
        </w:tc>
        <w:tc>
          <w:tcPr>
            <w:tcW w:w="6224" w:type="dxa"/>
          </w:tcPr>
          <w:p w14:paraId="5FBDBC5E" w14:textId="400B861D" w:rsidR="00946158" w:rsidRPr="001A1F03" w:rsidRDefault="001B01DE" w:rsidP="001B01DE">
            <w:pPr>
              <w:pStyle w:val="Normalgrey"/>
              <w:rPr>
                <w:b/>
              </w:rPr>
            </w:pPr>
            <w:r w:rsidRPr="001B01DE">
              <w:rPr>
                <w:i/>
                <w:iCs/>
              </w:rPr>
              <w:t xml:space="preserve">Model Report for Victorian Government Departments </w:t>
            </w:r>
            <w:r w:rsidR="00A0681E" w:rsidRPr="00A0681E">
              <w:rPr>
                <w:i/>
                <w:iCs/>
              </w:rPr>
              <w:t xml:space="preserve">– </w:t>
            </w:r>
            <w:r w:rsidR="00A0681E" w:rsidRPr="00307E21">
              <w:t>Note 2.3 Summary of compliance with annual Parliamentary and special appropriations.</w:t>
            </w:r>
          </w:p>
        </w:tc>
      </w:tr>
    </w:tbl>
    <w:p w14:paraId="334E6AF7" w14:textId="77777777" w:rsidR="00FE782F" w:rsidRDefault="00FE782F" w:rsidP="00FE782F"/>
    <w:sectPr w:rsidR="00FE782F" w:rsidSect="005828FE">
      <w:headerReference w:type="even" r:id="rId12"/>
      <w:headerReference w:type="default" r:id="rId13"/>
      <w:footerReference w:type="even" r:id="rId14"/>
      <w:footerReference w:type="default" r:id="rId15"/>
      <w:headerReference w:type="first" r:id="rId16"/>
      <w:footerReference w:type="first" r:id="rId17"/>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A957" w14:textId="77777777" w:rsidR="006328B6" w:rsidRDefault="006328B6" w:rsidP="002D711A">
      <w:pPr>
        <w:spacing w:after="0" w:line="240" w:lineRule="auto"/>
      </w:pPr>
      <w:r>
        <w:separator/>
      </w:r>
    </w:p>
    <w:p w14:paraId="60B64C30" w14:textId="77777777" w:rsidR="006328B6" w:rsidRDefault="006328B6"/>
  </w:endnote>
  <w:endnote w:type="continuationSeparator" w:id="0">
    <w:p w14:paraId="293E46EB" w14:textId="77777777" w:rsidR="006328B6" w:rsidRDefault="006328B6" w:rsidP="002D711A">
      <w:pPr>
        <w:spacing w:after="0" w:line="240" w:lineRule="auto"/>
      </w:pPr>
      <w:r>
        <w:continuationSeparator/>
      </w:r>
    </w:p>
    <w:p w14:paraId="55335FF7" w14:textId="77777777" w:rsidR="006328B6" w:rsidRDefault="00632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C6BA" w14:textId="16E48847" w:rsidR="0057703D" w:rsidRDefault="00F912EF" w:rsidP="00F912EF">
    <w:pPr>
      <w:pStyle w:val="Footer"/>
      <w:tabs>
        <w:tab w:val="left" w:pos="8640"/>
      </w:tabs>
    </w:pPr>
    <w:r>
      <mc:AlternateContent>
        <mc:Choice Requires="wps">
          <w:drawing>
            <wp:anchor distT="0" distB="0" distL="0" distR="0" simplePos="0" relativeHeight="251660800" behindDoc="0" locked="0" layoutInCell="1" allowOverlap="1" wp14:anchorId="584CC6C3" wp14:editId="7EED68AE">
              <wp:simplePos x="635" y="635"/>
              <wp:positionH relativeFrom="page">
                <wp:align>left</wp:align>
              </wp:positionH>
              <wp:positionV relativeFrom="page">
                <wp:align>bottom</wp:align>
              </wp:positionV>
              <wp:extent cx="443865" cy="443865"/>
              <wp:effectExtent l="0" t="0" r="1143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9343A" w14:textId="31E559EE"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4CC6C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0C9343A" w14:textId="31E559EE"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v:textbox>
              <w10:wrap anchorx="page" anchory="page"/>
            </v:shape>
          </w:pict>
        </mc:Fallback>
      </mc:AlternateContent>
    </w:r>
    <w:r w:rsidR="00014213">
      <w:drawing>
        <wp:anchor distT="0" distB="0" distL="114300" distR="114300" simplePos="0" relativeHeight="251658752" behindDoc="0" locked="0" layoutInCell="1" allowOverlap="1" wp14:anchorId="7ACEC00F" wp14:editId="48688148">
          <wp:simplePos x="0" y="0"/>
          <wp:positionH relativeFrom="column">
            <wp:posOffset>4240861</wp:posOffset>
          </wp:positionH>
          <wp:positionV relativeFrom="page">
            <wp:posOffset>9493250</wp:posOffset>
          </wp:positionV>
          <wp:extent cx="1956435" cy="582930"/>
          <wp:effectExtent l="0" t="0" r="5715" b="762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2E77" w14:textId="4B60827A" w:rsidR="00A516DE" w:rsidRDefault="00F912EF" w:rsidP="00A516DE">
    <w:pPr>
      <w:pStyle w:val="Spacer"/>
    </w:pPr>
    <w:r>
      <w:rPr>
        <w:noProof/>
      </w:rPr>
      <mc:AlternateContent>
        <mc:Choice Requires="wps">
          <w:drawing>
            <wp:anchor distT="0" distB="0" distL="0" distR="0" simplePos="0" relativeHeight="251661824" behindDoc="0" locked="0" layoutInCell="1" allowOverlap="1" wp14:anchorId="507A7064" wp14:editId="157A1223">
              <wp:simplePos x="914400" y="10192871"/>
              <wp:positionH relativeFrom="page">
                <wp:align>left</wp:align>
              </wp:positionH>
              <wp:positionV relativeFrom="page">
                <wp:align>bottom</wp:align>
              </wp:positionV>
              <wp:extent cx="443865" cy="443865"/>
              <wp:effectExtent l="0" t="0" r="1143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8A725" w14:textId="4E536F3A" w:rsidR="00F912EF" w:rsidRPr="00F912EF" w:rsidRDefault="00F912EF" w:rsidP="00F912EF">
                          <w:pPr>
                            <w:spacing w:after="0"/>
                            <w:rPr>
                              <w:rFonts w:ascii="Calibri" w:eastAsia="Calibri" w:hAnsi="Calibri" w:cs="Calibri"/>
                              <w:noProof/>
                              <w:color w:val="000000"/>
                              <w:sz w:val="22"/>
                              <w:szCs w:val="22"/>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7A7064"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CD8A725" w14:textId="4E536F3A" w:rsidR="00F912EF" w:rsidRPr="00F912EF" w:rsidRDefault="00F912EF" w:rsidP="00F912EF">
                    <w:pPr>
                      <w:spacing w:after="0"/>
                      <w:rPr>
                        <w:rFonts w:ascii="Calibri" w:eastAsia="Calibri" w:hAnsi="Calibri" w:cs="Calibri"/>
                        <w:noProof/>
                        <w:color w:val="000000"/>
                        <w:sz w:val="22"/>
                        <w:szCs w:val="22"/>
                      </w:rPr>
                    </w:pPr>
                  </w:p>
                </w:txbxContent>
              </v:textbox>
              <w10:wrap anchorx="page" anchory="page"/>
            </v:shape>
          </w:pict>
        </mc:Fallback>
      </mc:AlternateContent>
    </w:r>
  </w:p>
  <w:p w14:paraId="5C439A91" w14:textId="5CCB9184" w:rsidR="0041689E" w:rsidRPr="005828FE" w:rsidRDefault="009D605B" w:rsidP="0041689E">
    <w:pPr>
      <w:pStyle w:val="Footer"/>
      <w:spacing w:before="0"/>
    </w:pPr>
    <w:r>
      <w:rPr>
        <w:b/>
        <w:noProof w:val="0"/>
      </w:rPr>
      <w:t>FRD 13</w:t>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7B6914">
      <w:t>Disclosure of Parliamentary Appropriations (April 2024)</w:t>
    </w:r>
    <w:r w:rsidR="006C78FB" w:rsidRPr="006C78FB">
      <w:fldChar w:fldCharType="end"/>
    </w:r>
    <w:r w:rsidR="0041689E" w:rsidRPr="00C022F9">
      <w:tab/>
    </w:r>
    <w:r w:rsidR="0041689E" w:rsidRPr="005828FE">
      <w:t xml:space="preserve">Page </w:t>
    </w:r>
    <w:r w:rsidR="0041689E" w:rsidRPr="005828FE">
      <w:rPr>
        <w:rStyle w:val="PageNumber"/>
        <w:color w:val="auto"/>
      </w:rPr>
      <w:fldChar w:fldCharType="begin"/>
    </w:r>
    <w:r w:rsidR="0041689E" w:rsidRPr="005828FE">
      <w:rPr>
        <w:rStyle w:val="PageNumber"/>
        <w:color w:val="auto"/>
      </w:rPr>
      <w:instrText xml:space="preserve"> Page </w:instrText>
    </w:r>
    <w:r w:rsidR="0041689E" w:rsidRPr="005828FE">
      <w:rPr>
        <w:rStyle w:val="PageNumber"/>
        <w:color w:val="auto"/>
      </w:rPr>
      <w:fldChar w:fldCharType="separate"/>
    </w:r>
    <w:r w:rsidR="00DF5B90">
      <w:rPr>
        <w:rStyle w:val="PageNumber"/>
        <w:color w:val="auto"/>
      </w:rPr>
      <w:t>1</w:t>
    </w:r>
    <w:r w:rsidR="0041689E" w:rsidRPr="005828FE">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53AA" w14:textId="6B8C7065" w:rsidR="00F912EF" w:rsidRDefault="00F912EF">
    <w:pPr>
      <w:pStyle w:val="Footer"/>
    </w:pPr>
    <w:r>
      <mc:AlternateContent>
        <mc:Choice Requires="wps">
          <w:drawing>
            <wp:anchor distT="0" distB="0" distL="0" distR="0" simplePos="0" relativeHeight="251659776" behindDoc="0" locked="0" layoutInCell="1" allowOverlap="1" wp14:anchorId="05C0D1A0" wp14:editId="19D5C3FD">
              <wp:simplePos x="635" y="635"/>
              <wp:positionH relativeFrom="page">
                <wp:align>left</wp:align>
              </wp:positionH>
              <wp:positionV relativeFrom="page">
                <wp:align>bottom</wp:align>
              </wp:positionV>
              <wp:extent cx="443865" cy="443865"/>
              <wp:effectExtent l="0" t="0" r="1143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954F4" w14:textId="35DCCFD6"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C0D1A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B1954F4" w14:textId="35DCCFD6"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A44E" w14:textId="77777777" w:rsidR="006328B6" w:rsidRDefault="006328B6" w:rsidP="002D711A">
      <w:pPr>
        <w:spacing w:after="0" w:line="240" w:lineRule="auto"/>
      </w:pPr>
      <w:r>
        <w:separator/>
      </w:r>
    </w:p>
    <w:p w14:paraId="5DC40406" w14:textId="77777777" w:rsidR="006328B6" w:rsidRDefault="006328B6"/>
  </w:footnote>
  <w:footnote w:type="continuationSeparator" w:id="0">
    <w:p w14:paraId="4DAC26D4" w14:textId="77777777" w:rsidR="006328B6" w:rsidRDefault="006328B6" w:rsidP="002D711A">
      <w:pPr>
        <w:spacing w:after="0" w:line="240" w:lineRule="auto"/>
      </w:pPr>
      <w:r>
        <w:continuationSeparator/>
      </w:r>
    </w:p>
    <w:p w14:paraId="605A6FED" w14:textId="77777777" w:rsidR="006328B6" w:rsidRDefault="00632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AF06" w14:textId="77777777" w:rsidR="00414A1B" w:rsidRDefault="00414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D715" w14:textId="77777777" w:rsidR="0041689E" w:rsidRPr="0041689E" w:rsidRDefault="005828FE" w:rsidP="005828FE">
    <w:pPr>
      <w:pStyle w:val="Header"/>
      <w:tabs>
        <w:tab w:val="clear" w:pos="9026"/>
      </w:tabs>
      <w:ind w:right="-694"/>
      <w:jc w:val="right"/>
    </w:pPr>
    <w:r>
      <w:rPr>
        <w:noProof/>
      </w:rPr>
      <w:drawing>
        <wp:inline distT="0" distB="0" distL="0" distR="0" wp14:anchorId="67C412C7" wp14:editId="3B890E92">
          <wp:extent cx="813816" cy="466344"/>
          <wp:effectExtent l="0" t="0" r="571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6CEE22EF" w14:textId="77777777" w:rsidR="0057703D" w:rsidRDefault="005770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C715" w14:textId="77777777" w:rsidR="00414A1B" w:rsidRDefault="00414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0B5"/>
    <w:multiLevelType w:val="hybridMultilevel"/>
    <w:tmpl w:val="0D304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6C0124D7"/>
    <w:multiLevelType w:val="multilevel"/>
    <w:tmpl w:val="576071D4"/>
    <w:lvl w:ilvl="0">
      <w:start w:val="1"/>
      <w:numFmt w:val="decimal"/>
      <w:pStyle w:val="Refnum1"/>
      <w:suff w:val="nothing"/>
      <w:lvlText w:val="%1."/>
      <w:lvlJc w:val="left"/>
      <w:rPr>
        <w:rFonts w:hint="default"/>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rPr>
        <w:rFonts w:hint="default"/>
        <w:b w:val="0"/>
        <w:bCs w:val="0"/>
        <w:i w:val="0"/>
        <w:iCs w:val="0"/>
        <w:caps w:val="0"/>
        <w:smallCaps w:val="0"/>
        <w:strike w:val="0"/>
        <w:dstrike w:val="0"/>
        <w:vanish w:val="0"/>
        <w:color w:val="F2F2F2" w:themeColor="background1" w:themeShade="F2"/>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7FD44514"/>
    <w:multiLevelType w:val="multilevel"/>
    <w:tmpl w:val="C98C8164"/>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b w:val="0"/>
        <w:bCs/>
      </w:rPr>
    </w:lvl>
    <w:lvl w:ilvl="3">
      <w:start w:val="1"/>
      <w:numFmt w:val="lowerRoman"/>
      <w:pStyle w:val="Listnum2grey"/>
      <w:lvlText w:val="(%4)"/>
      <w:lvlJc w:val="left"/>
      <w:pPr>
        <w:tabs>
          <w:tab w:val="num" w:pos="1008"/>
        </w:tabs>
        <w:ind w:left="1008" w:hanging="504"/>
      </w:pPr>
      <w:rPr>
        <w:rFonts w:asciiTheme="minorHAnsi" w:eastAsiaTheme="minorHAnsi" w:hAnsiTheme="minorHAnsi" w:cstheme="minorBidi"/>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447852361">
    <w:abstractNumId w:val="2"/>
  </w:num>
  <w:num w:numId="2" w16cid:durableId="393622712">
    <w:abstractNumId w:val="4"/>
  </w:num>
  <w:num w:numId="3" w16cid:durableId="53044248">
    <w:abstractNumId w:val="1"/>
  </w:num>
  <w:num w:numId="4" w16cid:durableId="782916373">
    <w:abstractNumId w:val="3"/>
  </w:num>
  <w:num w:numId="5" w16cid:durableId="299463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7148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4517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2726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393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320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9305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9581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843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414183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58"/>
    <w:rsid w:val="0000176A"/>
    <w:rsid w:val="00002C0A"/>
    <w:rsid w:val="00012C33"/>
    <w:rsid w:val="00012F6F"/>
    <w:rsid w:val="00014213"/>
    <w:rsid w:val="00014B55"/>
    <w:rsid w:val="00020E3E"/>
    <w:rsid w:val="00023BF3"/>
    <w:rsid w:val="00026811"/>
    <w:rsid w:val="0004356D"/>
    <w:rsid w:val="00045296"/>
    <w:rsid w:val="00051C04"/>
    <w:rsid w:val="00062741"/>
    <w:rsid w:val="00064078"/>
    <w:rsid w:val="00075E6C"/>
    <w:rsid w:val="000B29AD"/>
    <w:rsid w:val="000C6372"/>
    <w:rsid w:val="000E392D"/>
    <w:rsid w:val="000F4288"/>
    <w:rsid w:val="000F7165"/>
    <w:rsid w:val="00102379"/>
    <w:rsid w:val="001065D6"/>
    <w:rsid w:val="00106E44"/>
    <w:rsid w:val="00112300"/>
    <w:rsid w:val="001137DC"/>
    <w:rsid w:val="00117C6B"/>
    <w:rsid w:val="00121252"/>
    <w:rsid w:val="001223E1"/>
    <w:rsid w:val="00124609"/>
    <w:rsid w:val="001254CE"/>
    <w:rsid w:val="001302DE"/>
    <w:rsid w:val="00130B7A"/>
    <w:rsid w:val="00134CEA"/>
    <w:rsid w:val="00141600"/>
    <w:rsid w:val="001422CC"/>
    <w:rsid w:val="0015410E"/>
    <w:rsid w:val="00154FDB"/>
    <w:rsid w:val="001617B6"/>
    <w:rsid w:val="00165E66"/>
    <w:rsid w:val="00173EA0"/>
    <w:rsid w:val="001A5079"/>
    <w:rsid w:val="001A6322"/>
    <w:rsid w:val="001B01DE"/>
    <w:rsid w:val="001C7BAE"/>
    <w:rsid w:val="001E31FA"/>
    <w:rsid w:val="001E64F6"/>
    <w:rsid w:val="00204CB9"/>
    <w:rsid w:val="00215F7C"/>
    <w:rsid w:val="00222BEB"/>
    <w:rsid w:val="00225E60"/>
    <w:rsid w:val="00231BD3"/>
    <w:rsid w:val="0023202C"/>
    <w:rsid w:val="00236203"/>
    <w:rsid w:val="00245043"/>
    <w:rsid w:val="00257760"/>
    <w:rsid w:val="002752C5"/>
    <w:rsid w:val="002804C0"/>
    <w:rsid w:val="00286F9A"/>
    <w:rsid w:val="00287AFF"/>
    <w:rsid w:val="00292D36"/>
    <w:rsid w:val="00297281"/>
    <w:rsid w:val="002A4004"/>
    <w:rsid w:val="002A79B8"/>
    <w:rsid w:val="002C54E0"/>
    <w:rsid w:val="002D711A"/>
    <w:rsid w:val="002D7336"/>
    <w:rsid w:val="002E3359"/>
    <w:rsid w:val="002E3396"/>
    <w:rsid w:val="00307E21"/>
    <w:rsid w:val="0031149C"/>
    <w:rsid w:val="00321AC8"/>
    <w:rsid w:val="003225E4"/>
    <w:rsid w:val="00340AF1"/>
    <w:rsid w:val="003549C7"/>
    <w:rsid w:val="00361426"/>
    <w:rsid w:val="00363179"/>
    <w:rsid w:val="003709E5"/>
    <w:rsid w:val="00382EE1"/>
    <w:rsid w:val="00385422"/>
    <w:rsid w:val="0038771C"/>
    <w:rsid w:val="0039405B"/>
    <w:rsid w:val="003A1C92"/>
    <w:rsid w:val="003A541A"/>
    <w:rsid w:val="003A6923"/>
    <w:rsid w:val="003B0D0C"/>
    <w:rsid w:val="003C2C67"/>
    <w:rsid w:val="003C5BA4"/>
    <w:rsid w:val="003E1FBD"/>
    <w:rsid w:val="003E3E26"/>
    <w:rsid w:val="003E6774"/>
    <w:rsid w:val="003F1295"/>
    <w:rsid w:val="003F76FC"/>
    <w:rsid w:val="004002EB"/>
    <w:rsid w:val="00403D50"/>
    <w:rsid w:val="00414A1B"/>
    <w:rsid w:val="0041689E"/>
    <w:rsid w:val="00421F2E"/>
    <w:rsid w:val="004236C8"/>
    <w:rsid w:val="00427681"/>
    <w:rsid w:val="00433DB7"/>
    <w:rsid w:val="00453750"/>
    <w:rsid w:val="00456941"/>
    <w:rsid w:val="00464F7E"/>
    <w:rsid w:val="0046697B"/>
    <w:rsid w:val="004702EA"/>
    <w:rsid w:val="0047068E"/>
    <w:rsid w:val="00482D02"/>
    <w:rsid w:val="004A7519"/>
    <w:rsid w:val="004B423B"/>
    <w:rsid w:val="004D3518"/>
    <w:rsid w:val="004D62D6"/>
    <w:rsid w:val="004D71D7"/>
    <w:rsid w:val="004F163E"/>
    <w:rsid w:val="004F6445"/>
    <w:rsid w:val="00520D89"/>
    <w:rsid w:val="0053416C"/>
    <w:rsid w:val="00541C2F"/>
    <w:rsid w:val="00554086"/>
    <w:rsid w:val="00563527"/>
    <w:rsid w:val="00565CF3"/>
    <w:rsid w:val="0057703D"/>
    <w:rsid w:val="0058124E"/>
    <w:rsid w:val="005828FE"/>
    <w:rsid w:val="005875A3"/>
    <w:rsid w:val="0059258B"/>
    <w:rsid w:val="005A3416"/>
    <w:rsid w:val="005B27FE"/>
    <w:rsid w:val="005B2D83"/>
    <w:rsid w:val="005C3E6D"/>
    <w:rsid w:val="005D51F0"/>
    <w:rsid w:val="005F61DF"/>
    <w:rsid w:val="005F681F"/>
    <w:rsid w:val="006023F9"/>
    <w:rsid w:val="00605FE0"/>
    <w:rsid w:val="00610559"/>
    <w:rsid w:val="006328B6"/>
    <w:rsid w:val="006332F6"/>
    <w:rsid w:val="00637694"/>
    <w:rsid w:val="0064025F"/>
    <w:rsid w:val="006519F6"/>
    <w:rsid w:val="00652625"/>
    <w:rsid w:val="0065316A"/>
    <w:rsid w:val="006534B2"/>
    <w:rsid w:val="0065615D"/>
    <w:rsid w:val="00657011"/>
    <w:rsid w:val="006650B5"/>
    <w:rsid w:val="006651B1"/>
    <w:rsid w:val="00665778"/>
    <w:rsid w:val="00674493"/>
    <w:rsid w:val="006835E6"/>
    <w:rsid w:val="00683F5D"/>
    <w:rsid w:val="006A51B9"/>
    <w:rsid w:val="006A5B34"/>
    <w:rsid w:val="006A5F5B"/>
    <w:rsid w:val="006B2873"/>
    <w:rsid w:val="006C77A9"/>
    <w:rsid w:val="006C78FB"/>
    <w:rsid w:val="006D66F9"/>
    <w:rsid w:val="006E77F4"/>
    <w:rsid w:val="006F2865"/>
    <w:rsid w:val="006F6693"/>
    <w:rsid w:val="0070117D"/>
    <w:rsid w:val="00707FE8"/>
    <w:rsid w:val="0071579A"/>
    <w:rsid w:val="00724962"/>
    <w:rsid w:val="00724A0F"/>
    <w:rsid w:val="00732162"/>
    <w:rsid w:val="00736732"/>
    <w:rsid w:val="00740302"/>
    <w:rsid w:val="0074281E"/>
    <w:rsid w:val="00745174"/>
    <w:rsid w:val="00750CBE"/>
    <w:rsid w:val="00766B5A"/>
    <w:rsid w:val="00775CC8"/>
    <w:rsid w:val="007834F2"/>
    <w:rsid w:val="00791020"/>
    <w:rsid w:val="007A5F82"/>
    <w:rsid w:val="007B6914"/>
    <w:rsid w:val="007F1A4C"/>
    <w:rsid w:val="007F6E24"/>
    <w:rsid w:val="008022C3"/>
    <w:rsid w:val="008041E6"/>
    <w:rsid w:val="008065D2"/>
    <w:rsid w:val="00810B51"/>
    <w:rsid w:val="0082194C"/>
    <w:rsid w:val="008220C4"/>
    <w:rsid w:val="008222FF"/>
    <w:rsid w:val="008241FF"/>
    <w:rsid w:val="008411E9"/>
    <w:rsid w:val="0084200F"/>
    <w:rsid w:val="00843B2C"/>
    <w:rsid w:val="00863669"/>
    <w:rsid w:val="008A0739"/>
    <w:rsid w:val="008A4900"/>
    <w:rsid w:val="008B06C0"/>
    <w:rsid w:val="008B2A17"/>
    <w:rsid w:val="008C63EE"/>
    <w:rsid w:val="008D0281"/>
    <w:rsid w:val="008E0051"/>
    <w:rsid w:val="008E3C4E"/>
    <w:rsid w:val="008F6D45"/>
    <w:rsid w:val="00912391"/>
    <w:rsid w:val="00942CF8"/>
    <w:rsid w:val="00946158"/>
    <w:rsid w:val="00957221"/>
    <w:rsid w:val="00961073"/>
    <w:rsid w:val="00962BE9"/>
    <w:rsid w:val="00963C94"/>
    <w:rsid w:val="009834C0"/>
    <w:rsid w:val="00986322"/>
    <w:rsid w:val="00986AAC"/>
    <w:rsid w:val="0099093E"/>
    <w:rsid w:val="009A1DA2"/>
    <w:rsid w:val="009A3704"/>
    <w:rsid w:val="009A4739"/>
    <w:rsid w:val="009A674F"/>
    <w:rsid w:val="009B199C"/>
    <w:rsid w:val="009B54C8"/>
    <w:rsid w:val="009B61F1"/>
    <w:rsid w:val="009B62E0"/>
    <w:rsid w:val="009C3D88"/>
    <w:rsid w:val="009C503D"/>
    <w:rsid w:val="009D605B"/>
    <w:rsid w:val="009E3858"/>
    <w:rsid w:val="009E440B"/>
    <w:rsid w:val="009E70DD"/>
    <w:rsid w:val="009F2ED9"/>
    <w:rsid w:val="009F3231"/>
    <w:rsid w:val="009F4BBC"/>
    <w:rsid w:val="009F5C58"/>
    <w:rsid w:val="00A023A0"/>
    <w:rsid w:val="00A03F5F"/>
    <w:rsid w:val="00A0681E"/>
    <w:rsid w:val="00A1562B"/>
    <w:rsid w:val="00A170F4"/>
    <w:rsid w:val="00A2559E"/>
    <w:rsid w:val="00A25FD9"/>
    <w:rsid w:val="00A46BA8"/>
    <w:rsid w:val="00A47634"/>
    <w:rsid w:val="00A516DE"/>
    <w:rsid w:val="00A612FE"/>
    <w:rsid w:val="00A736BE"/>
    <w:rsid w:val="00AA26B8"/>
    <w:rsid w:val="00AA3655"/>
    <w:rsid w:val="00AA4D53"/>
    <w:rsid w:val="00AB3FE2"/>
    <w:rsid w:val="00AC11CF"/>
    <w:rsid w:val="00AC4B9D"/>
    <w:rsid w:val="00AD3322"/>
    <w:rsid w:val="00AD7E4E"/>
    <w:rsid w:val="00AF3D47"/>
    <w:rsid w:val="00AF48A0"/>
    <w:rsid w:val="00AF4D58"/>
    <w:rsid w:val="00AF6666"/>
    <w:rsid w:val="00B06729"/>
    <w:rsid w:val="00B10154"/>
    <w:rsid w:val="00B371C7"/>
    <w:rsid w:val="00B37CA5"/>
    <w:rsid w:val="00B6366E"/>
    <w:rsid w:val="00B81B44"/>
    <w:rsid w:val="00B9053B"/>
    <w:rsid w:val="00B93C44"/>
    <w:rsid w:val="00BB37C5"/>
    <w:rsid w:val="00BC3422"/>
    <w:rsid w:val="00BC6691"/>
    <w:rsid w:val="00C015B9"/>
    <w:rsid w:val="00C022F9"/>
    <w:rsid w:val="00C032EA"/>
    <w:rsid w:val="00C04715"/>
    <w:rsid w:val="00C06EB5"/>
    <w:rsid w:val="00C1145F"/>
    <w:rsid w:val="00C138E8"/>
    <w:rsid w:val="00C250DC"/>
    <w:rsid w:val="00C637E1"/>
    <w:rsid w:val="00C70D50"/>
    <w:rsid w:val="00C907D7"/>
    <w:rsid w:val="00C92338"/>
    <w:rsid w:val="00CA1DC8"/>
    <w:rsid w:val="00CA7C3A"/>
    <w:rsid w:val="00CB4622"/>
    <w:rsid w:val="00CC29FD"/>
    <w:rsid w:val="00CC2DB2"/>
    <w:rsid w:val="00CC5E33"/>
    <w:rsid w:val="00CD0307"/>
    <w:rsid w:val="00CD1647"/>
    <w:rsid w:val="00CD3D1B"/>
    <w:rsid w:val="00CD5AD4"/>
    <w:rsid w:val="00CE0B0D"/>
    <w:rsid w:val="00CF7DCA"/>
    <w:rsid w:val="00D0364F"/>
    <w:rsid w:val="00D211E9"/>
    <w:rsid w:val="00D2312F"/>
    <w:rsid w:val="00D269C1"/>
    <w:rsid w:val="00D44953"/>
    <w:rsid w:val="00D45E19"/>
    <w:rsid w:val="00D542F3"/>
    <w:rsid w:val="00D5644B"/>
    <w:rsid w:val="00D56E25"/>
    <w:rsid w:val="00D718D7"/>
    <w:rsid w:val="00D814B7"/>
    <w:rsid w:val="00D90688"/>
    <w:rsid w:val="00DA3AAD"/>
    <w:rsid w:val="00DA7832"/>
    <w:rsid w:val="00DB312B"/>
    <w:rsid w:val="00DC5654"/>
    <w:rsid w:val="00DC658F"/>
    <w:rsid w:val="00DD5EB6"/>
    <w:rsid w:val="00DD666E"/>
    <w:rsid w:val="00DE60CC"/>
    <w:rsid w:val="00DF4B71"/>
    <w:rsid w:val="00DF5B90"/>
    <w:rsid w:val="00E122DB"/>
    <w:rsid w:val="00E1551F"/>
    <w:rsid w:val="00E20142"/>
    <w:rsid w:val="00E26B32"/>
    <w:rsid w:val="00E30E0A"/>
    <w:rsid w:val="00E3232B"/>
    <w:rsid w:val="00E407B6"/>
    <w:rsid w:val="00E41EF1"/>
    <w:rsid w:val="00E42942"/>
    <w:rsid w:val="00E43B3A"/>
    <w:rsid w:val="00E468A6"/>
    <w:rsid w:val="00E65352"/>
    <w:rsid w:val="00E71BDF"/>
    <w:rsid w:val="00E80797"/>
    <w:rsid w:val="00E823A5"/>
    <w:rsid w:val="00E83CA7"/>
    <w:rsid w:val="00EA03A3"/>
    <w:rsid w:val="00EC171D"/>
    <w:rsid w:val="00ED487E"/>
    <w:rsid w:val="00EE7A0D"/>
    <w:rsid w:val="00F108A7"/>
    <w:rsid w:val="00F119E3"/>
    <w:rsid w:val="00F17CE1"/>
    <w:rsid w:val="00F2115C"/>
    <w:rsid w:val="00F22ABA"/>
    <w:rsid w:val="00F23366"/>
    <w:rsid w:val="00F36B12"/>
    <w:rsid w:val="00F52699"/>
    <w:rsid w:val="00F55AF4"/>
    <w:rsid w:val="00F60F9F"/>
    <w:rsid w:val="00F64B75"/>
    <w:rsid w:val="00F64F08"/>
    <w:rsid w:val="00F734F5"/>
    <w:rsid w:val="00F834BA"/>
    <w:rsid w:val="00F912EF"/>
    <w:rsid w:val="00F9495A"/>
    <w:rsid w:val="00F966B1"/>
    <w:rsid w:val="00F97D48"/>
    <w:rsid w:val="00FA0311"/>
    <w:rsid w:val="00FA1680"/>
    <w:rsid w:val="00FB1EC9"/>
    <w:rsid w:val="00FC42E5"/>
    <w:rsid w:val="00FD640F"/>
    <w:rsid w:val="00FD6B4C"/>
    <w:rsid w:val="00FE782F"/>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2E338"/>
  <w15:docId w15:val="{0E028720-BBEB-455E-AEBA-94B473C7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D0C"/>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F912EF"/>
    <w:rPr>
      <w:color w:val="0063A6" w:themeColor="accent1"/>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1"/>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2"/>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2"/>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2"/>
      </w:numPr>
      <w:spacing w:before="100"/>
      <w:contextualSpacing/>
    </w:pPr>
  </w:style>
  <w:style w:type="paragraph" w:customStyle="1" w:styleId="Listnumindent">
    <w:name w:val="List num indent"/>
    <w:basedOn w:val="Normal"/>
    <w:uiPriority w:val="7"/>
    <w:qFormat/>
    <w:rsid w:val="00EC171D"/>
    <w:pPr>
      <w:numPr>
        <w:ilvl w:val="6"/>
        <w:numId w:val="2"/>
      </w:numPr>
      <w:spacing w:before="100"/>
    </w:pPr>
  </w:style>
  <w:style w:type="paragraph" w:customStyle="1" w:styleId="Listnum">
    <w:name w:val="List num"/>
    <w:basedOn w:val="Normal"/>
    <w:uiPriority w:val="1"/>
    <w:qFormat/>
    <w:rsid w:val="00FE782F"/>
    <w:pPr>
      <w:numPr>
        <w:numId w:val="2"/>
      </w:numPr>
      <w:contextualSpacing/>
    </w:pPr>
  </w:style>
  <w:style w:type="paragraph" w:customStyle="1" w:styleId="Listnum2">
    <w:name w:val="List num 2"/>
    <w:basedOn w:val="Normal"/>
    <w:uiPriority w:val="1"/>
    <w:qFormat/>
    <w:rsid w:val="00117C6B"/>
    <w:pPr>
      <w:numPr>
        <w:ilvl w:val="1"/>
        <w:numId w:val="2"/>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3"/>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F912EF"/>
    <w:pPr>
      <w:keepLines/>
      <w:spacing w:after="120"/>
    </w:pPr>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4"/>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912EF"/>
    <w:pPr>
      <w:numPr>
        <w:ilvl w:val="2"/>
        <w:numId w:val="2"/>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912EF"/>
    <w:pPr>
      <w:numPr>
        <w:ilvl w:val="3"/>
        <w:numId w:val="2"/>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4"/>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character" w:styleId="CommentReference">
    <w:name w:val="annotation reference"/>
    <w:basedOn w:val="DefaultParagraphFont"/>
    <w:uiPriority w:val="99"/>
    <w:semiHidden/>
    <w:unhideWhenUsed/>
    <w:rsid w:val="00946158"/>
    <w:rPr>
      <w:sz w:val="16"/>
      <w:szCs w:val="16"/>
    </w:rPr>
  </w:style>
  <w:style w:type="paragraph" w:styleId="Revision">
    <w:name w:val="Revision"/>
    <w:hidden/>
    <w:uiPriority w:val="99"/>
    <w:semiHidden/>
    <w:rsid w:val="008B06C0"/>
    <w:pPr>
      <w:spacing w:after="0" w:line="240" w:lineRule="auto"/>
    </w:pPr>
    <w:rPr>
      <w:spacing w:val="2"/>
      <w:sz w:val="18"/>
    </w:rPr>
  </w:style>
  <w:style w:type="paragraph" w:styleId="CommentText">
    <w:name w:val="annotation text"/>
    <w:basedOn w:val="Normal"/>
    <w:link w:val="CommentTextChar"/>
    <w:uiPriority w:val="99"/>
    <w:unhideWhenUsed/>
    <w:rsid w:val="00C250DC"/>
    <w:pPr>
      <w:spacing w:line="240" w:lineRule="auto"/>
    </w:pPr>
    <w:rPr>
      <w:sz w:val="20"/>
    </w:rPr>
  </w:style>
  <w:style w:type="character" w:customStyle="1" w:styleId="CommentTextChar">
    <w:name w:val="Comment Text Char"/>
    <w:basedOn w:val="DefaultParagraphFont"/>
    <w:link w:val="CommentText"/>
    <w:uiPriority w:val="99"/>
    <w:rsid w:val="00C250DC"/>
    <w:rPr>
      <w:spacing w:val="2"/>
    </w:rPr>
  </w:style>
  <w:style w:type="paragraph" w:styleId="CommentSubject">
    <w:name w:val="annotation subject"/>
    <w:basedOn w:val="CommentText"/>
    <w:next w:val="CommentText"/>
    <w:link w:val="CommentSubjectChar"/>
    <w:uiPriority w:val="99"/>
    <w:semiHidden/>
    <w:unhideWhenUsed/>
    <w:rsid w:val="00C250DC"/>
    <w:rPr>
      <w:b/>
      <w:bCs/>
    </w:rPr>
  </w:style>
  <w:style w:type="character" w:customStyle="1" w:styleId="CommentSubjectChar">
    <w:name w:val="Comment Subject Char"/>
    <w:basedOn w:val="CommentTextChar"/>
    <w:link w:val="CommentSubject"/>
    <w:uiPriority w:val="99"/>
    <w:semiHidden/>
    <w:rsid w:val="00C250DC"/>
    <w:rPr>
      <w:b/>
      <w:bCs/>
      <w:spacing w:val="2"/>
    </w:rPr>
  </w:style>
  <w:style w:type="paragraph" w:styleId="ListParagraph">
    <w:name w:val="List Paragraph"/>
    <w:basedOn w:val="Normal"/>
    <w:uiPriority w:val="1"/>
    <w:semiHidden/>
    <w:qFormat/>
    <w:rsid w:val="00E43B3A"/>
    <w:pPr>
      <w:ind w:left="720"/>
      <w:contextualSpacing/>
    </w:pPr>
  </w:style>
  <w:style w:type="character" w:styleId="FollowedHyperlink">
    <w:name w:val="FollowedHyperlink"/>
    <w:basedOn w:val="DefaultParagraphFont"/>
    <w:uiPriority w:val="99"/>
    <w:semiHidden/>
    <w:unhideWhenUsed/>
    <w:rsid w:val="00B06729"/>
    <w:rPr>
      <w:color w:val="8A2A2B" w:themeColor="followedHyperlink"/>
      <w:u w:val="single"/>
    </w:rPr>
  </w:style>
  <w:style w:type="character" w:styleId="UnresolvedMention">
    <w:name w:val="Unresolved Mention"/>
    <w:basedOn w:val="DefaultParagraphFont"/>
    <w:uiPriority w:val="99"/>
    <w:semiHidden/>
    <w:unhideWhenUsed/>
    <w:rsid w:val="00B0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1fffbad-fc14-48aa-b0d1-9be411fd36c8">Unallocated</Status>
    <Business_x0020_Area xmlns="51fffbad-fc14-48aa-b0d1-9be411fd36c8" xsi:nil="true"/>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SharedWithUsers xmlns="15b0d6e9-e99b-40a9-aaa3-9b8d7d95b219">
      <UserInfo>
        <DisplayName>Raditya Santoso (DTF)</DisplayName>
        <AccountId>972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7" ma:contentTypeDescription="Create a new document." ma:contentTypeScope="" ma:versionID="0bd29f4972f0aa59d33e21aa211890df">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2e323248b47ae0d96a708140d7731565"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6F638C-0F9C-4F92-9CD1-EB607AEEA557}">
  <ds:schemaRefs>
    <ds:schemaRef ds:uri="http://schemas.microsoft.com/office/2006/metadata/properties"/>
    <ds:schemaRef ds:uri="http://schemas.microsoft.com/office/infopath/2007/PartnerControls"/>
    <ds:schemaRef ds:uri="51fffbad-fc14-48aa-b0d1-9be411fd36c8"/>
    <ds:schemaRef ds:uri="http://schemas.microsoft.com/sharepoint/v3"/>
    <ds:schemaRef ds:uri="http://schemas.microsoft.com/sharepoint/v4"/>
    <ds:schemaRef ds:uri="15b0d6e9-e99b-40a9-aaa3-9b8d7d95b219"/>
  </ds:schemaRefs>
</ds:datastoreItem>
</file>

<file path=customXml/itemProps2.xml><?xml version="1.0" encoding="utf-8"?>
<ds:datastoreItem xmlns:ds="http://schemas.openxmlformats.org/officeDocument/2006/customXml" ds:itemID="{1C3125FB-A807-455C-9EF2-DA75CD5355CC}">
  <ds:schemaRefs>
    <ds:schemaRef ds:uri="http://schemas.microsoft.com/sharepoint/v3/contenttype/forms"/>
  </ds:schemaRefs>
</ds:datastoreItem>
</file>

<file path=customXml/itemProps3.xml><?xml version="1.0" encoding="utf-8"?>
<ds:datastoreItem xmlns:ds="http://schemas.openxmlformats.org/officeDocument/2006/customXml" ds:itemID="{314D960A-E7FA-4855-B936-83307C15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FB205-B71F-40C9-8A3B-D724BA8A14EC}">
  <ds:schemaRefs>
    <ds:schemaRef ds:uri="http://schemas.openxmlformats.org/officeDocument/2006/bibliography"/>
  </ds:schemaRefs>
</ds:datastoreItem>
</file>

<file path=customXml/itemProps5.xml><?xml version="1.0" encoding="utf-8"?>
<ds:datastoreItem xmlns:ds="http://schemas.openxmlformats.org/officeDocument/2006/customXml" ds:itemID="{CE869DDA-1A4E-43CD-814E-09166C5673D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42</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 (DTF)</dc:creator>
  <cp:lastModifiedBy>Ryan Arthur (DTF)</cp:lastModifiedBy>
  <cp:revision>22</cp:revision>
  <cp:lastPrinted>2016-03-03T04:13:00Z</cp:lastPrinted>
  <dcterms:created xsi:type="dcterms:W3CDTF">2024-01-02T19:39:00Z</dcterms:created>
  <dcterms:modified xsi:type="dcterms:W3CDTF">2024-05-09T07:03:00Z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ClassificationContentMarkingFooterShapeIds">
    <vt:lpwstr>1,2,5</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2023-11-29T03:33:02Z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952555c0-9b6c-4f1e-bccc-2480ea5b8ce5</vt:lpwstr>
  </property>
  <property fmtid="{D5CDD505-2E9C-101B-9397-08002B2CF9AE}" pid="13" name="MSIP_Label_7158ebbd-6c5e-441f-bfc9-4eb8c11e3978_ContentBits">
    <vt:lpwstr>2</vt:lpwstr>
  </property>
  <property fmtid="{D5CDD505-2E9C-101B-9397-08002B2CF9AE}" pid="14" name="ContentTypeId">
    <vt:lpwstr>0x010100B90C5CF1D5BBA04DAA218BE598E345AC</vt:lpwstr>
  </property>
  <property fmtid="{D5CDD505-2E9C-101B-9397-08002B2CF9AE}" pid="15" name="MediaServiceImageTags">
    <vt:lpwstr/>
  </property>
</Properties>
</file>