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141" w:type="dxa"/>
        <w:tblLayout w:type="fixed"/>
        <w:tblLook w:val="0620" w:firstRow="1" w:lastRow="0" w:firstColumn="0" w:lastColumn="0" w:noHBand="1" w:noVBand="1"/>
      </w:tblPr>
      <w:tblGrid>
        <w:gridCol w:w="2200"/>
        <w:gridCol w:w="70"/>
        <w:gridCol w:w="103"/>
        <w:gridCol w:w="71"/>
        <w:gridCol w:w="590"/>
        <w:gridCol w:w="40"/>
        <w:gridCol w:w="6018"/>
        <w:gridCol w:w="37"/>
        <w:gridCol w:w="12"/>
      </w:tblGrid>
      <w:tr w:rsidR="002C2C36" w:rsidRPr="004423D0" w14:paraId="69C3DDDE" w14:textId="77777777" w:rsidTr="00273A66">
        <w:trPr>
          <w:gridAfter w:val="1"/>
          <w:cnfStyle w:val="100000000000" w:firstRow="1" w:lastRow="0" w:firstColumn="0" w:lastColumn="0" w:oddVBand="0" w:evenVBand="0" w:oddHBand="0" w:evenHBand="0" w:firstRowFirstColumn="0" w:firstRowLastColumn="0" w:lastRowFirstColumn="0" w:lastRowLastColumn="0"/>
          <w:wAfter w:w="12" w:type="dxa"/>
        </w:trPr>
        <w:tc>
          <w:tcPr>
            <w:tcW w:w="2200" w:type="dxa"/>
          </w:tcPr>
          <w:p w14:paraId="598C6E3F" w14:textId="04CF815E" w:rsidR="006C78FB" w:rsidRPr="004423D0" w:rsidRDefault="006C78FB" w:rsidP="00645027">
            <w:pPr>
              <w:pStyle w:val="FRDNumber"/>
            </w:pPr>
            <w:r w:rsidRPr="004423D0">
              <w:t xml:space="preserve">FRD </w:t>
            </w:r>
            <w:r w:rsidR="003E67F4" w:rsidRPr="004423D0">
              <w:t>24</w:t>
            </w:r>
          </w:p>
        </w:tc>
        <w:tc>
          <w:tcPr>
            <w:tcW w:w="173" w:type="dxa"/>
            <w:gridSpan w:val="2"/>
          </w:tcPr>
          <w:p w14:paraId="7B6E51F5" w14:textId="77777777" w:rsidR="006C78FB" w:rsidRPr="004423D0" w:rsidRDefault="006C78FB" w:rsidP="00645027"/>
        </w:tc>
        <w:tc>
          <w:tcPr>
            <w:tcW w:w="661" w:type="dxa"/>
            <w:gridSpan w:val="2"/>
          </w:tcPr>
          <w:p w14:paraId="524B137F" w14:textId="77777777" w:rsidR="006C78FB" w:rsidRPr="004423D0" w:rsidRDefault="006C78FB" w:rsidP="00645027"/>
        </w:tc>
        <w:tc>
          <w:tcPr>
            <w:tcW w:w="6095" w:type="dxa"/>
            <w:gridSpan w:val="3"/>
          </w:tcPr>
          <w:p w14:paraId="2537D3C4" w14:textId="6E78D8A5" w:rsidR="006C78FB" w:rsidRPr="004423D0" w:rsidRDefault="001F2212" w:rsidP="00645027">
            <w:pPr>
              <w:pStyle w:val="FRDHeader"/>
            </w:pPr>
            <w:r w:rsidRPr="004423D0">
              <w:t>Reporting of environmental data by government entities (</w:t>
            </w:r>
            <w:r w:rsidR="00614AB8">
              <w:t>June</w:t>
            </w:r>
            <w:r w:rsidR="00614AB8" w:rsidRPr="004423D0">
              <w:t xml:space="preserve"> </w:t>
            </w:r>
            <w:r w:rsidRPr="004423D0">
              <w:t>2022)</w:t>
            </w:r>
          </w:p>
        </w:tc>
      </w:tr>
      <w:tr w:rsidR="006C78FB" w:rsidRPr="004423D0" w14:paraId="7F1EDEE6" w14:textId="77777777" w:rsidTr="00566D86">
        <w:trPr>
          <w:trHeight w:hRule="exact" w:val="120"/>
        </w:trPr>
        <w:tc>
          <w:tcPr>
            <w:tcW w:w="2270" w:type="dxa"/>
            <w:gridSpan w:val="2"/>
          </w:tcPr>
          <w:p w14:paraId="1A237B6C" w14:textId="77777777" w:rsidR="006C78FB" w:rsidRPr="004423D0" w:rsidRDefault="006C78FB" w:rsidP="00645027">
            <w:pPr>
              <w:pStyle w:val="Tabletext"/>
            </w:pPr>
          </w:p>
        </w:tc>
        <w:tc>
          <w:tcPr>
            <w:tcW w:w="174" w:type="dxa"/>
            <w:gridSpan w:val="2"/>
          </w:tcPr>
          <w:p w14:paraId="5E4295AE" w14:textId="77777777" w:rsidR="006C78FB" w:rsidRPr="004423D0" w:rsidRDefault="006C78FB" w:rsidP="006D66F9">
            <w:pPr>
              <w:pStyle w:val="Normalgrey"/>
            </w:pPr>
          </w:p>
        </w:tc>
        <w:tc>
          <w:tcPr>
            <w:tcW w:w="630" w:type="dxa"/>
            <w:gridSpan w:val="2"/>
          </w:tcPr>
          <w:p w14:paraId="3B751DEF" w14:textId="77777777" w:rsidR="006C78FB" w:rsidRPr="004423D0" w:rsidRDefault="006C78FB" w:rsidP="00645027"/>
        </w:tc>
        <w:tc>
          <w:tcPr>
            <w:tcW w:w="6067" w:type="dxa"/>
            <w:gridSpan w:val="3"/>
          </w:tcPr>
          <w:p w14:paraId="170A3EFB" w14:textId="77777777" w:rsidR="006C78FB" w:rsidRPr="004423D0" w:rsidRDefault="006C78FB" w:rsidP="00645027"/>
        </w:tc>
      </w:tr>
      <w:tr w:rsidR="005828FE" w:rsidRPr="004423D0" w14:paraId="1E5B8B2C" w14:textId="77777777" w:rsidTr="00566D86">
        <w:tc>
          <w:tcPr>
            <w:tcW w:w="2270" w:type="dxa"/>
            <w:gridSpan w:val="2"/>
          </w:tcPr>
          <w:p w14:paraId="5E5A14D7" w14:textId="77777777" w:rsidR="006C78FB" w:rsidRPr="004423D0" w:rsidRDefault="006C78FB" w:rsidP="00382EE1">
            <w:pPr>
              <w:pStyle w:val="Normalgrey"/>
            </w:pPr>
            <w:r w:rsidRPr="004423D0">
              <w:t>Purpose</w:t>
            </w:r>
          </w:p>
        </w:tc>
        <w:tc>
          <w:tcPr>
            <w:tcW w:w="174" w:type="dxa"/>
            <w:gridSpan w:val="2"/>
          </w:tcPr>
          <w:p w14:paraId="40DE5C8A" w14:textId="77777777" w:rsidR="006C78FB" w:rsidRPr="004423D0" w:rsidRDefault="006C78FB" w:rsidP="00286F9A">
            <w:pPr>
              <w:pStyle w:val="Normalgrey"/>
            </w:pPr>
          </w:p>
        </w:tc>
        <w:tc>
          <w:tcPr>
            <w:tcW w:w="630" w:type="dxa"/>
            <w:gridSpan w:val="2"/>
          </w:tcPr>
          <w:p w14:paraId="2D90EB35" w14:textId="12A4AE12" w:rsidR="006C78FB" w:rsidRPr="004423D0" w:rsidRDefault="0046417F" w:rsidP="006519F6">
            <w:pPr>
              <w:pStyle w:val="Normalgrey"/>
            </w:pPr>
            <w:r w:rsidRPr="004423D0">
              <w:t>1.1</w:t>
            </w:r>
          </w:p>
        </w:tc>
        <w:tc>
          <w:tcPr>
            <w:tcW w:w="6067" w:type="dxa"/>
            <w:gridSpan w:val="3"/>
          </w:tcPr>
          <w:p w14:paraId="2B9C1843" w14:textId="2FF95386" w:rsidR="006C78FB" w:rsidRPr="004423D0" w:rsidRDefault="00F230C0" w:rsidP="00382EE1">
            <w:pPr>
              <w:pStyle w:val="Normalgrey"/>
            </w:pPr>
            <w:r w:rsidRPr="004423D0">
              <w:t>Provide transparency on public sector performance on environmental indicators in organisations year-on-year; identify and manage government exposure to climate-related risks</w:t>
            </w:r>
            <w:r w:rsidR="003F6B7F" w:rsidRPr="004423D0">
              <w:t>;</w:t>
            </w:r>
            <w:r w:rsidRPr="004423D0">
              <w:t xml:space="preserve"> and </w:t>
            </w:r>
            <w:r w:rsidR="006D4DD5" w:rsidRPr="004423D0">
              <w:t xml:space="preserve">promote </w:t>
            </w:r>
            <w:r w:rsidRPr="004423D0">
              <w:t>continuous improvement in environmental reporting by government entities.</w:t>
            </w:r>
          </w:p>
        </w:tc>
      </w:tr>
      <w:tr w:rsidR="00DA0A07" w:rsidRPr="004423D0" w14:paraId="6176DFC6" w14:textId="77777777" w:rsidTr="00566D86">
        <w:tc>
          <w:tcPr>
            <w:tcW w:w="2270" w:type="dxa"/>
            <w:gridSpan w:val="2"/>
            <w:shd w:val="clear" w:color="auto" w:fill="F2F2F2" w:themeFill="background1" w:themeFillShade="F2"/>
          </w:tcPr>
          <w:p w14:paraId="38F6DFBE" w14:textId="77777777" w:rsidR="006C78FB" w:rsidRPr="004423D0" w:rsidRDefault="006C78FB" w:rsidP="00A516DE">
            <w:pPr>
              <w:pStyle w:val="Normalbold"/>
            </w:pPr>
            <w:r w:rsidRPr="004423D0">
              <w:t>Application</w:t>
            </w:r>
          </w:p>
        </w:tc>
        <w:tc>
          <w:tcPr>
            <w:tcW w:w="174" w:type="dxa"/>
            <w:gridSpan w:val="2"/>
            <w:shd w:val="clear" w:color="auto" w:fill="F2F2F2" w:themeFill="background1" w:themeFillShade="F2"/>
          </w:tcPr>
          <w:p w14:paraId="71F23DCF" w14:textId="77777777" w:rsidR="006C78FB" w:rsidRPr="004423D0" w:rsidRDefault="006C78FB" w:rsidP="00286F9A">
            <w:pPr>
              <w:pStyle w:val="Normalgrey"/>
            </w:pPr>
          </w:p>
        </w:tc>
        <w:tc>
          <w:tcPr>
            <w:tcW w:w="630" w:type="dxa"/>
            <w:gridSpan w:val="2"/>
            <w:shd w:val="clear" w:color="auto" w:fill="F2F2F2" w:themeFill="background1" w:themeFillShade="F2"/>
          </w:tcPr>
          <w:p w14:paraId="753A1A78" w14:textId="5A8D0739" w:rsidR="006C78FB" w:rsidRPr="00273A66" w:rsidRDefault="00806521" w:rsidP="00286F9A">
            <w:pPr>
              <w:pStyle w:val="Normalgrey"/>
              <w:rPr>
                <w:b/>
                <w:bCs/>
              </w:rPr>
            </w:pPr>
            <w:r w:rsidRPr="00273A66">
              <w:rPr>
                <w:b/>
                <w:bCs/>
              </w:rPr>
              <w:t>2.1</w:t>
            </w:r>
          </w:p>
        </w:tc>
        <w:tc>
          <w:tcPr>
            <w:tcW w:w="6067" w:type="dxa"/>
            <w:gridSpan w:val="3"/>
            <w:shd w:val="clear" w:color="auto" w:fill="F2F2F2" w:themeFill="background1" w:themeFillShade="F2"/>
          </w:tcPr>
          <w:p w14:paraId="51165991" w14:textId="44C263B0" w:rsidR="006C78FB" w:rsidRPr="004423D0" w:rsidRDefault="0094000D" w:rsidP="00A516DE">
            <w:pPr>
              <w:pStyle w:val="Normalbold"/>
            </w:pPr>
            <w:r w:rsidRPr="004423D0">
              <w:t xml:space="preserve">Applies to all entities defined as either a public body or a department under section 3 of the </w:t>
            </w:r>
            <w:r w:rsidRPr="004423D0">
              <w:rPr>
                <w:i/>
                <w:iCs/>
              </w:rPr>
              <w:t>Financial Management Act 1994</w:t>
            </w:r>
            <w:r w:rsidRPr="004423D0">
              <w:t xml:space="preserve">, with the exception of universities. Other public </w:t>
            </w:r>
            <w:r w:rsidR="00614AB8">
              <w:t xml:space="preserve">sector </w:t>
            </w:r>
            <w:r w:rsidRPr="004423D0">
              <w:t xml:space="preserve">entities are </w:t>
            </w:r>
            <w:r w:rsidR="00E721A7" w:rsidRPr="004423D0">
              <w:t>e</w:t>
            </w:r>
            <w:r w:rsidRPr="004423D0">
              <w:t xml:space="preserve">ncouraged to follow this </w:t>
            </w:r>
            <w:r w:rsidR="003F6B7F" w:rsidRPr="004423D0">
              <w:t>direction</w:t>
            </w:r>
            <w:r w:rsidRPr="004423D0">
              <w:t>.</w:t>
            </w:r>
          </w:p>
        </w:tc>
      </w:tr>
      <w:tr w:rsidR="00DA0A07" w:rsidRPr="004423D0" w14:paraId="63BEDA1C" w14:textId="77777777" w:rsidTr="00566D86">
        <w:tc>
          <w:tcPr>
            <w:tcW w:w="2270" w:type="dxa"/>
            <w:gridSpan w:val="2"/>
            <w:shd w:val="clear" w:color="auto" w:fill="F2F2F2" w:themeFill="background1" w:themeFillShade="F2"/>
          </w:tcPr>
          <w:p w14:paraId="28738F70" w14:textId="77777777" w:rsidR="006C78FB" w:rsidRPr="004423D0" w:rsidRDefault="006C78FB" w:rsidP="00A516DE">
            <w:pPr>
              <w:pStyle w:val="Normalbold"/>
            </w:pPr>
            <w:r w:rsidRPr="004423D0">
              <w:t>Operative date</w:t>
            </w:r>
          </w:p>
        </w:tc>
        <w:tc>
          <w:tcPr>
            <w:tcW w:w="174" w:type="dxa"/>
            <w:gridSpan w:val="2"/>
            <w:shd w:val="clear" w:color="auto" w:fill="F2F2F2" w:themeFill="background1" w:themeFillShade="F2"/>
          </w:tcPr>
          <w:p w14:paraId="745293BA" w14:textId="77777777" w:rsidR="006C78FB" w:rsidRPr="004423D0" w:rsidRDefault="006C78FB" w:rsidP="00286F9A">
            <w:pPr>
              <w:pStyle w:val="Normalgrey"/>
            </w:pPr>
          </w:p>
        </w:tc>
        <w:tc>
          <w:tcPr>
            <w:tcW w:w="630" w:type="dxa"/>
            <w:gridSpan w:val="2"/>
            <w:shd w:val="clear" w:color="auto" w:fill="F2F2F2" w:themeFill="background1" w:themeFillShade="F2"/>
          </w:tcPr>
          <w:p w14:paraId="1EFA30D2" w14:textId="6ED3FFB4" w:rsidR="006C78FB" w:rsidRPr="00273A66" w:rsidRDefault="008F7A5D" w:rsidP="00286F9A">
            <w:pPr>
              <w:pStyle w:val="Normalgrey"/>
              <w:rPr>
                <w:b/>
                <w:bCs/>
              </w:rPr>
            </w:pPr>
            <w:r w:rsidRPr="00273A66">
              <w:rPr>
                <w:b/>
                <w:bCs/>
              </w:rPr>
              <w:t>3.1</w:t>
            </w:r>
          </w:p>
        </w:tc>
        <w:tc>
          <w:tcPr>
            <w:tcW w:w="6067" w:type="dxa"/>
            <w:gridSpan w:val="3"/>
            <w:shd w:val="clear" w:color="auto" w:fill="F2F2F2" w:themeFill="background1" w:themeFillShade="F2"/>
          </w:tcPr>
          <w:p w14:paraId="7F2FB1A4" w14:textId="73F72AD5" w:rsidR="006C78FB" w:rsidRPr="004423D0" w:rsidRDefault="00244828" w:rsidP="00A516DE">
            <w:pPr>
              <w:pStyle w:val="Normalbold"/>
              <w:rPr>
                <w:color w:val="000000" w:themeColor="text1"/>
              </w:rPr>
            </w:pPr>
            <w:r w:rsidRPr="004423D0">
              <w:t>Reporting periods commencing on or after 1 July 2022.</w:t>
            </w:r>
          </w:p>
        </w:tc>
      </w:tr>
      <w:tr w:rsidR="00823EB7" w:rsidRPr="004423D0" w14:paraId="0225DCA4" w14:textId="77777777" w:rsidTr="00C34CC9">
        <w:tc>
          <w:tcPr>
            <w:tcW w:w="2270" w:type="dxa"/>
            <w:gridSpan w:val="2"/>
            <w:shd w:val="clear" w:color="auto" w:fill="F2F2F2" w:themeFill="background1" w:themeFillShade="F2"/>
          </w:tcPr>
          <w:p w14:paraId="4E18197D" w14:textId="77777777" w:rsidR="00823EB7" w:rsidRPr="004423D0" w:rsidRDefault="00823EB7" w:rsidP="00A516DE">
            <w:pPr>
              <w:pStyle w:val="Normalbold"/>
            </w:pPr>
          </w:p>
        </w:tc>
        <w:tc>
          <w:tcPr>
            <w:tcW w:w="174" w:type="dxa"/>
            <w:gridSpan w:val="2"/>
            <w:shd w:val="clear" w:color="auto" w:fill="F2F2F2" w:themeFill="background1" w:themeFillShade="F2"/>
          </w:tcPr>
          <w:p w14:paraId="0D96AF59" w14:textId="77777777" w:rsidR="00823EB7" w:rsidRPr="004423D0" w:rsidRDefault="00823EB7" w:rsidP="00286F9A">
            <w:pPr>
              <w:pStyle w:val="Normalgrey"/>
            </w:pPr>
          </w:p>
        </w:tc>
        <w:tc>
          <w:tcPr>
            <w:tcW w:w="630" w:type="dxa"/>
            <w:gridSpan w:val="2"/>
            <w:shd w:val="clear" w:color="auto" w:fill="F2F2F2" w:themeFill="background1" w:themeFillShade="F2"/>
          </w:tcPr>
          <w:p w14:paraId="68D1A220" w14:textId="7D3094B5" w:rsidR="00823EB7" w:rsidRPr="00273A66" w:rsidRDefault="00823EB7" w:rsidP="00286F9A">
            <w:pPr>
              <w:pStyle w:val="Normalgrey"/>
              <w:rPr>
                <w:b/>
                <w:bCs/>
              </w:rPr>
            </w:pPr>
            <w:r w:rsidRPr="00273A66">
              <w:rPr>
                <w:b/>
                <w:bCs/>
              </w:rPr>
              <w:t>3.2</w:t>
            </w:r>
          </w:p>
        </w:tc>
        <w:tc>
          <w:tcPr>
            <w:tcW w:w="6067" w:type="dxa"/>
            <w:gridSpan w:val="3"/>
            <w:shd w:val="clear" w:color="auto" w:fill="F2F2F2" w:themeFill="background1" w:themeFillShade="F2"/>
          </w:tcPr>
          <w:p w14:paraId="4D4599B0" w14:textId="0DAE468D" w:rsidR="00823EB7" w:rsidRPr="004423D0" w:rsidRDefault="00823EB7" w:rsidP="00A516DE">
            <w:pPr>
              <w:pStyle w:val="Normalbold"/>
            </w:pPr>
            <w:r w:rsidRPr="004423D0">
              <w:t xml:space="preserve">FRD 24D </w:t>
            </w:r>
            <w:r w:rsidRPr="004423D0">
              <w:rPr>
                <w:i/>
                <w:iCs/>
              </w:rPr>
              <w:t>Reporting of office-based environmental data by government entities</w:t>
            </w:r>
            <w:r w:rsidRPr="004423D0">
              <w:t xml:space="preserve"> is renamed to FRD 24 </w:t>
            </w:r>
            <w:r w:rsidRPr="004423D0">
              <w:rPr>
                <w:i/>
                <w:iCs/>
              </w:rPr>
              <w:t>Reporting of environmental data by government entities</w:t>
            </w:r>
            <w:r w:rsidRPr="004423D0">
              <w:t xml:space="preserve"> effective 1 July 2022.</w:t>
            </w:r>
          </w:p>
        </w:tc>
      </w:tr>
      <w:tr w:rsidR="00DA0A07" w:rsidRPr="004423D0" w14:paraId="53C95A3A" w14:textId="77777777" w:rsidTr="00566D86">
        <w:tc>
          <w:tcPr>
            <w:tcW w:w="2270" w:type="dxa"/>
            <w:gridSpan w:val="2"/>
            <w:shd w:val="clear" w:color="auto" w:fill="F2F2F2" w:themeFill="background1" w:themeFillShade="F2"/>
          </w:tcPr>
          <w:p w14:paraId="2BC255FD" w14:textId="77777777" w:rsidR="00BC6691" w:rsidRPr="004423D0" w:rsidRDefault="00BC6691" w:rsidP="00645027">
            <w:pPr>
              <w:pStyle w:val="Normalbold"/>
            </w:pPr>
            <w:r w:rsidRPr="004423D0">
              <w:t>Requirements</w:t>
            </w:r>
          </w:p>
        </w:tc>
        <w:tc>
          <w:tcPr>
            <w:tcW w:w="174" w:type="dxa"/>
            <w:gridSpan w:val="2"/>
            <w:shd w:val="clear" w:color="auto" w:fill="F2F2F2" w:themeFill="background1" w:themeFillShade="F2"/>
          </w:tcPr>
          <w:p w14:paraId="5969A160" w14:textId="77777777" w:rsidR="00BC6691" w:rsidRPr="004423D0" w:rsidRDefault="00BC6691" w:rsidP="00286F9A">
            <w:pPr>
              <w:pStyle w:val="Normalgrey"/>
            </w:pPr>
          </w:p>
        </w:tc>
        <w:tc>
          <w:tcPr>
            <w:tcW w:w="630" w:type="dxa"/>
            <w:gridSpan w:val="2"/>
            <w:shd w:val="clear" w:color="auto" w:fill="F2F2F2" w:themeFill="background1" w:themeFillShade="F2"/>
          </w:tcPr>
          <w:p w14:paraId="3FE7266F" w14:textId="77777777" w:rsidR="00BC6691" w:rsidRPr="00273A66" w:rsidRDefault="00804C03" w:rsidP="00286F9A">
            <w:pPr>
              <w:pStyle w:val="Normalgrey"/>
              <w:rPr>
                <w:b/>
                <w:bCs/>
              </w:rPr>
            </w:pPr>
            <w:r w:rsidRPr="00273A66">
              <w:rPr>
                <w:b/>
                <w:bCs/>
              </w:rPr>
              <w:t>4.1</w:t>
            </w:r>
          </w:p>
          <w:p w14:paraId="4460D13E" w14:textId="16290D12" w:rsidR="006D1EFC" w:rsidRPr="00273A66" w:rsidRDefault="006D1EFC" w:rsidP="00286F9A">
            <w:pPr>
              <w:pStyle w:val="Normalgrey"/>
              <w:rPr>
                <w:b/>
                <w:bCs/>
              </w:rPr>
            </w:pPr>
          </w:p>
        </w:tc>
        <w:tc>
          <w:tcPr>
            <w:tcW w:w="6067" w:type="dxa"/>
            <w:gridSpan w:val="3"/>
            <w:shd w:val="clear" w:color="auto" w:fill="F2F2F2" w:themeFill="background1" w:themeFillShade="F2"/>
          </w:tcPr>
          <w:p w14:paraId="51480A8B" w14:textId="1694423F" w:rsidR="00BC6691" w:rsidRPr="004423D0" w:rsidRDefault="00321388" w:rsidP="00E721A7">
            <w:pPr>
              <w:pStyle w:val="Normalbold"/>
            </w:pPr>
            <w:r w:rsidRPr="004423D0">
              <w:t>An entity’s Annual Report of Operations must disclose information on aspects of energy and resource consumption and environmental performance</w:t>
            </w:r>
            <w:r w:rsidR="00281396" w:rsidRPr="004423D0" w:rsidDel="00DF4C71">
              <w:t>.</w:t>
            </w:r>
          </w:p>
        </w:tc>
      </w:tr>
      <w:tr w:rsidR="00AB1404" w:rsidRPr="004423D0" w14:paraId="5806CF95" w14:textId="77777777" w:rsidTr="00566D86">
        <w:tc>
          <w:tcPr>
            <w:tcW w:w="2270" w:type="dxa"/>
            <w:gridSpan w:val="2"/>
            <w:shd w:val="clear" w:color="auto" w:fill="F2F2F2" w:themeFill="background1" w:themeFillShade="F2"/>
          </w:tcPr>
          <w:p w14:paraId="4AF88C02" w14:textId="77777777" w:rsidR="00AB1404" w:rsidRPr="004423D0" w:rsidRDefault="00AB1404" w:rsidP="00645027">
            <w:pPr>
              <w:pStyle w:val="Normalbold"/>
            </w:pPr>
          </w:p>
        </w:tc>
        <w:tc>
          <w:tcPr>
            <w:tcW w:w="174" w:type="dxa"/>
            <w:gridSpan w:val="2"/>
            <w:shd w:val="clear" w:color="auto" w:fill="F2F2F2" w:themeFill="background1" w:themeFillShade="F2"/>
          </w:tcPr>
          <w:p w14:paraId="3C1FF66E" w14:textId="77777777" w:rsidR="00AB1404" w:rsidRPr="004423D0" w:rsidRDefault="00AB1404" w:rsidP="00286F9A">
            <w:pPr>
              <w:pStyle w:val="Normalgrey"/>
            </w:pPr>
          </w:p>
        </w:tc>
        <w:tc>
          <w:tcPr>
            <w:tcW w:w="630" w:type="dxa"/>
            <w:gridSpan w:val="2"/>
            <w:shd w:val="clear" w:color="auto" w:fill="F2F2F2" w:themeFill="background1" w:themeFillShade="F2"/>
          </w:tcPr>
          <w:p w14:paraId="313D9B4D" w14:textId="3BA504C2" w:rsidR="00AB1404" w:rsidRPr="00981F6C" w:rsidRDefault="00AB1404" w:rsidP="00286F9A">
            <w:pPr>
              <w:pStyle w:val="Normalgrey"/>
              <w:rPr>
                <w:b/>
                <w:bCs/>
              </w:rPr>
            </w:pPr>
            <w:r>
              <w:rPr>
                <w:b/>
                <w:bCs/>
              </w:rPr>
              <w:t>4.2</w:t>
            </w:r>
          </w:p>
        </w:tc>
        <w:tc>
          <w:tcPr>
            <w:tcW w:w="6067" w:type="dxa"/>
            <w:gridSpan w:val="3"/>
            <w:shd w:val="clear" w:color="auto" w:fill="F2F2F2" w:themeFill="background1" w:themeFillShade="F2"/>
          </w:tcPr>
          <w:p w14:paraId="76A415C3" w14:textId="77777777" w:rsidR="00AB1404" w:rsidRPr="00CD4033" w:rsidRDefault="00AB1404" w:rsidP="00AB1404">
            <w:pPr>
              <w:pStyle w:val="Normalbold"/>
              <w:rPr>
                <w:bCs/>
              </w:rPr>
            </w:pPr>
            <w:r w:rsidRPr="00CD4033">
              <w:rPr>
                <w:bCs/>
              </w:rPr>
              <w:t>Entities have been classified into reporting ‘tiers’ (as defined in Appendix 1 and set out in accompanying documentation on the DTF website). Each tier is subject to different disclosure requirements (as listed in Appendix 2). In accordance with the disclosure requirements for each tier and the procedures described in paragraphs 5-13, entities must disclose aspects of:</w:t>
            </w:r>
          </w:p>
          <w:p w14:paraId="0FE3CD28" w14:textId="77777777" w:rsidR="00AB1404" w:rsidRPr="00273A66" w:rsidRDefault="00AB1404" w:rsidP="00273A66">
            <w:pPr>
              <w:pStyle w:val="Bullet1"/>
              <w:rPr>
                <w:b/>
                <w:bCs/>
              </w:rPr>
            </w:pPr>
            <w:r w:rsidRPr="00273A66">
              <w:rPr>
                <w:b/>
                <w:bCs/>
              </w:rPr>
              <w:t>electricity production and consumption</w:t>
            </w:r>
          </w:p>
          <w:p w14:paraId="31423FFD" w14:textId="77777777" w:rsidR="00AB1404" w:rsidRPr="00273A66" w:rsidRDefault="00AB1404" w:rsidP="00273A66">
            <w:pPr>
              <w:pStyle w:val="Bullet1"/>
              <w:rPr>
                <w:b/>
                <w:bCs/>
              </w:rPr>
            </w:pPr>
            <w:r w:rsidRPr="00273A66">
              <w:rPr>
                <w:b/>
                <w:bCs/>
              </w:rPr>
              <w:t>stationary fuel use</w:t>
            </w:r>
          </w:p>
          <w:p w14:paraId="559D9930" w14:textId="77777777" w:rsidR="00AB1404" w:rsidRPr="00273A66" w:rsidRDefault="00AB1404" w:rsidP="00273A66">
            <w:pPr>
              <w:pStyle w:val="Bullet1"/>
              <w:rPr>
                <w:b/>
                <w:bCs/>
              </w:rPr>
            </w:pPr>
            <w:r w:rsidRPr="00273A66">
              <w:rPr>
                <w:b/>
                <w:bCs/>
              </w:rPr>
              <w:t>transportation</w:t>
            </w:r>
          </w:p>
          <w:p w14:paraId="1A0A9CD5" w14:textId="77777777" w:rsidR="00AB1404" w:rsidRPr="00273A66" w:rsidRDefault="00AB1404" w:rsidP="00273A66">
            <w:pPr>
              <w:pStyle w:val="Bullet1"/>
              <w:rPr>
                <w:b/>
                <w:bCs/>
              </w:rPr>
            </w:pPr>
            <w:r w:rsidRPr="00273A66">
              <w:rPr>
                <w:b/>
                <w:bCs/>
              </w:rPr>
              <w:t>total energy use</w:t>
            </w:r>
          </w:p>
          <w:p w14:paraId="242F5B6A" w14:textId="77777777" w:rsidR="00AB1404" w:rsidRPr="00273A66" w:rsidRDefault="00AB1404" w:rsidP="00273A66">
            <w:pPr>
              <w:pStyle w:val="Bullet1"/>
              <w:rPr>
                <w:b/>
                <w:bCs/>
              </w:rPr>
            </w:pPr>
            <w:r w:rsidRPr="00273A66">
              <w:rPr>
                <w:b/>
                <w:bCs/>
              </w:rPr>
              <w:t>sustainable buildings and infrastructure</w:t>
            </w:r>
          </w:p>
          <w:p w14:paraId="47D2C8A6" w14:textId="77777777" w:rsidR="00AB1404" w:rsidRPr="00273A66" w:rsidRDefault="00AB1404" w:rsidP="00273A66">
            <w:pPr>
              <w:pStyle w:val="Bullet1"/>
              <w:rPr>
                <w:b/>
                <w:bCs/>
              </w:rPr>
            </w:pPr>
            <w:r w:rsidRPr="00273A66">
              <w:rPr>
                <w:b/>
                <w:bCs/>
              </w:rPr>
              <w:t xml:space="preserve">sustainable procurement </w:t>
            </w:r>
          </w:p>
          <w:p w14:paraId="7C686BA8" w14:textId="77777777" w:rsidR="00AB1404" w:rsidRPr="00273A66" w:rsidRDefault="00AB1404" w:rsidP="00273A66">
            <w:pPr>
              <w:pStyle w:val="Bullet1"/>
              <w:rPr>
                <w:b/>
                <w:bCs/>
              </w:rPr>
            </w:pPr>
            <w:r w:rsidRPr="00273A66">
              <w:rPr>
                <w:b/>
                <w:bCs/>
              </w:rPr>
              <w:t>water use</w:t>
            </w:r>
          </w:p>
          <w:p w14:paraId="4CF706B0" w14:textId="77777777" w:rsidR="00AB1404" w:rsidRPr="00273A66" w:rsidRDefault="00AB1404" w:rsidP="00273A66">
            <w:pPr>
              <w:pStyle w:val="Bullet1"/>
              <w:rPr>
                <w:b/>
                <w:bCs/>
              </w:rPr>
            </w:pPr>
            <w:r w:rsidRPr="00273A66">
              <w:rPr>
                <w:b/>
                <w:bCs/>
              </w:rPr>
              <w:t>waste and recycling</w:t>
            </w:r>
          </w:p>
          <w:p w14:paraId="3BC8751D" w14:textId="77777777" w:rsidR="00AB1404" w:rsidRPr="00273A66" w:rsidRDefault="00AB1404" w:rsidP="00273A66">
            <w:pPr>
              <w:pStyle w:val="Bullet1"/>
              <w:rPr>
                <w:b/>
                <w:bCs/>
              </w:rPr>
            </w:pPr>
            <w:r w:rsidRPr="00273A66">
              <w:rPr>
                <w:b/>
                <w:bCs/>
              </w:rPr>
              <w:t xml:space="preserve">greenhouse gas emissions </w:t>
            </w:r>
          </w:p>
          <w:p w14:paraId="237B9B70" w14:textId="06D00F23" w:rsidR="00AB1404" w:rsidRPr="004423D0" w:rsidRDefault="00AB1404" w:rsidP="00273A66">
            <w:pPr>
              <w:pStyle w:val="Bullet1"/>
            </w:pPr>
            <w:r w:rsidRPr="00273A66">
              <w:rPr>
                <w:b/>
                <w:bCs/>
              </w:rPr>
              <w:t xml:space="preserve">associated information relevant to understanding and improving the sustainability of </w:t>
            </w:r>
            <w:r w:rsidR="00614AB8">
              <w:rPr>
                <w:b/>
                <w:bCs/>
              </w:rPr>
              <w:t>their</w:t>
            </w:r>
            <w:r w:rsidR="00614AB8" w:rsidRPr="00273A66">
              <w:rPr>
                <w:b/>
                <w:bCs/>
              </w:rPr>
              <w:t xml:space="preserve"> </w:t>
            </w:r>
            <w:r w:rsidRPr="00273A66">
              <w:rPr>
                <w:b/>
                <w:bCs/>
              </w:rPr>
              <w:t>operations.</w:t>
            </w:r>
          </w:p>
        </w:tc>
      </w:tr>
      <w:tr w:rsidR="00DA0A07" w:rsidRPr="004423D0" w14:paraId="39802C67" w14:textId="77777777" w:rsidTr="00566D86">
        <w:tc>
          <w:tcPr>
            <w:tcW w:w="2270" w:type="dxa"/>
            <w:gridSpan w:val="2"/>
            <w:shd w:val="clear" w:color="auto" w:fill="F2F2F2" w:themeFill="background1" w:themeFillShade="F2"/>
          </w:tcPr>
          <w:p w14:paraId="5BBBAFFE" w14:textId="77777777" w:rsidR="00FC63BA" w:rsidRPr="004423D0" w:rsidRDefault="00FC63BA" w:rsidP="00645027">
            <w:pPr>
              <w:pStyle w:val="Normalbold"/>
            </w:pPr>
          </w:p>
        </w:tc>
        <w:tc>
          <w:tcPr>
            <w:tcW w:w="174" w:type="dxa"/>
            <w:gridSpan w:val="2"/>
            <w:shd w:val="clear" w:color="auto" w:fill="F2F2F2" w:themeFill="background1" w:themeFillShade="F2"/>
          </w:tcPr>
          <w:p w14:paraId="4A5B92D8" w14:textId="77777777" w:rsidR="00FC63BA" w:rsidRPr="004423D0" w:rsidRDefault="00FC63BA" w:rsidP="00286F9A">
            <w:pPr>
              <w:pStyle w:val="Normalgrey"/>
            </w:pPr>
          </w:p>
        </w:tc>
        <w:tc>
          <w:tcPr>
            <w:tcW w:w="630" w:type="dxa"/>
            <w:gridSpan w:val="2"/>
            <w:shd w:val="clear" w:color="auto" w:fill="F2F2F2" w:themeFill="background1" w:themeFillShade="F2"/>
          </w:tcPr>
          <w:p w14:paraId="361D44B5" w14:textId="61383842" w:rsidR="00A3764D" w:rsidRPr="00273A66" w:rsidRDefault="00274095">
            <w:pPr>
              <w:pStyle w:val="Normalgrey"/>
              <w:rPr>
                <w:b/>
                <w:bCs/>
              </w:rPr>
            </w:pPr>
            <w:r w:rsidRPr="00273A66">
              <w:rPr>
                <w:b/>
                <w:bCs/>
              </w:rPr>
              <w:t>4.</w:t>
            </w:r>
            <w:r w:rsidR="00B16C86" w:rsidRPr="00273A66">
              <w:rPr>
                <w:b/>
                <w:bCs/>
              </w:rPr>
              <w:t>3</w:t>
            </w:r>
          </w:p>
        </w:tc>
        <w:tc>
          <w:tcPr>
            <w:tcW w:w="6067" w:type="dxa"/>
            <w:gridSpan w:val="3"/>
            <w:shd w:val="clear" w:color="auto" w:fill="F2F2F2" w:themeFill="background1" w:themeFillShade="F2"/>
          </w:tcPr>
          <w:p w14:paraId="00AE5C67" w14:textId="36866CA9" w:rsidR="00FC63BA" w:rsidRPr="004423D0" w:rsidRDefault="00FC63BA" w:rsidP="00FC63BA">
            <w:pPr>
              <w:pStyle w:val="Normalbold"/>
              <w:rPr>
                <w:u w:val="single"/>
              </w:rPr>
            </w:pPr>
            <w:r w:rsidRPr="004423D0">
              <w:rPr>
                <w:u w:val="single"/>
              </w:rPr>
              <w:t>Organisational Boundary</w:t>
            </w:r>
          </w:p>
          <w:p w14:paraId="3C1B890D" w14:textId="44D32ED7" w:rsidR="00FC63BA" w:rsidRPr="004423D0" w:rsidRDefault="00FC63BA" w:rsidP="00FC63BA">
            <w:pPr>
              <w:pStyle w:val="Normalbold"/>
            </w:pPr>
            <w:r w:rsidRPr="004423D0">
              <w:t xml:space="preserve">The organisational boundary of the </w:t>
            </w:r>
            <w:r w:rsidR="00023047" w:rsidRPr="004423D0">
              <w:t>e</w:t>
            </w:r>
            <w:r w:rsidRPr="004423D0">
              <w:t>ntity for the purpose of environmental reporting must include:</w:t>
            </w:r>
          </w:p>
          <w:p w14:paraId="076582F5" w14:textId="2863D506" w:rsidR="00FC63BA" w:rsidRPr="004423D0" w:rsidRDefault="00FC63BA" w:rsidP="00274095">
            <w:pPr>
              <w:pStyle w:val="Bullet1"/>
              <w:rPr>
                <w:b/>
                <w:bCs/>
              </w:rPr>
            </w:pPr>
            <w:r w:rsidRPr="004423D0">
              <w:rPr>
                <w:b/>
                <w:bCs/>
              </w:rPr>
              <w:t xml:space="preserve">all operations </w:t>
            </w:r>
            <w:r w:rsidR="00614AB8">
              <w:rPr>
                <w:b/>
                <w:bCs/>
              </w:rPr>
              <w:t>of the entity</w:t>
            </w:r>
            <w:r w:rsidR="0035111F">
              <w:rPr>
                <w:b/>
                <w:bCs/>
              </w:rPr>
              <w:t>;</w:t>
            </w:r>
          </w:p>
          <w:p w14:paraId="5C5D97AA" w14:textId="6E7E9FDA" w:rsidR="00FC63BA" w:rsidRPr="004423D0" w:rsidRDefault="00FC63BA" w:rsidP="00274095">
            <w:pPr>
              <w:pStyle w:val="Bullet1"/>
              <w:rPr>
                <w:b/>
                <w:bCs/>
              </w:rPr>
            </w:pPr>
            <w:r w:rsidRPr="004423D0">
              <w:rPr>
                <w:b/>
                <w:bCs/>
              </w:rPr>
              <w:t xml:space="preserve">the operations of any other </w:t>
            </w:r>
            <w:r w:rsidR="00614AB8">
              <w:rPr>
                <w:b/>
                <w:bCs/>
              </w:rPr>
              <w:t>public sector entit</w:t>
            </w:r>
            <w:r w:rsidRPr="004423D0">
              <w:rPr>
                <w:b/>
                <w:bCs/>
              </w:rPr>
              <w:t xml:space="preserve">y hosted entirely within the </w:t>
            </w:r>
            <w:r w:rsidR="00541C48" w:rsidRPr="004423D0">
              <w:rPr>
                <w:b/>
                <w:bCs/>
              </w:rPr>
              <w:t>e</w:t>
            </w:r>
            <w:r w:rsidRPr="004423D0">
              <w:rPr>
                <w:b/>
                <w:bCs/>
              </w:rPr>
              <w:t>ntity’s facilities (where there is agreement between the entities for the reporting of these operations)</w:t>
            </w:r>
            <w:r w:rsidR="0035111F">
              <w:rPr>
                <w:b/>
                <w:bCs/>
              </w:rPr>
              <w:t>; and</w:t>
            </w:r>
          </w:p>
          <w:p w14:paraId="1CFD4423" w14:textId="12B750B4" w:rsidR="00FC63BA" w:rsidRPr="004423D0" w:rsidRDefault="00FC63BA" w:rsidP="00274095">
            <w:pPr>
              <w:pStyle w:val="Bullet1"/>
            </w:pPr>
            <w:r w:rsidRPr="004423D0">
              <w:rPr>
                <w:b/>
                <w:bCs/>
              </w:rPr>
              <w:t xml:space="preserve">operations of any public asset by a private entity, including those that are </w:t>
            </w:r>
            <w:r w:rsidR="00FF05F5" w:rsidRPr="004423D0">
              <w:rPr>
                <w:b/>
                <w:bCs/>
              </w:rPr>
              <w:t>within the scope of</w:t>
            </w:r>
            <w:r w:rsidRPr="004423D0">
              <w:rPr>
                <w:b/>
                <w:bCs/>
              </w:rPr>
              <w:t xml:space="preserve"> </w:t>
            </w:r>
            <w:r w:rsidRPr="004423D0">
              <w:rPr>
                <w:b/>
                <w:bCs/>
                <w:i/>
                <w:iCs/>
              </w:rPr>
              <w:t xml:space="preserve">AASB </w:t>
            </w:r>
            <w:r w:rsidR="00BA181F" w:rsidRPr="004423D0">
              <w:rPr>
                <w:b/>
                <w:bCs/>
                <w:i/>
                <w:iCs/>
              </w:rPr>
              <w:t xml:space="preserve">1059 </w:t>
            </w:r>
            <w:r w:rsidRPr="004423D0">
              <w:rPr>
                <w:b/>
                <w:bCs/>
                <w:i/>
                <w:iCs/>
              </w:rPr>
              <w:t>Service Concession Arrangements</w:t>
            </w:r>
            <w:r w:rsidR="0089117B" w:rsidRPr="004423D0">
              <w:rPr>
                <w:b/>
                <w:bCs/>
                <w:i/>
                <w:iCs/>
              </w:rPr>
              <w:t>: Grantors</w:t>
            </w:r>
            <w:r w:rsidRPr="004423D0">
              <w:rPr>
                <w:b/>
                <w:bCs/>
              </w:rPr>
              <w:t xml:space="preserve"> or </w:t>
            </w:r>
            <w:r w:rsidR="00516D18" w:rsidRPr="004423D0">
              <w:rPr>
                <w:b/>
                <w:bCs/>
              </w:rPr>
              <w:t xml:space="preserve">AASB 16 </w:t>
            </w:r>
            <w:r w:rsidR="00973557" w:rsidRPr="002A4DEA">
              <w:rPr>
                <w:b/>
                <w:bCs/>
                <w:i/>
                <w:iCs/>
              </w:rPr>
              <w:t>L</w:t>
            </w:r>
            <w:r w:rsidRPr="002A4DEA">
              <w:rPr>
                <w:b/>
                <w:bCs/>
                <w:i/>
                <w:iCs/>
              </w:rPr>
              <w:t>ease</w:t>
            </w:r>
            <w:r w:rsidR="00973557" w:rsidRPr="002A4DEA">
              <w:rPr>
                <w:b/>
                <w:bCs/>
                <w:i/>
                <w:iCs/>
              </w:rPr>
              <w:t>s</w:t>
            </w:r>
            <w:r w:rsidRPr="004423D0">
              <w:rPr>
                <w:b/>
                <w:bCs/>
              </w:rPr>
              <w:t xml:space="preserve">, where the environmental impacts of those assets are within the operational control of the </w:t>
            </w:r>
            <w:r w:rsidR="00614AB8">
              <w:rPr>
                <w:b/>
                <w:bCs/>
              </w:rPr>
              <w:t>entity</w:t>
            </w:r>
            <w:r w:rsidRPr="004423D0">
              <w:rPr>
                <w:b/>
                <w:bCs/>
              </w:rPr>
              <w:t xml:space="preserve"> (see Guidance Manual for further information on ‘operational control’). Only the activities associated with asset operations should be considered, and not those from office or other corporate facilities that are not part of any service concession or lease.</w:t>
            </w:r>
          </w:p>
          <w:p w14:paraId="36B94AE7" w14:textId="001EDDA7" w:rsidR="00C33734" w:rsidRPr="004423D0" w:rsidRDefault="00616251" w:rsidP="00616251">
            <w:pPr>
              <w:pStyle w:val="Normalbold"/>
            </w:pPr>
            <w:r w:rsidRPr="004423D0">
              <w:t xml:space="preserve">All </w:t>
            </w:r>
            <w:r w:rsidR="00023047" w:rsidRPr="004423D0">
              <w:t>e</w:t>
            </w:r>
            <w:r w:rsidRPr="004423D0">
              <w:t xml:space="preserve">ntities must disclose the organisational boundary of the </w:t>
            </w:r>
            <w:r w:rsidR="00023047" w:rsidRPr="004423D0">
              <w:t>e</w:t>
            </w:r>
            <w:r w:rsidRPr="004423D0">
              <w:t xml:space="preserve">ntity for the purpose of environmental reporting, including any other entities, leases and service concessions that are included within the </w:t>
            </w:r>
            <w:r w:rsidR="00023047" w:rsidRPr="004423D0">
              <w:t>e</w:t>
            </w:r>
            <w:r w:rsidRPr="004423D0">
              <w:t>ntity’s reporting.</w:t>
            </w:r>
          </w:p>
          <w:p w14:paraId="1BE19E3C" w14:textId="329E106D" w:rsidR="002C2C36" w:rsidRPr="004423D0" w:rsidRDefault="002C2C36" w:rsidP="00616251">
            <w:pPr>
              <w:pStyle w:val="Normalbold"/>
            </w:pPr>
            <w:r w:rsidRPr="004423D0">
              <w:t>Further gui</w:t>
            </w:r>
            <w:r w:rsidR="00F156EE" w:rsidRPr="004423D0">
              <w:t>dance on portfolio reporting and reporting year is at 1</w:t>
            </w:r>
            <w:r w:rsidR="00AB1404">
              <w:t>5</w:t>
            </w:r>
            <w:r w:rsidR="00F156EE" w:rsidRPr="004423D0">
              <w:t>.</w:t>
            </w:r>
            <w:r w:rsidR="007737D0" w:rsidRPr="004423D0">
              <w:t>1</w:t>
            </w:r>
            <w:r w:rsidR="00F156EE" w:rsidRPr="004423D0">
              <w:t xml:space="preserve"> and </w:t>
            </w:r>
            <w:r w:rsidR="007737D0" w:rsidRPr="004423D0">
              <w:t>1</w:t>
            </w:r>
            <w:r w:rsidR="00AB1404">
              <w:t>5</w:t>
            </w:r>
            <w:r w:rsidR="007737D0" w:rsidRPr="004423D0">
              <w:t>.2</w:t>
            </w:r>
            <w:r w:rsidR="00C34CC9" w:rsidRPr="004423D0">
              <w:t>.</w:t>
            </w:r>
          </w:p>
        </w:tc>
      </w:tr>
      <w:tr w:rsidR="00DA0A07" w:rsidRPr="004423D0" w14:paraId="7F4F7A25" w14:textId="77777777" w:rsidTr="00566D86">
        <w:trPr>
          <w:gridAfter w:val="2"/>
          <w:wAfter w:w="49" w:type="dxa"/>
        </w:trPr>
        <w:tc>
          <w:tcPr>
            <w:tcW w:w="2270" w:type="dxa"/>
            <w:gridSpan w:val="2"/>
            <w:shd w:val="clear" w:color="auto" w:fill="F2F2F2" w:themeFill="background1" w:themeFillShade="F2"/>
          </w:tcPr>
          <w:p w14:paraId="13AF3FA0" w14:textId="77777777" w:rsidR="00194E5F" w:rsidRPr="004423D0" w:rsidRDefault="00194E5F" w:rsidP="00645027">
            <w:pPr>
              <w:pStyle w:val="Normalbold"/>
            </w:pPr>
          </w:p>
        </w:tc>
        <w:tc>
          <w:tcPr>
            <w:tcW w:w="174" w:type="dxa"/>
            <w:gridSpan w:val="2"/>
            <w:shd w:val="clear" w:color="auto" w:fill="F2F2F2" w:themeFill="background1" w:themeFillShade="F2"/>
          </w:tcPr>
          <w:p w14:paraId="45288EF4" w14:textId="77777777" w:rsidR="00194E5F" w:rsidRPr="004423D0" w:rsidRDefault="00194E5F" w:rsidP="00286F9A">
            <w:pPr>
              <w:pStyle w:val="Normalgrey"/>
            </w:pPr>
          </w:p>
        </w:tc>
        <w:tc>
          <w:tcPr>
            <w:tcW w:w="630" w:type="dxa"/>
            <w:gridSpan w:val="2"/>
            <w:shd w:val="clear" w:color="auto" w:fill="F2F2F2" w:themeFill="background1" w:themeFillShade="F2"/>
          </w:tcPr>
          <w:p w14:paraId="4000F876" w14:textId="04AC4921" w:rsidR="00194E5F" w:rsidRPr="00273A66" w:rsidRDefault="00320A6D" w:rsidP="00286F9A">
            <w:pPr>
              <w:pStyle w:val="Normalgrey"/>
              <w:rPr>
                <w:b/>
                <w:bCs/>
              </w:rPr>
            </w:pPr>
            <w:r w:rsidRPr="00273A66">
              <w:rPr>
                <w:b/>
                <w:bCs/>
              </w:rPr>
              <w:t>4.</w:t>
            </w:r>
            <w:r w:rsidR="00B70458" w:rsidRPr="00273A66">
              <w:rPr>
                <w:b/>
                <w:bCs/>
              </w:rPr>
              <w:t>4</w:t>
            </w:r>
          </w:p>
        </w:tc>
        <w:tc>
          <w:tcPr>
            <w:tcW w:w="6018" w:type="dxa"/>
            <w:shd w:val="clear" w:color="auto" w:fill="F2F2F2" w:themeFill="background1" w:themeFillShade="F2"/>
          </w:tcPr>
          <w:p w14:paraId="216555C4" w14:textId="77777777" w:rsidR="00320A6D" w:rsidRPr="004423D0" w:rsidRDefault="00320A6D" w:rsidP="00320A6D">
            <w:pPr>
              <w:pStyle w:val="Normalbold"/>
              <w:rPr>
                <w:rFonts w:ascii="Arial" w:eastAsia="Arial" w:hAnsi="Arial" w:cs="Calibri"/>
                <w:u w:val="single"/>
              </w:rPr>
            </w:pPr>
            <w:r w:rsidRPr="004423D0">
              <w:rPr>
                <w:rFonts w:ascii="Arial" w:eastAsia="Arial" w:hAnsi="Arial" w:cs="Calibri"/>
                <w:u w:val="single"/>
              </w:rPr>
              <w:t>Data availability</w:t>
            </w:r>
          </w:p>
          <w:p w14:paraId="4797F6D3" w14:textId="657122A7" w:rsidR="00320A6D" w:rsidRPr="004423D0" w:rsidRDefault="00320A6D" w:rsidP="00320A6D">
            <w:pPr>
              <w:pStyle w:val="Normalbold"/>
              <w:rPr>
                <w:rFonts w:ascii="Arial" w:eastAsia="Arial" w:hAnsi="Arial" w:cs="Calibri"/>
                <w:bCs/>
              </w:rPr>
            </w:pPr>
            <w:r w:rsidRPr="004423D0">
              <w:rPr>
                <w:rFonts w:ascii="Arial" w:eastAsia="Arial" w:hAnsi="Arial" w:cs="Calibri"/>
                <w:bCs/>
              </w:rPr>
              <w:t xml:space="preserve">To meet the requirements for reporting on indicators, an </w:t>
            </w:r>
            <w:r w:rsidR="0017058B" w:rsidRPr="004423D0">
              <w:rPr>
                <w:rFonts w:ascii="Arial" w:eastAsia="Arial" w:hAnsi="Arial" w:cs="Calibri"/>
              </w:rPr>
              <w:t>e</w:t>
            </w:r>
            <w:r w:rsidRPr="004423D0">
              <w:rPr>
                <w:rFonts w:ascii="Arial" w:eastAsia="Arial" w:hAnsi="Arial" w:cs="Calibri"/>
              </w:rPr>
              <w:t>ntity</w:t>
            </w:r>
            <w:r w:rsidRPr="004423D0">
              <w:rPr>
                <w:rFonts w:ascii="Arial" w:eastAsia="Arial" w:hAnsi="Arial" w:cs="Calibri"/>
                <w:bCs/>
              </w:rPr>
              <w:t xml:space="preserve"> </w:t>
            </w:r>
            <w:r w:rsidR="002A4DEA">
              <w:rPr>
                <w:rFonts w:ascii="Arial" w:eastAsia="Arial" w:hAnsi="Arial" w:cs="Calibri"/>
                <w:bCs/>
              </w:rPr>
              <w:t xml:space="preserve">must </w:t>
            </w:r>
            <w:r w:rsidRPr="004423D0">
              <w:rPr>
                <w:rFonts w:ascii="Arial" w:eastAsia="Arial" w:hAnsi="Arial" w:cs="Calibri"/>
                <w:bCs/>
              </w:rPr>
              <w:t>disclose in its Annual Report of Operations either:</w:t>
            </w:r>
          </w:p>
          <w:p w14:paraId="2BE4E674" w14:textId="224F0C17" w:rsidR="00320A6D" w:rsidRPr="004423D0" w:rsidRDefault="00320A6D" w:rsidP="00320A6D">
            <w:pPr>
              <w:pStyle w:val="Bullet1"/>
              <w:rPr>
                <w:b/>
                <w:bCs/>
              </w:rPr>
            </w:pPr>
            <w:r w:rsidRPr="004423D0">
              <w:rPr>
                <w:b/>
                <w:bCs/>
              </w:rPr>
              <w:t>the relevant data, or</w:t>
            </w:r>
          </w:p>
          <w:p w14:paraId="0769B5E7" w14:textId="10B68A45" w:rsidR="00320A6D" w:rsidRPr="004423D0" w:rsidRDefault="00614AB8" w:rsidP="00320A6D">
            <w:pPr>
              <w:pStyle w:val="Bullet1"/>
              <w:rPr>
                <w:b/>
                <w:bCs/>
              </w:rPr>
            </w:pPr>
            <w:r>
              <w:rPr>
                <w:b/>
                <w:bCs/>
              </w:rPr>
              <w:t xml:space="preserve">where </w:t>
            </w:r>
            <w:r w:rsidR="0035111F">
              <w:rPr>
                <w:b/>
                <w:bCs/>
              </w:rPr>
              <w:t xml:space="preserve">it is impracticable to report </w:t>
            </w:r>
            <w:r>
              <w:rPr>
                <w:b/>
                <w:bCs/>
              </w:rPr>
              <w:t xml:space="preserve">the relevant data, </w:t>
            </w:r>
            <w:r w:rsidR="00320A6D" w:rsidRPr="004423D0">
              <w:rPr>
                <w:b/>
                <w:bCs/>
              </w:rPr>
              <w:t xml:space="preserve">an estimate of </w:t>
            </w:r>
            <w:r w:rsidR="00086344" w:rsidRPr="004423D0">
              <w:rPr>
                <w:b/>
                <w:bCs/>
              </w:rPr>
              <w:t xml:space="preserve">the </w:t>
            </w:r>
            <w:r w:rsidR="00BA59C7" w:rsidRPr="004423D0">
              <w:rPr>
                <w:b/>
                <w:bCs/>
              </w:rPr>
              <w:t xml:space="preserve">data </w:t>
            </w:r>
            <w:r w:rsidR="009D4348" w:rsidRPr="004423D0">
              <w:rPr>
                <w:b/>
                <w:bCs/>
              </w:rPr>
              <w:t>required for the indicator</w:t>
            </w:r>
            <w:r w:rsidR="00320A6D" w:rsidRPr="004423D0">
              <w:rPr>
                <w:b/>
                <w:bCs/>
              </w:rPr>
              <w:t xml:space="preserve"> and the assumptions and methods used to determine that estimate, or</w:t>
            </w:r>
          </w:p>
          <w:p w14:paraId="0048AE33" w14:textId="37AF1C7A" w:rsidR="00194E5F" w:rsidRPr="004423D0" w:rsidRDefault="00614AB8" w:rsidP="00320A6D">
            <w:pPr>
              <w:pStyle w:val="Bullet1"/>
              <w:rPr>
                <w:rFonts w:ascii="Arial" w:eastAsia="Arial" w:hAnsi="Arial"/>
                <w:bCs/>
              </w:rPr>
            </w:pPr>
            <w:r>
              <w:rPr>
                <w:b/>
                <w:bCs/>
              </w:rPr>
              <w:t xml:space="preserve">where </w:t>
            </w:r>
            <w:r w:rsidR="0035111F">
              <w:rPr>
                <w:b/>
                <w:bCs/>
              </w:rPr>
              <w:t xml:space="preserve">it is impracticable to report either </w:t>
            </w:r>
            <w:r>
              <w:rPr>
                <w:b/>
                <w:bCs/>
              </w:rPr>
              <w:t xml:space="preserve">the relevant data </w:t>
            </w:r>
            <w:r w:rsidR="0035111F">
              <w:rPr>
                <w:b/>
                <w:bCs/>
              </w:rPr>
              <w:t xml:space="preserve">or </w:t>
            </w:r>
            <w:r>
              <w:rPr>
                <w:b/>
                <w:bCs/>
              </w:rPr>
              <w:t>an estimation,</w:t>
            </w:r>
            <w:r w:rsidRPr="004423D0">
              <w:rPr>
                <w:b/>
                <w:bCs/>
              </w:rPr>
              <w:t xml:space="preserve"> </w:t>
            </w:r>
            <w:r w:rsidR="00320A6D" w:rsidRPr="004423D0">
              <w:rPr>
                <w:b/>
                <w:bCs/>
              </w:rPr>
              <w:t>an explanatory note on planned activities to improve data collection for future Annual Reports</w:t>
            </w:r>
            <w:r>
              <w:rPr>
                <w:b/>
                <w:bCs/>
              </w:rPr>
              <w:t>.</w:t>
            </w:r>
          </w:p>
        </w:tc>
      </w:tr>
      <w:tr w:rsidR="00DA0A07" w:rsidRPr="004423D0" w14:paraId="73DB320B" w14:textId="77777777" w:rsidTr="00566D86">
        <w:trPr>
          <w:gridAfter w:val="2"/>
          <w:wAfter w:w="49" w:type="dxa"/>
        </w:trPr>
        <w:tc>
          <w:tcPr>
            <w:tcW w:w="2270" w:type="dxa"/>
            <w:gridSpan w:val="2"/>
            <w:shd w:val="clear" w:color="auto" w:fill="F2F2F2" w:themeFill="background1" w:themeFillShade="F2"/>
          </w:tcPr>
          <w:p w14:paraId="4898224E" w14:textId="77777777" w:rsidR="00194E5F" w:rsidRPr="004423D0" w:rsidRDefault="00194E5F" w:rsidP="00645027">
            <w:pPr>
              <w:pStyle w:val="Normalbold"/>
            </w:pPr>
          </w:p>
        </w:tc>
        <w:tc>
          <w:tcPr>
            <w:tcW w:w="174" w:type="dxa"/>
            <w:gridSpan w:val="2"/>
            <w:shd w:val="clear" w:color="auto" w:fill="F2F2F2" w:themeFill="background1" w:themeFillShade="F2"/>
          </w:tcPr>
          <w:p w14:paraId="0F68D69B" w14:textId="77777777" w:rsidR="00194E5F" w:rsidRPr="004423D0" w:rsidRDefault="00194E5F" w:rsidP="00286F9A">
            <w:pPr>
              <w:pStyle w:val="Normalgrey"/>
            </w:pPr>
          </w:p>
        </w:tc>
        <w:tc>
          <w:tcPr>
            <w:tcW w:w="630" w:type="dxa"/>
            <w:gridSpan w:val="2"/>
            <w:shd w:val="clear" w:color="auto" w:fill="F2F2F2" w:themeFill="background1" w:themeFillShade="F2"/>
          </w:tcPr>
          <w:p w14:paraId="43FDBF6A" w14:textId="4F491EA2" w:rsidR="00194E5F" w:rsidRPr="00273A66" w:rsidRDefault="00AD4EFF" w:rsidP="00286F9A">
            <w:pPr>
              <w:pStyle w:val="Normalgrey"/>
              <w:rPr>
                <w:b/>
                <w:bCs/>
              </w:rPr>
            </w:pPr>
            <w:r w:rsidRPr="00273A66">
              <w:rPr>
                <w:b/>
                <w:bCs/>
              </w:rPr>
              <w:t>4.</w:t>
            </w:r>
            <w:r w:rsidR="00B70458" w:rsidRPr="00273A66">
              <w:rPr>
                <w:b/>
                <w:bCs/>
              </w:rPr>
              <w:t>5</w:t>
            </w:r>
          </w:p>
        </w:tc>
        <w:tc>
          <w:tcPr>
            <w:tcW w:w="6018" w:type="dxa"/>
            <w:shd w:val="clear" w:color="auto" w:fill="F2F2F2" w:themeFill="background1" w:themeFillShade="F2"/>
          </w:tcPr>
          <w:p w14:paraId="0DC22294" w14:textId="77777777" w:rsidR="00AD4EFF" w:rsidRPr="004423D0" w:rsidRDefault="00AD4EFF" w:rsidP="00AD4EFF">
            <w:pPr>
              <w:pStyle w:val="Normalbold"/>
              <w:rPr>
                <w:rFonts w:ascii="Arial" w:eastAsia="Arial" w:hAnsi="Arial" w:cs="Calibri"/>
                <w:u w:val="single"/>
              </w:rPr>
            </w:pPr>
            <w:r w:rsidRPr="004423D0">
              <w:rPr>
                <w:rFonts w:ascii="Arial" w:eastAsia="Arial" w:hAnsi="Arial" w:cs="Calibri"/>
                <w:u w:val="single"/>
              </w:rPr>
              <w:t>Materiality and completeness</w:t>
            </w:r>
          </w:p>
          <w:p w14:paraId="78A52DCE" w14:textId="659C5351" w:rsidR="00194E5F" w:rsidRPr="004423D0" w:rsidRDefault="00AD4EFF" w:rsidP="00AD4EFF">
            <w:pPr>
              <w:pStyle w:val="Normalbold"/>
              <w:rPr>
                <w:rFonts w:ascii="Arial" w:eastAsia="Arial" w:hAnsi="Arial" w:cs="Calibri"/>
                <w:bCs/>
              </w:rPr>
            </w:pPr>
            <w:r w:rsidRPr="004423D0">
              <w:rPr>
                <w:rFonts w:ascii="Arial" w:eastAsia="Arial" w:hAnsi="Arial" w:cs="Calibri"/>
                <w:bCs/>
              </w:rPr>
              <w:t xml:space="preserve">Entities should quantify all </w:t>
            </w:r>
            <w:r w:rsidR="000312E7" w:rsidRPr="004423D0">
              <w:rPr>
                <w:rFonts w:ascii="Arial" w:eastAsia="Arial" w:hAnsi="Arial" w:cs="Calibri"/>
                <w:bCs/>
              </w:rPr>
              <w:t xml:space="preserve">material </w:t>
            </w:r>
            <w:r w:rsidRPr="004423D0">
              <w:rPr>
                <w:rFonts w:ascii="Arial" w:eastAsia="Arial" w:hAnsi="Arial" w:cs="Calibri"/>
                <w:bCs/>
              </w:rPr>
              <w:t xml:space="preserve">activities. Material activities are those that contribute 1% or more of the </w:t>
            </w:r>
            <w:r w:rsidR="00CD3614" w:rsidRPr="004423D0">
              <w:rPr>
                <w:rFonts w:ascii="Arial" w:eastAsia="Arial" w:hAnsi="Arial" w:cs="Calibri"/>
                <w:bCs/>
              </w:rPr>
              <w:t>e</w:t>
            </w:r>
            <w:r w:rsidRPr="004423D0">
              <w:rPr>
                <w:rFonts w:ascii="Arial" w:eastAsia="Arial" w:hAnsi="Arial" w:cs="Calibri"/>
                <w:bCs/>
              </w:rPr>
              <w:t xml:space="preserve">ntity’s Scope 1 and </w:t>
            </w:r>
            <w:r w:rsidR="00BF6442" w:rsidRPr="004423D0">
              <w:rPr>
                <w:rFonts w:ascii="Arial" w:eastAsia="Arial" w:hAnsi="Arial" w:cs="Calibri"/>
                <w:bCs/>
              </w:rPr>
              <w:t xml:space="preserve">Scope </w:t>
            </w:r>
            <w:r w:rsidRPr="004423D0">
              <w:rPr>
                <w:rFonts w:ascii="Arial" w:eastAsia="Arial" w:hAnsi="Arial" w:cs="Calibri"/>
                <w:bCs/>
              </w:rPr>
              <w:t>2 Greenhouse Gas emissions. When applying this threshold</w:t>
            </w:r>
            <w:r w:rsidR="00143452" w:rsidRPr="004423D0">
              <w:rPr>
                <w:rFonts w:ascii="Arial" w:eastAsia="Arial" w:hAnsi="Arial" w:cs="Calibri"/>
                <w:bCs/>
              </w:rPr>
              <w:t>,</w:t>
            </w:r>
            <w:r w:rsidRPr="004423D0">
              <w:rPr>
                <w:rFonts w:ascii="Arial" w:eastAsia="Arial" w:hAnsi="Arial" w:cs="Calibri"/>
                <w:bCs/>
              </w:rPr>
              <w:t xml:space="preserve"> activities that are not quantified should not collectively exceed an estimated total of 5% of the </w:t>
            </w:r>
            <w:r w:rsidR="00CD3614" w:rsidRPr="004423D0">
              <w:rPr>
                <w:rFonts w:ascii="Arial" w:eastAsia="Arial" w:hAnsi="Arial" w:cs="Calibri"/>
                <w:bCs/>
              </w:rPr>
              <w:t>e</w:t>
            </w:r>
            <w:r w:rsidRPr="004423D0">
              <w:rPr>
                <w:rFonts w:ascii="Arial" w:eastAsia="Arial" w:hAnsi="Arial" w:cs="Calibri"/>
                <w:bCs/>
              </w:rPr>
              <w:t xml:space="preserve">ntity’s Scope </w:t>
            </w:r>
            <w:r w:rsidR="00614AB8">
              <w:rPr>
                <w:rFonts w:ascii="Arial" w:eastAsia="Arial" w:hAnsi="Arial" w:cs="Calibri"/>
                <w:bCs/>
              </w:rPr>
              <w:t>1</w:t>
            </w:r>
            <w:r w:rsidR="00614AB8" w:rsidRPr="004423D0">
              <w:rPr>
                <w:rFonts w:ascii="Arial" w:eastAsia="Arial" w:hAnsi="Arial" w:cs="Calibri"/>
                <w:bCs/>
              </w:rPr>
              <w:t xml:space="preserve"> </w:t>
            </w:r>
            <w:r w:rsidRPr="004423D0">
              <w:rPr>
                <w:rFonts w:ascii="Arial" w:eastAsia="Arial" w:hAnsi="Arial" w:cs="Calibri"/>
                <w:bCs/>
              </w:rPr>
              <w:t xml:space="preserve">and </w:t>
            </w:r>
            <w:r w:rsidR="009B0054" w:rsidRPr="004423D0">
              <w:rPr>
                <w:rFonts w:ascii="Arial" w:eastAsia="Arial" w:hAnsi="Arial" w:cs="Calibri"/>
                <w:bCs/>
              </w:rPr>
              <w:t xml:space="preserve">Scope </w:t>
            </w:r>
            <w:r w:rsidR="00614AB8">
              <w:rPr>
                <w:rFonts w:ascii="Arial" w:eastAsia="Arial" w:hAnsi="Arial" w:cs="Calibri"/>
                <w:bCs/>
              </w:rPr>
              <w:t>2</w:t>
            </w:r>
            <w:r w:rsidR="00614AB8" w:rsidRPr="004423D0">
              <w:rPr>
                <w:rFonts w:ascii="Arial" w:eastAsia="Arial" w:hAnsi="Arial" w:cs="Calibri"/>
                <w:bCs/>
              </w:rPr>
              <w:t xml:space="preserve"> </w:t>
            </w:r>
            <w:r w:rsidRPr="004423D0">
              <w:rPr>
                <w:rFonts w:ascii="Arial" w:eastAsia="Arial" w:hAnsi="Arial" w:cs="Calibri"/>
                <w:bCs/>
              </w:rPr>
              <w:t xml:space="preserve">emissions. Where materiality estimates have been made, they should be included in </w:t>
            </w:r>
            <w:r w:rsidR="00614AB8">
              <w:rPr>
                <w:rFonts w:ascii="Arial" w:eastAsia="Arial" w:hAnsi="Arial" w:cs="Calibri"/>
                <w:bCs/>
              </w:rPr>
              <w:t>the entity’s Annual Report of Operations</w:t>
            </w:r>
            <w:r w:rsidRPr="004423D0">
              <w:rPr>
                <w:rFonts w:ascii="Arial" w:eastAsia="Arial" w:hAnsi="Arial" w:cs="Calibri"/>
                <w:bCs/>
              </w:rPr>
              <w:t>.</w:t>
            </w:r>
          </w:p>
        </w:tc>
      </w:tr>
      <w:tr w:rsidR="001E5494" w:rsidRPr="004423D0" w14:paraId="448F2E36" w14:textId="77777777" w:rsidTr="00C34CC9">
        <w:trPr>
          <w:gridAfter w:val="2"/>
          <w:wAfter w:w="49" w:type="dxa"/>
        </w:trPr>
        <w:tc>
          <w:tcPr>
            <w:tcW w:w="2270" w:type="dxa"/>
            <w:gridSpan w:val="2"/>
            <w:shd w:val="clear" w:color="auto" w:fill="F2F2F2" w:themeFill="background1" w:themeFillShade="F2"/>
          </w:tcPr>
          <w:p w14:paraId="588537C1" w14:textId="77777777" w:rsidR="001E5494" w:rsidRPr="004423D0" w:rsidRDefault="001E5494" w:rsidP="00645027">
            <w:pPr>
              <w:pStyle w:val="Normalbold"/>
            </w:pPr>
          </w:p>
        </w:tc>
        <w:tc>
          <w:tcPr>
            <w:tcW w:w="174" w:type="dxa"/>
            <w:gridSpan w:val="2"/>
            <w:shd w:val="clear" w:color="auto" w:fill="F2F2F2" w:themeFill="background1" w:themeFillShade="F2"/>
          </w:tcPr>
          <w:p w14:paraId="09B8D7CF" w14:textId="77777777" w:rsidR="001E5494" w:rsidRPr="004423D0" w:rsidRDefault="001E5494" w:rsidP="00286F9A">
            <w:pPr>
              <w:pStyle w:val="Normalgrey"/>
            </w:pPr>
          </w:p>
        </w:tc>
        <w:tc>
          <w:tcPr>
            <w:tcW w:w="630" w:type="dxa"/>
            <w:gridSpan w:val="2"/>
            <w:shd w:val="clear" w:color="auto" w:fill="F2F2F2" w:themeFill="background1" w:themeFillShade="F2"/>
          </w:tcPr>
          <w:p w14:paraId="133BDADF" w14:textId="1C776890" w:rsidR="001E5494" w:rsidRPr="00273A66" w:rsidRDefault="001E5494" w:rsidP="00286F9A">
            <w:pPr>
              <w:pStyle w:val="Normalgrey"/>
              <w:rPr>
                <w:b/>
                <w:bCs/>
              </w:rPr>
            </w:pPr>
            <w:r w:rsidRPr="00273A66">
              <w:rPr>
                <w:b/>
                <w:bCs/>
              </w:rPr>
              <w:t>4.</w:t>
            </w:r>
            <w:r w:rsidR="00B70458" w:rsidRPr="00273A66">
              <w:rPr>
                <w:b/>
                <w:bCs/>
              </w:rPr>
              <w:t>6</w:t>
            </w:r>
          </w:p>
        </w:tc>
        <w:tc>
          <w:tcPr>
            <w:tcW w:w="6018" w:type="dxa"/>
            <w:shd w:val="clear" w:color="auto" w:fill="F2F2F2" w:themeFill="background1" w:themeFillShade="F2"/>
          </w:tcPr>
          <w:p w14:paraId="0F12D413" w14:textId="47A1F2EA" w:rsidR="00FD4C33" w:rsidRPr="004423D0" w:rsidRDefault="00B81C01" w:rsidP="001E5494">
            <w:pPr>
              <w:pStyle w:val="Normalbold"/>
              <w:rPr>
                <w:rFonts w:ascii="Arial" w:eastAsia="Arial" w:hAnsi="Arial" w:cs="Calibri"/>
                <w:u w:val="single"/>
              </w:rPr>
            </w:pPr>
            <w:r w:rsidRPr="004423D0">
              <w:rPr>
                <w:rFonts w:ascii="Arial" w:eastAsia="Arial" w:hAnsi="Arial" w:cs="Calibri"/>
                <w:u w:val="single"/>
              </w:rPr>
              <w:t>Context</w:t>
            </w:r>
          </w:p>
          <w:p w14:paraId="44FD6FF5" w14:textId="68169543" w:rsidR="001E5494" w:rsidRPr="004423D0" w:rsidRDefault="001E5494" w:rsidP="001E5494">
            <w:pPr>
              <w:pStyle w:val="Normalbold"/>
              <w:rPr>
                <w:rFonts w:ascii="Arial" w:eastAsia="Arial" w:hAnsi="Arial" w:cs="Calibri"/>
              </w:rPr>
            </w:pPr>
            <w:r w:rsidRPr="004423D0">
              <w:rPr>
                <w:rFonts w:ascii="Arial" w:eastAsia="Arial" w:hAnsi="Arial" w:cs="Calibri"/>
              </w:rPr>
              <w:t xml:space="preserve">All entities must disclose for each relevant indicator, or groups of indicators (paragraphs </w:t>
            </w:r>
            <w:r w:rsidR="00C728D0" w:rsidRPr="004423D0">
              <w:rPr>
                <w:rFonts w:ascii="Arial" w:eastAsia="Arial" w:hAnsi="Arial" w:cs="Calibri"/>
              </w:rPr>
              <w:t>5</w:t>
            </w:r>
            <w:r w:rsidRPr="004423D0">
              <w:rPr>
                <w:rFonts w:ascii="Arial" w:eastAsia="Arial" w:hAnsi="Arial" w:cs="Calibri"/>
              </w:rPr>
              <w:t>-1</w:t>
            </w:r>
            <w:r w:rsidR="008C3D4E" w:rsidRPr="004423D0">
              <w:rPr>
                <w:rFonts w:ascii="Arial" w:eastAsia="Arial" w:hAnsi="Arial" w:cs="Calibri"/>
              </w:rPr>
              <w:t>3</w:t>
            </w:r>
            <w:r w:rsidRPr="004423D0">
              <w:rPr>
                <w:rFonts w:ascii="Arial" w:eastAsia="Arial" w:hAnsi="Arial" w:cs="Calibri"/>
              </w:rPr>
              <w:t>), the ‘context’ of reported data including, where relevant:</w:t>
            </w:r>
          </w:p>
          <w:p w14:paraId="3EF15C79" w14:textId="18161BB0" w:rsidR="001E5494" w:rsidRPr="004423D0" w:rsidRDefault="001E5494" w:rsidP="001E5494">
            <w:pPr>
              <w:pStyle w:val="Bullet1"/>
              <w:rPr>
                <w:b/>
              </w:rPr>
            </w:pPr>
            <w:r w:rsidRPr="004423D0">
              <w:rPr>
                <w:b/>
              </w:rPr>
              <w:t>methods used to collect activity data (such as Environmental Data Management Systems), including any data gaps</w:t>
            </w:r>
            <w:r w:rsidR="00614AB8">
              <w:rPr>
                <w:b/>
              </w:rPr>
              <w:t>;</w:t>
            </w:r>
          </w:p>
          <w:p w14:paraId="4C7574AF" w14:textId="7C873044" w:rsidR="001E5494" w:rsidRPr="004423D0" w:rsidRDefault="001E5494" w:rsidP="001E5494">
            <w:pPr>
              <w:pStyle w:val="Bullet1"/>
              <w:rPr>
                <w:b/>
              </w:rPr>
            </w:pPr>
            <w:r w:rsidRPr="004423D0">
              <w:rPr>
                <w:b/>
              </w:rPr>
              <w:t>any changes from previous years’ reporting methods</w:t>
            </w:r>
            <w:r w:rsidR="00614AB8">
              <w:rPr>
                <w:b/>
              </w:rPr>
              <w:t>;</w:t>
            </w:r>
            <w:r w:rsidRPr="004423D0">
              <w:rPr>
                <w:b/>
              </w:rPr>
              <w:t xml:space="preserve"> inclusions, or exclusions, where relevant</w:t>
            </w:r>
            <w:r w:rsidR="00614AB8">
              <w:rPr>
                <w:b/>
              </w:rPr>
              <w:t>;</w:t>
            </w:r>
          </w:p>
          <w:p w14:paraId="510A3889" w14:textId="5EEFD3DD" w:rsidR="001E5494" w:rsidRPr="004423D0" w:rsidRDefault="001E5494" w:rsidP="001E5494">
            <w:pPr>
              <w:pStyle w:val="Bullet1"/>
              <w:rPr>
                <w:b/>
              </w:rPr>
            </w:pPr>
            <w:r w:rsidRPr="004423D0">
              <w:rPr>
                <w:b/>
              </w:rPr>
              <w:t>reason for any significant variation in the data from previous reporting years</w:t>
            </w:r>
            <w:r w:rsidR="00614AB8">
              <w:rPr>
                <w:b/>
              </w:rPr>
              <w:t>;</w:t>
            </w:r>
            <w:r w:rsidRPr="004423D0">
              <w:rPr>
                <w:b/>
              </w:rPr>
              <w:t xml:space="preserve"> </w:t>
            </w:r>
          </w:p>
          <w:p w14:paraId="1027CD3E" w14:textId="47EF30A4" w:rsidR="001E5494" w:rsidRPr="004423D0" w:rsidRDefault="001E5494" w:rsidP="001E5494">
            <w:pPr>
              <w:pStyle w:val="Bullet1"/>
              <w:rPr>
                <w:b/>
              </w:rPr>
            </w:pPr>
            <w:r w:rsidRPr="004423D0">
              <w:rPr>
                <w:b/>
              </w:rPr>
              <w:t>percentage of sites and percentage of staff represented by the data, where data is incomplete</w:t>
            </w:r>
            <w:r w:rsidR="00614AB8">
              <w:rPr>
                <w:b/>
              </w:rPr>
              <w:t>;</w:t>
            </w:r>
          </w:p>
          <w:p w14:paraId="61F98575" w14:textId="305CF0A9" w:rsidR="001E5494" w:rsidRPr="004423D0" w:rsidRDefault="001E5494" w:rsidP="001E5494">
            <w:pPr>
              <w:pStyle w:val="Bullet1"/>
              <w:rPr>
                <w:b/>
              </w:rPr>
            </w:pPr>
            <w:r w:rsidRPr="004423D0">
              <w:rPr>
                <w:b/>
              </w:rPr>
              <w:t xml:space="preserve">any other material or explanatory information (as </w:t>
            </w:r>
            <w:r w:rsidR="00614AB8">
              <w:rPr>
                <w:b/>
              </w:rPr>
              <w:t>necessary</w:t>
            </w:r>
            <w:r w:rsidRPr="004423D0">
              <w:rPr>
                <w:b/>
              </w:rPr>
              <w:t>)</w:t>
            </w:r>
            <w:r w:rsidR="00614AB8">
              <w:rPr>
                <w:b/>
              </w:rPr>
              <w:t>;</w:t>
            </w:r>
            <w:r w:rsidRPr="004423D0">
              <w:rPr>
                <w:b/>
              </w:rPr>
              <w:t xml:space="preserve"> about the data that are relevant to performance or that assists the reader’s understanding</w:t>
            </w:r>
            <w:r w:rsidR="00614AB8">
              <w:rPr>
                <w:b/>
              </w:rPr>
              <w:t>; and</w:t>
            </w:r>
          </w:p>
          <w:p w14:paraId="3C81D3B6" w14:textId="77777777" w:rsidR="001E5494" w:rsidRPr="004423D0" w:rsidRDefault="001E5494" w:rsidP="001E5494">
            <w:pPr>
              <w:pStyle w:val="Bullet1"/>
              <w:rPr>
                <w:b/>
              </w:rPr>
            </w:pPr>
            <w:r w:rsidRPr="004423D0">
              <w:rPr>
                <w:b/>
              </w:rPr>
              <w:t>measures planned or in place to improve reporting in the future.</w:t>
            </w:r>
          </w:p>
          <w:p w14:paraId="76E58A9F" w14:textId="77777777" w:rsidR="001E5494" w:rsidRPr="004423D0" w:rsidRDefault="001E5494" w:rsidP="001E5494">
            <w:pPr>
              <w:pStyle w:val="Normalbold"/>
              <w:rPr>
                <w:rFonts w:ascii="Arial" w:eastAsia="Arial" w:hAnsi="Arial" w:cs="Calibri"/>
              </w:rPr>
            </w:pPr>
            <w:r w:rsidRPr="004423D0">
              <w:rPr>
                <w:rFonts w:ascii="Arial" w:eastAsia="Arial" w:hAnsi="Arial" w:cs="Calibri"/>
              </w:rPr>
              <w:t>Additionally, Tier 1 entities (see Appendix 1) must disclose:</w:t>
            </w:r>
          </w:p>
          <w:p w14:paraId="5F03E6FB" w14:textId="4F1E5E2D" w:rsidR="001E5494" w:rsidRPr="004423D0" w:rsidRDefault="001E5494" w:rsidP="001E5494">
            <w:pPr>
              <w:pStyle w:val="Bullet1"/>
              <w:spacing w:before="0"/>
              <w:rPr>
                <w:b/>
                <w:color w:val="000000" w:themeColor="text1"/>
              </w:rPr>
            </w:pPr>
            <w:r w:rsidRPr="004423D0">
              <w:rPr>
                <w:b/>
              </w:rPr>
              <w:t>a description of the entity’s approach to understanding and managing climate-related risks and opportunities and (where possible) a description of its planned responses</w:t>
            </w:r>
            <w:r w:rsidR="00614AB8">
              <w:rPr>
                <w:b/>
              </w:rPr>
              <w:t>;</w:t>
            </w:r>
            <w:r w:rsidRPr="004423D0">
              <w:rPr>
                <w:b/>
              </w:rPr>
              <w:t xml:space="preserve"> </w:t>
            </w:r>
          </w:p>
          <w:p w14:paraId="6EC0652A" w14:textId="7C178ABF" w:rsidR="00456D57" w:rsidRPr="004423D0" w:rsidRDefault="001E5494" w:rsidP="001E5494">
            <w:pPr>
              <w:pStyle w:val="Bullet1"/>
              <w:spacing w:before="0"/>
              <w:rPr>
                <w:rFonts w:eastAsiaTheme="minorEastAsia" w:cstheme="minorBidi"/>
                <w:b/>
                <w:color w:val="000000" w:themeColor="text1"/>
              </w:rPr>
            </w:pPr>
            <w:r w:rsidRPr="004423D0">
              <w:rPr>
                <w:b/>
              </w:rPr>
              <w:t xml:space="preserve">a description of the entity’s Environmental Management System, how it conforms with </w:t>
            </w:r>
            <w:r w:rsidRPr="004423D0">
              <w:rPr>
                <w:rFonts w:eastAsiaTheme="minorEastAsia"/>
                <w:b/>
                <w:i/>
              </w:rPr>
              <w:t>AS/NZS ISO 14001:2016: Environmental management systems</w:t>
            </w:r>
            <w:r w:rsidRPr="004423D0">
              <w:rPr>
                <w:rFonts w:eastAsiaTheme="minorEastAsia"/>
                <w:b/>
              </w:rPr>
              <w:t xml:space="preserve">, and </w:t>
            </w:r>
            <w:r w:rsidRPr="004423D0">
              <w:rPr>
                <w:b/>
              </w:rPr>
              <w:t>when it was last audited</w:t>
            </w:r>
            <w:r w:rsidR="00614AB8">
              <w:rPr>
                <w:b/>
              </w:rPr>
              <w:t>; and</w:t>
            </w:r>
          </w:p>
          <w:p w14:paraId="7A48591A" w14:textId="6CFBFE62" w:rsidR="00D81E69" w:rsidRPr="00614AB8" w:rsidRDefault="001E5494" w:rsidP="002A4DEA">
            <w:pPr>
              <w:pStyle w:val="Bullet1"/>
              <w:spacing w:before="0"/>
              <w:rPr>
                <w:rFonts w:ascii="Arial" w:eastAsia="Arial" w:hAnsi="Arial"/>
              </w:rPr>
            </w:pPr>
            <w:r w:rsidRPr="004423D0">
              <w:rPr>
                <w:b/>
              </w:rPr>
              <w:t>any relevant targets that have been set by the entity for its own operations</w:t>
            </w:r>
            <w:r w:rsidR="00614AB8">
              <w:rPr>
                <w:b/>
              </w:rPr>
              <w:t>.</w:t>
            </w:r>
          </w:p>
        </w:tc>
      </w:tr>
      <w:tr w:rsidR="00407E51" w:rsidRPr="004423D0" w14:paraId="78A34DEF" w14:textId="77777777" w:rsidTr="00566D86">
        <w:tc>
          <w:tcPr>
            <w:tcW w:w="2270" w:type="dxa"/>
            <w:gridSpan w:val="2"/>
          </w:tcPr>
          <w:p w14:paraId="54048A9C" w14:textId="11B5F57D" w:rsidR="00407E51" w:rsidRPr="004423D0" w:rsidRDefault="008459D9" w:rsidP="00407E51">
            <w:pPr>
              <w:pStyle w:val="Normalbold"/>
            </w:pPr>
            <w:r w:rsidRPr="004423D0">
              <w:t>Procedure</w:t>
            </w:r>
          </w:p>
        </w:tc>
        <w:tc>
          <w:tcPr>
            <w:tcW w:w="174" w:type="dxa"/>
            <w:gridSpan w:val="2"/>
          </w:tcPr>
          <w:p w14:paraId="4D4666C7" w14:textId="77777777" w:rsidR="00407E51" w:rsidRPr="004423D0" w:rsidRDefault="00407E51" w:rsidP="00407E51">
            <w:pPr>
              <w:pStyle w:val="Normalgrey"/>
            </w:pPr>
          </w:p>
        </w:tc>
        <w:tc>
          <w:tcPr>
            <w:tcW w:w="630" w:type="dxa"/>
            <w:gridSpan w:val="2"/>
          </w:tcPr>
          <w:p w14:paraId="20E1AD8C" w14:textId="02E9EF25" w:rsidR="00407E51" w:rsidRPr="004423D0" w:rsidRDefault="008459D9" w:rsidP="00407E51">
            <w:pPr>
              <w:pStyle w:val="Normalgrey"/>
            </w:pPr>
            <w:r w:rsidRPr="004423D0">
              <w:t>5</w:t>
            </w:r>
            <w:r w:rsidR="00AB1404">
              <w:t>.1</w:t>
            </w:r>
          </w:p>
        </w:tc>
        <w:tc>
          <w:tcPr>
            <w:tcW w:w="6067" w:type="dxa"/>
            <w:gridSpan w:val="3"/>
          </w:tcPr>
          <w:p w14:paraId="0CCB91C1" w14:textId="3F75E13F" w:rsidR="00407E51" w:rsidRPr="004423D0" w:rsidRDefault="00407E51" w:rsidP="00407E51">
            <w:pPr>
              <w:pStyle w:val="Normalbold"/>
              <w:rPr>
                <w:rFonts w:ascii="Arial" w:eastAsia="Arial" w:hAnsi="Arial" w:cs="Calibri"/>
              </w:rPr>
            </w:pPr>
            <w:r w:rsidRPr="00273A66">
              <w:rPr>
                <w:color w:val="4D4D4D"/>
              </w:rPr>
              <w:t>Electricity production and consumption</w:t>
            </w:r>
          </w:p>
        </w:tc>
      </w:tr>
      <w:tr w:rsidR="00407E51" w:rsidRPr="004423D0" w14:paraId="0D544CB1" w14:textId="77777777" w:rsidTr="00566D86">
        <w:tc>
          <w:tcPr>
            <w:tcW w:w="2270" w:type="dxa"/>
            <w:gridSpan w:val="2"/>
          </w:tcPr>
          <w:p w14:paraId="34369178" w14:textId="77777777" w:rsidR="00407E51" w:rsidRPr="004423D0" w:rsidRDefault="00407E51" w:rsidP="00407E51">
            <w:pPr>
              <w:pStyle w:val="Normalbold"/>
            </w:pPr>
          </w:p>
        </w:tc>
        <w:tc>
          <w:tcPr>
            <w:tcW w:w="174" w:type="dxa"/>
            <w:gridSpan w:val="2"/>
          </w:tcPr>
          <w:p w14:paraId="2C777579" w14:textId="77777777" w:rsidR="00407E51" w:rsidRPr="004423D0" w:rsidRDefault="00407E51" w:rsidP="00407E51">
            <w:pPr>
              <w:pStyle w:val="Normalgrey"/>
            </w:pPr>
          </w:p>
        </w:tc>
        <w:tc>
          <w:tcPr>
            <w:tcW w:w="630" w:type="dxa"/>
            <w:gridSpan w:val="2"/>
          </w:tcPr>
          <w:p w14:paraId="7DE2645E" w14:textId="29FDF8F7" w:rsidR="00407E51" w:rsidRPr="004423D0" w:rsidRDefault="00407E51" w:rsidP="00407E51">
            <w:pPr>
              <w:pStyle w:val="Normalgrey"/>
            </w:pPr>
          </w:p>
        </w:tc>
        <w:tc>
          <w:tcPr>
            <w:tcW w:w="6067" w:type="dxa"/>
            <w:gridSpan w:val="3"/>
          </w:tcPr>
          <w:p w14:paraId="4B2074B3" w14:textId="501062D7" w:rsidR="000B3FD5" w:rsidRPr="00EF6CA8" w:rsidRDefault="000B3FD5" w:rsidP="000B3FD5">
            <w:pPr>
              <w:pStyle w:val="Normalbold"/>
              <w:rPr>
                <w:rFonts w:ascii="Arial" w:eastAsia="Arial" w:hAnsi="Arial" w:cs="Calibri"/>
                <w:b w:val="0"/>
                <w:color w:val="4D4D4D"/>
              </w:rPr>
            </w:pPr>
            <w:r w:rsidRPr="00EF6CA8">
              <w:rPr>
                <w:rFonts w:ascii="Arial" w:eastAsia="Arial" w:hAnsi="Arial" w:cs="Calibri"/>
                <w:b w:val="0"/>
                <w:color w:val="4D4D4D"/>
              </w:rPr>
              <w:t xml:space="preserve">EL1 </w:t>
            </w:r>
            <w:r w:rsidR="002E3BC5" w:rsidRPr="00EF6CA8">
              <w:rPr>
                <w:rFonts w:ascii="Arial" w:eastAsia="Arial" w:hAnsi="Arial" w:cs="Calibri"/>
                <w:b w:val="0"/>
                <w:color w:val="4D4D4D"/>
              </w:rPr>
              <w:t xml:space="preserve">– </w:t>
            </w:r>
            <w:r w:rsidRPr="00EF6CA8">
              <w:rPr>
                <w:rFonts w:ascii="Arial" w:eastAsia="Arial" w:hAnsi="Arial" w:cs="Calibri"/>
                <w:b w:val="0"/>
                <w:color w:val="4D4D4D"/>
              </w:rPr>
              <w:t>Total electricity consumption (in megawatt hours) segmented by source:</w:t>
            </w:r>
          </w:p>
          <w:p w14:paraId="3729E373" w14:textId="791016FC" w:rsidR="000B3FD5" w:rsidRPr="00EF6CA8" w:rsidRDefault="000B3FD5" w:rsidP="000B3FD5">
            <w:pPr>
              <w:pStyle w:val="Bullet1"/>
              <w:spacing w:before="0"/>
              <w:rPr>
                <w:color w:val="4D4D4D"/>
              </w:rPr>
            </w:pPr>
            <w:r w:rsidRPr="00EF6CA8">
              <w:rPr>
                <w:color w:val="4D4D4D"/>
              </w:rPr>
              <w:t>Purchased directly through an electricity retailer (including State Purchasing Contracts, HealthShare Victoria contracts or other retail contracts)</w:t>
            </w:r>
          </w:p>
          <w:p w14:paraId="5D07863F" w14:textId="7B52DD5A" w:rsidR="000B3FD5" w:rsidRPr="00EF6CA8" w:rsidRDefault="000B3FD5" w:rsidP="000B3FD5">
            <w:pPr>
              <w:pStyle w:val="Bullet1"/>
              <w:spacing w:before="0"/>
              <w:rPr>
                <w:color w:val="4D4D4D"/>
              </w:rPr>
            </w:pPr>
            <w:r w:rsidRPr="00EF6CA8">
              <w:rPr>
                <w:color w:val="4D4D4D"/>
              </w:rPr>
              <w:t xml:space="preserve">Not directly purchased (e.g. </w:t>
            </w:r>
            <w:r w:rsidR="001510E8" w:rsidRPr="00EF6CA8">
              <w:rPr>
                <w:color w:val="4D4D4D"/>
              </w:rPr>
              <w:t>premises the organisation leases within a larger commercial office building that are not individually metered</w:t>
            </w:r>
            <w:r w:rsidRPr="00EF6CA8">
              <w:rPr>
                <w:color w:val="4D4D4D"/>
              </w:rPr>
              <w:t>), but sourced from outside the organisation</w:t>
            </w:r>
          </w:p>
          <w:p w14:paraId="713159F0" w14:textId="50B7E65E" w:rsidR="00407E51" w:rsidRPr="004423D0" w:rsidRDefault="000B3FD5" w:rsidP="000B3FD5">
            <w:pPr>
              <w:pStyle w:val="Bullet1"/>
              <w:spacing w:before="0"/>
            </w:pPr>
            <w:r w:rsidRPr="00EF6CA8">
              <w:rPr>
                <w:color w:val="4D4D4D"/>
              </w:rPr>
              <w:t>Self-generated (</w:t>
            </w:r>
            <w:r w:rsidR="00972FE5" w:rsidRPr="00EF6CA8">
              <w:rPr>
                <w:color w:val="4D4D4D"/>
              </w:rPr>
              <w:t>where data is available</w:t>
            </w:r>
            <w:r w:rsidRPr="00EF6CA8">
              <w:rPr>
                <w:color w:val="4D4D4D"/>
              </w:rPr>
              <w:t>)</w:t>
            </w:r>
          </w:p>
        </w:tc>
      </w:tr>
      <w:tr w:rsidR="00407E51" w:rsidRPr="004423D0" w14:paraId="39788450" w14:textId="77777777" w:rsidTr="00566D86">
        <w:tc>
          <w:tcPr>
            <w:tcW w:w="2270" w:type="dxa"/>
            <w:gridSpan w:val="2"/>
          </w:tcPr>
          <w:p w14:paraId="05C42E36" w14:textId="77777777" w:rsidR="00407E51" w:rsidRPr="004423D0" w:rsidRDefault="00407E51" w:rsidP="00407E51">
            <w:pPr>
              <w:pStyle w:val="Normalbold"/>
            </w:pPr>
          </w:p>
        </w:tc>
        <w:tc>
          <w:tcPr>
            <w:tcW w:w="174" w:type="dxa"/>
            <w:gridSpan w:val="2"/>
          </w:tcPr>
          <w:p w14:paraId="522D824A" w14:textId="77777777" w:rsidR="00407E51" w:rsidRPr="004423D0" w:rsidRDefault="00407E51" w:rsidP="00407E51">
            <w:pPr>
              <w:pStyle w:val="Normalgrey"/>
            </w:pPr>
          </w:p>
        </w:tc>
        <w:tc>
          <w:tcPr>
            <w:tcW w:w="630" w:type="dxa"/>
            <w:gridSpan w:val="2"/>
          </w:tcPr>
          <w:p w14:paraId="36EC4552" w14:textId="468240AD" w:rsidR="00407E51" w:rsidRPr="004423D0" w:rsidRDefault="00033E67" w:rsidP="00407E51">
            <w:pPr>
              <w:pStyle w:val="Normalgrey"/>
            </w:pPr>
            <w:r w:rsidRPr="004423D0">
              <w:t>5</w:t>
            </w:r>
            <w:r w:rsidR="00174643" w:rsidRPr="004423D0">
              <w:t>.2</w:t>
            </w:r>
          </w:p>
        </w:tc>
        <w:tc>
          <w:tcPr>
            <w:tcW w:w="6067" w:type="dxa"/>
            <w:gridSpan w:val="3"/>
          </w:tcPr>
          <w:p w14:paraId="4B313571" w14:textId="200EBCFF" w:rsidR="00174643" w:rsidRPr="005A594D" w:rsidRDefault="00174643" w:rsidP="00C34CC9">
            <w:pPr>
              <w:pStyle w:val="Normalgrey"/>
              <w:rPr>
                <w:rFonts w:ascii="Arial" w:eastAsia="Arial" w:hAnsi="Arial" w:cs="Calibri"/>
                <w:bCs/>
              </w:rPr>
            </w:pPr>
            <w:r w:rsidRPr="005A594D">
              <w:t>EL2 – On</w:t>
            </w:r>
            <w:r w:rsidR="00C7140B" w:rsidRPr="005A594D">
              <w:t>-</w:t>
            </w:r>
            <w:r w:rsidRPr="005A594D">
              <w:t>site</w:t>
            </w:r>
            <w:r w:rsidR="00C7140B" w:rsidRPr="005A594D">
              <w:t xml:space="preserve"> </w:t>
            </w:r>
            <w:r w:rsidRPr="005A594D">
              <w:t>electricity generated (in megawatt hours) for large-scale renewable energy systems, (i.e.</w:t>
            </w:r>
            <w:r w:rsidR="002F7334" w:rsidRPr="005A594D">
              <w:t>,</w:t>
            </w:r>
            <w:r w:rsidRPr="005A594D">
              <w:t xml:space="preserve"> accredited under the Large-Scale Renewable Energy Target), small-scale renewable energy systems (where data is available), and any other electricity generation system (where data is available), segmented by:</w:t>
            </w:r>
          </w:p>
          <w:p w14:paraId="39DC131B" w14:textId="5D448A20" w:rsidR="00174643" w:rsidRPr="000243C2" w:rsidRDefault="00174643" w:rsidP="00174643">
            <w:pPr>
              <w:pStyle w:val="Bullet1"/>
              <w:spacing w:before="0"/>
              <w:rPr>
                <w:color w:val="4D4D4D"/>
              </w:rPr>
            </w:pPr>
            <w:r w:rsidRPr="000243C2">
              <w:rPr>
                <w:color w:val="4D4D4D"/>
              </w:rPr>
              <w:t>Consumption behind-the-meter</w:t>
            </w:r>
          </w:p>
          <w:p w14:paraId="4AD5D198" w14:textId="0017F2F7" w:rsidR="00174643" w:rsidRPr="000243C2" w:rsidRDefault="00174643" w:rsidP="00174643">
            <w:pPr>
              <w:pStyle w:val="Bullet1"/>
              <w:spacing w:before="0"/>
              <w:rPr>
                <w:color w:val="4D4D4D"/>
              </w:rPr>
            </w:pPr>
            <w:r w:rsidRPr="000243C2">
              <w:rPr>
                <w:color w:val="4D4D4D"/>
              </w:rPr>
              <w:t>Exports</w:t>
            </w:r>
          </w:p>
          <w:p w14:paraId="07D68572" w14:textId="6950D763" w:rsidR="00174643" w:rsidRPr="000243C2" w:rsidRDefault="00174643" w:rsidP="00174643">
            <w:pPr>
              <w:pStyle w:val="Bullet1"/>
              <w:spacing w:before="0"/>
              <w:rPr>
                <w:color w:val="4D4D4D"/>
              </w:rPr>
            </w:pPr>
            <w:r w:rsidRPr="000243C2">
              <w:rPr>
                <w:color w:val="4D4D4D"/>
              </w:rPr>
              <w:t xml:space="preserve">If relevant - </w:t>
            </w:r>
            <w:r w:rsidR="009672A1" w:rsidRPr="000243C2">
              <w:rPr>
                <w:color w:val="4D4D4D"/>
              </w:rPr>
              <w:t>f</w:t>
            </w:r>
            <w:r w:rsidRPr="000243C2">
              <w:rPr>
                <w:color w:val="4D4D4D"/>
              </w:rPr>
              <w:t>or use outside the facility other than for supply to the grid.</w:t>
            </w:r>
          </w:p>
          <w:p w14:paraId="4BCA15FE" w14:textId="77777777" w:rsidR="00174643" w:rsidRPr="000243C2" w:rsidRDefault="00174643" w:rsidP="00174643">
            <w:pPr>
              <w:pStyle w:val="Normalbold"/>
              <w:rPr>
                <w:rFonts w:ascii="Arial" w:eastAsia="Arial" w:hAnsi="Arial" w:cs="Calibri"/>
                <w:bCs/>
                <w:color w:val="4D4D4D"/>
              </w:rPr>
            </w:pPr>
            <w:r w:rsidRPr="000243C2">
              <w:rPr>
                <w:rFonts w:ascii="Arial" w:eastAsia="Arial" w:hAnsi="Arial" w:cs="Calibri"/>
                <w:bCs/>
                <w:color w:val="4D4D4D"/>
              </w:rPr>
              <w:t>AND</w:t>
            </w:r>
          </w:p>
          <w:p w14:paraId="22BA983A" w14:textId="3577EACF" w:rsidR="00174643" w:rsidRPr="000243C2" w:rsidRDefault="00174643" w:rsidP="00174643">
            <w:pPr>
              <w:pStyle w:val="Bullet1"/>
              <w:spacing w:before="0"/>
              <w:rPr>
                <w:color w:val="4D4D4D"/>
              </w:rPr>
            </w:pPr>
            <w:r w:rsidRPr="000243C2">
              <w:rPr>
                <w:color w:val="4D4D4D"/>
              </w:rPr>
              <w:t>Wind</w:t>
            </w:r>
          </w:p>
          <w:p w14:paraId="6B6EB293" w14:textId="1C6EB52A" w:rsidR="00174643" w:rsidRPr="000243C2" w:rsidRDefault="00174643" w:rsidP="00174643">
            <w:pPr>
              <w:pStyle w:val="Bullet1"/>
              <w:spacing w:before="0"/>
              <w:rPr>
                <w:color w:val="4D4D4D"/>
              </w:rPr>
            </w:pPr>
            <w:r w:rsidRPr="000243C2">
              <w:rPr>
                <w:color w:val="4D4D4D"/>
              </w:rPr>
              <w:t>Solar PV</w:t>
            </w:r>
          </w:p>
          <w:p w14:paraId="10C59283" w14:textId="7096A463" w:rsidR="00174643" w:rsidRPr="000243C2" w:rsidRDefault="00174643" w:rsidP="00174643">
            <w:pPr>
              <w:pStyle w:val="Bullet1"/>
              <w:spacing w:before="0"/>
              <w:rPr>
                <w:color w:val="4D4D4D"/>
              </w:rPr>
            </w:pPr>
            <w:r w:rsidRPr="000243C2">
              <w:rPr>
                <w:color w:val="4D4D4D"/>
              </w:rPr>
              <w:t>Bioenergy</w:t>
            </w:r>
          </w:p>
          <w:p w14:paraId="06926EA8" w14:textId="27391D8B" w:rsidR="00174643" w:rsidRPr="000243C2" w:rsidRDefault="00174643" w:rsidP="00174643">
            <w:pPr>
              <w:pStyle w:val="Bullet1"/>
              <w:spacing w:before="0"/>
              <w:rPr>
                <w:color w:val="4D4D4D"/>
              </w:rPr>
            </w:pPr>
            <w:r w:rsidRPr="000243C2">
              <w:rPr>
                <w:color w:val="4D4D4D"/>
              </w:rPr>
              <w:t>Hydroelectric</w:t>
            </w:r>
          </w:p>
          <w:p w14:paraId="3AABC5F3" w14:textId="2D8CDCCF" w:rsidR="00174643" w:rsidRPr="000243C2" w:rsidRDefault="00174643" w:rsidP="00174643">
            <w:pPr>
              <w:pStyle w:val="Bullet1"/>
              <w:spacing w:before="0"/>
              <w:rPr>
                <w:color w:val="4D4D4D"/>
              </w:rPr>
            </w:pPr>
            <w:r w:rsidRPr="000243C2">
              <w:rPr>
                <w:color w:val="4D4D4D"/>
              </w:rPr>
              <w:t xml:space="preserve">Other renewable (as defined by the </w:t>
            </w:r>
            <w:r w:rsidRPr="000243C2">
              <w:rPr>
                <w:i/>
                <w:color w:val="4D4D4D"/>
              </w:rPr>
              <w:t>Renewable Energy (Jobs and Investment) Act 2017</w:t>
            </w:r>
            <w:r w:rsidRPr="000243C2">
              <w:rPr>
                <w:color w:val="4D4D4D"/>
              </w:rPr>
              <w:t>)</w:t>
            </w:r>
          </w:p>
          <w:p w14:paraId="6AD5C77A" w14:textId="2EE5F928" w:rsidR="00174643" w:rsidRPr="000243C2" w:rsidRDefault="00174643" w:rsidP="00174643">
            <w:pPr>
              <w:pStyle w:val="Bullet1"/>
              <w:spacing w:before="0"/>
              <w:rPr>
                <w:color w:val="4D4D4D"/>
              </w:rPr>
            </w:pPr>
            <w:r w:rsidRPr="000243C2">
              <w:rPr>
                <w:color w:val="4D4D4D"/>
              </w:rPr>
              <w:t>Cogeneration (report electricity produced by cogeneration - energy used in cogeneration plant should also be reported under the 'all fuels' section)</w:t>
            </w:r>
          </w:p>
          <w:p w14:paraId="212C3EF8" w14:textId="048A72F4" w:rsidR="00407E51" w:rsidRPr="000243C2" w:rsidRDefault="00174643" w:rsidP="00174643">
            <w:pPr>
              <w:pStyle w:val="Bullet1"/>
              <w:spacing w:before="0"/>
              <w:rPr>
                <w:rFonts w:ascii="Arial" w:eastAsia="Arial" w:hAnsi="Arial"/>
                <w:bCs/>
                <w:color w:val="4D4D4D"/>
              </w:rPr>
            </w:pPr>
            <w:r w:rsidRPr="000243C2">
              <w:rPr>
                <w:color w:val="4D4D4D"/>
              </w:rPr>
              <w:t>Other non-renewable</w:t>
            </w:r>
          </w:p>
        </w:tc>
      </w:tr>
      <w:tr w:rsidR="00407E51" w:rsidRPr="004423D0" w14:paraId="7B20CDD3" w14:textId="77777777" w:rsidTr="00566D86">
        <w:tc>
          <w:tcPr>
            <w:tcW w:w="2270" w:type="dxa"/>
            <w:gridSpan w:val="2"/>
          </w:tcPr>
          <w:p w14:paraId="7A90C17A" w14:textId="77777777" w:rsidR="00407E51" w:rsidRPr="004423D0" w:rsidRDefault="00407E51" w:rsidP="00407E51">
            <w:pPr>
              <w:pStyle w:val="Normalbold"/>
            </w:pPr>
          </w:p>
        </w:tc>
        <w:tc>
          <w:tcPr>
            <w:tcW w:w="174" w:type="dxa"/>
            <w:gridSpan w:val="2"/>
          </w:tcPr>
          <w:p w14:paraId="1E5B587D" w14:textId="77777777" w:rsidR="00407E51" w:rsidRPr="004423D0" w:rsidRDefault="00407E51" w:rsidP="00407E51">
            <w:pPr>
              <w:pStyle w:val="Normalgrey"/>
            </w:pPr>
          </w:p>
        </w:tc>
        <w:tc>
          <w:tcPr>
            <w:tcW w:w="630" w:type="dxa"/>
            <w:gridSpan w:val="2"/>
          </w:tcPr>
          <w:p w14:paraId="315E6DEE" w14:textId="0DF7FC5A" w:rsidR="00407E51" w:rsidRPr="004423D0" w:rsidRDefault="00033E67" w:rsidP="00407E51">
            <w:pPr>
              <w:pStyle w:val="Normalgrey"/>
            </w:pPr>
            <w:r w:rsidRPr="004423D0">
              <w:t>5</w:t>
            </w:r>
            <w:r w:rsidR="006B2788" w:rsidRPr="004423D0">
              <w:t>.3</w:t>
            </w:r>
          </w:p>
        </w:tc>
        <w:tc>
          <w:tcPr>
            <w:tcW w:w="6067" w:type="dxa"/>
            <w:gridSpan w:val="3"/>
          </w:tcPr>
          <w:p w14:paraId="1AED3FD0" w14:textId="4AD2026F" w:rsidR="006B2788" w:rsidRPr="005A594D" w:rsidRDefault="006B2788" w:rsidP="00C34CC9">
            <w:pPr>
              <w:pStyle w:val="Normalgrey"/>
            </w:pPr>
            <w:r w:rsidRPr="005A594D">
              <w:t>EL3 – On-site installed generation capacity in megawatts (as at end of reporting period) segmented by:</w:t>
            </w:r>
          </w:p>
          <w:p w14:paraId="1AB5DDFD" w14:textId="77777777" w:rsidR="006B2788" w:rsidRPr="000243C2" w:rsidRDefault="006B2788" w:rsidP="006B2788">
            <w:pPr>
              <w:pStyle w:val="Bullet1"/>
              <w:spacing w:before="0"/>
              <w:rPr>
                <w:color w:val="4D4D4D"/>
              </w:rPr>
            </w:pPr>
            <w:r w:rsidRPr="000243C2">
              <w:rPr>
                <w:color w:val="4D4D4D"/>
              </w:rPr>
              <w:t>Wind</w:t>
            </w:r>
          </w:p>
          <w:p w14:paraId="4E11FB11" w14:textId="77777777" w:rsidR="006B2788" w:rsidRPr="000243C2" w:rsidRDefault="006B2788" w:rsidP="006B2788">
            <w:pPr>
              <w:pStyle w:val="Bullet1"/>
              <w:spacing w:before="0"/>
              <w:rPr>
                <w:color w:val="4D4D4D"/>
              </w:rPr>
            </w:pPr>
            <w:r w:rsidRPr="000243C2">
              <w:rPr>
                <w:color w:val="4D4D4D"/>
              </w:rPr>
              <w:t>Solar PV</w:t>
            </w:r>
          </w:p>
          <w:p w14:paraId="22D991F2" w14:textId="77777777" w:rsidR="006B2788" w:rsidRPr="000243C2" w:rsidRDefault="006B2788" w:rsidP="006B2788">
            <w:pPr>
              <w:pStyle w:val="Bullet1"/>
              <w:spacing w:before="0"/>
              <w:rPr>
                <w:color w:val="4D4D4D"/>
              </w:rPr>
            </w:pPr>
            <w:r w:rsidRPr="000243C2">
              <w:rPr>
                <w:color w:val="4D4D4D"/>
              </w:rPr>
              <w:t>Bioenergy</w:t>
            </w:r>
          </w:p>
          <w:p w14:paraId="0FC0B16E" w14:textId="77777777" w:rsidR="006B2788" w:rsidRPr="000243C2" w:rsidRDefault="006B2788" w:rsidP="006B2788">
            <w:pPr>
              <w:pStyle w:val="Bullet1"/>
              <w:spacing w:before="0"/>
              <w:rPr>
                <w:color w:val="4D4D4D"/>
              </w:rPr>
            </w:pPr>
            <w:r w:rsidRPr="000243C2">
              <w:rPr>
                <w:color w:val="4D4D4D"/>
              </w:rPr>
              <w:t>Hydroelectric</w:t>
            </w:r>
          </w:p>
          <w:p w14:paraId="6E638B7F" w14:textId="77777777" w:rsidR="006B2788" w:rsidRPr="000243C2" w:rsidRDefault="006B2788" w:rsidP="006B2788">
            <w:pPr>
              <w:pStyle w:val="Bullet1"/>
              <w:spacing w:before="0"/>
              <w:rPr>
                <w:color w:val="4D4D4D"/>
              </w:rPr>
            </w:pPr>
            <w:r w:rsidRPr="000243C2">
              <w:rPr>
                <w:color w:val="4D4D4D"/>
              </w:rPr>
              <w:t xml:space="preserve">Other renewable (as defined by the </w:t>
            </w:r>
            <w:r w:rsidRPr="000243C2">
              <w:rPr>
                <w:i/>
                <w:color w:val="4D4D4D"/>
              </w:rPr>
              <w:t>Renewable Energy (Jobs and Investment) Act 2017</w:t>
            </w:r>
            <w:r w:rsidRPr="000243C2">
              <w:rPr>
                <w:color w:val="4D4D4D"/>
              </w:rPr>
              <w:t>)</w:t>
            </w:r>
          </w:p>
          <w:p w14:paraId="7BEB6C5D" w14:textId="77777777" w:rsidR="006B2788" w:rsidRPr="000243C2" w:rsidRDefault="006B2788" w:rsidP="006B2788">
            <w:pPr>
              <w:pStyle w:val="Bullet1"/>
              <w:spacing w:before="0"/>
              <w:rPr>
                <w:color w:val="4D4D4D"/>
              </w:rPr>
            </w:pPr>
            <w:r w:rsidRPr="000243C2">
              <w:rPr>
                <w:color w:val="4D4D4D"/>
              </w:rPr>
              <w:t>Energy Storage Systems (report power capacity (MW) and total storage capacity in MWh)</w:t>
            </w:r>
          </w:p>
          <w:p w14:paraId="11A914EA" w14:textId="77777777" w:rsidR="006B2788" w:rsidRPr="000243C2" w:rsidRDefault="006B2788" w:rsidP="006B2788">
            <w:pPr>
              <w:pStyle w:val="Bullet1"/>
              <w:spacing w:before="0"/>
              <w:rPr>
                <w:color w:val="4D4D4D"/>
              </w:rPr>
            </w:pPr>
            <w:r w:rsidRPr="000243C2">
              <w:rPr>
                <w:color w:val="4D4D4D"/>
              </w:rPr>
              <w:t>Cogeneration</w:t>
            </w:r>
          </w:p>
          <w:p w14:paraId="0EAC17FC" w14:textId="1E94027E" w:rsidR="00407E51" w:rsidRPr="000243C2" w:rsidRDefault="006B2788" w:rsidP="006B2788">
            <w:pPr>
              <w:pStyle w:val="Bullet1"/>
              <w:spacing w:before="0"/>
              <w:rPr>
                <w:b/>
                <w:bCs/>
                <w:color w:val="4D4D4D"/>
              </w:rPr>
            </w:pPr>
            <w:r w:rsidRPr="000243C2">
              <w:rPr>
                <w:color w:val="4D4D4D"/>
              </w:rPr>
              <w:t>Other non-renewable (including standby power systems if relevant)</w:t>
            </w:r>
          </w:p>
        </w:tc>
      </w:tr>
      <w:tr w:rsidR="00407E51" w:rsidRPr="004423D0" w14:paraId="6C54E07E" w14:textId="77777777" w:rsidTr="00566D86">
        <w:tc>
          <w:tcPr>
            <w:tcW w:w="2270" w:type="dxa"/>
            <w:gridSpan w:val="2"/>
          </w:tcPr>
          <w:p w14:paraId="124F675C" w14:textId="77777777" w:rsidR="00407E51" w:rsidRPr="004423D0" w:rsidRDefault="00407E51" w:rsidP="00407E51">
            <w:pPr>
              <w:pStyle w:val="Normalbold"/>
            </w:pPr>
          </w:p>
        </w:tc>
        <w:tc>
          <w:tcPr>
            <w:tcW w:w="174" w:type="dxa"/>
            <w:gridSpan w:val="2"/>
          </w:tcPr>
          <w:p w14:paraId="0B3CF2C4" w14:textId="77777777" w:rsidR="00407E51" w:rsidRPr="004423D0" w:rsidRDefault="00407E51" w:rsidP="00407E51">
            <w:pPr>
              <w:pStyle w:val="Normalgrey"/>
            </w:pPr>
          </w:p>
        </w:tc>
        <w:tc>
          <w:tcPr>
            <w:tcW w:w="630" w:type="dxa"/>
            <w:gridSpan w:val="2"/>
          </w:tcPr>
          <w:p w14:paraId="3C3A017A" w14:textId="7D98B174" w:rsidR="00407E51" w:rsidRPr="004423D0" w:rsidRDefault="00033E67" w:rsidP="00407E51">
            <w:pPr>
              <w:pStyle w:val="Normalgrey"/>
            </w:pPr>
            <w:r w:rsidRPr="004423D0">
              <w:t>5</w:t>
            </w:r>
            <w:r w:rsidR="00C54AA8" w:rsidRPr="004423D0">
              <w:t>.4</w:t>
            </w:r>
          </w:p>
        </w:tc>
        <w:tc>
          <w:tcPr>
            <w:tcW w:w="6067" w:type="dxa"/>
            <w:gridSpan w:val="3"/>
          </w:tcPr>
          <w:p w14:paraId="0456194D" w14:textId="4896F25D" w:rsidR="00C54AA8" w:rsidRPr="005A594D" w:rsidRDefault="0075729E" w:rsidP="00C34CC9">
            <w:pPr>
              <w:pStyle w:val="Normalgrey"/>
            </w:pPr>
            <w:r w:rsidRPr="005A594D">
              <w:t xml:space="preserve">EL4 – </w:t>
            </w:r>
            <w:r w:rsidR="00C54AA8" w:rsidRPr="005A594D">
              <w:t>Total electricity offsets (in megawatt hours) segmented by offset type including:</w:t>
            </w:r>
          </w:p>
          <w:p w14:paraId="76155EBC" w14:textId="79B1AC60" w:rsidR="00C54AA8" w:rsidRPr="000243C2" w:rsidRDefault="00C54AA8" w:rsidP="0075729E">
            <w:pPr>
              <w:pStyle w:val="Bullet1"/>
              <w:spacing w:before="0"/>
              <w:rPr>
                <w:color w:val="4D4D4D"/>
              </w:rPr>
            </w:pPr>
            <w:r w:rsidRPr="000243C2">
              <w:rPr>
                <w:color w:val="4D4D4D"/>
              </w:rPr>
              <w:t>LGCs voluntarily retired by the entity</w:t>
            </w:r>
          </w:p>
          <w:p w14:paraId="2CE0423E" w14:textId="716A22CC" w:rsidR="00C54AA8" w:rsidRPr="000243C2" w:rsidRDefault="00C54AA8" w:rsidP="0075729E">
            <w:pPr>
              <w:pStyle w:val="Bullet1"/>
              <w:spacing w:before="0"/>
              <w:rPr>
                <w:color w:val="4D4D4D"/>
              </w:rPr>
            </w:pPr>
            <w:r w:rsidRPr="000243C2">
              <w:rPr>
                <w:color w:val="4D4D4D"/>
              </w:rPr>
              <w:t>LGCs voluntarily retired on the entity’s behalf</w:t>
            </w:r>
          </w:p>
          <w:p w14:paraId="325A0663" w14:textId="6D7FA6C5" w:rsidR="00C54AA8" w:rsidRPr="000243C2" w:rsidRDefault="00C54AA8" w:rsidP="0075729E">
            <w:pPr>
              <w:pStyle w:val="Bullet1"/>
              <w:spacing w:before="0"/>
              <w:rPr>
                <w:color w:val="4D4D4D"/>
              </w:rPr>
            </w:pPr>
            <w:r w:rsidRPr="000243C2">
              <w:rPr>
                <w:color w:val="4D4D4D"/>
              </w:rPr>
              <w:t>GreenPower or certified carbon neutral electricity purchased (e.g</w:t>
            </w:r>
            <w:r w:rsidR="009672A1" w:rsidRPr="000243C2">
              <w:rPr>
                <w:color w:val="4D4D4D"/>
              </w:rPr>
              <w:t>.,</w:t>
            </w:r>
            <w:r w:rsidRPr="000243C2">
              <w:rPr>
                <w:color w:val="4D4D4D"/>
              </w:rPr>
              <w:t xml:space="preserve"> through a retailer’s contract option)</w:t>
            </w:r>
          </w:p>
          <w:p w14:paraId="1857689C" w14:textId="6069B120" w:rsidR="00407E51" w:rsidRPr="000243C2" w:rsidRDefault="00C54AA8" w:rsidP="0075729E">
            <w:pPr>
              <w:pStyle w:val="Bullet1"/>
              <w:spacing w:before="0"/>
              <w:rPr>
                <w:rFonts w:ascii="Arial" w:eastAsia="Arial" w:hAnsi="Arial"/>
                <w:bCs/>
                <w:color w:val="4D4D4D"/>
              </w:rPr>
            </w:pPr>
            <w:r w:rsidRPr="000243C2">
              <w:rPr>
                <w:color w:val="4D4D4D"/>
              </w:rPr>
              <w:t>LGCs mandatorily retired (for RET liable entities only) or LGCs conveyed to an entity’s retailer for mandatory retirement (where relevant)</w:t>
            </w:r>
          </w:p>
        </w:tc>
      </w:tr>
      <w:tr w:rsidR="00B30E00" w:rsidRPr="004423D0" w14:paraId="01987488" w14:textId="77777777" w:rsidTr="00566D86">
        <w:tc>
          <w:tcPr>
            <w:tcW w:w="2270" w:type="dxa"/>
            <w:gridSpan w:val="2"/>
          </w:tcPr>
          <w:p w14:paraId="15F2CBBC" w14:textId="77777777" w:rsidR="00B30E00" w:rsidRPr="004423D0" w:rsidRDefault="00B30E00" w:rsidP="00B30E00">
            <w:pPr>
              <w:pStyle w:val="Normalbold"/>
            </w:pPr>
          </w:p>
        </w:tc>
        <w:tc>
          <w:tcPr>
            <w:tcW w:w="174" w:type="dxa"/>
            <w:gridSpan w:val="2"/>
          </w:tcPr>
          <w:p w14:paraId="1E7EB614" w14:textId="77777777" w:rsidR="00B30E00" w:rsidRPr="004423D0" w:rsidRDefault="00B30E00" w:rsidP="00B30E00">
            <w:pPr>
              <w:pStyle w:val="Normalgrey"/>
            </w:pPr>
          </w:p>
        </w:tc>
        <w:tc>
          <w:tcPr>
            <w:tcW w:w="630" w:type="dxa"/>
            <w:gridSpan w:val="2"/>
          </w:tcPr>
          <w:p w14:paraId="7E1BDB61" w14:textId="68F1439F" w:rsidR="00B30E00" w:rsidRPr="004423D0" w:rsidRDefault="004A058A" w:rsidP="00B30E00">
            <w:pPr>
              <w:pStyle w:val="Normalgrey"/>
            </w:pPr>
            <w:r w:rsidRPr="004423D0">
              <w:t>6</w:t>
            </w:r>
            <w:r w:rsidR="00AB1404">
              <w:t>.1</w:t>
            </w:r>
          </w:p>
        </w:tc>
        <w:tc>
          <w:tcPr>
            <w:tcW w:w="6067" w:type="dxa"/>
            <w:gridSpan w:val="3"/>
          </w:tcPr>
          <w:p w14:paraId="0DBC0856" w14:textId="749D3D02" w:rsidR="00B30E00" w:rsidRPr="004423D0" w:rsidRDefault="00B30E00" w:rsidP="00B30E00">
            <w:pPr>
              <w:pStyle w:val="Normalbold"/>
              <w:rPr>
                <w:rFonts w:ascii="Arial" w:eastAsia="Arial" w:hAnsi="Arial" w:cs="Calibri"/>
              </w:rPr>
            </w:pPr>
            <w:r w:rsidRPr="00273A66">
              <w:rPr>
                <w:color w:val="4D4D4D"/>
              </w:rPr>
              <w:t>Stationary fuel use</w:t>
            </w:r>
          </w:p>
        </w:tc>
      </w:tr>
      <w:tr w:rsidR="00B30E00" w:rsidRPr="004423D0" w14:paraId="3B656E0D" w14:textId="77777777" w:rsidTr="00566D86">
        <w:tc>
          <w:tcPr>
            <w:tcW w:w="2270" w:type="dxa"/>
            <w:gridSpan w:val="2"/>
          </w:tcPr>
          <w:p w14:paraId="30EC8A86" w14:textId="77777777" w:rsidR="00B30E00" w:rsidRPr="004423D0" w:rsidRDefault="00B30E00" w:rsidP="00B30E00">
            <w:pPr>
              <w:pStyle w:val="Normalbold"/>
            </w:pPr>
          </w:p>
        </w:tc>
        <w:tc>
          <w:tcPr>
            <w:tcW w:w="174" w:type="dxa"/>
            <w:gridSpan w:val="2"/>
          </w:tcPr>
          <w:p w14:paraId="7D8B01AE" w14:textId="77777777" w:rsidR="00B30E00" w:rsidRPr="004423D0" w:rsidRDefault="00B30E00" w:rsidP="00B30E00">
            <w:pPr>
              <w:pStyle w:val="Normalgrey"/>
            </w:pPr>
          </w:p>
        </w:tc>
        <w:tc>
          <w:tcPr>
            <w:tcW w:w="630" w:type="dxa"/>
            <w:gridSpan w:val="2"/>
          </w:tcPr>
          <w:p w14:paraId="58CC6998" w14:textId="5FBC5FAE" w:rsidR="00B30E00" w:rsidRPr="004423D0" w:rsidRDefault="00B30E00" w:rsidP="00B30E00">
            <w:pPr>
              <w:pStyle w:val="Normalgrey"/>
            </w:pPr>
          </w:p>
        </w:tc>
        <w:tc>
          <w:tcPr>
            <w:tcW w:w="6067" w:type="dxa"/>
            <w:gridSpan w:val="3"/>
          </w:tcPr>
          <w:p w14:paraId="34FBCFF3" w14:textId="24C7BB78" w:rsidR="00B30E00" w:rsidRPr="004423D0" w:rsidRDefault="00DD0298" w:rsidP="00C34CC9">
            <w:pPr>
              <w:pStyle w:val="Normalgrey"/>
              <w:rPr>
                <w:rFonts w:ascii="Arial" w:eastAsia="Arial" w:hAnsi="Arial" w:cs="Calibri"/>
                <w:bCs/>
              </w:rPr>
            </w:pPr>
            <w:r w:rsidRPr="004423D0">
              <w:t xml:space="preserve">F1 – Total fuels </w:t>
            </w:r>
            <w:r w:rsidRPr="005A594D">
              <w:t>used</w:t>
            </w:r>
            <w:r w:rsidRPr="004423D0">
              <w:t xml:space="preserve"> in buildings and machinery (in megajoules), segmented by fuel type (e.g</w:t>
            </w:r>
            <w:r w:rsidR="009672A1" w:rsidRPr="004423D0">
              <w:t>.,</w:t>
            </w:r>
            <w:r w:rsidRPr="004423D0">
              <w:t xml:space="preserve"> natural gas, LPG, diesel, petrol)</w:t>
            </w:r>
          </w:p>
        </w:tc>
      </w:tr>
      <w:tr w:rsidR="00DD0298" w:rsidRPr="004423D0" w14:paraId="12DAFBBD" w14:textId="77777777" w:rsidTr="00566D86">
        <w:tc>
          <w:tcPr>
            <w:tcW w:w="2270" w:type="dxa"/>
            <w:gridSpan w:val="2"/>
          </w:tcPr>
          <w:p w14:paraId="67D6C7D5" w14:textId="77777777" w:rsidR="00DD0298" w:rsidRPr="004423D0" w:rsidRDefault="00DD0298" w:rsidP="00B30E00">
            <w:pPr>
              <w:pStyle w:val="Normalbold"/>
            </w:pPr>
          </w:p>
        </w:tc>
        <w:tc>
          <w:tcPr>
            <w:tcW w:w="174" w:type="dxa"/>
            <w:gridSpan w:val="2"/>
          </w:tcPr>
          <w:p w14:paraId="35BD219A" w14:textId="77777777" w:rsidR="00DD0298" w:rsidRPr="004423D0" w:rsidRDefault="00DD0298" w:rsidP="00B30E00">
            <w:pPr>
              <w:pStyle w:val="Normalgrey"/>
            </w:pPr>
          </w:p>
        </w:tc>
        <w:tc>
          <w:tcPr>
            <w:tcW w:w="630" w:type="dxa"/>
            <w:gridSpan w:val="2"/>
          </w:tcPr>
          <w:p w14:paraId="33BEE803" w14:textId="719CBE33" w:rsidR="00DD0298" w:rsidRPr="004423D0" w:rsidRDefault="004A058A" w:rsidP="00B30E00">
            <w:pPr>
              <w:pStyle w:val="Normalgrey"/>
            </w:pPr>
            <w:r w:rsidRPr="004423D0">
              <w:t>6</w:t>
            </w:r>
            <w:r w:rsidR="00DD0298" w:rsidRPr="004423D0">
              <w:t>.2</w:t>
            </w:r>
          </w:p>
        </w:tc>
        <w:tc>
          <w:tcPr>
            <w:tcW w:w="6067" w:type="dxa"/>
            <w:gridSpan w:val="3"/>
          </w:tcPr>
          <w:p w14:paraId="3DD7977A" w14:textId="43DFA88C" w:rsidR="00DD0298" w:rsidRPr="004423D0" w:rsidRDefault="00DD0298" w:rsidP="00C34CC9">
            <w:pPr>
              <w:pStyle w:val="Normalgrey"/>
            </w:pPr>
            <w:r w:rsidRPr="004423D0">
              <w:t>F2 –</w:t>
            </w:r>
            <w:r w:rsidR="00B94213" w:rsidRPr="004423D0">
              <w:t xml:space="preserve"> Greenhouse gas emissions from stationary fuel consumption segmented by fuel type (tonnes CO2-e)</w:t>
            </w:r>
          </w:p>
        </w:tc>
      </w:tr>
      <w:tr w:rsidR="00DD0298" w:rsidRPr="004423D0" w14:paraId="13A46B56" w14:textId="77777777" w:rsidTr="00566D86">
        <w:tc>
          <w:tcPr>
            <w:tcW w:w="2270" w:type="dxa"/>
            <w:gridSpan w:val="2"/>
          </w:tcPr>
          <w:p w14:paraId="4A8A8DFD" w14:textId="77777777" w:rsidR="00DD0298" w:rsidRPr="004423D0" w:rsidRDefault="00DD0298" w:rsidP="009672A1">
            <w:pPr>
              <w:pStyle w:val="Normalbold"/>
              <w:keepNext/>
              <w:keepLines/>
            </w:pPr>
          </w:p>
        </w:tc>
        <w:tc>
          <w:tcPr>
            <w:tcW w:w="174" w:type="dxa"/>
            <w:gridSpan w:val="2"/>
          </w:tcPr>
          <w:p w14:paraId="4075F6D5" w14:textId="77777777" w:rsidR="00DD0298" w:rsidRPr="004423D0" w:rsidRDefault="00DD0298" w:rsidP="009672A1">
            <w:pPr>
              <w:pStyle w:val="Normalgrey"/>
              <w:keepNext/>
              <w:keepLines/>
            </w:pPr>
          </w:p>
        </w:tc>
        <w:tc>
          <w:tcPr>
            <w:tcW w:w="630" w:type="dxa"/>
            <w:gridSpan w:val="2"/>
          </w:tcPr>
          <w:p w14:paraId="088B0DA4" w14:textId="6D7FB677" w:rsidR="00DD0298" w:rsidRPr="004423D0" w:rsidRDefault="004A058A" w:rsidP="009672A1">
            <w:pPr>
              <w:pStyle w:val="Normalgrey"/>
              <w:keepNext/>
              <w:keepLines/>
            </w:pPr>
            <w:r w:rsidRPr="004423D0">
              <w:t>7</w:t>
            </w:r>
            <w:r w:rsidR="00AB1404">
              <w:t>.1</w:t>
            </w:r>
          </w:p>
        </w:tc>
        <w:tc>
          <w:tcPr>
            <w:tcW w:w="6067" w:type="dxa"/>
            <w:gridSpan w:val="3"/>
          </w:tcPr>
          <w:p w14:paraId="59971243" w14:textId="00B543E2" w:rsidR="00DD0298" w:rsidRPr="004423D0" w:rsidRDefault="00290F5C" w:rsidP="009672A1">
            <w:pPr>
              <w:pStyle w:val="Normalbold"/>
              <w:keepNext/>
              <w:keepLines/>
            </w:pPr>
            <w:r w:rsidRPr="00273A66">
              <w:rPr>
                <w:color w:val="4D4D4D"/>
              </w:rPr>
              <w:t>Transportation</w:t>
            </w:r>
          </w:p>
        </w:tc>
      </w:tr>
      <w:tr w:rsidR="00DD0298" w:rsidRPr="004423D0" w14:paraId="1C24EC27" w14:textId="77777777" w:rsidTr="00566D86">
        <w:tc>
          <w:tcPr>
            <w:tcW w:w="2270" w:type="dxa"/>
            <w:gridSpan w:val="2"/>
          </w:tcPr>
          <w:p w14:paraId="7FC91A57" w14:textId="77777777" w:rsidR="00DD0298" w:rsidRPr="004423D0" w:rsidRDefault="00DD0298" w:rsidP="00B30E00">
            <w:pPr>
              <w:pStyle w:val="Normalbold"/>
            </w:pPr>
          </w:p>
        </w:tc>
        <w:tc>
          <w:tcPr>
            <w:tcW w:w="174" w:type="dxa"/>
            <w:gridSpan w:val="2"/>
          </w:tcPr>
          <w:p w14:paraId="61047151" w14:textId="77777777" w:rsidR="00DD0298" w:rsidRPr="004423D0" w:rsidRDefault="00DD0298" w:rsidP="00B30E00">
            <w:pPr>
              <w:pStyle w:val="Normalgrey"/>
            </w:pPr>
          </w:p>
        </w:tc>
        <w:tc>
          <w:tcPr>
            <w:tcW w:w="630" w:type="dxa"/>
            <w:gridSpan w:val="2"/>
          </w:tcPr>
          <w:p w14:paraId="027C180E" w14:textId="605B9282" w:rsidR="00DD0298" w:rsidRPr="004423D0" w:rsidRDefault="00DD0298" w:rsidP="00B30E00">
            <w:pPr>
              <w:pStyle w:val="Normalgrey"/>
            </w:pPr>
          </w:p>
        </w:tc>
        <w:tc>
          <w:tcPr>
            <w:tcW w:w="6067" w:type="dxa"/>
            <w:gridSpan w:val="3"/>
          </w:tcPr>
          <w:p w14:paraId="6DB38C94" w14:textId="65DCA826" w:rsidR="00DD0298" w:rsidRPr="004423D0" w:rsidRDefault="00E51E5F" w:rsidP="00C34CC9">
            <w:pPr>
              <w:pStyle w:val="Normalgrey"/>
            </w:pPr>
            <w:r w:rsidRPr="004423D0">
              <w:t xml:space="preserve">T1 – Total energy used in transportation within the </w:t>
            </w:r>
            <w:r w:rsidR="00F23D69" w:rsidRPr="004423D0">
              <w:t>e</w:t>
            </w:r>
            <w:r w:rsidRPr="004423D0">
              <w:t>ntity (in megajoules or megawatt-hours) segmented by fuel type (e.g</w:t>
            </w:r>
            <w:r w:rsidR="007F476A" w:rsidRPr="004423D0">
              <w:t>.,</w:t>
            </w:r>
            <w:r w:rsidRPr="004423D0">
              <w:t xml:space="preserve"> petrol, diesel, LPG, electricity) and vehicle category (see Guidance Manual)</w:t>
            </w:r>
          </w:p>
        </w:tc>
      </w:tr>
      <w:tr w:rsidR="00DD0298" w:rsidRPr="004423D0" w14:paraId="17943E8E" w14:textId="77777777" w:rsidTr="00566D86">
        <w:tc>
          <w:tcPr>
            <w:tcW w:w="2270" w:type="dxa"/>
            <w:gridSpan w:val="2"/>
          </w:tcPr>
          <w:p w14:paraId="6FC165AC" w14:textId="77777777" w:rsidR="00DD0298" w:rsidRPr="004423D0" w:rsidRDefault="00DD0298" w:rsidP="00B30E00">
            <w:pPr>
              <w:pStyle w:val="Normalbold"/>
            </w:pPr>
          </w:p>
        </w:tc>
        <w:tc>
          <w:tcPr>
            <w:tcW w:w="174" w:type="dxa"/>
            <w:gridSpan w:val="2"/>
          </w:tcPr>
          <w:p w14:paraId="69666A92" w14:textId="77777777" w:rsidR="00DD0298" w:rsidRPr="004423D0" w:rsidRDefault="00DD0298" w:rsidP="00B30E00">
            <w:pPr>
              <w:pStyle w:val="Normalgrey"/>
            </w:pPr>
          </w:p>
        </w:tc>
        <w:tc>
          <w:tcPr>
            <w:tcW w:w="630" w:type="dxa"/>
            <w:gridSpan w:val="2"/>
          </w:tcPr>
          <w:p w14:paraId="1913633E" w14:textId="646642EB" w:rsidR="00DD0298" w:rsidRPr="004423D0" w:rsidRDefault="004A058A" w:rsidP="00B30E00">
            <w:pPr>
              <w:pStyle w:val="Normalgrey"/>
            </w:pPr>
            <w:r w:rsidRPr="004423D0">
              <w:t>7</w:t>
            </w:r>
            <w:r w:rsidR="00290F5C" w:rsidRPr="004423D0">
              <w:t>.2</w:t>
            </w:r>
          </w:p>
        </w:tc>
        <w:tc>
          <w:tcPr>
            <w:tcW w:w="6067" w:type="dxa"/>
            <w:gridSpan w:val="3"/>
          </w:tcPr>
          <w:p w14:paraId="17D31333" w14:textId="330DF1F2" w:rsidR="00DD0298" w:rsidRPr="004423D0" w:rsidRDefault="00E51E5F" w:rsidP="00C34CC9">
            <w:pPr>
              <w:pStyle w:val="Normalgrey"/>
            </w:pPr>
            <w:r w:rsidRPr="004423D0">
              <w:t>T2 –</w:t>
            </w:r>
            <w:r w:rsidR="00FD6C02" w:rsidRPr="004423D0">
              <w:t xml:space="preserve"> Number and proportion of vehicles in the organisational boundary segmented by engine/fuel type (e.g</w:t>
            </w:r>
            <w:r w:rsidR="007F476A" w:rsidRPr="004423D0">
              <w:t>.,</w:t>
            </w:r>
            <w:r w:rsidR="00FD6C02" w:rsidRPr="004423D0">
              <w:t xml:space="preserve"> petrol, diesel, hybrid electric, plug-in hybrid electric, battery electric) and vehicle category</w:t>
            </w:r>
          </w:p>
        </w:tc>
      </w:tr>
      <w:tr w:rsidR="00DD0298" w:rsidRPr="004423D0" w14:paraId="69894219" w14:textId="77777777" w:rsidTr="00566D86">
        <w:tc>
          <w:tcPr>
            <w:tcW w:w="2270" w:type="dxa"/>
            <w:gridSpan w:val="2"/>
          </w:tcPr>
          <w:p w14:paraId="190D786D" w14:textId="77777777" w:rsidR="00DD0298" w:rsidRPr="004423D0" w:rsidRDefault="00DD0298" w:rsidP="00B30E00">
            <w:pPr>
              <w:pStyle w:val="Normalbold"/>
            </w:pPr>
          </w:p>
        </w:tc>
        <w:tc>
          <w:tcPr>
            <w:tcW w:w="174" w:type="dxa"/>
            <w:gridSpan w:val="2"/>
          </w:tcPr>
          <w:p w14:paraId="34D1B621" w14:textId="77777777" w:rsidR="00DD0298" w:rsidRPr="004423D0" w:rsidRDefault="00DD0298" w:rsidP="00B30E00">
            <w:pPr>
              <w:pStyle w:val="Normalgrey"/>
            </w:pPr>
          </w:p>
        </w:tc>
        <w:tc>
          <w:tcPr>
            <w:tcW w:w="630" w:type="dxa"/>
            <w:gridSpan w:val="2"/>
          </w:tcPr>
          <w:p w14:paraId="6C44E33B" w14:textId="37FBCD52" w:rsidR="00DD0298" w:rsidRPr="004423D0" w:rsidRDefault="004A058A" w:rsidP="00B30E00">
            <w:pPr>
              <w:pStyle w:val="Normalgrey"/>
            </w:pPr>
            <w:r w:rsidRPr="004423D0">
              <w:t>7</w:t>
            </w:r>
            <w:r w:rsidR="00290F5C" w:rsidRPr="004423D0">
              <w:t>.3</w:t>
            </w:r>
          </w:p>
        </w:tc>
        <w:tc>
          <w:tcPr>
            <w:tcW w:w="6067" w:type="dxa"/>
            <w:gridSpan w:val="3"/>
          </w:tcPr>
          <w:p w14:paraId="29CE4712" w14:textId="5011AFEA" w:rsidR="00DD0298" w:rsidRPr="004423D0" w:rsidRDefault="00E51E5F" w:rsidP="00C34CC9">
            <w:pPr>
              <w:pStyle w:val="Normalgrey"/>
            </w:pPr>
            <w:r w:rsidRPr="004423D0">
              <w:t>T3 –</w:t>
            </w:r>
            <w:r w:rsidR="00113573" w:rsidRPr="004423D0">
              <w:t xml:space="preserve"> Greenhouse gas emissions from vehicle fleet segmented by fuel type and vehicle category (tonnes CO2-e) – total</w:t>
            </w:r>
          </w:p>
        </w:tc>
      </w:tr>
      <w:tr w:rsidR="00DD0298" w:rsidRPr="004423D0" w14:paraId="7911C38D" w14:textId="77777777" w:rsidTr="00566D86">
        <w:tc>
          <w:tcPr>
            <w:tcW w:w="2270" w:type="dxa"/>
            <w:gridSpan w:val="2"/>
          </w:tcPr>
          <w:p w14:paraId="7CDC71BE" w14:textId="77777777" w:rsidR="00DD0298" w:rsidRPr="004423D0" w:rsidRDefault="00DD0298" w:rsidP="00B30E00">
            <w:pPr>
              <w:pStyle w:val="Normalbold"/>
            </w:pPr>
          </w:p>
        </w:tc>
        <w:tc>
          <w:tcPr>
            <w:tcW w:w="174" w:type="dxa"/>
            <w:gridSpan w:val="2"/>
          </w:tcPr>
          <w:p w14:paraId="30047418" w14:textId="77777777" w:rsidR="00DD0298" w:rsidRPr="004423D0" w:rsidRDefault="00DD0298" w:rsidP="00B30E00">
            <w:pPr>
              <w:pStyle w:val="Normalgrey"/>
            </w:pPr>
          </w:p>
        </w:tc>
        <w:tc>
          <w:tcPr>
            <w:tcW w:w="630" w:type="dxa"/>
            <w:gridSpan w:val="2"/>
          </w:tcPr>
          <w:p w14:paraId="35E6901D" w14:textId="2FBB618F" w:rsidR="00DD0298" w:rsidRPr="004423D0" w:rsidRDefault="004A058A" w:rsidP="00B30E00">
            <w:pPr>
              <w:pStyle w:val="Normalgrey"/>
            </w:pPr>
            <w:r w:rsidRPr="004423D0">
              <w:t>7</w:t>
            </w:r>
            <w:r w:rsidR="00290F5C" w:rsidRPr="004423D0">
              <w:t>.4</w:t>
            </w:r>
          </w:p>
        </w:tc>
        <w:tc>
          <w:tcPr>
            <w:tcW w:w="6067" w:type="dxa"/>
            <w:gridSpan w:val="3"/>
          </w:tcPr>
          <w:p w14:paraId="693388BE" w14:textId="7F6F6C61" w:rsidR="00DD0298" w:rsidRPr="004423D0" w:rsidRDefault="00E51E5F" w:rsidP="00C34CC9">
            <w:pPr>
              <w:pStyle w:val="Normalgrey"/>
            </w:pPr>
            <w:r w:rsidRPr="004423D0">
              <w:t>T4 –</w:t>
            </w:r>
            <w:r w:rsidR="00CE3E68" w:rsidRPr="004423D0">
              <w:t xml:space="preserve"> Total distance travelled by </w:t>
            </w:r>
            <w:r w:rsidR="007F476A" w:rsidRPr="004423D0">
              <w:t xml:space="preserve">commercial </w:t>
            </w:r>
            <w:r w:rsidR="00CE3E68" w:rsidRPr="004423D0">
              <w:t xml:space="preserve">air </w:t>
            </w:r>
            <w:r w:rsidR="007F476A" w:rsidRPr="004423D0">
              <w:t xml:space="preserve">travel </w:t>
            </w:r>
            <w:r w:rsidR="00CE3E68" w:rsidRPr="004423D0">
              <w:t>(passenger kilometres)</w:t>
            </w:r>
          </w:p>
        </w:tc>
      </w:tr>
      <w:tr w:rsidR="00CE3E68" w:rsidRPr="004423D0" w:rsidDel="008208AA" w14:paraId="2ABB2C79" w14:textId="4024D7FF" w:rsidTr="00566D86">
        <w:tc>
          <w:tcPr>
            <w:tcW w:w="2270" w:type="dxa"/>
            <w:gridSpan w:val="2"/>
          </w:tcPr>
          <w:p w14:paraId="46871930" w14:textId="442F6B2B" w:rsidR="00CE3E68" w:rsidRPr="004423D0" w:rsidDel="008208AA" w:rsidRDefault="00CE3E68" w:rsidP="00B30E00">
            <w:pPr>
              <w:pStyle w:val="Normalbold"/>
            </w:pPr>
          </w:p>
        </w:tc>
        <w:tc>
          <w:tcPr>
            <w:tcW w:w="174" w:type="dxa"/>
            <w:gridSpan w:val="2"/>
          </w:tcPr>
          <w:p w14:paraId="47DE1D21" w14:textId="6A2F1E78" w:rsidR="00CE3E68" w:rsidRPr="004423D0" w:rsidDel="008208AA" w:rsidRDefault="00CE3E68" w:rsidP="00B30E00">
            <w:pPr>
              <w:pStyle w:val="Normalgrey"/>
            </w:pPr>
          </w:p>
        </w:tc>
        <w:tc>
          <w:tcPr>
            <w:tcW w:w="630" w:type="dxa"/>
            <w:gridSpan w:val="2"/>
          </w:tcPr>
          <w:p w14:paraId="2F105AE6" w14:textId="2D992B64" w:rsidR="00CE3E68" w:rsidRPr="004423D0" w:rsidDel="008208AA" w:rsidRDefault="004A058A" w:rsidP="00B30E00">
            <w:pPr>
              <w:pStyle w:val="Normalgrey"/>
            </w:pPr>
            <w:r w:rsidRPr="004423D0">
              <w:t>7</w:t>
            </w:r>
            <w:r w:rsidR="00450636" w:rsidRPr="004423D0" w:rsidDel="008208AA">
              <w:t>.5</w:t>
            </w:r>
          </w:p>
        </w:tc>
        <w:tc>
          <w:tcPr>
            <w:tcW w:w="6067" w:type="dxa"/>
            <w:gridSpan w:val="3"/>
          </w:tcPr>
          <w:p w14:paraId="17D5BEF8" w14:textId="3257EB7B" w:rsidR="00450636" w:rsidRPr="004423D0" w:rsidDel="00C56A83" w:rsidRDefault="00450636" w:rsidP="00691FF5">
            <w:pPr>
              <w:pStyle w:val="NormalIndentgrey"/>
              <w:ind w:left="0"/>
              <w:rPr>
                <w:rFonts w:ascii="Arial" w:eastAsia="Arial" w:hAnsi="Arial"/>
                <w:b/>
                <w:bCs/>
              </w:rPr>
            </w:pPr>
            <w:r w:rsidRPr="004423D0" w:rsidDel="00C56A83">
              <w:t>Optional Transportation Indicators:</w:t>
            </w:r>
          </w:p>
          <w:p w14:paraId="7E0BF3FA" w14:textId="2B3C4A33" w:rsidR="00450636" w:rsidRPr="004423D0" w:rsidDel="00C56A83" w:rsidRDefault="00450636" w:rsidP="00450636">
            <w:pPr>
              <w:pStyle w:val="Bullet1grey"/>
            </w:pPr>
            <w:r w:rsidRPr="004423D0" w:rsidDel="00C56A83">
              <w:t>Percentage of employees using sustainable transport (public transport, cycling, walking, or car-pooling) to get to and from work, by locality type</w:t>
            </w:r>
          </w:p>
          <w:p w14:paraId="2B9BAD64" w14:textId="275A27F7" w:rsidR="00450636" w:rsidRPr="004423D0" w:rsidDel="00C56A83" w:rsidRDefault="00450636" w:rsidP="00450636">
            <w:pPr>
              <w:pStyle w:val="Bullet1grey"/>
            </w:pPr>
            <w:r w:rsidRPr="004423D0" w:rsidDel="00C56A83">
              <w:t xml:space="preserve">Total vehicle travel associated with </w:t>
            </w:r>
            <w:r w:rsidR="00614AB8">
              <w:t>entity</w:t>
            </w:r>
            <w:r w:rsidRPr="004423D0" w:rsidDel="00C56A83">
              <w:t xml:space="preserve"> operations segmented by fuel type and vehicle category for land vehicles (kilometres)</w:t>
            </w:r>
          </w:p>
          <w:p w14:paraId="29E3EADE" w14:textId="1CD6ABFC" w:rsidR="00450636" w:rsidRPr="004423D0" w:rsidDel="00C56A83" w:rsidRDefault="00450636" w:rsidP="00450636">
            <w:pPr>
              <w:pStyle w:val="Bullet1grey"/>
            </w:pPr>
            <w:r w:rsidRPr="004423D0" w:rsidDel="00C56A83">
              <w:t xml:space="preserve">Total vehicle travel associated with </w:t>
            </w:r>
            <w:r w:rsidR="00614AB8">
              <w:t>entity</w:t>
            </w:r>
            <w:r w:rsidRPr="004423D0" w:rsidDel="00C56A83">
              <w:t xml:space="preserve"> operations segmented by fuel type and vehicle category, for non-land vehicles (hours of operation)</w:t>
            </w:r>
          </w:p>
          <w:p w14:paraId="217BF037" w14:textId="39D51F77" w:rsidR="00CE3E68" w:rsidRPr="004423D0" w:rsidDel="008208AA" w:rsidRDefault="00450636" w:rsidP="00450636">
            <w:pPr>
              <w:pStyle w:val="Bullet1grey"/>
              <w:rPr>
                <w:rFonts w:ascii="Arial" w:eastAsia="Arial" w:hAnsi="Arial"/>
                <w:bCs/>
              </w:rPr>
            </w:pPr>
            <w:r w:rsidRPr="004423D0" w:rsidDel="00C56A83">
              <w:t>Greenhouse gas emissions from vehicle fleet segmented by fuel type and vehicle category (tonnes CO</w:t>
            </w:r>
            <w:r w:rsidRPr="004423D0" w:rsidDel="00C56A83">
              <w:rPr>
                <w:vertAlign w:val="subscript"/>
              </w:rPr>
              <w:t>2</w:t>
            </w:r>
            <w:r w:rsidRPr="004423D0" w:rsidDel="00C56A83">
              <w:t>-e) – per 1,000 km for land vehicles and per hour of operation for non-land vehicles</w:t>
            </w:r>
          </w:p>
        </w:tc>
      </w:tr>
      <w:tr w:rsidR="00CE3E68" w:rsidRPr="004423D0" w14:paraId="68B9BC54" w14:textId="77777777" w:rsidTr="00566D86">
        <w:tc>
          <w:tcPr>
            <w:tcW w:w="2270" w:type="dxa"/>
            <w:gridSpan w:val="2"/>
          </w:tcPr>
          <w:p w14:paraId="2B490939" w14:textId="77777777" w:rsidR="00CE3E68" w:rsidRPr="004423D0" w:rsidRDefault="00CE3E68" w:rsidP="00B30E00">
            <w:pPr>
              <w:pStyle w:val="Normalbold"/>
            </w:pPr>
          </w:p>
        </w:tc>
        <w:tc>
          <w:tcPr>
            <w:tcW w:w="174" w:type="dxa"/>
            <w:gridSpan w:val="2"/>
          </w:tcPr>
          <w:p w14:paraId="2BF3A401" w14:textId="77777777" w:rsidR="00CE3E68" w:rsidRPr="004423D0" w:rsidRDefault="00CE3E68" w:rsidP="00B30E00">
            <w:pPr>
              <w:pStyle w:val="Normalgrey"/>
            </w:pPr>
          </w:p>
        </w:tc>
        <w:tc>
          <w:tcPr>
            <w:tcW w:w="630" w:type="dxa"/>
            <w:gridSpan w:val="2"/>
          </w:tcPr>
          <w:p w14:paraId="3CE77B1A" w14:textId="34107F70" w:rsidR="00CE3E68" w:rsidRPr="004423D0" w:rsidRDefault="00AB1404" w:rsidP="00B30E00">
            <w:pPr>
              <w:pStyle w:val="Normalgrey"/>
            </w:pPr>
            <w:r>
              <w:t>8.1</w:t>
            </w:r>
          </w:p>
        </w:tc>
        <w:tc>
          <w:tcPr>
            <w:tcW w:w="6067" w:type="dxa"/>
            <w:gridSpan w:val="3"/>
          </w:tcPr>
          <w:p w14:paraId="176A6BE4" w14:textId="6D23424F" w:rsidR="00CE3E68" w:rsidRPr="004423D0" w:rsidRDefault="005039D4" w:rsidP="00B30E00">
            <w:pPr>
              <w:pStyle w:val="Normalbold"/>
              <w:rPr>
                <w:rFonts w:ascii="Arial" w:eastAsia="Arial" w:hAnsi="Arial" w:cs="Calibri"/>
              </w:rPr>
            </w:pPr>
            <w:r w:rsidRPr="00273A66">
              <w:rPr>
                <w:color w:val="4D4D4D"/>
              </w:rPr>
              <w:t>Total energy use</w:t>
            </w:r>
          </w:p>
        </w:tc>
      </w:tr>
      <w:tr w:rsidR="00CE3E68" w:rsidRPr="004423D0" w14:paraId="4C09FCFB" w14:textId="77777777" w:rsidTr="00566D86">
        <w:tc>
          <w:tcPr>
            <w:tcW w:w="2270" w:type="dxa"/>
            <w:gridSpan w:val="2"/>
          </w:tcPr>
          <w:p w14:paraId="58AD0246" w14:textId="77777777" w:rsidR="00CE3E68" w:rsidRPr="004423D0" w:rsidRDefault="00CE3E68" w:rsidP="00B30E00">
            <w:pPr>
              <w:pStyle w:val="Normalbold"/>
            </w:pPr>
          </w:p>
        </w:tc>
        <w:tc>
          <w:tcPr>
            <w:tcW w:w="174" w:type="dxa"/>
            <w:gridSpan w:val="2"/>
          </w:tcPr>
          <w:p w14:paraId="003D0D14" w14:textId="77777777" w:rsidR="00CE3E68" w:rsidRPr="004423D0" w:rsidRDefault="00CE3E68" w:rsidP="00B30E00">
            <w:pPr>
              <w:pStyle w:val="Normalgrey"/>
            </w:pPr>
          </w:p>
        </w:tc>
        <w:tc>
          <w:tcPr>
            <w:tcW w:w="630" w:type="dxa"/>
            <w:gridSpan w:val="2"/>
          </w:tcPr>
          <w:p w14:paraId="412B5CFB" w14:textId="26606EFD" w:rsidR="00CE3E68" w:rsidRPr="004423D0" w:rsidRDefault="00CE3E68" w:rsidP="00B30E00">
            <w:pPr>
              <w:pStyle w:val="Normalgrey"/>
            </w:pPr>
          </w:p>
        </w:tc>
        <w:tc>
          <w:tcPr>
            <w:tcW w:w="6067" w:type="dxa"/>
            <w:gridSpan w:val="3"/>
          </w:tcPr>
          <w:p w14:paraId="379AE32D" w14:textId="068E6453" w:rsidR="00CE3E68" w:rsidRPr="004423D0" w:rsidRDefault="00C42B7C" w:rsidP="00C34CC9">
            <w:pPr>
              <w:pStyle w:val="Normalgrey"/>
            </w:pPr>
            <w:r w:rsidRPr="004423D0">
              <w:t>E1</w:t>
            </w:r>
            <w:r w:rsidR="0061310D" w:rsidRPr="004423D0">
              <w:t xml:space="preserve"> – </w:t>
            </w:r>
            <w:r w:rsidR="00FA050D" w:rsidRPr="004423D0">
              <w:t>Total energy usage from fuels (megajoules)</w:t>
            </w:r>
          </w:p>
        </w:tc>
      </w:tr>
      <w:tr w:rsidR="00CE3E68" w:rsidRPr="004423D0" w14:paraId="6AF1EED1" w14:textId="77777777" w:rsidTr="00566D86">
        <w:tc>
          <w:tcPr>
            <w:tcW w:w="2270" w:type="dxa"/>
            <w:gridSpan w:val="2"/>
          </w:tcPr>
          <w:p w14:paraId="4628FA7C" w14:textId="77777777" w:rsidR="00CE3E68" w:rsidRPr="004423D0" w:rsidRDefault="00CE3E68" w:rsidP="00B30E00">
            <w:pPr>
              <w:pStyle w:val="Normalbold"/>
            </w:pPr>
          </w:p>
        </w:tc>
        <w:tc>
          <w:tcPr>
            <w:tcW w:w="174" w:type="dxa"/>
            <w:gridSpan w:val="2"/>
          </w:tcPr>
          <w:p w14:paraId="2D1E4948" w14:textId="77777777" w:rsidR="00CE3E68" w:rsidRPr="004423D0" w:rsidRDefault="00CE3E68" w:rsidP="00B30E00">
            <w:pPr>
              <w:pStyle w:val="Normalgrey"/>
            </w:pPr>
          </w:p>
        </w:tc>
        <w:tc>
          <w:tcPr>
            <w:tcW w:w="630" w:type="dxa"/>
            <w:gridSpan w:val="2"/>
          </w:tcPr>
          <w:p w14:paraId="7DEE07A6" w14:textId="61692A27" w:rsidR="00CE3E68" w:rsidRPr="004423D0" w:rsidRDefault="004A058A" w:rsidP="00B30E00">
            <w:pPr>
              <w:pStyle w:val="Normalgrey"/>
            </w:pPr>
            <w:r w:rsidRPr="004423D0">
              <w:t>8</w:t>
            </w:r>
            <w:r w:rsidR="005039D4" w:rsidRPr="004423D0">
              <w:t>.2</w:t>
            </w:r>
          </w:p>
        </w:tc>
        <w:tc>
          <w:tcPr>
            <w:tcW w:w="6067" w:type="dxa"/>
            <w:gridSpan w:val="3"/>
          </w:tcPr>
          <w:p w14:paraId="2FA869DC" w14:textId="387AC44E" w:rsidR="00CE3E68" w:rsidRPr="004423D0" w:rsidRDefault="00C42B7C" w:rsidP="00C34CC9">
            <w:pPr>
              <w:pStyle w:val="Normalgrey"/>
            </w:pPr>
            <w:r w:rsidRPr="004423D0">
              <w:t>E2</w:t>
            </w:r>
            <w:r w:rsidR="0061310D" w:rsidRPr="004423D0">
              <w:t xml:space="preserve"> – </w:t>
            </w:r>
            <w:r w:rsidR="00094E50" w:rsidRPr="004423D0">
              <w:t>Total energy usage from electricity (megajoules)</w:t>
            </w:r>
          </w:p>
        </w:tc>
      </w:tr>
      <w:tr w:rsidR="00832AAC" w:rsidRPr="004423D0" w14:paraId="2F6C71AC" w14:textId="77777777" w:rsidTr="00566D86">
        <w:tc>
          <w:tcPr>
            <w:tcW w:w="2270" w:type="dxa"/>
            <w:gridSpan w:val="2"/>
          </w:tcPr>
          <w:p w14:paraId="5018DC43" w14:textId="77777777" w:rsidR="00832AAC" w:rsidRPr="004423D0" w:rsidRDefault="00832AAC" w:rsidP="00B30E00">
            <w:pPr>
              <w:pStyle w:val="Normalbold"/>
            </w:pPr>
          </w:p>
        </w:tc>
        <w:tc>
          <w:tcPr>
            <w:tcW w:w="174" w:type="dxa"/>
            <w:gridSpan w:val="2"/>
          </w:tcPr>
          <w:p w14:paraId="64C6D952" w14:textId="77777777" w:rsidR="00832AAC" w:rsidRPr="004423D0" w:rsidRDefault="00832AAC" w:rsidP="00B30E00">
            <w:pPr>
              <w:pStyle w:val="Normalgrey"/>
            </w:pPr>
          </w:p>
        </w:tc>
        <w:tc>
          <w:tcPr>
            <w:tcW w:w="630" w:type="dxa"/>
            <w:gridSpan w:val="2"/>
          </w:tcPr>
          <w:p w14:paraId="3B8C0D9C" w14:textId="67497375" w:rsidR="00832AAC" w:rsidRPr="004423D0" w:rsidRDefault="004A058A" w:rsidP="00B30E00">
            <w:pPr>
              <w:pStyle w:val="Normalgrey"/>
            </w:pPr>
            <w:r w:rsidRPr="004423D0">
              <w:t>8</w:t>
            </w:r>
            <w:r w:rsidR="00832AAC" w:rsidRPr="004423D0">
              <w:t>.3</w:t>
            </w:r>
          </w:p>
        </w:tc>
        <w:tc>
          <w:tcPr>
            <w:tcW w:w="6067" w:type="dxa"/>
            <w:gridSpan w:val="3"/>
          </w:tcPr>
          <w:p w14:paraId="06F2E5F4" w14:textId="051E5DA3" w:rsidR="00832AAC" w:rsidRPr="004423D0" w:rsidRDefault="00C42B7C" w:rsidP="00C34CC9">
            <w:pPr>
              <w:pStyle w:val="Normalgrey"/>
            </w:pPr>
            <w:r w:rsidRPr="004423D0">
              <w:t>E3</w:t>
            </w:r>
            <w:r w:rsidR="0061310D" w:rsidRPr="004423D0">
              <w:t xml:space="preserve"> – </w:t>
            </w:r>
            <w:r w:rsidR="00FB46D7" w:rsidRPr="004423D0">
              <w:t>Total energy usage (megajoules) segmented into renewable and non-renewable sources</w:t>
            </w:r>
          </w:p>
        </w:tc>
      </w:tr>
      <w:tr w:rsidR="00832AAC" w:rsidRPr="004423D0" w14:paraId="1E80DBF4" w14:textId="77777777" w:rsidTr="00566D86">
        <w:tc>
          <w:tcPr>
            <w:tcW w:w="2270" w:type="dxa"/>
            <w:gridSpan w:val="2"/>
          </w:tcPr>
          <w:p w14:paraId="0A2E404D" w14:textId="77777777" w:rsidR="00832AAC" w:rsidRPr="004423D0" w:rsidRDefault="00832AAC" w:rsidP="00B30E00">
            <w:pPr>
              <w:pStyle w:val="Normalbold"/>
            </w:pPr>
          </w:p>
        </w:tc>
        <w:tc>
          <w:tcPr>
            <w:tcW w:w="174" w:type="dxa"/>
            <w:gridSpan w:val="2"/>
          </w:tcPr>
          <w:p w14:paraId="2B658B29" w14:textId="77777777" w:rsidR="00832AAC" w:rsidRPr="004423D0" w:rsidRDefault="00832AAC" w:rsidP="00B30E00">
            <w:pPr>
              <w:pStyle w:val="Normalgrey"/>
            </w:pPr>
          </w:p>
        </w:tc>
        <w:tc>
          <w:tcPr>
            <w:tcW w:w="630" w:type="dxa"/>
            <w:gridSpan w:val="2"/>
          </w:tcPr>
          <w:p w14:paraId="71987EC8" w14:textId="1314630C" w:rsidR="00832AAC" w:rsidRPr="004423D0" w:rsidRDefault="004A058A" w:rsidP="00B30E00">
            <w:pPr>
              <w:pStyle w:val="Normalgrey"/>
            </w:pPr>
            <w:r w:rsidRPr="004423D0">
              <w:t>8</w:t>
            </w:r>
            <w:r w:rsidR="00832AAC" w:rsidRPr="004423D0">
              <w:t>.4</w:t>
            </w:r>
          </w:p>
        </w:tc>
        <w:tc>
          <w:tcPr>
            <w:tcW w:w="6067" w:type="dxa"/>
            <w:gridSpan w:val="3"/>
          </w:tcPr>
          <w:p w14:paraId="0244A52A" w14:textId="414056B4" w:rsidR="00832AAC" w:rsidRPr="004423D0" w:rsidRDefault="0061310D" w:rsidP="00C34CC9">
            <w:pPr>
              <w:pStyle w:val="Normalgrey"/>
            </w:pPr>
            <w:r w:rsidRPr="004423D0">
              <w:t xml:space="preserve">E4 – </w:t>
            </w:r>
            <w:r w:rsidR="007913A3" w:rsidRPr="004423D0">
              <w:t>Units of energy used normalised by FTE, headcount, floor area, or other entity or sector specific quantity</w:t>
            </w:r>
          </w:p>
        </w:tc>
      </w:tr>
      <w:tr w:rsidR="00832AAC" w:rsidRPr="004423D0" w14:paraId="41160E27" w14:textId="77777777" w:rsidTr="00566D86">
        <w:tc>
          <w:tcPr>
            <w:tcW w:w="2270" w:type="dxa"/>
            <w:gridSpan w:val="2"/>
          </w:tcPr>
          <w:p w14:paraId="00EE2335" w14:textId="77777777" w:rsidR="00832AAC" w:rsidRPr="004423D0" w:rsidRDefault="00832AAC" w:rsidP="00B30E00">
            <w:pPr>
              <w:pStyle w:val="Normalbold"/>
            </w:pPr>
          </w:p>
        </w:tc>
        <w:tc>
          <w:tcPr>
            <w:tcW w:w="174" w:type="dxa"/>
            <w:gridSpan w:val="2"/>
          </w:tcPr>
          <w:p w14:paraId="4AC968EB" w14:textId="77777777" w:rsidR="00832AAC" w:rsidRPr="004423D0" w:rsidRDefault="00832AAC" w:rsidP="00B30E00">
            <w:pPr>
              <w:pStyle w:val="Normalgrey"/>
            </w:pPr>
          </w:p>
        </w:tc>
        <w:tc>
          <w:tcPr>
            <w:tcW w:w="630" w:type="dxa"/>
            <w:gridSpan w:val="2"/>
          </w:tcPr>
          <w:p w14:paraId="2BCACFD9" w14:textId="772E414E" w:rsidR="00832AAC" w:rsidRPr="004423D0" w:rsidRDefault="00D86C10" w:rsidP="00B30E00">
            <w:pPr>
              <w:pStyle w:val="Normalgrey"/>
            </w:pPr>
            <w:r w:rsidRPr="004423D0">
              <w:t>9</w:t>
            </w:r>
            <w:r w:rsidR="00AB1404">
              <w:t>.1</w:t>
            </w:r>
          </w:p>
        </w:tc>
        <w:tc>
          <w:tcPr>
            <w:tcW w:w="6067" w:type="dxa"/>
            <w:gridSpan w:val="3"/>
          </w:tcPr>
          <w:p w14:paraId="1E9479EC" w14:textId="5F59B4C3" w:rsidR="00832AAC" w:rsidRPr="004423D0" w:rsidRDefault="00511DC1" w:rsidP="00B30E00">
            <w:pPr>
              <w:pStyle w:val="Normalbold"/>
              <w:rPr>
                <w:rFonts w:ascii="Arial" w:eastAsia="Arial" w:hAnsi="Arial" w:cs="Calibri"/>
              </w:rPr>
            </w:pPr>
            <w:r w:rsidRPr="00273A66">
              <w:rPr>
                <w:color w:val="4D4D4D"/>
              </w:rPr>
              <w:t>Sustainable buildings and infrastructure</w:t>
            </w:r>
          </w:p>
        </w:tc>
      </w:tr>
      <w:tr w:rsidR="00832AAC" w:rsidRPr="004423D0" w14:paraId="538BE870" w14:textId="77777777" w:rsidTr="00566D86">
        <w:tc>
          <w:tcPr>
            <w:tcW w:w="2270" w:type="dxa"/>
            <w:gridSpan w:val="2"/>
          </w:tcPr>
          <w:p w14:paraId="079B6EFB" w14:textId="77777777" w:rsidR="00832AAC" w:rsidRPr="004423D0" w:rsidRDefault="00832AAC" w:rsidP="00B30E00">
            <w:pPr>
              <w:pStyle w:val="Normalbold"/>
            </w:pPr>
          </w:p>
        </w:tc>
        <w:tc>
          <w:tcPr>
            <w:tcW w:w="174" w:type="dxa"/>
            <w:gridSpan w:val="2"/>
          </w:tcPr>
          <w:p w14:paraId="70FD4DED" w14:textId="77777777" w:rsidR="00832AAC" w:rsidRPr="004423D0" w:rsidRDefault="00832AAC" w:rsidP="00B30E00">
            <w:pPr>
              <w:pStyle w:val="Normalgrey"/>
            </w:pPr>
          </w:p>
        </w:tc>
        <w:tc>
          <w:tcPr>
            <w:tcW w:w="630" w:type="dxa"/>
            <w:gridSpan w:val="2"/>
          </w:tcPr>
          <w:p w14:paraId="40A36686" w14:textId="6A0011DA" w:rsidR="00832AAC" w:rsidRPr="004423D0" w:rsidRDefault="00832AAC" w:rsidP="00B30E00">
            <w:pPr>
              <w:pStyle w:val="Normalgrey"/>
            </w:pPr>
          </w:p>
        </w:tc>
        <w:tc>
          <w:tcPr>
            <w:tcW w:w="6067" w:type="dxa"/>
            <w:gridSpan w:val="3"/>
          </w:tcPr>
          <w:p w14:paraId="57A0EC09" w14:textId="5D2BA121" w:rsidR="00832AAC" w:rsidRPr="004423D0" w:rsidRDefault="004C7B39" w:rsidP="00C34CC9">
            <w:pPr>
              <w:pStyle w:val="Normalgrey"/>
              <w:rPr>
                <w:b/>
              </w:rPr>
            </w:pPr>
            <w:r w:rsidRPr="004423D0">
              <w:t>B1 –</w:t>
            </w:r>
            <w:r w:rsidR="006C4DDD" w:rsidRPr="004423D0">
              <w:t xml:space="preserve"> Discuss how environmentally sustainable design (ESD) is incorporated into newly completed </w:t>
            </w:r>
            <w:r w:rsidR="00CA438F" w:rsidRPr="004423D0">
              <w:t>e</w:t>
            </w:r>
            <w:r w:rsidR="006C4DDD" w:rsidRPr="004423D0">
              <w:t>ntity-owned buildings (qualitative)</w:t>
            </w:r>
          </w:p>
        </w:tc>
      </w:tr>
      <w:tr w:rsidR="00511DC1" w:rsidRPr="004423D0" w14:paraId="55A027CF" w14:textId="77777777" w:rsidTr="00566D86">
        <w:tc>
          <w:tcPr>
            <w:tcW w:w="2270" w:type="dxa"/>
            <w:gridSpan w:val="2"/>
          </w:tcPr>
          <w:p w14:paraId="77D38AA6" w14:textId="77777777" w:rsidR="00511DC1" w:rsidRPr="004423D0" w:rsidRDefault="00511DC1" w:rsidP="00B30E00">
            <w:pPr>
              <w:pStyle w:val="Normalbold"/>
            </w:pPr>
          </w:p>
        </w:tc>
        <w:tc>
          <w:tcPr>
            <w:tcW w:w="174" w:type="dxa"/>
            <w:gridSpan w:val="2"/>
          </w:tcPr>
          <w:p w14:paraId="097AEF41" w14:textId="77777777" w:rsidR="00511DC1" w:rsidRPr="004423D0" w:rsidRDefault="00511DC1" w:rsidP="00B30E00">
            <w:pPr>
              <w:pStyle w:val="Normalgrey"/>
            </w:pPr>
          </w:p>
        </w:tc>
        <w:tc>
          <w:tcPr>
            <w:tcW w:w="630" w:type="dxa"/>
            <w:gridSpan w:val="2"/>
          </w:tcPr>
          <w:p w14:paraId="4C394849" w14:textId="40EF02D5" w:rsidR="00511DC1" w:rsidRPr="004423D0" w:rsidRDefault="00D86C10" w:rsidP="00B30E00">
            <w:pPr>
              <w:pStyle w:val="Normalgrey"/>
            </w:pPr>
            <w:r w:rsidRPr="004423D0">
              <w:t>9</w:t>
            </w:r>
            <w:r w:rsidR="00511DC1" w:rsidRPr="004423D0">
              <w:t>.2</w:t>
            </w:r>
          </w:p>
        </w:tc>
        <w:tc>
          <w:tcPr>
            <w:tcW w:w="6067" w:type="dxa"/>
            <w:gridSpan w:val="3"/>
          </w:tcPr>
          <w:p w14:paraId="4C96F0C9" w14:textId="6DD15B55" w:rsidR="00511DC1" w:rsidRPr="004423D0" w:rsidRDefault="004C7B39" w:rsidP="00C34CC9">
            <w:pPr>
              <w:pStyle w:val="Normalgrey"/>
            </w:pPr>
            <w:r w:rsidRPr="004423D0">
              <w:t>B2 –</w:t>
            </w:r>
            <w:r w:rsidR="00720DD0" w:rsidRPr="004423D0">
              <w:t xml:space="preserve"> Discuss how new </w:t>
            </w:r>
            <w:r w:rsidR="00CA438F" w:rsidRPr="004423D0">
              <w:t>e</w:t>
            </w:r>
            <w:r w:rsidR="00720DD0" w:rsidRPr="004423D0">
              <w:t>ntity leases meet the requirement to preference higher-rated office buildings and those with a Green Lease Schedule (qualitative)</w:t>
            </w:r>
          </w:p>
        </w:tc>
      </w:tr>
      <w:tr w:rsidR="00511DC1" w:rsidRPr="004423D0" w14:paraId="32F93352" w14:textId="77777777" w:rsidTr="00566D86">
        <w:tc>
          <w:tcPr>
            <w:tcW w:w="2270" w:type="dxa"/>
            <w:gridSpan w:val="2"/>
          </w:tcPr>
          <w:p w14:paraId="56EFA363" w14:textId="77777777" w:rsidR="00511DC1" w:rsidRPr="004423D0" w:rsidRDefault="00511DC1" w:rsidP="00B30E00">
            <w:pPr>
              <w:pStyle w:val="Normalbold"/>
            </w:pPr>
          </w:p>
        </w:tc>
        <w:tc>
          <w:tcPr>
            <w:tcW w:w="174" w:type="dxa"/>
            <w:gridSpan w:val="2"/>
          </w:tcPr>
          <w:p w14:paraId="425BEED2" w14:textId="77777777" w:rsidR="00511DC1" w:rsidRPr="004423D0" w:rsidRDefault="00511DC1" w:rsidP="00B30E00">
            <w:pPr>
              <w:pStyle w:val="Normalgrey"/>
            </w:pPr>
          </w:p>
        </w:tc>
        <w:tc>
          <w:tcPr>
            <w:tcW w:w="630" w:type="dxa"/>
            <w:gridSpan w:val="2"/>
          </w:tcPr>
          <w:p w14:paraId="5BE5D0AB" w14:textId="2D501C5A" w:rsidR="00511DC1" w:rsidRPr="004423D0" w:rsidRDefault="00D86C10" w:rsidP="00B30E00">
            <w:pPr>
              <w:pStyle w:val="Normalgrey"/>
            </w:pPr>
            <w:r w:rsidRPr="004423D0">
              <w:t>9</w:t>
            </w:r>
            <w:r w:rsidR="00511DC1" w:rsidRPr="004423D0">
              <w:t>.3</w:t>
            </w:r>
          </w:p>
        </w:tc>
        <w:tc>
          <w:tcPr>
            <w:tcW w:w="6067" w:type="dxa"/>
            <w:gridSpan w:val="3"/>
          </w:tcPr>
          <w:p w14:paraId="1A831CEB" w14:textId="13A9BEBF" w:rsidR="00511DC1" w:rsidRPr="004423D0" w:rsidRDefault="004C7B39" w:rsidP="00C34CC9">
            <w:pPr>
              <w:pStyle w:val="Normalgrey"/>
            </w:pPr>
            <w:r w:rsidRPr="004423D0">
              <w:t>B3 –</w:t>
            </w:r>
            <w:r w:rsidR="00836621" w:rsidRPr="004423D0">
              <w:t xml:space="preserve"> NABERS Energy (National Australian Built Environment Rating System) ratings of newly completed/occupied </w:t>
            </w:r>
            <w:r w:rsidR="00CA438F" w:rsidRPr="004423D0">
              <w:t>e</w:t>
            </w:r>
            <w:r w:rsidR="00836621" w:rsidRPr="004423D0">
              <w:t>ntity-owned office buildings and substantial tenancy fit-outs (itemised)</w:t>
            </w:r>
          </w:p>
        </w:tc>
      </w:tr>
      <w:tr w:rsidR="00511DC1" w:rsidRPr="004423D0" w14:paraId="760156FB" w14:textId="77777777" w:rsidTr="00566D86">
        <w:tc>
          <w:tcPr>
            <w:tcW w:w="2270" w:type="dxa"/>
            <w:gridSpan w:val="2"/>
          </w:tcPr>
          <w:p w14:paraId="22ABEE00" w14:textId="77777777" w:rsidR="00511DC1" w:rsidRPr="004423D0" w:rsidRDefault="00511DC1" w:rsidP="00B30E00">
            <w:pPr>
              <w:pStyle w:val="Normalbold"/>
            </w:pPr>
          </w:p>
        </w:tc>
        <w:tc>
          <w:tcPr>
            <w:tcW w:w="174" w:type="dxa"/>
            <w:gridSpan w:val="2"/>
          </w:tcPr>
          <w:p w14:paraId="38D639BC" w14:textId="77777777" w:rsidR="00511DC1" w:rsidRPr="004423D0" w:rsidRDefault="00511DC1" w:rsidP="00B30E00">
            <w:pPr>
              <w:pStyle w:val="Normalgrey"/>
            </w:pPr>
          </w:p>
        </w:tc>
        <w:tc>
          <w:tcPr>
            <w:tcW w:w="630" w:type="dxa"/>
            <w:gridSpan w:val="2"/>
          </w:tcPr>
          <w:p w14:paraId="0D71C2EF" w14:textId="42F863D2" w:rsidR="00511DC1" w:rsidRPr="004423D0" w:rsidRDefault="00D86C10" w:rsidP="00B30E00">
            <w:pPr>
              <w:pStyle w:val="Normalgrey"/>
            </w:pPr>
            <w:r w:rsidRPr="004423D0">
              <w:t>9</w:t>
            </w:r>
            <w:r w:rsidR="00511DC1" w:rsidRPr="004423D0">
              <w:t>.4</w:t>
            </w:r>
          </w:p>
        </w:tc>
        <w:tc>
          <w:tcPr>
            <w:tcW w:w="6067" w:type="dxa"/>
            <w:gridSpan w:val="3"/>
          </w:tcPr>
          <w:p w14:paraId="604FF1EF" w14:textId="72076A65" w:rsidR="00511DC1" w:rsidRPr="004423D0" w:rsidRDefault="004C7B39" w:rsidP="00C34CC9">
            <w:pPr>
              <w:pStyle w:val="Normalgrey"/>
            </w:pPr>
            <w:r w:rsidRPr="004423D0">
              <w:t>B4 –</w:t>
            </w:r>
            <w:r w:rsidR="0053496E" w:rsidRPr="004423D0">
              <w:t xml:space="preserve"> Environmental performance ratings (e.g. NABERS, Green Star, or Infrastructure Sustainability Council of Australia Infrastructure Sustainability rating scheme) of newly completed </w:t>
            </w:r>
            <w:r w:rsidR="00CA438F" w:rsidRPr="004423D0">
              <w:t>e</w:t>
            </w:r>
            <w:r w:rsidR="0053496E" w:rsidRPr="004423D0">
              <w:t>ntity-owned non-office building or infrastructure projects or upgrades with a value over $1 million, where these ratings have been conducted (relevant rating, itemised)</w:t>
            </w:r>
          </w:p>
        </w:tc>
      </w:tr>
      <w:tr w:rsidR="00511DC1" w:rsidRPr="004423D0" w14:paraId="22B3C135" w14:textId="77777777" w:rsidTr="00566D86">
        <w:tc>
          <w:tcPr>
            <w:tcW w:w="2270" w:type="dxa"/>
            <w:gridSpan w:val="2"/>
          </w:tcPr>
          <w:p w14:paraId="30817DF5" w14:textId="77777777" w:rsidR="00511DC1" w:rsidRPr="004423D0" w:rsidRDefault="00511DC1" w:rsidP="00B30E00">
            <w:pPr>
              <w:pStyle w:val="Normalbold"/>
            </w:pPr>
          </w:p>
        </w:tc>
        <w:tc>
          <w:tcPr>
            <w:tcW w:w="174" w:type="dxa"/>
            <w:gridSpan w:val="2"/>
          </w:tcPr>
          <w:p w14:paraId="72C9E3D0" w14:textId="77777777" w:rsidR="00511DC1" w:rsidRPr="004423D0" w:rsidRDefault="00511DC1" w:rsidP="00B30E00">
            <w:pPr>
              <w:pStyle w:val="Normalgrey"/>
            </w:pPr>
          </w:p>
        </w:tc>
        <w:tc>
          <w:tcPr>
            <w:tcW w:w="630" w:type="dxa"/>
            <w:gridSpan w:val="2"/>
          </w:tcPr>
          <w:p w14:paraId="46358B2A" w14:textId="0F92DC8B" w:rsidR="00511DC1" w:rsidRPr="004423D0" w:rsidRDefault="00D86C10" w:rsidP="00B30E00">
            <w:pPr>
              <w:pStyle w:val="Normalgrey"/>
            </w:pPr>
            <w:r w:rsidRPr="004423D0">
              <w:t>9</w:t>
            </w:r>
            <w:r w:rsidR="00511DC1" w:rsidRPr="004423D0">
              <w:t>.5</w:t>
            </w:r>
          </w:p>
        </w:tc>
        <w:tc>
          <w:tcPr>
            <w:tcW w:w="6067" w:type="dxa"/>
            <w:gridSpan w:val="3"/>
          </w:tcPr>
          <w:p w14:paraId="0F28939E" w14:textId="218989B2" w:rsidR="00511DC1" w:rsidRPr="004423D0" w:rsidRDefault="004C7B39" w:rsidP="00C34CC9">
            <w:pPr>
              <w:pStyle w:val="Normalgrey"/>
            </w:pPr>
            <w:r w:rsidRPr="004423D0">
              <w:t>B5 –</w:t>
            </w:r>
            <w:r w:rsidR="003104F9" w:rsidRPr="004423D0">
              <w:t xml:space="preserve"> Environmental performance ratings achieved for </w:t>
            </w:r>
            <w:r w:rsidR="00CA438F" w:rsidRPr="004423D0">
              <w:t>e</w:t>
            </w:r>
            <w:r w:rsidR="003104F9" w:rsidRPr="004423D0">
              <w:t>ntity-owned assets portfolio segmented by rating scheme and building, facility, or infrastructure type, where these ratings have been conducted (number at each rating)</w:t>
            </w:r>
          </w:p>
        </w:tc>
      </w:tr>
      <w:tr w:rsidR="00511DC1" w:rsidRPr="004423D0" w:rsidDel="008208AA" w14:paraId="3BA776E5" w14:textId="5C2253A7" w:rsidTr="00566D86">
        <w:tc>
          <w:tcPr>
            <w:tcW w:w="2270" w:type="dxa"/>
            <w:gridSpan w:val="2"/>
          </w:tcPr>
          <w:p w14:paraId="7E5B8EBC" w14:textId="250618F8" w:rsidR="00511DC1" w:rsidRPr="004423D0" w:rsidDel="008208AA" w:rsidRDefault="00511DC1" w:rsidP="00B30E00">
            <w:pPr>
              <w:pStyle w:val="Normalbold"/>
            </w:pPr>
          </w:p>
        </w:tc>
        <w:tc>
          <w:tcPr>
            <w:tcW w:w="174" w:type="dxa"/>
            <w:gridSpan w:val="2"/>
          </w:tcPr>
          <w:p w14:paraId="197FD024" w14:textId="75F8B509" w:rsidR="00511DC1" w:rsidRPr="004423D0" w:rsidDel="008208AA" w:rsidRDefault="00511DC1" w:rsidP="00B30E00">
            <w:pPr>
              <w:pStyle w:val="Normalgrey"/>
            </w:pPr>
          </w:p>
        </w:tc>
        <w:tc>
          <w:tcPr>
            <w:tcW w:w="630" w:type="dxa"/>
            <w:gridSpan w:val="2"/>
          </w:tcPr>
          <w:p w14:paraId="5760A2B5" w14:textId="349D911A" w:rsidR="00511DC1" w:rsidRPr="004423D0" w:rsidDel="008208AA" w:rsidRDefault="00D86C10" w:rsidP="00B30E00">
            <w:pPr>
              <w:pStyle w:val="Normalgrey"/>
            </w:pPr>
            <w:r w:rsidRPr="004423D0">
              <w:t>9</w:t>
            </w:r>
            <w:r w:rsidR="004C7B39" w:rsidRPr="004423D0" w:rsidDel="008208AA">
              <w:t>.7</w:t>
            </w:r>
          </w:p>
        </w:tc>
        <w:tc>
          <w:tcPr>
            <w:tcW w:w="6067" w:type="dxa"/>
            <w:gridSpan w:val="3"/>
          </w:tcPr>
          <w:p w14:paraId="5CE70357" w14:textId="79693F6A" w:rsidR="0035054F" w:rsidRPr="004423D0" w:rsidDel="008208AA" w:rsidRDefault="0035054F" w:rsidP="00273A66">
            <w:pPr>
              <w:pStyle w:val="NormalIndentgrey"/>
              <w:ind w:left="0"/>
            </w:pPr>
            <w:r w:rsidRPr="004423D0" w:rsidDel="008208AA">
              <w:t>Optional sustainable buildings and infrastructure indicator</w:t>
            </w:r>
          </w:p>
          <w:p w14:paraId="2934A5D9" w14:textId="77777777" w:rsidR="00511DC1" w:rsidRPr="000243C2" w:rsidRDefault="0035054F" w:rsidP="0035054F">
            <w:pPr>
              <w:pStyle w:val="Bullet1grey"/>
              <w:rPr>
                <w:rFonts w:ascii="Arial" w:eastAsia="Arial" w:hAnsi="Arial"/>
                <w:bCs/>
              </w:rPr>
            </w:pPr>
            <w:r w:rsidRPr="004423D0" w:rsidDel="008208AA">
              <w:t xml:space="preserve">Mass and proportion of recycled and restorative material content in any new infrastructure construction project or upgrades with a value over $1 million segmented into material type (tonnes and </w:t>
            </w:r>
            <w:r w:rsidR="00AA1437" w:rsidRPr="004423D0">
              <w:t>percentage)</w:t>
            </w:r>
          </w:p>
          <w:p w14:paraId="314EEB59" w14:textId="399BB532" w:rsidR="006A2CB1" w:rsidRPr="004423D0" w:rsidDel="008208AA" w:rsidRDefault="006A2CB1" w:rsidP="0035054F">
            <w:pPr>
              <w:pStyle w:val="Bullet1grey"/>
              <w:rPr>
                <w:rFonts w:ascii="Arial" w:eastAsia="Arial" w:hAnsi="Arial"/>
                <w:bCs/>
              </w:rPr>
            </w:pPr>
            <w:r w:rsidRPr="004423D0">
              <w:t>Average percentage of office-based employees working remotely over the reporting period (number and percentage)</w:t>
            </w:r>
          </w:p>
        </w:tc>
      </w:tr>
      <w:tr w:rsidR="00832AAC" w:rsidRPr="004423D0" w14:paraId="4302E937" w14:textId="77777777" w:rsidTr="00566D86">
        <w:tc>
          <w:tcPr>
            <w:tcW w:w="2270" w:type="dxa"/>
            <w:gridSpan w:val="2"/>
          </w:tcPr>
          <w:p w14:paraId="61A48EFE" w14:textId="77777777" w:rsidR="00832AAC" w:rsidRPr="004423D0" w:rsidRDefault="00832AAC" w:rsidP="00B30E00">
            <w:pPr>
              <w:pStyle w:val="Normalbold"/>
            </w:pPr>
          </w:p>
        </w:tc>
        <w:tc>
          <w:tcPr>
            <w:tcW w:w="174" w:type="dxa"/>
            <w:gridSpan w:val="2"/>
          </w:tcPr>
          <w:p w14:paraId="010E898F" w14:textId="77777777" w:rsidR="00832AAC" w:rsidRPr="004423D0" w:rsidRDefault="00832AAC" w:rsidP="00B30E00">
            <w:pPr>
              <w:pStyle w:val="Normalgrey"/>
            </w:pPr>
          </w:p>
        </w:tc>
        <w:tc>
          <w:tcPr>
            <w:tcW w:w="630" w:type="dxa"/>
            <w:gridSpan w:val="2"/>
          </w:tcPr>
          <w:p w14:paraId="25BFD9EA" w14:textId="777D76B6" w:rsidR="00832AAC" w:rsidRPr="004423D0" w:rsidRDefault="003D0C75" w:rsidP="00B30E00">
            <w:pPr>
              <w:pStyle w:val="Normalgrey"/>
            </w:pPr>
            <w:r w:rsidRPr="004423D0">
              <w:t>1</w:t>
            </w:r>
            <w:r w:rsidR="00D86C10" w:rsidRPr="004423D0">
              <w:t>0</w:t>
            </w:r>
            <w:r w:rsidR="00AB1404">
              <w:t>.1</w:t>
            </w:r>
          </w:p>
        </w:tc>
        <w:tc>
          <w:tcPr>
            <w:tcW w:w="6067" w:type="dxa"/>
            <w:gridSpan w:val="3"/>
          </w:tcPr>
          <w:p w14:paraId="4C17AADE" w14:textId="42FFAE9D" w:rsidR="00832AAC" w:rsidRPr="004423D0" w:rsidRDefault="000337DF" w:rsidP="00B30E00">
            <w:pPr>
              <w:pStyle w:val="Normalbold"/>
              <w:rPr>
                <w:rFonts w:ascii="Arial" w:eastAsia="Arial" w:hAnsi="Arial" w:cs="Calibri"/>
              </w:rPr>
            </w:pPr>
            <w:r w:rsidRPr="00273A66">
              <w:rPr>
                <w:color w:val="4D4D4D"/>
              </w:rPr>
              <w:t>Sustainable procurement</w:t>
            </w:r>
          </w:p>
        </w:tc>
      </w:tr>
      <w:tr w:rsidR="00832AAC" w:rsidRPr="004423D0" w14:paraId="2DBE379C" w14:textId="77777777" w:rsidTr="00566D86">
        <w:tc>
          <w:tcPr>
            <w:tcW w:w="2270" w:type="dxa"/>
            <w:gridSpan w:val="2"/>
          </w:tcPr>
          <w:p w14:paraId="187A9728" w14:textId="77777777" w:rsidR="00832AAC" w:rsidRPr="004423D0" w:rsidRDefault="00832AAC" w:rsidP="00B30E00">
            <w:pPr>
              <w:pStyle w:val="Normalbold"/>
            </w:pPr>
          </w:p>
        </w:tc>
        <w:tc>
          <w:tcPr>
            <w:tcW w:w="174" w:type="dxa"/>
            <w:gridSpan w:val="2"/>
          </w:tcPr>
          <w:p w14:paraId="320596F9" w14:textId="77777777" w:rsidR="00832AAC" w:rsidRPr="004423D0" w:rsidRDefault="00832AAC" w:rsidP="00B30E00">
            <w:pPr>
              <w:pStyle w:val="Normalgrey"/>
            </w:pPr>
          </w:p>
        </w:tc>
        <w:tc>
          <w:tcPr>
            <w:tcW w:w="630" w:type="dxa"/>
            <w:gridSpan w:val="2"/>
          </w:tcPr>
          <w:p w14:paraId="1B7DA633" w14:textId="1F32DEF4" w:rsidR="00832AAC" w:rsidRPr="004423D0" w:rsidRDefault="00832AAC" w:rsidP="00B30E00">
            <w:pPr>
              <w:pStyle w:val="Normalgrey"/>
            </w:pPr>
          </w:p>
        </w:tc>
        <w:tc>
          <w:tcPr>
            <w:tcW w:w="6067" w:type="dxa"/>
            <w:gridSpan w:val="3"/>
          </w:tcPr>
          <w:p w14:paraId="3E5DC0E7" w14:textId="041AADCA" w:rsidR="00832AAC" w:rsidRPr="004423D0" w:rsidRDefault="002B035D" w:rsidP="00C34CC9">
            <w:pPr>
              <w:pStyle w:val="Normalgrey"/>
              <w:rPr>
                <w:rFonts w:ascii="Arial" w:eastAsia="Arial" w:hAnsi="Arial" w:cs="Calibri"/>
                <w:bCs/>
              </w:rPr>
            </w:pPr>
            <w:r w:rsidRPr="004423D0">
              <w:t>Entities have annual reporting requirements under the Social Procurement Framework</w:t>
            </w:r>
            <w:r w:rsidR="00956E1C" w:rsidRPr="004423D0">
              <w:t xml:space="preserve"> </w:t>
            </w:r>
            <w:r w:rsidRPr="004423D0">
              <w:t>and should address progress against sustainable procurement objectives as part of that reporting.</w:t>
            </w:r>
            <w:r w:rsidR="00505D3D" w:rsidRPr="004423D0">
              <w:t xml:space="preserve"> For more information</w:t>
            </w:r>
            <w:r w:rsidR="00FA2AC4" w:rsidRPr="004423D0">
              <w:t>,</w:t>
            </w:r>
            <w:r w:rsidR="00505D3D" w:rsidRPr="004423D0">
              <w:t xml:space="preserve"> refer to </w:t>
            </w:r>
            <w:r w:rsidR="00FA2AC4" w:rsidRPr="004423D0">
              <w:t xml:space="preserve">https://www.buyingfor.vic.gov.au/social-procurement-framework </w:t>
            </w:r>
          </w:p>
        </w:tc>
      </w:tr>
      <w:tr w:rsidR="003D0C75" w:rsidRPr="004423D0" w:rsidDel="00C31F09" w14:paraId="1502E976" w14:textId="649674F9" w:rsidTr="00566D86">
        <w:tc>
          <w:tcPr>
            <w:tcW w:w="2270" w:type="dxa"/>
            <w:gridSpan w:val="2"/>
          </w:tcPr>
          <w:p w14:paraId="01BF0AB5" w14:textId="777428D5" w:rsidR="003D0C75" w:rsidRPr="004423D0" w:rsidDel="00C31F09" w:rsidRDefault="003D0C75" w:rsidP="00B30E00">
            <w:pPr>
              <w:pStyle w:val="Normalbold"/>
            </w:pPr>
          </w:p>
        </w:tc>
        <w:tc>
          <w:tcPr>
            <w:tcW w:w="174" w:type="dxa"/>
            <w:gridSpan w:val="2"/>
          </w:tcPr>
          <w:p w14:paraId="190A6AAB" w14:textId="3E4F7887" w:rsidR="003D0C75" w:rsidRPr="004423D0" w:rsidDel="00C31F09" w:rsidRDefault="003D0C75" w:rsidP="00B30E00">
            <w:pPr>
              <w:pStyle w:val="Normalgrey"/>
            </w:pPr>
          </w:p>
        </w:tc>
        <w:tc>
          <w:tcPr>
            <w:tcW w:w="630" w:type="dxa"/>
            <w:gridSpan w:val="2"/>
          </w:tcPr>
          <w:p w14:paraId="3FAADC58" w14:textId="1FDE651D" w:rsidR="003D0C75" w:rsidRPr="004423D0" w:rsidDel="00C31F09" w:rsidRDefault="0055324C" w:rsidP="00B30E00">
            <w:pPr>
              <w:pStyle w:val="Normalgrey"/>
            </w:pPr>
            <w:r w:rsidRPr="004423D0">
              <w:t>1</w:t>
            </w:r>
            <w:r w:rsidR="00D86C10" w:rsidRPr="004423D0">
              <w:t>0</w:t>
            </w:r>
            <w:r w:rsidRPr="004423D0" w:rsidDel="00C31F09">
              <w:t>.2</w:t>
            </w:r>
          </w:p>
        </w:tc>
        <w:tc>
          <w:tcPr>
            <w:tcW w:w="6067" w:type="dxa"/>
            <w:gridSpan w:val="3"/>
          </w:tcPr>
          <w:p w14:paraId="1797D85C" w14:textId="1AB85BAC" w:rsidR="00681AD0" w:rsidRPr="004423D0" w:rsidDel="00C31F09" w:rsidRDefault="00681AD0" w:rsidP="00691FF5">
            <w:pPr>
              <w:pStyle w:val="NormalIndentgrey"/>
              <w:ind w:left="0"/>
            </w:pPr>
            <w:r w:rsidRPr="004423D0" w:rsidDel="00C31F09">
              <w:t>Optional sustainable procurement indicators</w:t>
            </w:r>
          </w:p>
          <w:p w14:paraId="37540CA7" w14:textId="0E89C9EB" w:rsidR="00681AD0" w:rsidRPr="004423D0" w:rsidDel="00C31F09" w:rsidRDefault="00681AD0" w:rsidP="00681AD0">
            <w:pPr>
              <w:pStyle w:val="Bullet1grey"/>
              <w:rPr>
                <w:rFonts w:eastAsiaTheme="minorEastAsia"/>
              </w:rPr>
            </w:pPr>
            <w:r w:rsidRPr="004423D0" w:rsidDel="00C31F09">
              <w:t xml:space="preserve">Discuss how the </w:t>
            </w:r>
            <w:r w:rsidR="00C55584" w:rsidRPr="004423D0">
              <w:t>e</w:t>
            </w:r>
            <w:r w:rsidRPr="004423D0">
              <w:t>ntity’s</w:t>
            </w:r>
            <w:r w:rsidRPr="004423D0" w:rsidDel="00C31F09">
              <w:t xml:space="preserve"> procurement and investment activities are environmentally responsible and / or consistent with the </w:t>
            </w:r>
            <w:hyperlink r:id="rId15">
              <w:r w:rsidRPr="004423D0" w:rsidDel="00C31F09">
                <w:rPr>
                  <w:i/>
                  <w:iCs/>
                </w:rPr>
                <w:t>Environmental impact in procurement – Goods and services procurement guide</w:t>
              </w:r>
            </w:hyperlink>
            <w:r w:rsidRPr="004423D0" w:rsidDel="00C31F09">
              <w:t xml:space="preserve"> and the </w:t>
            </w:r>
            <w:r w:rsidRPr="004423D0" w:rsidDel="00C31F09">
              <w:rPr>
                <w:i/>
                <w:iCs/>
              </w:rPr>
              <w:t>Sustainable Investment Guidelines</w:t>
            </w:r>
            <w:r w:rsidRPr="004423D0" w:rsidDel="00C31F09">
              <w:t>.</w:t>
            </w:r>
          </w:p>
          <w:p w14:paraId="2E76243B" w14:textId="22DA036F" w:rsidR="00681AD0" w:rsidRPr="004423D0" w:rsidDel="00C31F09" w:rsidRDefault="00681AD0" w:rsidP="00681AD0">
            <w:pPr>
              <w:pStyle w:val="Bullet1grey"/>
              <w:rPr>
                <w:rFonts w:eastAsiaTheme="minorEastAsia"/>
              </w:rPr>
            </w:pPr>
            <w:r w:rsidRPr="004423D0" w:rsidDel="00C31F09">
              <w:t>Percentage and description of goods contracts that use:</w:t>
            </w:r>
          </w:p>
          <w:p w14:paraId="0558C2CE" w14:textId="0B2635AC" w:rsidR="00681AD0" w:rsidRPr="004423D0" w:rsidDel="00C31F09" w:rsidRDefault="00681AD0" w:rsidP="00681AD0">
            <w:pPr>
              <w:pStyle w:val="Bullet2grey"/>
              <w:rPr>
                <w:rFonts w:eastAsiaTheme="minorBidi"/>
              </w:rPr>
            </w:pPr>
            <w:r w:rsidRPr="004423D0" w:rsidDel="00C31F09">
              <w:t>recycled content (where data is available)</w:t>
            </w:r>
          </w:p>
          <w:p w14:paraId="40801905" w14:textId="228A98AC" w:rsidR="00681AD0" w:rsidRPr="004423D0" w:rsidDel="00C31F09" w:rsidRDefault="00681AD0" w:rsidP="00681AD0">
            <w:pPr>
              <w:pStyle w:val="Bullet2grey"/>
            </w:pPr>
            <w:r w:rsidRPr="004423D0" w:rsidDel="00C31F09">
              <w:t>remanufactured/refurbished material content (where data is available)</w:t>
            </w:r>
          </w:p>
          <w:p w14:paraId="18D3EB9F" w14:textId="27C8FCC9" w:rsidR="003D0C75" w:rsidRPr="004423D0" w:rsidDel="00C31F09" w:rsidRDefault="00681AD0" w:rsidP="00681AD0">
            <w:pPr>
              <w:pStyle w:val="Bullet2grey"/>
              <w:rPr>
                <w:rFonts w:ascii="Arial" w:eastAsia="Arial" w:hAnsi="Arial"/>
                <w:bCs/>
              </w:rPr>
            </w:pPr>
            <w:r w:rsidRPr="004423D0" w:rsidDel="00C31F09">
              <w:t>repurposed or reused materials (where data is available)</w:t>
            </w:r>
          </w:p>
        </w:tc>
      </w:tr>
      <w:tr w:rsidR="003D0C75" w:rsidRPr="004423D0" w14:paraId="15B79C6A" w14:textId="77777777" w:rsidTr="00566D86">
        <w:tc>
          <w:tcPr>
            <w:tcW w:w="2270" w:type="dxa"/>
            <w:gridSpan w:val="2"/>
          </w:tcPr>
          <w:p w14:paraId="30B2A28A" w14:textId="77777777" w:rsidR="003D0C75" w:rsidRPr="004423D0" w:rsidRDefault="003D0C75" w:rsidP="00B30E00">
            <w:pPr>
              <w:pStyle w:val="Normalbold"/>
            </w:pPr>
          </w:p>
        </w:tc>
        <w:tc>
          <w:tcPr>
            <w:tcW w:w="174" w:type="dxa"/>
            <w:gridSpan w:val="2"/>
          </w:tcPr>
          <w:p w14:paraId="501255C2" w14:textId="77777777" w:rsidR="003D0C75" w:rsidRPr="004423D0" w:rsidRDefault="003D0C75" w:rsidP="00B30E00">
            <w:pPr>
              <w:pStyle w:val="Normalgrey"/>
            </w:pPr>
          </w:p>
        </w:tc>
        <w:tc>
          <w:tcPr>
            <w:tcW w:w="630" w:type="dxa"/>
            <w:gridSpan w:val="2"/>
          </w:tcPr>
          <w:p w14:paraId="6A70D435" w14:textId="2F616F51" w:rsidR="003D0C75" w:rsidRPr="004423D0" w:rsidRDefault="00571D68" w:rsidP="00B30E00">
            <w:pPr>
              <w:pStyle w:val="Normalgrey"/>
            </w:pPr>
            <w:r w:rsidRPr="004423D0">
              <w:t>1</w:t>
            </w:r>
            <w:r w:rsidR="00D86C10" w:rsidRPr="004423D0">
              <w:t>1</w:t>
            </w:r>
            <w:r w:rsidR="00AB1404">
              <w:t>.1</w:t>
            </w:r>
          </w:p>
        </w:tc>
        <w:tc>
          <w:tcPr>
            <w:tcW w:w="6067" w:type="dxa"/>
            <w:gridSpan w:val="3"/>
          </w:tcPr>
          <w:p w14:paraId="0589E234" w14:textId="63487585" w:rsidR="003D0C75" w:rsidRPr="004423D0" w:rsidRDefault="00571D68" w:rsidP="00B30E00">
            <w:pPr>
              <w:pStyle w:val="Normalbold"/>
              <w:rPr>
                <w:rFonts w:ascii="Arial" w:eastAsia="Arial" w:hAnsi="Arial" w:cs="Calibri"/>
              </w:rPr>
            </w:pPr>
            <w:r w:rsidRPr="00273A66">
              <w:rPr>
                <w:color w:val="4D4D4D"/>
              </w:rPr>
              <w:t>Water consumption</w:t>
            </w:r>
          </w:p>
        </w:tc>
      </w:tr>
      <w:tr w:rsidR="003D0C75" w:rsidRPr="004423D0" w14:paraId="524F1055" w14:textId="77777777" w:rsidTr="00566D86">
        <w:tc>
          <w:tcPr>
            <w:tcW w:w="2270" w:type="dxa"/>
            <w:gridSpan w:val="2"/>
          </w:tcPr>
          <w:p w14:paraId="4D24650A" w14:textId="77777777" w:rsidR="003D0C75" w:rsidRPr="004423D0" w:rsidRDefault="003D0C75" w:rsidP="00B30E00">
            <w:pPr>
              <w:pStyle w:val="Normalbold"/>
            </w:pPr>
          </w:p>
        </w:tc>
        <w:tc>
          <w:tcPr>
            <w:tcW w:w="174" w:type="dxa"/>
            <w:gridSpan w:val="2"/>
          </w:tcPr>
          <w:p w14:paraId="08451F4E" w14:textId="77777777" w:rsidR="003D0C75" w:rsidRPr="004423D0" w:rsidRDefault="003D0C75" w:rsidP="00B30E00">
            <w:pPr>
              <w:pStyle w:val="Normalgrey"/>
            </w:pPr>
          </w:p>
        </w:tc>
        <w:tc>
          <w:tcPr>
            <w:tcW w:w="630" w:type="dxa"/>
            <w:gridSpan w:val="2"/>
          </w:tcPr>
          <w:p w14:paraId="5ECEB1AD" w14:textId="4C654B76" w:rsidR="003D0C75" w:rsidRPr="004423D0" w:rsidRDefault="003D0C75" w:rsidP="00B30E00">
            <w:pPr>
              <w:pStyle w:val="Normalgrey"/>
            </w:pPr>
          </w:p>
        </w:tc>
        <w:tc>
          <w:tcPr>
            <w:tcW w:w="6067" w:type="dxa"/>
            <w:gridSpan w:val="3"/>
          </w:tcPr>
          <w:p w14:paraId="3A83187C" w14:textId="5D96A487" w:rsidR="003D0C75" w:rsidRPr="004423D0" w:rsidRDefault="007B066C" w:rsidP="00C34CC9">
            <w:pPr>
              <w:pStyle w:val="Normalgrey"/>
            </w:pPr>
            <w:r w:rsidRPr="004423D0">
              <w:t>W1 –</w:t>
            </w:r>
            <w:r w:rsidR="0060420A" w:rsidRPr="004423D0">
              <w:t xml:space="preserve"> Total units of metered water consumed by water source (kilolitres)</w:t>
            </w:r>
          </w:p>
        </w:tc>
      </w:tr>
      <w:tr w:rsidR="003D0C75" w:rsidRPr="004423D0" w14:paraId="001C075C" w14:textId="77777777" w:rsidTr="00566D86">
        <w:tc>
          <w:tcPr>
            <w:tcW w:w="2270" w:type="dxa"/>
            <w:gridSpan w:val="2"/>
          </w:tcPr>
          <w:p w14:paraId="6204A840" w14:textId="77777777" w:rsidR="003D0C75" w:rsidRPr="004423D0" w:rsidRDefault="003D0C75" w:rsidP="00B30E00">
            <w:pPr>
              <w:pStyle w:val="Normalbold"/>
            </w:pPr>
          </w:p>
        </w:tc>
        <w:tc>
          <w:tcPr>
            <w:tcW w:w="174" w:type="dxa"/>
            <w:gridSpan w:val="2"/>
          </w:tcPr>
          <w:p w14:paraId="67B78154" w14:textId="77777777" w:rsidR="003D0C75" w:rsidRPr="004423D0" w:rsidRDefault="003D0C75" w:rsidP="00B30E00">
            <w:pPr>
              <w:pStyle w:val="Normalgrey"/>
            </w:pPr>
          </w:p>
        </w:tc>
        <w:tc>
          <w:tcPr>
            <w:tcW w:w="630" w:type="dxa"/>
            <w:gridSpan w:val="2"/>
          </w:tcPr>
          <w:p w14:paraId="05E96ACE" w14:textId="566B95A1" w:rsidR="003D0C75" w:rsidRPr="004423D0" w:rsidRDefault="00D86C10" w:rsidP="00B30E00">
            <w:pPr>
              <w:pStyle w:val="Normalgrey"/>
            </w:pPr>
            <w:r w:rsidRPr="004423D0">
              <w:t>11</w:t>
            </w:r>
            <w:r w:rsidR="0060420A" w:rsidRPr="004423D0">
              <w:t>.2</w:t>
            </w:r>
          </w:p>
        </w:tc>
        <w:tc>
          <w:tcPr>
            <w:tcW w:w="6067" w:type="dxa"/>
            <w:gridSpan w:val="3"/>
          </w:tcPr>
          <w:p w14:paraId="66B31AE7" w14:textId="5D4292D9" w:rsidR="003D0C75" w:rsidRPr="004423D0" w:rsidRDefault="007B066C" w:rsidP="00C34CC9">
            <w:pPr>
              <w:pStyle w:val="Normalgrey"/>
            </w:pPr>
            <w:r w:rsidRPr="004423D0">
              <w:t>W2 –</w:t>
            </w:r>
            <w:r w:rsidR="000200AC" w:rsidRPr="004423D0">
              <w:t xml:space="preserve"> Units of metered water consumed normalised by FTE, headcount, floor area, or other entity or sector specific quantity</w:t>
            </w:r>
          </w:p>
        </w:tc>
      </w:tr>
      <w:tr w:rsidR="003D0C75" w:rsidRPr="004423D0" w14:paraId="47A64954" w14:textId="77777777" w:rsidTr="00566D86">
        <w:tc>
          <w:tcPr>
            <w:tcW w:w="2270" w:type="dxa"/>
            <w:gridSpan w:val="2"/>
          </w:tcPr>
          <w:p w14:paraId="343B34AA" w14:textId="77777777" w:rsidR="003D0C75" w:rsidRPr="004423D0" w:rsidRDefault="003D0C75" w:rsidP="00B30E00">
            <w:pPr>
              <w:pStyle w:val="Normalbold"/>
            </w:pPr>
          </w:p>
        </w:tc>
        <w:tc>
          <w:tcPr>
            <w:tcW w:w="174" w:type="dxa"/>
            <w:gridSpan w:val="2"/>
          </w:tcPr>
          <w:p w14:paraId="5E6025C3" w14:textId="77777777" w:rsidR="003D0C75" w:rsidRPr="004423D0" w:rsidRDefault="003D0C75" w:rsidP="00B30E00">
            <w:pPr>
              <w:pStyle w:val="Normalgrey"/>
            </w:pPr>
          </w:p>
        </w:tc>
        <w:tc>
          <w:tcPr>
            <w:tcW w:w="630" w:type="dxa"/>
            <w:gridSpan w:val="2"/>
          </w:tcPr>
          <w:p w14:paraId="29959909" w14:textId="58D96BB9" w:rsidR="003D0C75" w:rsidRPr="004423D0" w:rsidRDefault="000200AC" w:rsidP="00B30E00">
            <w:pPr>
              <w:pStyle w:val="Normalgrey"/>
            </w:pPr>
            <w:r w:rsidRPr="004423D0">
              <w:t>1</w:t>
            </w:r>
            <w:r w:rsidR="00D86C10" w:rsidRPr="004423D0">
              <w:t>2</w:t>
            </w:r>
            <w:r w:rsidR="00AB1404">
              <w:t>.1</w:t>
            </w:r>
          </w:p>
        </w:tc>
        <w:tc>
          <w:tcPr>
            <w:tcW w:w="6067" w:type="dxa"/>
            <w:gridSpan w:val="3"/>
          </w:tcPr>
          <w:p w14:paraId="6B1CB706" w14:textId="328A7AC0" w:rsidR="003D0C75" w:rsidRPr="004423D0" w:rsidRDefault="000D5D4C" w:rsidP="00B30E00">
            <w:pPr>
              <w:pStyle w:val="Normalbold"/>
              <w:rPr>
                <w:rFonts w:ascii="Arial" w:eastAsia="Arial" w:hAnsi="Arial" w:cs="Calibri"/>
              </w:rPr>
            </w:pPr>
            <w:r w:rsidRPr="00273A66">
              <w:rPr>
                <w:color w:val="4D4D4D"/>
              </w:rPr>
              <w:t>Waste and recycling</w:t>
            </w:r>
          </w:p>
        </w:tc>
      </w:tr>
      <w:tr w:rsidR="003D0C75" w:rsidRPr="004423D0" w14:paraId="4FE80E20" w14:textId="77777777" w:rsidTr="00566D86">
        <w:tc>
          <w:tcPr>
            <w:tcW w:w="2270" w:type="dxa"/>
            <w:gridSpan w:val="2"/>
          </w:tcPr>
          <w:p w14:paraId="260D0575" w14:textId="77777777" w:rsidR="003D0C75" w:rsidRPr="004423D0" w:rsidRDefault="003D0C75" w:rsidP="00B30E00">
            <w:pPr>
              <w:pStyle w:val="Normalbold"/>
            </w:pPr>
          </w:p>
        </w:tc>
        <w:tc>
          <w:tcPr>
            <w:tcW w:w="174" w:type="dxa"/>
            <w:gridSpan w:val="2"/>
          </w:tcPr>
          <w:p w14:paraId="5C972E19" w14:textId="77777777" w:rsidR="003D0C75" w:rsidRPr="004423D0" w:rsidRDefault="003D0C75" w:rsidP="00B30E00">
            <w:pPr>
              <w:pStyle w:val="Normalgrey"/>
            </w:pPr>
          </w:p>
        </w:tc>
        <w:tc>
          <w:tcPr>
            <w:tcW w:w="630" w:type="dxa"/>
            <w:gridSpan w:val="2"/>
          </w:tcPr>
          <w:p w14:paraId="2ED051B2" w14:textId="5AA4DA6C" w:rsidR="003D0C75" w:rsidRPr="004423D0" w:rsidRDefault="003D0C75" w:rsidP="00B30E00">
            <w:pPr>
              <w:pStyle w:val="Normalgrey"/>
            </w:pPr>
          </w:p>
        </w:tc>
        <w:tc>
          <w:tcPr>
            <w:tcW w:w="6067" w:type="dxa"/>
            <w:gridSpan w:val="3"/>
          </w:tcPr>
          <w:p w14:paraId="5447B255" w14:textId="5714044D" w:rsidR="00D6062B" w:rsidRPr="004423D0" w:rsidRDefault="00FC34D7" w:rsidP="00C34CC9">
            <w:pPr>
              <w:pStyle w:val="Normalgrey"/>
            </w:pPr>
            <w:r w:rsidRPr="004423D0">
              <w:t xml:space="preserve">WR1 – </w:t>
            </w:r>
            <w:r w:rsidR="00D6062B" w:rsidRPr="004423D0">
              <w:t xml:space="preserve">Total units of waste disposed of by disposal method (kg and </w:t>
            </w:r>
            <w:r w:rsidR="00EE3BBF" w:rsidRPr="004423D0">
              <w:t xml:space="preserve">percentage </w:t>
            </w:r>
            <w:r w:rsidR="00D6062B" w:rsidRPr="004423D0">
              <w:t>of total) for the following material types/stream</w:t>
            </w:r>
          </w:p>
          <w:p w14:paraId="319310CD" w14:textId="4A8B123E" w:rsidR="00D6062B" w:rsidRPr="004423D0" w:rsidRDefault="00D6062B" w:rsidP="00C34CC9">
            <w:pPr>
              <w:pStyle w:val="Bullet1grey"/>
            </w:pPr>
            <w:r w:rsidRPr="004423D0">
              <w:t>landfill</w:t>
            </w:r>
          </w:p>
          <w:p w14:paraId="71F85E1D" w14:textId="76F28F2E" w:rsidR="00D6062B" w:rsidRPr="004423D0" w:rsidRDefault="00D6062B" w:rsidP="00C34CC9">
            <w:pPr>
              <w:pStyle w:val="Bullet1grey"/>
            </w:pPr>
            <w:r w:rsidRPr="004423D0">
              <w:t>food organics and garden organics (where applicable)</w:t>
            </w:r>
          </w:p>
          <w:p w14:paraId="603F6FFA" w14:textId="0E486B3D" w:rsidR="00D6062B" w:rsidRPr="004423D0" w:rsidRDefault="00D6062B" w:rsidP="00C34CC9">
            <w:pPr>
              <w:pStyle w:val="Bullet1grey"/>
            </w:pPr>
            <w:r w:rsidRPr="004423D0">
              <w:t>recyclables (separated into relevant streams or comingled)</w:t>
            </w:r>
          </w:p>
          <w:p w14:paraId="08DAE0A0" w14:textId="02A932CF" w:rsidR="003D0C75" w:rsidRPr="004423D0" w:rsidRDefault="00D6062B" w:rsidP="00C34CC9">
            <w:pPr>
              <w:pStyle w:val="Bullet1grey"/>
              <w:rPr>
                <w:b/>
                <w:bCs/>
              </w:rPr>
            </w:pPr>
            <w:r w:rsidRPr="004423D0">
              <w:t>Any other large sector specific waste stream</w:t>
            </w:r>
          </w:p>
        </w:tc>
      </w:tr>
      <w:tr w:rsidR="00B366FA" w:rsidRPr="004423D0" w14:paraId="7957D9E3" w14:textId="77777777" w:rsidTr="00566D86">
        <w:tc>
          <w:tcPr>
            <w:tcW w:w="2270" w:type="dxa"/>
            <w:gridSpan w:val="2"/>
          </w:tcPr>
          <w:p w14:paraId="02A02320" w14:textId="77777777" w:rsidR="00B366FA" w:rsidRPr="004423D0" w:rsidRDefault="00B366FA" w:rsidP="00B30E00">
            <w:pPr>
              <w:pStyle w:val="Normalbold"/>
            </w:pPr>
          </w:p>
        </w:tc>
        <w:tc>
          <w:tcPr>
            <w:tcW w:w="174" w:type="dxa"/>
            <w:gridSpan w:val="2"/>
          </w:tcPr>
          <w:p w14:paraId="547044A3" w14:textId="77777777" w:rsidR="00B366FA" w:rsidRPr="004423D0" w:rsidRDefault="00B366FA" w:rsidP="00B30E00">
            <w:pPr>
              <w:pStyle w:val="Normalgrey"/>
            </w:pPr>
          </w:p>
        </w:tc>
        <w:tc>
          <w:tcPr>
            <w:tcW w:w="630" w:type="dxa"/>
            <w:gridSpan w:val="2"/>
          </w:tcPr>
          <w:p w14:paraId="7205FC07" w14:textId="5B75A3F1" w:rsidR="00B366FA" w:rsidRPr="004423D0" w:rsidRDefault="00B366FA" w:rsidP="00B30E00">
            <w:pPr>
              <w:pStyle w:val="Normalgrey"/>
            </w:pPr>
            <w:r w:rsidRPr="004423D0">
              <w:t>1</w:t>
            </w:r>
            <w:r w:rsidR="00D86C10" w:rsidRPr="004423D0">
              <w:t>2</w:t>
            </w:r>
            <w:r w:rsidRPr="004423D0">
              <w:t>.2</w:t>
            </w:r>
          </w:p>
        </w:tc>
        <w:tc>
          <w:tcPr>
            <w:tcW w:w="6067" w:type="dxa"/>
            <w:gridSpan w:val="3"/>
          </w:tcPr>
          <w:p w14:paraId="751E6870" w14:textId="35F5E633" w:rsidR="005A5F26" w:rsidRPr="004423D0" w:rsidRDefault="00890F93" w:rsidP="00C34CC9">
            <w:pPr>
              <w:pStyle w:val="Normalgrey"/>
            </w:pPr>
            <w:r w:rsidRPr="004423D0">
              <w:t>WR2 –</w:t>
            </w:r>
            <w:r w:rsidR="005A5F26" w:rsidRPr="004423D0">
              <w:t xml:space="preserve"> Dedicated collection services provided in offices (as </w:t>
            </w:r>
            <w:r w:rsidR="00A41000" w:rsidRPr="004423D0">
              <w:t>percentage</w:t>
            </w:r>
            <w:r w:rsidR="005A5F26" w:rsidRPr="004423D0">
              <w:t xml:space="preserve"> of total office locations) for:</w:t>
            </w:r>
          </w:p>
          <w:p w14:paraId="2A99959D" w14:textId="264F728C" w:rsidR="005A5F26" w:rsidRPr="004423D0" w:rsidRDefault="005A5F26" w:rsidP="00C34CC9">
            <w:pPr>
              <w:pStyle w:val="Bullet1grey"/>
            </w:pPr>
            <w:r w:rsidRPr="004423D0">
              <w:t>e-waste</w:t>
            </w:r>
          </w:p>
          <w:p w14:paraId="610D6480" w14:textId="7D6EEDB8" w:rsidR="005A5F26" w:rsidRPr="004423D0" w:rsidRDefault="005A5F26" w:rsidP="00C34CC9">
            <w:pPr>
              <w:pStyle w:val="Bullet1grey"/>
            </w:pPr>
            <w:r w:rsidRPr="004423D0">
              <w:t>printer cartridges</w:t>
            </w:r>
          </w:p>
          <w:p w14:paraId="59D572BE" w14:textId="4CC77C7A" w:rsidR="005A5F26" w:rsidRPr="004423D0" w:rsidRDefault="005A5F26" w:rsidP="00C34CC9">
            <w:pPr>
              <w:pStyle w:val="Bullet1grey"/>
            </w:pPr>
            <w:r w:rsidRPr="004423D0">
              <w:t>batteries</w:t>
            </w:r>
          </w:p>
          <w:p w14:paraId="6AA28F14" w14:textId="7B2E114A" w:rsidR="00B366FA" w:rsidRPr="004423D0" w:rsidRDefault="005A5F26" w:rsidP="00C34CC9">
            <w:pPr>
              <w:pStyle w:val="Bullet1grey"/>
              <w:rPr>
                <w:rFonts w:ascii="Arial" w:eastAsia="Arial" w:hAnsi="Arial"/>
                <w:bCs/>
              </w:rPr>
            </w:pPr>
            <w:r w:rsidRPr="004423D0">
              <w:t>soft plastics</w:t>
            </w:r>
          </w:p>
        </w:tc>
      </w:tr>
      <w:tr w:rsidR="00B366FA" w:rsidRPr="004423D0" w14:paraId="075CD16B" w14:textId="77777777" w:rsidTr="00566D86">
        <w:tc>
          <w:tcPr>
            <w:tcW w:w="2270" w:type="dxa"/>
            <w:gridSpan w:val="2"/>
          </w:tcPr>
          <w:p w14:paraId="0C3D4598" w14:textId="77777777" w:rsidR="00B366FA" w:rsidRPr="004423D0" w:rsidRDefault="00B366FA" w:rsidP="00B30E00">
            <w:pPr>
              <w:pStyle w:val="Normalbold"/>
            </w:pPr>
          </w:p>
        </w:tc>
        <w:tc>
          <w:tcPr>
            <w:tcW w:w="174" w:type="dxa"/>
            <w:gridSpan w:val="2"/>
          </w:tcPr>
          <w:p w14:paraId="25A389F9" w14:textId="77777777" w:rsidR="00B366FA" w:rsidRPr="004423D0" w:rsidRDefault="00B366FA" w:rsidP="00B30E00">
            <w:pPr>
              <w:pStyle w:val="Normalgrey"/>
            </w:pPr>
          </w:p>
        </w:tc>
        <w:tc>
          <w:tcPr>
            <w:tcW w:w="630" w:type="dxa"/>
            <w:gridSpan w:val="2"/>
          </w:tcPr>
          <w:p w14:paraId="0DF0E050" w14:textId="6D6802F9" w:rsidR="00B366FA" w:rsidRPr="004423D0" w:rsidRDefault="00B366FA" w:rsidP="00B30E00">
            <w:pPr>
              <w:pStyle w:val="Normalgrey"/>
            </w:pPr>
            <w:r w:rsidRPr="004423D0">
              <w:t>1</w:t>
            </w:r>
            <w:r w:rsidR="00D86C10" w:rsidRPr="004423D0">
              <w:t>2</w:t>
            </w:r>
            <w:r w:rsidRPr="004423D0">
              <w:t>.3</w:t>
            </w:r>
          </w:p>
        </w:tc>
        <w:tc>
          <w:tcPr>
            <w:tcW w:w="6067" w:type="dxa"/>
            <w:gridSpan w:val="3"/>
          </w:tcPr>
          <w:p w14:paraId="6CDA2225" w14:textId="2F32B99E" w:rsidR="00B366FA" w:rsidRPr="004423D0" w:rsidRDefault="005A5F26" w:rsidP="00C34CC9">
            <w:pPr>
              <w:pStyle w:val="Normalgrey"/>
              <w:rPr>
                <w:rFonts w:ascii="Arial" w:eastAsia="Arial" w:hAnsi="Arial" w:cs="Calibri"/>
                <w:bCs/>
              </w:rPr>
            </w:pPr>
            <w:r w:rsidRPr="004423D0">
              <w:t>WR3 –</w:t>
            </w:r>
            <w:r w:rsidR="006E77FD" w:rsidRPr="004423D0">
              <w:t xml:space="preserve"> Total units of waste disposed normalised by FTE, headcount, floor area, or other entity or sector specific quantity, by disposal method</w:t>
            </w:r>
          </w:p>
        </w:tc>
      </w:tr>
      <w:tr w:rsidR="00B366FA" w:rsidRPr="004423D0" w14:paraId="1C46AF12" w14:textId="77777777" w:rsidTr="00566D86">
        <w:tc>
          <w:tcPr>
            <w:tcW w:w="2270" w:type="dxa"/>
            <w:gridSpan w:val="2"/>
          </w:tcPr>
          <w:p w14:paraId="4DC25D8F" w14:textId="77777777" w:rsidR="00B366FA" w:rsidRPr="004423D0" w:rsidRDefault="00B366FA" w:rsidP="00B30E00">
            <w:pPr>
              <w:pStyle w:val="Normalbold"/>
            </w:pPr>
          </w:p>
        </w:tc>
        <w:tc>
          <w:tcPr>
            <w:tcW w:w="174" w:type="dxa"/>
            <w:gridSpan w:val="2"/>
          </w:tcPr>
          <w:p w14:paraId="348C2253" w14:textId="77777777" w:rsidR="00B366FA" w:rsidRPr="004423D0" w:rsidRDefault="00B366FA" w:rsidP="00B30E00">
            <w:pPr>
              <w:pStyle w:val="Normalgrey"/>
            </w:pPr>
          </w:p>
        </w:tc>
        <w:tc>
          <w:tcPr>
            <w:tcW w:w="630" w:type="dxa"/>
            <w:gridSpan w:val="2"/>
          </w:tcPr>
          <w:p w14:paraId="7F0D88CA" w14:textId="03FA70AC" w:rsidR="00B366FA" w:rsidRPr="004423D0" w:rsidRDefault="00B366FA" w:rsidP="00B30E00">
            <w:pPr>
              <w:pStyle w:val="Normalgrey"/>
            </w:pPr>
            <w:r w:rsidRPr="004423D0">
              <w:t>1</w:t>
            </w:r>
            <w:r w:rsidR="00D86C10" w:rsidRPr="004423D0">
              <w:t>2</w:t>
            </w:r>
            <w:r w:rsidRPr="004423D0">
              <w:t>.4</w:t>
            </w:r>
          </w:p>
        </w:tc>
        <w:tc>
          <w:tcPr>
            <w:tcW w:w="6067" w:type="dxa"/>
            <w:gridSpan w:val="3"/>
          </w:tcPr>
          <w:p w14:paraId="4545A7E4" w14:textId="358CFF68" w:rsidR="00B366FA" w:rsidRPr="004423D0" w:rsidRDefault="005A5F26" w:rsidP="00C34CC9">
            <w:pPr>
              <w:pStyle w:val="Normalgrey"/>
            </w:pPr>
            <w:r w:rsidRPr="004423D0">
              <w:t>WR4 –</w:t>
            </w:r>
            <w:r w:rsidR="00614903" w:rsidRPr="004423D0">
              <w:t xml:space="preserve"> Recycling rate </w:t>
            </w:r>
            <w:r w:rsidR="00A41000" w:rsidRPr="004423D0">
              <w:t xml:space="preserve">(percentage </w:t>
            </w:r>
            <w:r w:rsidR="00614903" w:rsidRPr="004423D0">
              <w:t>of total waste by weight)</w:t>
            </w:r>
          </w:p>
        </w:tc>
      </w:tr>
      <w:tr w:rsidR="00B366FA" w:rsidRPr="004423D0" w14:paraId="57CAEB9D" w14:textId="77777777" w:rsidTr="00566D86">
        <w:tc>
          <w:tcPr>
            <w:tcW w:w="2270" w:type="dxa"/>
            <w:gridSpan w:val="2"/>
          </w:tcPr>
          <w:p w14:paraId="753F9428" w14:textId="77777777" w:rsidR="00B366FA" w:rsidRPr="004423D0" w:rsidRDefault="00B366FA" w:rsidP="00B30E00">
            <w:pPr>
              <w:pStyle w:val="Normalbold"/>
            </w:pPr>
          </w:p>
        </w:tc>
        <w:tc>
          <w:tcPr>
            <w:tcW w:w="174" w:type="dxa"/>
            <w:gridSpan w:val="2"/>
          </w:tcPr>
          <w:p w14:paraId="2323A60A" w14:textId="77777777" w:rsidR="00B366FA" w:rsidRPr="004423D0" w:rsidRDefault="00B366FA" w:rsidP="00B30E00">
            <w:pPr>
              <w:pStyle w:val="Normalgrey"/>
            </w:pPr>
          </w:p>
        </w:tc>
        <w:tc>
          <w:tcPr>
            <w:tcW w:w="630" w:type="dxa"/>
            <w:gridSpan w:val="2"/>
          </w:tcPr>
          <w:p w14:paraId="29A58981" w14:textId="50F2FE4A" w:rsidR="00B366FA" w:rsidRPr="004423D0" w:rsidRDefault="00B366FA" w:rsidP="00B30E00">
            <w:pPr>
              <w:pStyle w:val="Normalgrey"/>
            </w:pPr>
            <w:r w:rsidRPr="004423D0">
              <w:t>1</w:t>
            </w:r>
            <w:r w:rsidR="00D86C10" w:rsidRPr="004423D0">
              <w:t>2</w:t>
            </w:r>
            <w:r w:rsidRPr="004423D0">
              <w:t>.</w:t>
            </w:r>
            <w:r w:rsidR="00CC04E8" w:rsidRPr="004423D0">
              <w:t>5</w:t>
            </w:r>
          </w:p>
        </w:tc>
        <w:tc>
          <w:tcPr>
            <w:tcW w:w="6067" w:type="dxa"/>
            <w:gridSpan w:val="3"/>
          </w:tcPr>
          <w:p w14:paraId="4E98D25C" w14:textId="6BDD8067" w:rsidR="00B366FA" w:rsidRPr="004423D0" w:rsidRDefault="005A5F26" w:rsidP="00C34CC9">
            <w:pPr>
              <w:pStyle w:val="Normalgrey"/>
            </w:pPr>
            <w:r w:rsidRPr="004423D0">
              <w:t>WR5 –</w:t>
            </w:r>
            <w:r w:rsidR="00D2379B" w:rsidRPr="004423D0">
              <w:t xml:space="preserve"> Greenhouse gas emissions associated with waste disposal (tonnes CO2-e)</w:t>
            </w:r>
          </w:p>
        </w:tc>
      </w:tr>
      <w:tr w:rsidR="00B366FA" w:rsidRPr="004423D0" w:rsidDel="00C673B6" w14:paraId="4C47BCD1" w14:textId="703F3E27" w:rsidTr="00566D86">
        <w:tc>
          <w:tcPr>
            <w:tcW w:w="2270" w:type="dxa"/>
            <w:gridSpan w:val="2"/>
          </w:tcPr>
          <w:p w14:paraId="59677399" w14:textId="67C7AA03" w:rsidR="00B366FA" w:rsidRPr="004423D0" w:rsidDel="00C673B6" w:rsidRDefault="00B366FA" w:rsidP="00B30E00">
            <w:pPr>
              <w:pStyle w:val="Normalbold"/>
            </w:pPr>
          </w:p>
        </w:tc>
        <w:tc>
          <w:tcPr>
            <w:tcW w:w="174" w:type="dxa"/>
            <w:gridSpan w:val="2"/>
          </w:tcPr>
          <w:p w14:paraId="70CA8BDF" w14:textId="71D21D03" w:rsidR="00B366FA" w:rsidRPr="004423D0" w:rsidDel="00C673B6" w:rsidRDefault="00B366FA" w:rsidP="00B30E00">
            <w:pPr>
              <w:pStyle w:val="Normalgrey"/>
            </w:pPr>
          </w:p>
        </w:tc>
        <w:tc>
          <w:tcPr>
            <w:tcW w:w="630" w:type="dxa"/>
            <w:gridSpan w:val="2"/>
          </w:tcPr>
          <w:p w14:paraId="2564DB4E" w14:textId="7F0EE5E3" w:rsidR="00B366FA" w:rsidRPr="004423D0" w:rsidDel="00C673B6" w:rsidRDefault="00CC04E8" w:rsidP="00B30E00">
            <w:pPr>
              <w:pStyle w:val="Normalgrey"/>
            </w:pPr>
            <w:r w:rsidRPr="004423D0">
              <w:t>1</w:t>
            </w:r>
            <w:r w:rsidR="00D86C10" w:rsidRPr="004423D0">
              <w:t>2</w:t>
            </w:r>
            <w:r w:rsidRPr="004423D0" w:rsidDel="00C673B6">
              <w:t>.6</w:t>
            </w:r>
          </w:p>
        </w:tc>
        <w:tc>
          <w:tcPr>
            <w:tcW w:w="6067" w:type="dxa"/>
            <w:gridSpan w:val="3"/>
          </w:tcPr>
          <w:p w14:paraId="009FDC60" w14:textId="103C043B" w:rsidR="00EE4B2B" w:rsidRPr="004423D0" w:rsidDel="00C673B6" w:rsidRDefault="00EE4B2B" w:rsidP="00273A66">
            <w:pPr>
              <w:pStyle w:val="NormalIndentgrey"/>
              <w:ind w:left="0"/>
            </w:pPr>
            <w:r w:rsidRPr="004423D0" w:rsidDel="00C673B6">
              <w:t>Optional waste and recycling indicator:</w:t>
            </w:r>
          </w:p>
          <w:p w14:paraId="293E0B64" w14:textId="658BC426" w:rsidR="00B366FA" w:rsidRPr="004423D0" w:rsidDel="00C673B6" w:rsidRDefault="00EE4B2B" w:rsidP="00EE4B2B">
            <w:pPr>
              <w:pStyle w:val="Bullet1grey"/>
              <w:rPr>
                <w:rFonts w:ascii="Arial" w:eastAsia="Arial" w:hAnsi="Arial"/>
                <w:bCs/>
              </w:rPr>
            </w:pPr>
            <w:r w:rsidRPr="004423D0" w:rsidDel="00C673B6">
              <w:t xml:space="preserve">Contamination of standard bin contents </w:t>
            </w:r>
            <w:r w:rsidRPr="004423D0">
              <w:t>(</w:t>
            </w:r>
            <w:r w:rsidR="003B436D" w:rsidRPr="004423D0">
              <w:t>percentage</w:t>
            </w:r>
            <w:r w:rsidRPr="004423D0">
              <w:t>)</w:t>
            </w:r>
          </w:p>
        </w:tc>
      </w:tr>
      <w:tr w:rsidR="003D0C75" w:rsidRPr="004423D0" w14:paraId="267F82A0" w14:textId="77777777" w:rsidTr="00566D86">
        <w:tc>
          <w:tcPr>
            <w:tcW w:w="2270" w:type="dxa"/>
            <w:gridSpan w:val="2"/>
          </w:tcPr>
          <w:p w14:paraId="4703B831" w14:textId="77777777" w:rsidR="003D0C75" w:rsidRPr="004423D0" w:rsidRDefault="003D0C75" w:rsidP="00B30E00">
            <w:pPr>
              <w:pStyle w:val="Normalbold"/>
            </w:pPr>
          </w:p>
        </w:tc>
        <w:tc>
          <w:tcPr>
            <w:tcW w:w="174" w:type="dxa"/>
            <w:gridSpan w:val="2"/>
          </w:tcPr>
          <w:p w14:paraId="74BE0657" w14:textId="77777777" w:rsidR="003D0C75" w:rsidRPr="004423D0" w:rsidRDefault="003D0C75" w:rsidP="00B30E00">
            <w:pPr>
              <w:pStyle w:val="Normalgrey"/>
            </w:pPr>
          </w:p>
        </w:tc>
        <w:tc>
          <w:tcPr>
            <w:tcW w:w="630" w:type="dxa"/>
            <w:gridSpan w:val="2"/>
          </w:tcPr>
          <w:p w14:paraId="39062FF1" w14:textId="711F3B3A" w:rsidR="003D0C75" w:rsidRPr="004423D0" w:rsidRDefault="00EE4B2B" w:rsidP="00B30E00">
            <w:pPr>
              <w:pStyle w:val="Normalgrey"/>
            </w:pPr>
            <w:r w:rsidRPr="004423D0">
              <w:t>1</w:t>
            </w:r>
            <w:r w:rsidR="00D86C10" w:rsidRPr="004423D0">
              <w:t>3</w:t>
            </w:r>
            <w:r w:rsidR="00AB1404">
              <w:t>.1</w:t>
            </w:r>
          </w:p>
        </w:tc>
        <w:tc>
          <w:tcPr>
            <w:tcW w:w="6067" w:type="dxa"/>
            <w:gridSpan w:val="3"/>
          </w:tcPr>
          <w:p w14:paraId="3D69FF9A" w14:textId="78EA50AB" w:rsidR="003D0C75" w:rsidRPr="004423D0" w:rsidRDefault="00A433E3" w:rsidP="00B30E00">
            <w:pPr>
              <w:pStyle w:val="Normalbold"/>
              <w:rPr>
                <w:rFonts w:ascii="Arial" w:eastAsia="Arial" w:hAnsi="Arial" w:cs="Calibri"/>
              </w:rPr>
            </w:pPr>
            <w:r w:rsidRPr="00273A66">
              <w:rPr>
                <w:color w:val="4D4D4D"/>
              </w:rPr>
              <w:t>Greenhouse gas emissions</w:t>
            </w:r>
          </w:p>
        </w:tc>
      </w:tr>
      <w:tr w:rsidR="00A433E3" w:rsidRPr="004423D0" w14:paraId="3092FB1C" w14:textId="77777777" w:rsidTr="00566D86">
        <w:tc>
          <w:tcPr>
            <w:tcW w:w="2270" w:type="dxa"/>
            <w:gridSpan w:val="2"/>
          </w:tcPr>
          <w:p w14:paraId="68E18F57" w14:textId="77777777" w:rsidR="00A433E3" w:rsidRPr="004423D0" w:rsidRDefault="00A433E3" w:rsidP="00B30E00">
            <w:pPr>
              <w:pStyle w:val="Normalbold"/>
            </w:pPr>
          </w:p>
        </w:tc>
        <w:tc>
          <w:tcPr>
            <w:tcW w:w="174" w:type="dxa"/>
            <w:gridSpan w:val="2"/>
          </w:tcPr>
          <w:p w14:paraId="3044F3BE" w14:textId="77777777" w:rsidR="00A433E3" w:rsidRPr="004423D0" w:rsidRDefault="00A433E3" w:rsidP="00B30E00">
            <w:pPr>
              <w:pStyle w:val="Normalgrey"/>
            </w:pPr>
          </w:p>
        </w:tc>
        <w:tc>
          <w:tcPr>
            <w:tcW w:w="630" w:type="dxa"/>
            <w:gridSpan w:val="2"/>
          </w:tcPr>
          <w:p w14:paraId="60479285" w14:textId="43B5FDEF" w:rsidR="00A433E3" w:rsidRPr="004423D0" w:rsidRDefault="00A433E3" w:rsidP="00B30E00">
            <w:pPr>
              <w:pStyle w:val="Normalgrey"/>
            </w:pPr>
          </w:p>
        </w:tc>
        <w:tc>
          <w:tcPr>
            <w:tcW w:w="6067" w:type="dxa"/>
            <w:gridSpan w:val="3"/>
          </w:tcPr>
          <w:p w14:paraId="34CCD1A2" w14:textId="0E411999" w:rsidR="00A433E3" w:rsidRPr="004423D0" w:rsidRDefault="00961C27" w:rsidP="00C34CC9">
            <w:pPr>
              <w:pStyle w:val="Normalgrey"/>
            </w:pPr>
            <w:r w:rsidRPr="004423D0">
              <w:t>G1 –</w:t>
            </w:r>
            <w:r w:rsidR="00987667" w:rsidRPr="004423D0">
              <w:t xml:space="preserve"> Total </w:t>
            </w:r>
            <w:r w:rsidR="00B14914" w:rsidRPr="004423D0">
              <w:t>S</w:t>
            </w:r>
            <w:r w:rsidR="00987667" w:rsidRPr="004423D0">
              <w:t xml:space="preserve">cope </w:t>
            </w:r>
            <w:r w:rsidR="00B14914" w:rsidRPr="004423D0">
              <w:t>O</w:t>
            </w:r>
            <w:r w:rsidR="00987667" w:rsidRPr="004423D0">
              <w:t>ne (direct) greenhouse gas emissions (tonnes CO2, CH4, N2O, other and CO2</w:t>
            </w:r>
            <w:r w:rsidR="00987667" w:rsidRPr="004423D0">
              <w:noBreakHyphen/>
              <w:t>e)</w:t>
            </w:r>
          </w:p>
        </w:tc>
      </w:tr>
      <w:tr w:rsidR="00A433E3" w:rsidRPr="004423D0" w14:paraId="5D6400D8" w14:textId="77777777" w:rsidTr="00566D86">
        <w:tc>
          <w:tcPr>
            <w:tcW w:w="2270" w:type="dxa"/>
            <w:gridSpan w:val="2"/>
          </w:tcPr>
          <w:p w14:paraId="35F3900F" w14:textId="77777777" w:rsidR="00A433E3" w:rsidRPr="004423D0" w:rsidRDefault="00A433E3" w:rsidP="00B30E00">
            <w:pPr>
              <w:pStyle w:val="Normalbold"/>
            </w:pPr>
          </w:p>
        </w:tc>
        <w:tc>
          <w:tcPr>
            <w:tcW w:w="174" w:type="dxa"/>
            <w:gridSpan w:val="2"/>
          </w:tcPr>
          <w:p w14:paraId="5BEA4E3D" w14:textId="77777777" w:rsidR="00A433E3" w:rsidRPr="004423D0" w:rsidRDefault="00A433E3" w:rsidP="00B30E00">
            <w:pPr>
              <w:pStyle w:val="Normalgrey"/>
            </w:pPr>
          </w:p>
        </w:tc>
        <w:tc>
          <w:tcPr>
            <w:tcW w:w="630" w:type="dxa"/>
            <w:gridSpan w:val="2"/>
          </w:tcPr>
          <w:p w14:paraId="46C85C3E" w14:textId="6DACBEEA" w:rsidR="00A433E3" w:rsidRPr="004423D0" w:rsidRDefault="00213421" w:rsidP="00B30E00">
            <w:pPr>
              <w:pStyle w:val="Normalgrey"/>
            </w:pPr>
            <w:r w:rsidRPr="004423D0">
              <w:t>1</w:t>
            </w:r>
            <w:r w:rsidR="008C4061" w:rsidRPr="004423D0">
              <w:t>3</w:t>
            </w:r>
            <w:r w:rsidRPr="004423D0">
              <w:t>.2</w:t>
            </w:r>
          </w:p>
        </w:tc>
        <w:tc>
          <w:tcPr>
            <w:tcW w:w="6067" w:type="dxa"/>
            <w:gridSpan w:val="3"/>
          </w:tcPr>
          <w:p w14:paraId="0F878773" w14:textId="2883AE9B" w:rsidR="00A433E3" w:rsidRPr="004423D0" w:rsidRDefault="00961C27" w:rsidP="00C34CC9">
            <w:pPr>
              <w:pStyle w:val="Normalgrey"/>
            </w:pPr>
            <w:r w:rsidRPr="004423D0">
              <w:t>G2 –</w:t>
            </w:r>
            <w:r w:rsidR="008304BA" w:rsidRPr="004423D0">
              <w:t xml:space="preserve"> Total </w:t>
            </w:r>
            <w:r w:rsidR="00B14914" w:rsidRPr="004423D0">
              <w:t>S</w:t>
            </w:r>
            <w:r w:rsidR="008304BA" w:rsidRPr="004423D0">
              <w:t xml:space="preserve">cope </w:t>
            </w:r>
            <w:r w:rsidR="00FE07D7" w:rsidRPr="004423D0">
              <w:t>T</w:t>
            </w:r>
            <w:r w:rsidR="008304BA" w:rsidRPr="004423D0">
              <w:t>wo (indirect electricity) greenhouse gas emissions (tonnes CO2</w:t>
            </w:r>
            <w:r w:rsidR="00B83182" w:rsidRPr="004423D0">
              <w:t>-</w:t>
            </w:r>
            <w:r w:rsidR="008304BA" w:rsidRPr="004423D0">
              <w:t>e)</w:t>
            </w:r>
          </w:p>
        </w:tc>
      </w:tr>
      <w:tr w:rsidR="00A433E3" w:rsidRPr="004423D0" w14:paraId="64809CE3" w14:textId="77777777" w:rsidTr="00566D86">
        <w:tc>
          <w:tcPr>
            <w:tcW w:w="2270" w:type="dxa"/>
            <w:gridSpan w:val="2"/>
          </w:tcPr>
          <w:p w14:paraId="132295A8" w14:textId="77777777" w:rsidR="00A433E3" w:rsidRPr="004423D0" w:rsidRDefault="00A433E3" w:rsidP="00B30E00">
            <w:pPr>
              <w:pStyle w:val="Normalbold"/>
            </w:pPr>
          </w:p>
        </w:tc>
        <w:tc>
          <w:tcPr>
            <w:tcW w:w="174" w:type="dxa"/>
            <w:gridSpan w:val="2"/>
          </w:tcPr>
          <w:p w14:paraId="30D40B06" w14:textId="77777777" w:rsidR="00A433E3" w:rsidRPr="004423D0" w:rsidRDefault="00A433E3" w:rsidP="00B30E00">
            <w:pPr>
              <w:pStyle w:val="Normalgrey"/>
            </w:pPr>
          </w:p>
        </w:tc>
        <w:tc>
          <w:tcPr>
            <w:tcW w:w="630" w:type="dxa"/>
            <w:gridSpan w:val="2"/>
          </w:tcPr>
          <w:p w14:paraId="51B7B979" w14:textId="194D4DF3" w:rsidR="00A433E3" w:rsidRPr="004423D0" w:rsidRDefault="00213421" w:rsidP="00B30E00">
            <w:pPr>
              <w:pStyle w:val="Normalgrey"/>
            </w:pPr>
            <w:r w:rsidRPr="004423D0">
              <w:t>1</w:t>
            </w:r>
            <w:r w:rsidR="008C4061" w:rsidRPr="004423D0">
              <w:t>3</w:t>
            </w:r>
            <w:r w:rsidRPr="004423D0">
              <w:t>.3</w:t>
            </w:r>
          </w:p>
        </w:tc>
        <w:tc>
          <w:tcPr>
            <w:tcW w:w="6067" w:type="dxa"/>
            <w:gridSpan w:val="3"/>
          </w:tcPr>
          <w:p w14:paraId="10533E10" w14:textId="287B8273" w:rsidR="00A433E3" w:rsidRPr="004423D0" w:rsidRDefault="00961C27" w:rsidP="00C34CC9">
            <w:pPr>
              <w:pStyle w:val="Normalgrey"/>
            </w:pPr>
            <w:r w:rsidRPr="004423D0">
              <w:t>G3 –</w:t>
            </w:r>
            <w:r w:rsidR="008F44B4" w:rsidRPr="004423D0">
              <w:t xml:space="preserve"> Total </w:t>
            </w:r>
            <w:r w:rsidR="00FE07D7" w:rsidRPr="004423D0">
              <w:t>S</w:t>
            </w:r>
            <w:r w:rsidR="008F44B4" w:rsidRPr="004423D0">
              <w:t xml:space="preserve">cope </w:t>
            </w:r>
            <w:r w:rsidR="00FE07D7" w:rsidRPr="004423D0">
              <w:t>T</w:t>
            </w:r>
            <w:r w:rsidR="008F44B4" w:rsidRPr="004423D0">
              <w:t>hree (other indirect) greenhouse gas emissions associated with commercial air travel and waste disposal</w:t>
            </w:r>
          </w:p>
        </w:tc>
      </w:tr>
      <w:tr w:rsidR="00A433E3" w:rsidRPr="004423D0" w:rsidDel="000B4E25" w14:paraId="4B7882D8" w14:textId="6338B0EF" w:rsidTr="00566D86">
        <w:tc>
          <w:tcPr>
            <w:tcW w:w="2270" w:type="dxa"/>
            <w:gridSpan w:val="2"/>
          </w:tcPr>
          <w:p w14:paraId="6C232F59" w14:textId="4E83582A" w:rsidR="00A433E3" w:rsidRPr="004423D0" w:rsidDel="000B4E25" w:rsidRDefault="00A433E3" w:rsidP="00B30E00">
            <w:pPr>
              <w:pStyle w:val="Normalbold"/>
            </w:pPr>
          </w:p>
        </w:tc>
        <w:tc>
          <w:tcPr>
            <w:tcW w:w="174" w:type="dxa"/>
            <w:gridSpan w:val="2"/>
          </w:tcPr>
          <w:p w14:paraId="1CDC6BA3" w14:textId="1FDA1455" w:rsidR="00A433E3" w:rsidRPr="004423D0" w:rsidDel="000B4E25" w:rsidRDefault="00A433E3" w:rsidP="00B30E00">
            <w:pPr>
              <w:pStyle w:val="Normalgrey"/>
            </w:pPr>
          </w:p>
        </w:tc>
        <w:tc>
          <w:tcPr>
            <w:tcW w:w="630" w:type="dxa"/>
            <w:gridSpan w:val="2"/>
          </w:tcPr>
          <w:p w14:paraId="4F19FAE5" w14:textId="4DF79659" w:rsidR="00A433E3" w:rsidRPr="004423D0" w:rsidDel="000B4E25" w:rsidRDefault="00496895" w:rsidP="00B30E00">
            <w:pPr>
              <w:pStyle w:val="Normalgrey"/>
            </w:pPr>
            <w:r w:rsidRPr="004423D0">
              <w:t>1</w:t>
            </w:r>
            <w:r w:rsidR="008C4061" w:rsidRPr="004423D0">
              <w:t>3</w:t>
            </w:r>
            <w:r w:rsidRPr="004423D0" w:rsidDel="000B4E25">
              <w:t>.4</w:t>
            </w:r>
          </w:p>
        </w:tc>
        <w:tc>
          <w:tcPr>
            <w:tcW w:w="6067" w:type="dxa"/>
            <w:gridSpan w:val="3"/>
          </w:tcPr>
          <w:p w14:paraId="47C37752" w14:textId="097BFA1B" w:rsidR="009550F1" w:rsidRPr="004423D0" w:rsidDel="000B4E25" w:rsidRDefault="009550F1" w:rsidP="00273A66">
            <w:pPr>
              <w:pStyle w:val="NormalIndentgrey"/>
              <w:ind w:left="0"/>
            </w:pPr>
            <w:r w:rsidRPr="004423D0" w:rsidDel="000B4E25">
              <w:t>Optional greenhouse gas emission indicators:</w:t>
            </w:r>
          </w:p>
          <w:p w14:paraId="30C54D65" w14:textId="5CAE30EC" w:rsidR="009550F1" w:rsidRPr="004423D0" w:rsidDel="000B4E25" w:rsidRDefault="009550F1" w:rsidP="009550F1">
            <w:pPr>
              <w:pStyle w:val="Bullet1grey"/>
              <w:rPr>
                <w:rFonts w:eastAsiaTheme="minorEastAsia"/>
              </w:rPr>
            </w:pPr>
            <w:r w:rsidRPr="004423D0" w:rsidDel="000B4E25">
              <w:t xml:space="preserve">Total </w:t>
            </w:r>
            <w:r w:rsidR="00D75964" w:rsidRPr="004423D0">
              <w:t>S</w:t>
            </w:r>
            <w:r w:rsidRPr="004423D0">
              <w:t xml:space="preserve">cope </w:t>
            </w:r>
            <w:r w:rsidR="00D75964" w:rsidRPr="004423D0">
              <w:t>T</w:t>
            </w:r>
            <w:r w:rsidRPr="004423D0">
              <w:t>hree</w:t>
            </w:r>
            <w:r w:rsidRPr="004423D0" w:rsidDel="000B4E25">
              <w:t xml:space="preserve"> (other indirect) greenhouse gas emissions (tonnes CO</w:t>
            </w:r>
            <w:r w:rsidRPr="004423D0" w:rsidDel="000B4E25">
              <w:rPr>
                <w:vertAlign w:val="subscript"/>
              </w:rPr>
              <w:t>2</w:t>
            </w:r>
            <w:r w:rsidRPr="004423D0" w:rsidDel="000B4E25">
              <w:t>-e)</w:t>
            </w:r>
          </w:p>
          <w:p w14:paraId="1C36F5E8" w14:textId="2197AF12" w:rsidR="009550F1" w:rsidRPr="004423D0" w:rsidDel="000B4E25" w:rsidRDefault="009550F1" w:rsidP="009550F1">
            <w:pPr>
              <w:pStyle w:val="Bullet1grey"/>
              <w:rPr>
                <w:rFonts w:eastAsiaTheme="minorEastAsia"/>
              </w:rPr>
            </w:pPr>
            <w:r w:rsidRPr="004423D0" w:rsidDel="000B4E25">
              <w:t xml:space="preserve">Any other known greenhouse gas emissions associated with </w:t>
            </w:r>
            <w:r w:rsidR="00DC6894" w:rsidRPr="004423D0">
              <w:t>e</w:t>
            </w:r>
            <w:r w:rsidRPr="004423D0">
              <w:t>ntity</w:t>
            </w:r>
            <w:r w:rsidRPr="004423D0" w:rsidDel="000B4E25">
              <w:t xml:space="preserve"> activities (tonnes CO</w:t>
            </w:r>
            <w:r w:rsidRPr="004423D0" w:rsidDel="000B4E25">
              <w:rPr>
                <w:vertAlign w:val="subscript"/>
              </w:rPr>
              <w:t>2</w:t>
            </w:r>
            <w:r w:rsidRPr="004423D0" w:rsidDel="000B4E25">
              <w:t>-e)</w:t>
            </w:r>
          </w:p>
          <w:p w14:paraId="0384936F" w14:textId="06513E81" w:rsidR="009550F1" w:rsidRPr="004423D0" w:rsidDel="000B4E25" w:rsidRDefault="009550F1" w:rsidP="009550F1">
            <w:pPr>
              <w:pStyle w:val="Bullet1grey"/>
              <w:rPr>
                <w:rFonts w:eastAsiaTheme="minorEastAsia"/>
              </w:rPr>
            </w:pPr>
            <w:r w:rsidRPr="004423D0" w:rsidDel="000B4E25">
              <w:t>Total greenhouse gas emission offsets purchased and retired (tonnes CO</w:t>
            </w:r>
            <w:r w:rsidRPr="004423D0" w:rsidDel="000B4E25">
              <w:rPr>
                <w:vertAlign w:val="subscript"/>
              </w:rPr>
              <w:t>2</w:t>
            </w:r>
            <w:r w:rsidRPr="004423D0" w:rsidDel="000B4E25">
              <w:t>-e) segmented by activity type (e.g. natural gas, vehicle fleet, air travel)</w:t>
            </w:r>
          </w:p>
          <w:p w14:paraId="256B1BA4" w14:textId="0EB6D5C7" w:rsidR="009550F1" w:rsidRPr="004423D0" w:rsidDel="000B4E25" w:rsidRDefault="009550F1" w:rsidP="009550F1">
            <w:pPr>
              <w:pStyle w:val="Bullet1grey"/>
            </w:pPr>
            <w:r w:rsidRPr="004423D0" w:rsidDel="000B4E25">
              <w:t xml:space="preserve">Net greenhouse gas emissions for the </w:t>
            </w:r>
            <w:r w:rsidR="00AE2D7B" w:rsidRPr="004423D0">
              <w:t>e</w:t>
            </w:r>
            <w:r w:rsidRPr="004423D0">
              <w:t>ntity</w:t>
            </w:r>
            <w:r w:rsidRPr="004423D0" w:rsidDel="000B4E25">
              <w:t xml:space="preserve"> (tonnes CO</w:t>
            </w:r>
            <w:r w:rsidRPr="004423D0" w:rsidDel="000B4E25">
              <w:rPr>
                <w:vertAlign w:val="subscript"/>
              </w:rPr>
              <w:t>2</w:t>
            </w:r>
            <w:r w:rsidRPr="004423D0" w:rsidDel="000B4E25">
              <w:t xml:space="preserve">-e) segmented into </w:t>
            </w:r>
            <w:r w:rsidR="00AE2D7B" w:rsidRPr="004423D0">
              <w:t>S</w:t>
            </w:r>
            <w:r w:rsidRPr="004423D0">
              <w:t xml:space="preserve">cope </w:t>
            </w:r>
            <w:r w:rsidR="00AE2D7B" w:rsidRPr="004423D0">
              <w:t>O</w:t>
            </w:r>
            <w:r w:rsidRPr="004423D0">
              <w:t>ne</w:t>
            </w:r>
            <w:r w:rsidRPr="004423D0" w:rsidDel="000B4E25">
              <w:t xml:space="preserve"> (direct), </w:t>
            </w:r>
            <w:r w:rsidR="00AE2D7B" w:rsidRPr="004423D0">
              <w:t>S</w:t>
            </w:r>
            <w:r w:rsidRPr="004423D0">
              <w:t xml:space="preserve">cope </w:t>
            </w:r>
            <w:r w:rsidR="00AE2D7B" w:rsidRPr="004423D0">
              <w:t>T</w:t>
            </w:r>
            <w:r w:rsidRPr="004423D0">
              <w:t>wo</w:t>
            </w:r>
            <w:r w:rsidRPr="004423D0" w:rsidDel="000B4E25">
              <w:t xml:space="preserve"> (indirect electricity) and </w:t>
            </w:r>
            <w:r w:rsidR="00DC6894" w:rsidRPr="004423D0">
              <w:t>S</w:t>
            </w:r>
            <w:r w:rsidRPr="004423D0">
              <w:t xml:space="preserve">cope </w:t>
            </w:r>
            <w:r w:rsidR="00DC6894" w:rsidRPr="004423D0">
              <w:t>T</w:t>
            </w:r>
            <w:r w:rsidRPr="004423D0">
              <w:t>hree</w:t>
            </w:r>
            <w:r w:rsidRPr="004423D0" w:rsidDel="000B4E25">
              <w:t xml:space="preserve"> (indirect other)</w:t>
            </w:r>
          </w:p>
          <w:p w14:paraId="32BB0340" w14:textId="01E5AD5E" w:rsidR="00A433E3" w:rsidRPr="004423D0" w:rsidDel="000B4E25" w:rsidRDefault="009550F1" w:rsidP="009550F1">
            <w:pPr>
              <w:pStyle w:val="Bullet1grey"/>
            </w:pPr>
            <w:r w:rsidRPr="004423D0" w:rsidDel="000B4E25">
              <w:t>Any Climate Active certifications for organisations, products, services, or events</w:t>
            </w:r>
          </w:p>
        </w:tc>
      </w:tr>
      <w:tr w:rsidR="00B30E00" w:rsidRPr="004423D0" w14:paraId="06A91241" w14:textId="77777777" w:rsidTr="00566D86">
        <w:tc>
          <w:tcPr>
            <w:tcW w:w="2270" w:type="dxa"/>
            <w:gridSpan w:val="2"/>
          </w:tcPr>
          <w:p w14:paraId="2A6F253D" w14:textId="77777777" w:rsidR="00B30E00" w:rsidRPr="004423D0" w:rsidRDefault="00B30E00" w:rsidP="00B30E00">
            <w:pPr>
              <w:pStyle w:val="Normalgrey"/>
            </w:pPr>
            <w:r w:rsidRPr="004423D0">
              <w:lastRenderedPageBreak/>
              <w:t>Definitions</w:t>
            </w:r>
          </w:p>
        </w:tc>
        <w:tc>
          <w:tcPr>
            <w:tcW w:w="174" w:type="dxa"/>
            <w:gridSpan w:val="2"/>
          </w:tcPr>
          <w:p w14:paraId="04F44FD5" w14:textId="77777777" w:rsidR="00B30E00" w:rsidRPr="004423D0" w:rsidRDefault="00B30E00" w:rsidP="00B30E00">
            <w:pPr>
              <w:pStyle w:val="Normalgrey"/>
            </w:pPr>
          </w:p>
        </w:tc>
        <w:tc>
          <w:tcPr>
            <w:tcW w:w="630" w:type="dxa"/>
            <w:gridSpan w:val="2"/>
          </w:tcPr>
          <w:p w14:paraId="2BA75A79" w14:textId="7126BF4D" w:rsidR="00B30E00" w:rsidRPr="004423D0" w:rsidRDefault="00E301DA" w:rsidP="00B30E00">
            <w:pPr>
              <w:pStyle w:val="Normalgrey"/>
            </w:pPr>
            <w:r w:rsidRPr="004423D0">
              <w:t>1</w:t>
            </w:r>
            <w:r w:rsidR="008C4061" w:rsidRPr="004423D0">
              <w:t>4</w:t>
            </w:r>
            <w:r w:rsidRPr="004423D0">
              <w:t>.1</w:t>
            </w:r>
          </w:p>
        </w:tc>
        <w:tc>
          <w:tcPr>
            <w:tcW w:w="6067" w:type="dxa"/>
            <w:gridSpan w:val="3"/>
          </w:tcPr>
          <w:p w14:paraId="4E46A15B" w14:textId="7C3E53BE" w:rsidR="00B30E00" w:rsidRPr="004423D0" w:rsidRDefault="00B30E00" w:rsidP="00B30E00">
            <w:pPr>
              <w:pStyle w:val="Normalgrey"/>
            </w:pPr>
            <w:r w:rsidRPr="004423D0">
              <w:rPr>
                <w:b/>
                <w:bCs/>
              </w:rPr>
              <w:t>Climate Active Carbon Neutral organisational standard</w:t>
            </w:r>
            <w:r w:rsidRPr="004423D0">
              <w:t xml:space="preserve"> – </w:t>
            </w:r>
            <w:r w:rsidR="00D65BF7" w:rsidRPr="004423D0">
              <w:t xml:space="preserve">the </w:t>
            </w:r>
            <w:r w:rsidRPr="004423D0">
              <w:t>certification scheme for organisations to better understand and manage greenhouse gas emissions and to credibly seek and claim carbon neutral status</w:t>
            </w:r>
            <w:r w:rsidR="00434249" w:rsidRPr="004423D0">
              <w:t>. For more information refer to</w:t>
            </w:r>
            <w:r w:rsidRPr="004423D0">
              <w:t xml:space="preserve">: https://www.climateactive.org.au/  </w:t>
            </w:r>
          </w:p>
        </w:tc>
      </w:tr>
      <w:tr w:rsidR="00B30E00" w:rsidRPr="004423D0" w14:paraId="0D7D28E0" w14:textId="77777777" w:rsidTr="00566D86">
        <w:tc>
          <w:tcPr>
            <w:tcW w:w="2270" w:type="dxa"/>
            <w:gridSpan w:val="2"/>
          </w:tcPr>
          <w:p w14:paraId="58233544" w14:textId="77777777" w:rsidR="00B30E00" w:rsidRPr="004423D0" w:rsidRDefault="00B30E00" w:rsidP="00B30E00">
            <w:pPr>
              <w:pStyle w:val="Normalgrey"/>
            </w:pPr>
          </w:p>
        </w:tc>
        <w:tc>
          <w:tcPr>
            <w:tcW w:w="174" w:type="dxa"/>
            <w:gridSpan w:val="2"/>
          </w:tcPr>
          <w:p w14:paraId="59BF4FD0" w14:textId="77777777" w:rsidR="00B30E00" w:rsidRPr="004423D0" w:rsidRDefault="00B30E00" w:rsidP="00B30E00">
            <w:pPr>
              <w:pStyle w:val="Normalgrey"/>
            </w:pPr>
          </w:p>
        </w:tc>
        <w:tc>
          <w:tcPr>
            <w:tcW w:w="630" w:type="dxa"/>
            <w:gridSpan w:val="2"/>
          </w:tcPr>
          <w:p w14:paraId="1B65BDCD" w14:textId="65E1CEEC" w:rsidR="00B30E00" w:rsidRPr="004423D0" w:rsidRDefault="00E301DA" w:rsidP="00B30E00">
            <w:pPr>
              <w:pStyle w:val="Normalgrey"/>
            </w:pPr>
            <w:r w:rsidRPr="004423D0">
              <w:t>1</w:t>
            </w:r>
            <w:r w:rsidR="008C4061" w:rsidRPr="004423D0">
              <w:t>4</w:t>
            </w:r>
            <w:r w:rsidRPr="004423D0">
              <w:t>.2</w:t>
            </w:r>
          </w:p>
        </w:tc>
        <w:tc>
          <w:tcPr>
            <w:tcW w:w="6067" w:type="dxa"/>
            <w:gridSpan w:val="3"/>
          </w:tcPr>
          <w:p w14:paraId="18B803FA" w14:textId="797C395D" w:rsidR="0039323F" w:rsidRPr="004423D0" w:rsidRDefault="00B30E00" w:rsidP="00B30E00">
            <w:pPr>
              <w:pStyle w:val="Normalgrey"/>
            </w:pPr>
            <w:r w:rsidRPr="004423D0">
              <w:rPr>
                <w:b/>
                <w:bCs/>
              </w:rPr>
              <w:t>Emissions ‘</w:t>
            </w:r>
            <w:r w:rsidR="00FE07D7" w:rsidRPr="004423D0">
              <w:rPr>
                <w:b/>
                <w:bCs/>
              </w:rPr>
              <w:t>S</w:t>
            </w:r>
            <w:r w:rsidRPr="004423D0">
              <w:rPr>
                <w:b/>
                <w:bCs/>
              </w:rPr>
              <w:t>copes’</w:t>
            </w:r>
            <w:r w:rsidRPr="004423D0">
              <w:t xml:space="preserve">– </w:t>
            </w:r>
            <w:r w:rsidR="00A94A37" w:rsidRPr="004423D0">
              <w:t>c</w:t>
            </w:r>
            <w:r w:rsidRPr="004423D0">
              <w:t xml:space="preserve">ategories to designate the source of greenhouse gas emissions in relation to an </w:t>
            </w:r>
            <w:r w:rsidR="00CA438F" w:rsidRPr="004423D0">
              <w:t>e</w:t>
            </w:r>
            <w:r w:rsidRPr="004423D0">
              <w:t xml:space="preserve">ntity’s organisational boundary. </w:t>
            </w:r>
          </w:p>
          <w:p w14:paraId="1E9758E6" w14:textId="2DB19BEC" w:rsidR="000B49B0" w:rsidRPr="004423D0" w:rsidRDefault="00B30E00" w:rsidP="00691FF5">
            <w:pPr>
              <w:pStyle w:val="Bullet1grey"/>
              <w:rPr>
                <w:b/>
              </w:rPr>
            </w:pPr>
            <w:r w:rsidRPr="004423D0">
              <w:t xml:space="preserve">Scope One </w:t>
            </w:r>
            <w:r w:rsidR="00DB1C0D" w:rsidRPr="004423D0">
              <w:t>–</w:t>
            </w:r>
            <w:r w:rsidRPr="004423D0">
              <w:t xml:space="preserve">direct emissions from owned or controlled sources (such as combustion of fuels in vehicles and back-up generators, medical gases, and wastewater treatment). </w:t>
            </w:r>
          </w:p>
          <w:p w14:paraId="3893FAEE" w14:textId="479E937D" w:rsidR="000B49B0" w:rsidRPr="004423D0" w:rsidRDefault="00B30E00" w:rsidP="00691FF5">
            <w:pPr>
              <w:pStyle w:val="Bullet1grey"/>
              <w:rPr>
                <w:b/>
              </w:rPr>
            </w:pPr>
            <w:r w:rsidRPr="004423D0">
              <w:t xml:space="preserve">Scope Two </w:t>
            </w:r>
            <w:r w:rsidR="00DB1C0D" w:rsidRPr="004423D0">
              <w:t>–</w:t>
            </w:r>
            <w:r w:rsidRPr="004423D0">
              <w:t xml:space="preserve"> indirect emissions from the generation of electricity, steam, heating, and cooling </w:t>
            </w:r>
            <w:r w:rsidR="00D31A3C" w:rsidRPr="004423D0">
              <w:t xml:space="preserve">purchased </w:t>
            </w:r>
            <w:r w:rsidRPr="004423D0">
              <w:t xml:space="preserve">by the </w:t>
            </w:r>
            <w:r w:rsidR="00CA438F" w:rsidRPr="004423D0">
              <w:t>e</w:t>
            </w:r>
            <w:r w:rsidRPr="004423D0">
              <w:t xml:space="preserve">ntity. </w:t>
            </w:r>
          </w:p>
          <w:p w14:paraId="292F0FC8" w14:textId="2270A102" w:rsidR="00B30E00" w:rsidRPr="004423D0" w:rsidRDefault="00B30E00" w:rsidP="00691FF5">
            <w:pPr>
              <w:pStyle w:val="Bullet1grey"/>
              <w:rPr>
                <w:b/>
                <w:bCs/>
              </w:rPr>
            </w:pPr>
            <w:r w:rsidRPr="004423D0">
              <w:t>Scope Three</w:t>
            </w:r>
            <w:r w:rsidR="00DB1C0D" w:rsidRPr="004423D0">
              <w:t xml:space="preserve"> –</w:t>
            </w:r>
            <w:r w:rsidRPr="004423D0" w:rsidDel="00DB1C0D">
              <w:t xml:space="preserve"> </w:t>
            </w:r>
            <w:r w:rsidRPr="004423D0">
              <w:t xml:space="preserve">all other indirect emissions that occur in an </w:t>
            </w:r>
            <w:r w:rsidR="00CA438F" w:rsidRPr="004423D0">
              <w:t>e</w:t>
            </w:r>
            <w:r w:rsidRPr="004423D0">
              <w:t>ntity’s value chain (such as purchased goods and services, business travel, employee commuting, waste disposal, up-stream and downstream transportation and distribution, and investment). Note that emissions designated by one organisation as Scope One may be considered another organisation’s Scope Three emissions, and vice versa.</w:t>
            </w:r>
          </w:p>
        </w:tc>
      </w:tr>
      <w:tr w:rsidR="00B30E00" w:rsidRPr="004423D0" w14:paraId="2C8FBE3A" w14:textId="77777777" w:rsidTr="00566D86">
        <w:tc>
          <w:tcPr>
            <w:tcW w:w="2270" w:type="dxa"/>
            <w:gridSpan w:val="2"/>
          </w:tcPr>
          <w:p w14:paraId="0FA741E4" w14:textId="77777777" w:rsidR="00B30E00" w:rsidRPr="004423D0" w:rsidRDefault="00B30E00" w:rsidP="00B30E00">
            <w:pPr>
              <w:pStyle w:val="Normalgrey"/>
            </w:pPr>
          </w:p>
        </w:tc>
        <w:tc>
          <w:tcPr>
            <w:tcW w:w="174" w:type="dxa"/>
            <w:gridSpan w:val="2"/>
          </w:tcPr>
          <w:p w14:paraId="1E977337" w14:textId="77777777" w:rsidR="00B30E00" w:rsidRPr="004423D0" w:rsidRDefault="00B30E00" w:rsidP="00B30E00">
            <w:pPr>
              <w:pStyle w:val="Normalgrey"/>
            </w:pPr>
          </w:p>
        </w:tc>
        <w:tc>
          <w:tcPr>
            <w:tcW w:w="630" w:type="dxa"/>
            <w:gridSpan w:val="2"/>
          </w:tcPr>
          <w:p w14:paraId="332BBEFA" w14:textId="0F5D1938" w:rsidR="00B30E00" w:rsidRPr="004423D0" w:rsidRDefault="00E301DA" w:rsidP="00B30E00">
            <w:pPr>
              <w:pStyle w:val="Normalgrey"/>
            </w:pPr>
            <w:r w:rsidRPr="004423D0">
              <w:t>1</w:t>
            </w:r>
            <w:r w:rsidR="008C4061" w:rsidRPr="004423D0">
              <w:t>4</w:t>
            </w:r>
            <w:r w:rsidRPr="004423D0">
              <w:t>.3</w:t>
            </w:r>
          </w:p>
        </w:tc>
        <w:tc>
          <w:tcPr>
            <w:tcW w:w="6067" w:type="dxa"/>
            <w:gridSpan w:val="3"/>
          </w:tcPr>
          <w:p w14:paraId="304A46ED" w14:textId="457DB81B" w:rsidR="00B30E00" w:rsidRPr="004423D0" w:rsidRDefault="00B30E00" w:rsidP="00B30E00">
            <w:pPr>
              <w:pStyle w:val="Normalgrey"/>
              <w:rPr>
                <w:b/>
                <w:bCs/>
              </w:rPr>
            </w:pPr>
            <w:r w:rsidRPr="004423D0">
              <w:rPr>
                <w:b/>
                <w:bCs/>
              </w:rPr>
              <w:t xml:space="preserve">Environmental Management System (EMS) </w:t>
            </w:r>
            <w:r w:rsidRPr="004423D0">
              <w:t xml:space="preserve">– the organisational structure, policies, practices, processes and procedures for implementing environmental management, including systems for designating responsibility for and allocating resources to environmental management. An EMS should align with the requirements of </w:t>
            </w:r>
            <w:r w:rsidRPr="004423D0">
              <w:rPr>
                <w:i/>
                <w:iCs/>
              </w:rPr>
              <w:t>AS/NZS ISO 14001:2016: Environmental management systems</w:t>
            </w:r>
            <w:r w:rsidRPr="004423D0">
              <w:t>.</w:t>
            </w:r>
          </w:p>
        </w:tc>
      </w:tr>
      <w:tr w:rsidR="00B30E00" w:rsidRPr="004423D0" w14:paraId="65403740" w14:textId="77777777" w:rsidTr="00566D86">
        <w:tc>
          <w:tcPr>
            <w:tcW w:w="2270" w:type="dxa"/>
            <w:gridSpan w:val="2"/>
          </w:tcPr>
          <w:p w14:paraId="7C5D5352" w14:textId="77777777" w:rsidR="00B30E00" w:rsidRPr="004423D0" w:rsidRDefault="00B30E00" w:rsidP="00B30E00">
            <w:pPr>
              <w:pStyle w:val="Normalgrey"/>
            </w:pPr>
          </w:p>
        </w:tc>
        <w:tc>
          <w:tcPr>
            <w:tcW w:w="174" w:type="dxa"/>
            <w:gridSpan w:val="2"/>
          </w:tcPr>
          <w:p w14:paraId="23527377" w14:textId="77777777" w:rsidR="00B30E00" w:rsidRPr="004423D0" w:rsidRDefault="00B30E00" w:rsidP="00B30E00">
            <w:pPr>
              <w:pStyle w:val="Normalgrey"/>
            </w:pPr>
          </w:p>
        </w:tc>
        <w:tc>
          <w:tcPr>
            <w:tcW w:w="630" w:type="dxa"/>
            <w:gridSpan w:val="2"/>
          </w:tcPr>
          <w:p w14:paraId="2D246DAE" w14:textId="74777E02" w:rsidR="00B30E00" w:rsidRPr="004423D0" w:rsidRDefault="00E301DA" w:rsidP="00B30E00">
            <w:pPr>
              <w:pStyle w:val="Normalgrey"/>
            </w:pPr>
            <w:r w:rsidRPr="004423D0">
              <w:t>1</w:t>
            </w:r>
            <w:r w:rsidR="008C4061" w:rsidRPr="004423D0">
              <w:t>4</w:t>
            </w:r>
            <w:r w:rsidRPr="004423D0">
              <w:t>.4</w:t>
            </w:r>
          </w:p>
        </w:tc>
        <w:tc>
          <w:tcPr>
            <w:tcW w:w="6067" w:type="dxa"/>
            <w:gridSpan w:val="3"/>
          </w:tcPr>
          <w:p w14:paraId="699070B1" w14:textId="6AAD8DC5" w:rsidR="00B30E00" w:rsidRPr="004423D0" w:rsidRDefault="00B30E00" w:rsidP="00B30E00">
            <w:pPr>
              <w:pStyle w:val="Normalgrey"/>
              <w:rPr>
                <w:b/>
                <w:bCs/>
              </w:rPr>
            </w:pPr>
            <w:r w:rsidRPr="004423D0">
              <w:rPr>
                <w:b/>
                <w:bCs/>
              </w:rPr>
              <w:t>Full Time Equivalent</w:t>
            </w:r>
            <w:r w:rsidR="00DF5A44" w:rsidRPr="004423D0">
              <w:rPr>
                <w:b/>
                <w:bCs/>
              </w:rPr>
              <w:t xml:space="preserve"> (FTE)</w:t>
            </w:r>
            <w:r w:rsidRPr="004423D0">
              <w:rPr>
                <w:b/>
                <w:bCs/>
              </w:rPr>
              <w:t xml:space="preserve"> – </w:t>
            </w:r>
            <w:r w:rsidR="00DF5A44" w:rsidRPr="004423D0">
              <w:t xml:space="preserve">a standard unit of measurement which is calculated by dividing the number of hours an employee works by the number of hours a full-time employee would work, per FRD 29 </w:t>
            </w:r>
            <w:r w:rsidR="00DF5A44" w:rsidRPr="004423D0">
              <w:rPr>
                <w:i/>
                <w:iCs/>
              </w:rPr>
              <w:t>Workforce data disclosures in the Report of Operations.</w:t>
            </w:r>
          </w:p>
        </w:tc>
      </w:tr>
      <w:tr w:rsidR="00B30E00" w:rsidRPr="004423D0" w14:paraId="17A7F2FC" w14:textId="77777777" w:rsidTr="00566D86">
        <w:tc>
          <w:tcPr>
            <w:tcW w:w="2270" w:type="dxa"/>
            <w:gridSpan w:val="2"/>
          </w:tcPr>
          <w:p w14:paraId="343CAFC0" w14:textId="77777777" w:rsidR="00B30E00" w:rsidRPr="004423D0" w:rsidRDefault="00B30E00" w:rsidP="00B30E00">
            <w:pPr>
              <w:pStyle w:val="Normalgrey"/>
            </w:pPr>
          </w:p>
        </w:tc>
        <w:tc>
          <w:tcPr>
            <w:tcW w:w="174" w:type="dxa"/>
            <w:gridSpan w:val="2"/>
          </w:tcPr>
          <w:p w14:paraId="172F337E" w14:textId="77777777" w:rsidR="00B30E00" w:rsidRPr="004423D0" w:rsidRDefault="00B30E00" w:rsidP="00B30E00">
            <w:pPr>
              <w:pStyle w:val="Normalgrey"/>
            </w:pPr>
          </w:p>
        </w:tc>
        <w:tc>
          <w:tcPr>
            <w:tcW w:w="630" w:type="dxa"/>
            <w:gridSpan w:val="2"/>
          </w:tcPr>
          <w:p w14:paraId="08D71AFB" w14:textId="5D2A90FE" w:rsidR="00B30E00" w:rsidRPr="004423D0" w:rsidRDefault="00E301DA" w:rsidP="00B30E00">
            <w:pPr>
              <w:pStyle w:val="Normalgrey"/>
            </w:pPr>
            <w:r w:rsidRPr="004423D0">
              <w:t>1</w:t>
            </w:r>
            <w:r w:rsidR="008C4061" w:rsidRPr="004423D0">
              <w:t>4</w:t>
            </w:r>
            <w:r w:rsidRPr="004423D0">
              <w:t>.5</w:t>
            </w:r>
          </w:p>
        </w:tc>
        <w:tc>
          <w:tcPr>
            <w:tcW w:w="6067" w:type="dxa"/>
            <w:gridSpan w:val="3"/>
          </w:tcPr>
          <w:p w14:paraId="3F32B71F" w14:textId="5F474248" w:rsidR="00B30E00" w:rsidRPr="004423D0" w:rsidRDefault="00B30E00" w:rsidP="00B30E00">
            <w:pPr>
              <w:pStyle w:val="Normalgrey"/>
              <w:rPr>
                <w:b/>
                <w:bCs/>
              </w:rPr>
            </w:pPr>
            <w:r w:rsidRPr="004423D0">
              <w:rPr>
                <w:b/>
                <w:bCs/>
              </w:rPr>
              <w:t xml:space="preserve">Green Lease Schedule </w:t>
            </w:r>
            <w:r w:rsidRPr="004423D0">
              <w:t xml:space="preserve">–a tenancy lease agreement </w:t>
            </w:r>
            <w:r w:rsidR="00DB0984" w:rsidRPr="004423D0">
              <w:t xml:space="preserve">schedule </w:t>
            </w:r>
            <w:r w:rsidRPr="004423D0">
              <w:t>which incorporates environmentally sustainable design principles and aims to ensure that the ongoing use and operation of the building minimises environmental impacts.</w:t>
            </w:r>
          </w:p>
        </w:tc>
      </w:tr>
      <w:tr w:rsidR="00B30E00" w:rsidRPr="004423D0" w14:paraId="101147B6" w14:textId="77777777" w:rsidTr="00566D86">
        <w:tc>
          <w:tcPr>
            <w:tcW w:w="2270" w:type="dxa"/>
            <w:gridSpan w:val="2"/>
          </w:tcPr>
          <w:p w14:paraId="2C425734" w14:textId="77777777" w:rsidR="00B30E00" w:rsidRPr="004423D0" w:rsidRDefault="00B30E00" w:rsidP="00B30E00">
            <w:pPr>
              <w:pStyle w:val="Normalgrey"/>
            </w:pPr>
          </w:p>
        </w:tc>
        <w:tc>
          <w:tcPr>
            <w:tcW w:w="174" w:type="dxa"/>
            <w:gridSpan w:val="2"/>
          </w:tcPr>
          <w:p w14:paraId="08183BD6" w14:textId="77777777" w:rsidR="00B30E00" w:rsidRPr="004423D0" w:rsidRDefault="00B30E00" w:rsidP="00B30E00">
            <w:pPr>
              <w:pStyle w:val="Normalgrey"/>
            </w:pPr>
          </w:p>
        </w:tc>
        <w:tc>
          <w:tcPr>
            <w:tcW w:w="630" w:type="dxa"/>
            <w:gridSpan w:val="2"/>
          </w:tcPr>
          <w:p w14:paraId="24BC4155" w14:textId="7DEB98BF" w:rsidR="00B30E00" w:rsidRPr="004423D0" w:rsidRDefault="00E301DA" w:rsidP="00B30E00">
            <w:pPr>
              <w:pStyle w:val="Normalgrey"/>
            </w:pPr>
            <w:r w:rsidRPr="004423D0">
              <w:t>1</w:t>
            </w:r>
            <w:r w:rsidR="008C4061" w:rsidRPr="004423D0">
              <w:t>4</w:t>
            </w:r>
            <w:r w:rsidRPr="004423D0">
              <w:t>.6</w:t>
            </w:r>
          </w:p>
        </w:tc>
        <w:tc>
          <w:tcPr>
            <w:tcW w:w="6067" w:type="dxa"/>
            <w:gridSpan w:val="3"/>
          </w:tcPr>
          <w:p w14:paraId="65232362" w14:textId="79903274" w:rsidR="00B30E00" w:rsidRPr="004423D0" w:rsidRDefault="00B30E00" w:rsidP="00B30E00">
            <w:pPr>
              <w:pStyle w:val="Normalgrey"/>
              <w:rPr>
                <w:b/>
                <w:bCs/>
              </w:rPr>
            </w:pPr>
            <w:r w:rsidRPr="004423D0">
              <w:rPr>
                <w:b/>
                <w:bCs/>
              </w:rPr>
              <w:t xml:space="preserve">GreenPower </w:t>
            </w:r>
            <w:r w:rsidRPr="004423D0">
              <w:t>–</w:t>
            </w:r>
            <w:r w:rsidRPr="004423D0" w:rsidDel="0044743B">
              <w:t xml:space="preserve"> </w:t>
            </w:r>
            <w:r w:rsidR="00D31A3C" w:rsidRPr="004423D0">
              <w:t xml:space="preserve">renewable </w:t>
            </w:r>
            <w:r w:rsidRPr="004423D0">
              <w:t xml:space="preserve">electricity supplied </w:t>
            </w:r>
            <w:r w:rsidR="00E07F51" w:rsidRPr="004423D0">
              <w:t xml:space="preserve">by an electricity retailer </w:t>
            </w:r>
            <w:r w:rsidRPr="004423D0">
              <w:t xml:space="preserve">through a </w:t>
            </w:r>
            <w:r w:rsidR="00C2648C" w:rsidRPr="004423D0">
              <w:t xml:space="preserve">Commonwealth </w:t>
            </w:r>
            <w:r w:rsidRPr="004423D0">
              <w:t>Government accredited scheme</w:t>
            </w:r>
            <w:r w:rsidR="00E07F51" w:rsidRPr="004423D0">
              <w:t>, see</w:t>
            </w:r>
            <w:r w:rsidR="0044743B" w:rsidRPr="004423D0">
              <w:t>:</w:t>
            </w:r>
            <w:r w:rsidR="00E07F51" w:rsidRPr="004423D0">
              <w:t xml:space="preserve"> </w:t>
            </w:r>
            <w:r w:rsidR="0044743B" w:rsidRPr="004423D0">
              <w:t>https://www.greenpower.gov.au/</w:t>
            </w:r>
            <w:r w:rsidRPr="004423D0">
              <w:t>.</w:t>
            </w:r>
          </w:p>
        </w:tc>
      </w:tr>
      <w:tr w:rsidR="00B30E00" w:rsidRPr="004423D0" w14:paraId="0C85F801" w14:textId="77777777" w:rsidTr="00566D86">
        <w:tc>
          <w:tcPr>
            <w:tcW w:w="2270" w:type="dxa"/>
            <w:gridSpan w:val="2"/>
          </w:tcPr>
          <w:p w14:paraId="22E4A2B3" w14:textId="77777777" w:rsidR="00B30E00" w:rsidRPr="004423D0" w:rsidRDefault="00B30E00" w:rsidP="00B30E00">
            <w:pPr>
              <w:pStyle w:val="Normalgrey"/>
            </w:pPr>
          </w:p>
        </w:tc>
        <w:tc>
          <w:tcPr>
            <w:tcW w:w="174" w:type="dxa"/>
            <w:gridSpan w:val="2"/>
          </w:tcPr>
          <w:p w14:paraId="384272F0" w14:textId="77777777" w:rsidR="00B30E00" w:rsidRPr="004423D0" w:rsidRDefault="00B30E00" w:rsidP="00B30E00">
            <w:pPr>
              <w:pStyle w:val="Normalgrey"/>
            </w:pPr>
          </w:p>
        </w:tc>
        <w:tc>
          <w:tcPr>
            <w:tcW w:w="630" w:type="dxa"/>
            <w:gridSpan w:val="2"/>
          </w:tcPr>
          <w:p w14:paraId="684026B8" w14:textId="0CB18667" w:rsidR="00B30E00" w:rsidRPr="004423D0" w:rsidRDefault="00E301DA" w:rsidP="00B30E00">
            <w:pPr>
              <w:pStyle w:val="Normalgrey"/>
            </w:pPr>
            <w:r w:rsidRPr="004423D0">
              <w:t>1</w:t>
            </w:r>
            <w:r w:rsidR="008C4061" w:rsidRPr="004423D0">
              <w:t>4</w:t>
            </w:r>
            <w:r w:rsidRPr="004423D0">
              <w:t>.7</w:t>
            </w:r>
          </w:p>
        </w:tc>
        <w:tc>
          <w:tcPr>
            <w:tcW w:w="6067" w:type="dxa"/>
            <w:gridSpan w:val="3"/>
          </w:tcPr>
          <w:p w14:paraId="001A5044" w14:textId="1EADA58B" w:rsidR="00B30E00" w:rsidRPr="004423D0" w:rsidRDefault="00B30E00" w:rsidP="00B30E00">
            <w:pPr>
              <w:pStyle w:val="Normalgrey"/>
              <w:rPr>
                <w:b/>
                <w:bCs/>
              </w:rPr>
            </w:pPr>
            <w:r w:rsidRPr="004423D0">
              <w:rPr>
                <w:b/>
                <w:bCs/>
              </w:rPr>
              <w:t xml:space="preserve">Green Star </w:t>
            </w:r>
            <w:r w:rsidRPr="004423D0">
              <w:t xml:space="preserve">– a voluntary sustainability rating system for buildings </w:t>
            </w:r>
            <w:r w:rsidR="00A070BD" w:rsidRPr="004423D0">
              <w:t>which was</w:t>
            </w:r>
            <w:r w:rsidRPr="004423D0">
              <w:t xml:space="preserve"> launched in 2003 by the Green Building Council of Australia. </w:t>
            </w:r>
            <w:r w:rsidR="00D25C4F" w:rsidRPr="004423D0">
              <w:t>It</w:t>
            </w:r>
            <w:r w:rsidRPr="004423D0">
              <w:t xml:space="preserve"> assesses the sustainability of projects at all stages of the built environment life cycle</w:t>
            </w:r>
            <w:r w:rsidR="00D57561" w:rsidRPr="004423D0">
              <w:t xml:space="preserve">, see: </w:t>
            </w:r>
            <w:r w:rsidR="00EA3F59" w:rsidRPr="004423D0">
              <w:t>https://new.gbca.org.au</w:t>
            </w:r>
            <w:r w:rsidRPr="004423D0">
              <w:t>.</w:t>
            </w:r>
          </w:p>
        </w:tc>
      </w:tr>
      <w:tr w:rsidR="00B30E00" w:rsidRPr="004423D0" w14:paraId="4C0E727C" w14:textId="77777777" w:rsidTr="00566D86">
        <w:tc>
          <w:tcPr>
            <w:tcW w:w="2270" w:type="dxa"/>
            <w:gridSpan w:val="2"/>
          </w:tcPr>
          <w:p w14:paraId="57FA82C4" w14:textId="77777777" w:rsidR="00B30E00" w:rsidRPr="004423D0" w:rsidRDefault="00B30E00" w:rsidP="00B30E00">
            <w:pPr>
              <w:pStyle w:val="Normalgrey"/>
            </w:pPr>
          </w:p>
        </w:tc>
        <w:tc>
          <w:tcPr>
            <w:tcW w:w="174" w:type="dxa"/>
            <w:gridSpan w:val="2"/>
          </w:tcPr>
          <w:p w14:paraId="40778A92" w14:textId="77777777" w:rsidR="00B30E00" w:rsidRPr="004423D0" w:rsidRDefault="00B30E00" w:rsidP="00B30E00">
            <w:pPr>
              <w:pStyle w:val="Normalgrey"/>
            </w:pPr>
          </w:p>
        </w:tc>
        <w:tc>
          <w:tcPr>
            <w:tcW w:w="630" w:type="dxa"/>
            <w:gridSpan w:val="2"/>
          </w:tcPr>
          <w:p w14:paraId="450BD60F" w14:textId="5AAF62FE" w:rsidR="00B30E00" w:rsidRPr="004423D0" w:rsidRDefault="00E301DA" w:rsidP="00B30E00">
            <w:pPr>
              <w:pStyle w:val="Normalgrey"/>
            </w:pPr>
            <w:r w:rsidRPr="004423D0">
              <w:t>1</w:t>
            </w:r>
            <w:r w:rsidR="008C4061" w:rsidRPr="004423D0">
              <w:t>4</w:t>
            </w:r>
            <w:r w:rsidRPr="004423D0">
              <w:t>.8</w:t>
            </w:r>
          </w:p>
        </w:tc>
        <w:tc>
          <w:tcPr>
            <w:tcW w:w="6067" w:type="dxa"/>
            <w:gridSpan w:val="3"/>
          </w:tcPr>
          <w:p w14:paraId="721FE12D" w14:textId="55CB0C08" w:rsidR="00B30E00" w:rsidRPr="004423D0" w:rsidRDefault="00D25C4F" w:rsidP="00B30E00">
            <w:pPr>
              <w:pStyle w:val="Normalgrey"/>
              <w:rPr>
                <w:b/>
                <w:bCs/>
              </w:rPr>
            </w:pPr>
            <w:r w:rsidRPr="004423D0">
              <w:rPr>
                <w:b/>
                <w:bCs/>
              </w:rPr>
              <w:t>Large Scale Generation Certificates (</w:t>
            </w:r>
            <w:r w:rsidR="00B30E00" w:rsidRPr="004423D0">
              <w:rPr>
                <w:b/>
                <w:bCs/>
              </w:rPr>
              <w:t>LGC</w:t>
            </w:r>
            <w:r w:rsidRPr="004423D0">
              <w:rPr>
                <w:b/>
                <w:bCs/>
              </w:rPr>
              <w:t>)</w:t>
            </w:r>
            <w:r w:rsidR="00B30E00" w:rsidRPr="004423D0">
              <w:rPr>
                <w:b/>
                <w:bCs/>
              </w:rPr>
              <w:t xml:space="preserve"> </w:t>
            </w:r>
            <w:r w:rsidR="00B30E00" w:rsidRPr="004423D0">
              <w:t>–</w:t>
            </w:r>
            <w:r w:rsidR="00B30E00" w:rsidRPr="004423D0" w:rsidDel="00D25C4F">
              <w:t xml:space="preserve"> </w:t>
            </w:r>
            <w:r w:rsidR="00B30E00" w:rsidRPr="004423D0">
              <w:t>tradable certificates created under the Commonwealth Renewable Energy Target (RET) for one megawatt hour of renewable electricity generation from a large generation facility which can be used to meet liabilities under the RET.</w:t>
            </w:r>
          </w:p>
        </w:tc>
      </w:tr>
      <w:tr w:rsidR="00B30E00" w:rsidRPr="004423D0" w14:paraId="7BE49F14" w14:textId="77777777" w:rsidTr="00566D86">
        <w:tc>
          <w:tcPr>
            <w:tcW w:w="2270" w:type="dxa"/>
            <w:gridSpan w:val="2"/>
          </w:tcPr>
          <w:p w14:paraId="2A336171" w14:textId="77777777" w:rsidR="00B30E00" w:rsidRPr="004423D0" w:rsidRDefault="00B30E00" w:rsidP="00B30E00">
            <w:pPr>
              <w:pStyle w:val="Normalgrey"/>
            </w:pPr>
          </w:p>
        </w:tc>
        <w:tc>
          <w:tcPr>
            <w:tcW w:w="174" w:type="dxa"/>
            <w:gridSpan w:val="2"/>
          </w:tcPr>
          <w:p w14:paraId="102DF662" w14:textId="77777777" w:rsidR="00B30E00" w:rsidRPr="004423D0" w:rsidRDefault="00B30E00" w:rsidP="00B30E00">
            <w:pPr>
              <w:pStyle w:val="Normalgrey"/>
            </w:pPr>
          </w:p>
        </w:tc>
        <w:tc>
          <w:tcPr>
            <w:tcW w:w="630" w:type="dxa"/>
            <w:gridSpan w:val="2"/>
          </w:tcPr>
          <w:p w14:paraId="4E51C845" w14:textId="30E85A09" w:rsidR="00B30E00" w:rsidRPr="004423D0" w:rsidRDefault="00E301DA" w:rsidP="00B30E00">
            <w:pPr>
              <w:pStyle w:val="Normalgrey"/>
            </w:pPr>
            <w:r w:rsidRPr="004423D0">
              <w:t>1</w:t>
            </w:r>
            <w:r w:rsidR="008C4061" w:rsidRPr="004423D0">
              <w:t>4</w:t>
            </w:r>
            <w:r w:rsidRPr="004423D0">
              <w:t>.9</w:t>
            </w:r>
          </w:p>
        </w:tc>
        <w:tc>
          <w:tcPr>
            <w:tcW w:w="6067" w:type="dxa"/>
            <w:gridSpan w:val="3"/>
          </w:tcPr>
          <w:p w14:paraId="327CE186" w14:textId="3EEF4691" w:rsidR="00B30E00" w:rsidRPr="004423D0" w:rsidRDefault="00B30E00" w:rsidP="00B30E00">
            <w:pPr>
              <w:pStyle w:val="Normalgrey"/>
              <w:rPr>
                <w:b/>
                <w:bCs/>
              </w:rPr>
            </w:pPr>
            <w:r w:rsidRPr="004423D0">
              <w:rPr>
                <w:b/>
                <w:bCs/>
              </w:rPr>
              <w:t xml:space="preserve">AS/NZS ISO 14001:2016: Environmental management systems </w:t>
            </w:r>
            <w:r w:rsidRPr="004423D0">
              <w:t>– the international standard that specifies requirements for an effective EMS. It provides a framework that an organisation can follow, rather than establishing environmental performance requirements.</w:t>
            </w:r>
          </w:p>
        </w:tc>
      </w:tr>
      <w:tr w:rsidR="00B30E00" w:rsidRPr="004423D0" w14:paraId="623A00FE" w14:textId="77777777" w:rsidTr="00566D86">
        <w:tc>
          <w:tcPr>
            <w:tcW w:w="2270" w:type="dxa"/>
            <w:gridSpan w:val="2"/>
          </w:tcPr>
          <w:p w14:paraId="2F034A41" w14:textId="77777777" w:rsidR="00B30E00" w:rsidRPr="004423D0" w:rsidRDefault="00B30E00" w:rsidP="00B30E00">
            <w:pPr>
              <w:pStyle w:val="Normalgrey"/>
            </w:pPr>
          </w:p>
        </w:tc>
        <w:tc>
          <w:tcPr>
            <w:tcW w:w="174" w:type="dxa"/>
            <w:gridSpan w:val="2"/>
          </w:tcPr>
          <w:p w14:paraId="2C447EA9" w14:textId="77777777" w:rsidR="00B30E00" w:rsidRPr="004423D0" w:rsidRDefault="00B30E00" w:rsidP="00B30E00">
            <w:pPr>
              <w:pStyle w:val="Normalgrey"/>
            </w:pPr>
          </w:p>
        </w:tc>
        <w:tc>
          <w:tcPr>
            <w:tcW w:w="630" w:type="dxa"/>
            <w:gridSpan w:val="2"/>
          </w:tcPr>
          <w:p w14:paraId="5ABBEFD3" w14:textId="2E2C3A65" w:rsidR="00B30E00" w:rsidRPr="004423D0" w:rsidRDefault="00E301DA" w:rsidP="00B30E00">
            <w:pPr>
              <w:pStyle w:val="Normalgrey"/>
            </w:pPr>
            <w:r w:rsidRPr="004423D0">
              <w:t>1</w:t>
            </w:r>
            <w:r w:rsidR="008C4061" w:rsidRPr="004423D0">
              <w:t>4</w:t>
            </w:r>
            <w:r w:rsidRPr="004423D0">
              <w:t>.10</w:t>
            </w:r>
          </w:p>
        </w:tc>
        <w:tc>
          <w:tcPr>
            <w:tcW w:w="6067" w:type="dxa"/>
            <w:gridSpan w:val="3"/>
          </w:tcPr>
          <w:p w14:paraId="76EC4C5A" w14:textId="6F0232E0" w:rsidR="00B30E00" w:rsidRPr="004423D0" w:rsidRDefault="009E56A3" w:rsidP="00B30E00">
            <w:pPr>
              <w:pStyle w:val="Normalgrey"/>
              <w:rPr>
                <w:b/>
                <w:bCs/>
              </w:rPr>
            </w:pPr>
            <w:r w:rsidRPr="004423D0">
              <w:rPr>
                <w:b/>
              </w:rPr>
              <w:t>National Australian Built Environment Rating System</w:t>
            </w:r>
            <w:r w:rsidRPr="004423D0">
              <w:rPr>
                <w:b/>
                <w:bCs/>
              </w:rPr>
              <w:t xml:space="preserve"> (</w:t>
            </w:r>
            <w:r w:rsidR="00B30E00" w:rsidRPr="004423D0">
              <w:rPr>
                <w:b/>
                <w:bCs/>
              </w:rPr>
              <w:t>NABERS</w:t>
            </w:r>
            <w:r w:rsidRPr="004423D0">
              <w:rPr>
                <w:b/>
                <w:bCs/>
              </w:rPr>
              <w:t>)</w:t>
            </w:r>
            <w:r w:rsidR="00B30E00" w:rsidRPr="004423D0">
              <w:rPr>
                <w:b/>
                <w:bCs/>
              </w:rPr>
              <w:t xml:space="preserve"> </w:t>
            </w:r>
            <w:r w:rsidR="00B30E00" w:rsidRPr="004423D0">
              <w:t>–an initiative by the Australian Government to measure and compare the environmental performance of Australian buildings and tenancies</w:t>
            </w:r>
            <w:r w:rsidR="009B6494" w:rsidRPr="004423D0">
              <w:t>, see: https://www.nabers.gov.au/</w:t>
            </w:r>
            <w:r w:rsidR="00B30E00" w:rsidRPr="004423D0">
              <w:t>.</w:t>
            </w:r>
          </w:p>
        </w:tc>
      </w:tr>
      <w:tr w:rsidR="00D550CD" w:rsidRPr="004423D0" w14:paraId="3630148E" w14:textId="77777777" w:rsidTr="00566D86">
        <w:tc>
          <w:tcPr>
            <w:tcW w:w="2270" w:type="dxa"/>
            <w:gridSpan w:val="2"/>
          </w:tcPr>
          <w:p w14:paraId="2948E90B" w14:textId="77777777" w:rsidR="00D550CD" w:rsidRPr="004423D0" w:rsidRDefault="00D550CD" w:rsidP="00B30E00">
            <w:pPr>
              <w:pStyle w:val="Normalgrey"/>
            </w:pPr>
          </w:p>
        </w:tc>
        <w:tc>
          <w:tcPr>
            <w:tcW w:w="174" w:type="dxa"/>
            <w:gridSpan w:val="2"/>
          </w:tcPr>
          <w:p w14:paraId="6D2101B1" w14:textId="77777777" w:rsidR="00D550CD" w:rsidRPr="004423D0" w:rsidRDefault="00D550CD" w:rsidP="00B30E00">
            <w:pPr>
              <w:pStyle w:val="Normalgrey"/>
            </w:pPr>
          </w:p>
        </w:tc>
        <w:tc>
          <w:tcPr>
            <w:tcW w:w="630" w:type="dxa"/>
            <w:gridSpan w:val="2"/>
          </w:tcPr>
          <w:p w14:paraId="264AD412" w14:textId="1CE69F3F" w:rsidR="00D550CD" w:rsidRPr="004423D0" w:rsidRDefault="00D550CD" w:rsidP="00B30E00">
            <w:pPr>
              <w:pStyle w:val="Normalgrey"/>
            </w:pPr>
            <w:r w:rsidRPr="004423D0">
              <w:t>1</w:t>
            </w:r>
            <w:r w:rsidR="008C4061" w:rsidRPr="004423D0">
              <w:t>4</w:t>
            </w:r>
            <w:r w:rsidRPr="004423D0">
              <w:t>.11</w:t>
            </w:r>
          </w:p>
        </w:tc>
        <w:tc>
          <w:tcPr>
            <w:tcW w:w="6067" w:type="dxa"/>
            <w:gridSpan w:val="3"/>
          </w:tcPr>
          <w:p w14:paraId="1FB67841" w14:textId="357B486F" w:rsidR="00D550CD" w:rsidRPr="004423D0" w:rsidRDefault="00D550CD" w:rsidP="00B30E00">
            <w:pPr>
              <w:pStyle w:val="Normalgrey"/>
            </w:pPr>
            <w:r w:rsidRPr="004423D0">
              <w:rPr>
                <w:b/>
              </w:rPr>
              <w:t>Organisational boundary</w:t>
            </w:r>
            <w:r w:rsidRPr="004423D0">
              <w:t xml:space="preserve"> </w:t>
            </w:r>
            <w:r w:rsidR="003F617B" w:rsidRPr="004423D0">
              <w:t xml:space="preserve">– </w:t>
            </w:r>
            <w:r w:rsidRPr="004423D0">
              <w:t>In setting organi</w:t>
            </w:r>
            <w:r w:rsidR="00856156" w:rsidRPr="004423D0">
              <w:t>s</w:t>
            </w:r>
            <w:r w:rsidRPr="004423D0">
              <w:t>ational boundaries, a</w:t>
            </w:r>
            <w:r w:rsidR="00856156" w:rsidRPr="004423D0">
              <w:t>n</w:t>
            </w:r>
            <w:r w:rsidRPr="004423D0">
              <w:t xml:space="preserve"> </w:t>
            </w:r>
            <w:r w:rsidR="00856156" w:rsidRPr="004423D0">
              <w:t xml:space="preserve">organisation </w:t>
            </w:r>
            <w:r w:rsidRPr="004423D0">
              <w:t xml:space="preserve">selects an approach for consolidating </w:t>
            </w:r>
            <w:r w:rsidR="000A0C06" w:rsidRPr="004423D0">
              <w:t>greenhouse gas</w:t>
            </w:r>
            <w:r w:rsidRPr="004423D0">
              <w:t xml:space="preserve"> emissions and then consistently applies the selected approach to define those </w:t>
            </w:r>
            <w:r w:rsidR="00C15E1C" w:rsidRPr="004423D0">
              <w:t>entities</w:t>
            </w:r>
            <w:r w:rsidRPr="004423D0">
              <w:t xml:space="preserve"> and operations that constitute the </w:t>
            </w:r>
            <w:r w:rsidR="00C15E1C" w:rsidRPr="004423D0">
              <w:t>organisation</w:t>
            </w:r>
            <w:r w:rsidRPr="004423D0">
              <w:t xml:space="preserve"> for the purpose of accounting and reporting </w:t>
            </w:r>
            <w:r w:rsidR="00C15E1C" w:rsidRPr="004423D0">
              <w:t>those</w:t>
            </w:r>
            <w:r w:rsidRPr="004423D0">
              <w:t xml:space="preserve"> emission</w:t>
            </w:r>
            <w:r w:rsidR="00C15E1C" w:rsidRPr="004423D0">
              <w:t>s</w:t>
            </w:r>
            <w:r w:rsidR="00295B98" w:rsidRPr="004423D0">
              <w:t>. For more information</w:t>
            </w:r>
            <w:r w:rsidR="00D35438" w:rsidRPr="004423D0">
              <w:t xml:space="preserve">, see </w:t>
            </w:r>
            <w:hyperlink r:id="rId16" w:history="1">
              <w:r w:rsidR="006C3BED" w:rsidRPr="004423D0">
                <w:rPr>
                  <w:rStyle w:val="Hyperlink"/>
                </w:rPr>
                <w:t>https://ghgprotocol.org/sites/default/files/standards/ghg-protocol-revised.pdf</w:t>
              </w:r>
            </w:hyperlink>
            <w:r w:rsidR="006C3BED" w:rsidRPr="004423D0">
              <w:t xml:space="preserve"> </w:t>
            </w:r>
            <w:r w:rsidR="00D35438" w:rsidRPr="004423D0">
              <w:t>(Chapter Three).</w:t>
            </w:r>
          </w:p>
        </w:tc>
      </w:tr>
      <w:tr w:rsidR="00B30E00" w:rsidRPr="004423D0" w14:paraId="01D3FB74" w14:textId="77777777" w:rsidTr="00566D86">
        <w:tc>
          <w:tcPr>
            <w:tcW w:w="2270" w:type="dxa"/>
            <w:gridSpan w:val="2"/>
          </w:tcPr>
          <w:p w14:paraId="13C83DA4" w14:textId="77777777" w:rsidR="00B30E00" w:rsidRPr="004423D0" w:rsidRDefault="00B30E00" w:rsidP="00B30E00">
            <w:pPr>
              <w:pStyle w:val="Normalgrey"/>
            </w:pPr>
          </w:p>
        </w:tc>
        <w:tc>
          <w:tcPr>
            <w:tcW w:w="174" w:type="dxa"/>
            <w:gridSpan w:val="2"/>
          </w:tcPr>
          <w:p w14:paraId="03F169FD" w14:textId="77777777" w:rsidR="00B30E00" w:rsidRPr="004423D0" w:rsidRDefault="00B30E00" w:rsidP="00B30E00">
            <w:pPr>
              <w:pStyle w:val="Normalgrey"/>
            </w:pPr>
          </w:p>
        </w:tc>
        <w:tc>
          <w:tcPr>
            <w:tcW w:w="630" w:type="dxa"/>
            <w:gridSpan w:val="2"/>
          </w:tcPr>
          <w:p w14:paraId="5F7BC53B" w14:textId="42669E5B" w:rsidR="00B30E00" w:rsidRPr="004423D0" w:rsidRDefault="00E301DA" w:rsidP="00B30E00">
            <w:pPr>
              <w:pStyle w:val="Normalgrey"/>
            </w:pPr>
            <w:r w:rsidRPr="004423D0">
              <w:t>1</w:t>
            </w:r>
            <w:r w:rsidR="00477146" w:rsidRPr="004423D0">
              <w:t>4</w:t>
            </w:r>
            <w:r w:rsidRPr="004423D0">
              <w:t>.1</w:t>
            </w:r>
            <w:r w:rsidR="00A47BA7" w:rsidRPr="004423D0">
              <w:t>2</w:t>
            </w:r>
          </w:p>
        </w:tc>
        <w:tc>
          <w:tcPr>
            <w:tcW w:w="6067" w:type="dxa"/>
            <w:gridSpan w:val="3"/>
          </w:tcPr>
          <w:p w14:paraId="2A4A5CB9" w14:textId="5819BC30" w:rsidR="00B30E00" w:rsidRPr="004423D0" w:rsidRDefault="00B30E00" w:rsidP="00B30E00">
            <w:pPr>
              <w:pStyle w:val="Normalgrey"/>
              <w:rPr>
                <w:b/>
                <w:bCs/>
              </w:rPr>
            </w:pPr>
            <w:r w:rsidRPr="004423D0">
              <w:rPr>
                <w:b/>
                <w:bCs/>
              </w:rPr>
              <w:t xml:space="preserve">Recycled content </w:t>
            </w:r>
            <w:r w:rsidRPr="004423D0">
              <w:t>–</w:t>
            </w:r>
            <w:r w:rsidR="00396A37" w:rsidRPr="004423D0">
              <w:t xml:space="preserve"> </w:t>
            </w:r>
            <w:r w:rsidRPr="004423D0">
              <w:t>waste material that has been recovered, reprocessed, and recycled in the creation of a new product. Waste materials include those diverted from the waste stream during a manufacturing process, or after use by households, businesses, or industrial facilities. An example</w:t>
            </w:r>
            <w:r w:rsidRPr="004423D0" w:rsidDel="009E4440">
              <w:t xml:space="preserve"> </w:t>
            </w:r>
            <w:r w:rsidR="009E4440" w:rsidRPr="004423D0">
              <w:t xml:space="preserve">is </w:t>
            </w:r>
            <w:r w:rsidRPr="004423D0">
              <w:t>purchasing uniforms that contain 15% of recycled fibre content. A product counts as ‘recycled content’ if it includes at least some recycled waste material, there is no minimum percentage above 0%.</w:t>
            </w:r>
          </w:p>
        </w:tc>
      </w:tr>
      <w:tr w:rsidR="00B30E00" w:rsidRPr="004423D0" w14:paraId="37ACE418" w14:textId="77777777" w:rsidTr="00566D86">
        <w:tc>
          <w:tcPr>
            <w:tcW w:w="2270" w:type="dxa"/>
            <w:gridSpan w:val="2"/>
          </w:tcPr>
          <w:p w14:paraId="26FC150B" w14:textId="77777777" w:rsidR="00B30E00" w:rsidRPr="004423D0" w:rsidRDefault="00B30E00" w:rsidP="00B30E00">
            <w:pPr>
              <w:pStyle w:val="Normalgrey"/>
            </w:pPr>
          </w:p>
        </w:tc>
        <w:tc>
          <w:tcPr>
            <w:tcW w:w="174" w:type="dxa"/>
            <w:gridSpan w:val="2"/>
          </w:tcPr>
          <w:p w14:paraId="2FC01C7E" w14:textId="77777777" w:rsidR="00B30E00" w:rsidRPr="004423D0" w:rsidRDefault="00B30E00" w:rsidP="00B30E00">
            <w:pPr>
              <w:pStyle w:val="Normalgrey"/>
            </w:pPr>
          </w:p>
        </w:tc>
        <w:tc>
          <w:tcPr>
            <w:tcW w:w="630" w:type="dxa"/>
            <w:gridSpan w:val="2"/>
          </w:tcPr>
          <w:p w14:paraId="7811CAE9" w14:textId="75D5E0F2" w:rsidR="00B30E00" w:rsidRPr="004423D0" w:rsidRDefault="00E301DA" w:rsidP="00B30E00">
            <w:pPr>
              <w:pStyle w:val="Normalgrey"/>
            </w:pPr>
            <w:r w:rsidRPr="004423D0">
              <w:t>1</w:t>
            </w:r>
            <w:r w:rsidR="00477146" w:rsidRPr="004423D0">
              <w:t>4</w:t>
            </w:r>
            <w:r w:rsidRPr="004423D0">
              <w:t>.1</w:t>
            </w:r>
            <w:r w:rsidR="00A47BA7" w:rsidRPr="004423D0">
              <w:t>3</w:t>
            </w:r>
          </w:p>
        </w:tc>
        <w:tc>
          <w:tcPr>
            <w:tcW w:w="6067" w:type="dxa"/>
            <w:gridSpan w:val="3"/>
          </w:tcPr>
          <w:p w14:paraId="5DA2553D" w14:textId="1018BAB4" w:rsidR="00B30E00" w:rsidRPr="004423D0" w:rsidRDefault="00B30E00" w:rsidP="00B30E00">
            <w:pPr>
              <w:pStyle w:val="Normalgrey"/>
              <w:rPr>
                <w:b/>
                <w:bCs/>
              </w:rPr>
            </w:pPr>
            <w:r w:rsidRPr="004423D0">
              <w:rPr>
                <w:b/>
                <w:bCs/>
              </w:rPr>
              <w:t xml:space="preserve">Remanufactured/Refurbished material content </w:t>
            </w:r>
            <w:r w:rsidRPr="004423D0">
              <w:t>–</w:t>
            </w:r>
            <w:r w:rsidRPr="004423D0">
              <w:rPr>
                <w:b/>
                <w:bCs/>
              </w:rPr>
              <w:t xml:space="preserve"> </w:t>
            </w:r>
            <w:r w:rsidRPr="004423D0">
              <w:t>purchased goods have been (or through the contract will be) restored or rebuilt to original (or better) working order and appearance. This can use a combination of reused, repaired, and new parts provided specifications of the original manufactured product are met. An example</w:t>
            </w:r>
            <w:r w:rsidRPr="004423D0" w:rsidDel="009E4440">
              <w:t xml:space="preserve"> </w:t>
            </w:r>
            <w:r w:rsidR="009E4440" w:rsidRPr="004423D0">
              <w:t xml:space="preserve">is </w:t>
            </w:r>
            <w:r w:rsidRPr="004423D0">
              <w:t>purchasing refurbished office chairs with new cushions.</w:t>
            </w:r>
          </w:p>
        </w:tc>
      </w:tr>
      <w:tr w:rsidR="00B30E00" w:rsidRPr="004423D0" w14:paraId="507BD987" w14:textId="77777777" w:rsidTr="00566D86">
        <w:tc>
          <w:tcPr>
            <w:tcW w:w="2270" w:type="dxa"/>
            <w:gridSpan w:val="2"/>
          </w:tcPr>
          <w:p w14:paraId="05C33761" w14:textId="77777777" w:rsidR="00B30E00" w:rsidRPr="004423D0" w:rsidRDefault="00B30E00" w:rsidP="00B30E00">
            <w:pPr>
              <w:pStyle w:val="Normalgrey"/>
            </w:pPr>
          </w:p>
        </w:tc>
        <w:tc>
          <w:tcPr>
            <w:tcW w:w="174" w:type="dxa"/>
            <w:gridSpan w:val="2"/>
          </w:tcPr>
          <w:p w14:paraId="2D302BA7" w14:textId="77777777" w:rsidR="00B30E00" w:rsidRPr="004423D0" w:rsidRDefault="00B30E00" w:rsidP="00B30E00">
            <w:pPr>
              <w:pStyle w:val="Normalgrey"/>
            </w:pPr>
          </w:p>
        </w:tc>
        <w:tc>
          <w:tcPr>
            <w:tcW w:w="630" w:type="dxa"/>
            <w:gridSpan w:val="2"/>
          </w:tcPr>
          <w:p w14:paraId="2C076DFA" w14:textId="2923A697" w:rsidR="00B30E00" w:rsidRPr="004423D0" w:rsidRDefault="00E301DA" w:rsidP="00B30E00">
            <w:pPr>
              <w:pStyle w:val="Normalgrey"/>
            </w:pPr>
            <w:r w:rsidRPr="004423D0">
              <w:t>1</w:t>
            </w:r>
            <w:r w:rsidR="00477146" w:rsidRPr="004423D0">
              <w:t>4</w:t>
            </w:r>
            <w:r w:rsidRPr="004423D0">
              <w:t>.1</w:t>
            </w:r>
            <w:r w:rsidR="00A47BA7" w:rsidRPr="004423D0">
              <w:t>4</w:t>
            </w:r>
          </w:p>
        </w:tc>
        <w:tc>
          <w:tcPr>
            <w:tcW w:w="6067" w:type="dxa"/>
            <w:gridSpan w:val="3"/>
          </w:tcPr>
          <w:p w14:paraId="3412CE29" w14:textId="4D524A5D" w:rsidR="00B30E00" w:rsidRPr="004423D0" w:rsidRDefault="00B30E00" w:rsidP="00B30E00">
            <w:pPr>
              <w:pStyle w:val="Normalgrey"/>
              <w:rPr>
                <w:b/>
                <w:bCs/>
              </w:rPr>
            </w:pPr>
            <w:r w:rsidRPr="004423D0">
              <w:rPr>
                <w:b/>
                <w:bCs/>
              </w:rPr>
              <w:t xml:space="preserve">Repurposed materials </w:t>
            </w:r>
            <w:r w:rsidRPr="004423D0">
              <w:t>–</w:t>
            </w:r>
            <w:r w:rsidRPr="004423D0">
              <w:rPr>
                <w:b/>
                <w:bCs/>
              </w:rPr>
              <w:t xml:space="preserve"> </w:t>
            </w:r>
            <w:r w:rsidRPr="004423D0">
              <w:t xml:space="preserve">goods provided through the contract have been deliberately reused for a new, different purpose. An example </w:t>
            </w:r>
            <w:r w:rsidR="009E4440" w:rsidRPr="004423D0">
              <w:t xml:space="preserve">is </w:t>
            </w:r>
            <w:r w:rsidRPr="004423D0">
              <w:t>purchasing shipping containers for storage of equipment at government sites.</w:t>
            </w:r>
          </w:p>
        </w:tc>
      </w:tr>
      <w:tr w:rsidR="00B30E00" w:rsidRPr="004423D0" w14:paraId="19D4FDFB" w14:textId="77777777" w:rsidTr="00566D86">
        <w:tc>
          <w:tcPr>
            <w:tcW w:w="2270" w:type="dxa"/>
            <w:gridSpan w:val="2"/>
          </w:tcPr>
          <w:p w14:paraId="39D1F495" w14:textId="77777777" w:rsidR="00B30E00" w:rsidRPr="004423D0" w:rsidRDefault="00B30E00" w:rsidP="00B30E00">
            <w:pPr>
              <w:pStyle w:val="Normalgrey"/>
            </w:pPr>
          </w:p>
        </w:tc>
        <w:tc>
          <w:tcPr>
            <w:tcW w:w="174" w:type="dxa"/>
            <w:gridSpan w:val="2"/>
          </w:tcPr>
          <w:p w14:paraId="46A0DB09" w14:textId="77777777" w:rsidR="00B30E00" w:rsidRPr="004423D0" w:rsidRDefault="00B30E00" w:rsidP="00B30E00">
            <w:pPr>
              <w:pStyle w:val="Normalgrey"/>
            </w:pPr>
          </w:p>
        </w:tc>
        <w:tc>
          <w:tcPr>
            <w:tcW w:w="630" w:type="dxa"/>
            <w:gridSpan w:val="2"/>
          </w:tcPr>
          <w:p w14:paraId="23FFB91F" w14:textId="57BAC04D" w:rsidR="00B30E00" w:rsidRPr="004423D0" w:rsidRDefault="00E301DA" w:rsidP="00B30E00">
            <w:pPr>
              <w:pStyle w:val="Normalgrey"/>
            </w:pPr>
            <w:r w:rsidRPr="004423D0">
              <w:t>1</w:t>
            </w:r>
            <w:r w:rsidR="00477146" w:rsidRPr="004423D0">
              <w:t>4</w:t>
            </w:r>
            <w:r w:rsidRPr="004423D0">
              <w:t>.15</w:t>
            </w:r>
          </w:p>
        </w:tc>
        <w:tc>
          <w:tcPr>
            <w:tcW w:w="6067" w:type="dxa"/>
            <w:gridSpan w:val="3"/>
          </w:tcPr>
          <w:p w14:paraId="246D8D5D" w14:textId="5BC753A4" w:rsidR="00B30E00" w:rsidRPr="004423D0" w:rsidRDefault="00B30E00" w:rsidP="00B30E00">
            <w:pPr>
              <w:pStyle w:val="Normalgrey"/>
              <w:rPr>
                <w:b/>
                <w:bCs/>
              </w:rPr>
            </w:pPr>
            <w:r w:rsidRPr="004423D0">
              <w:rPr>
                <w:b/>
                <w:bCs/>
              </w:rPr>
              <w:t xml:space="preserve">Restorative materials </w:t>
            </w:r>
            <w:r w:rsidRPr="004423D0">
              <w:t>– materials sourced from recovered waste from the environment, such as ocean plastics and landfill mining, that help return the environment to a healthier state.</w:t>
            </w:r>
          </w:p>
        </w:tc>
      </w:tr>
      <w:tr w:rsidR="00B30E00" w:rsidRPr="004423D0" w14:paraId="60EF015A" w14:textId="77777777" w:rsidTr="00566D86">
        <w:tc>
          <w:tcPr>
            <w:tcW w:w="2270" w:type="dxa"/>
            <w:gridSpan w:val="2"/>
          </w:tcPr>
          <w:p w14:paraId="432383EA" w14:textId="77777777" w:rsidR="00B30E00" w:rsidRPr="004423D0" w:rsidRDefault="00B30E00" w:rsidP="00B30E00">
            <w:pPr>
              <w:pStyle w:val="Normalgrey"/>
            </w:pPr>
          </w:p>
        </w:tc>
        <w:tc>
          <w:tcPr>
            <w:tcW w:w="174" w:type="dxa"/>
            <w:gridSpan w:val="2"/>
          </w:tcPr>
          <w:p w14:paraId="448886CA" w14:textId="77777777" w:rsidR="00B30E00" w:rsidRPr="004423D0" w:rsidRDefault="00B30E00" w:rsidP="00B30E00">
            <w:pPr>
              <w:pStyle w:val="Normalgrey"/>
            </w:pPr>
          </w:p>
        </w:tc>
        <w:tc>
          <w:tcPr>
            <w:tcW w:w="630" w:type="dxa"/>
            <w:gridSpan w:val="2"/>
          </w:tcPr>
          <w:p w14:paraId="44A7BCF6" w14:textId="327034D2" w:rsidR="00B30E00" w:rsidRPr="004423D0" w:rsidRDefault="00E301DA" w:rsidP="00B30E00">
            <w:pPr>
              <w:pStyle w:val="Normalgrey"/>
            </w:pPr>
            <w:r w:rsidRPr="004423D0">
              <w:t>1</w:t>
            </w:r>
            <w:r w:rsidR="00477146" w:rsidRPr="004423D0">
              <w:t>4</w:t>
            </w:r>
            <w:r w:rsidRPr="004423D0">
              <w:t>.1</w:t>
            </w:r>
            <w:r w:rsidR="00A47BA7" w:rsidRPr="004423D0">
              <w:t>6</w:t>
            </w:r>
          </w:p>
        </w:tc>
        <w:tc>
          <w:tcPr>
            <w:tcW w:w="6067" w:type="dxa"/>
            <w:gridSpan w:val="3"/>
          </w:tcPr>
          <w:p w14:paraId="72091171" w14:textId="173EB002" w:rsidR="00B30E00" w:rsidRPr="004423D0" w:rsidRDefault="00B30E00" w:rsidP="00B30E00">
            <w:pPr>
              <w:pStyle w:val="Normalgrey"/>
              <w:rPr>
                <w:b/>
                <w:bCs/>
              </w:rPr>
            </w:pPr>
            <w:r w:rsidRPr="004423D0">
              <w:rPr>
                <w:b/>
                <w:bCs/>
              </w:rPr>
              <w:t xml:space="preserve">Reused materials </w:t>
            </w:r>
            <w:r w:rsidRPr="004423D0">
              <w:t xml:space="preserve">– goods provided through the contract are second-hand and are being used again for the same purpose. An example </w:t>
            </w:r>
            <w:r w:rsidR="009E4440" w:rsidRPr="004423D0">
              <w:t xml:space="preserve">is </w:t>
            </w:r>
            <w:r w:rsidRPr="004423D0">
              <w:t>purchasing second-hand office desks for a new office fit out.</w:t>
            </w:r>
          </w:p>
        </w:tc>
      </w:tr>
      <w:tr w:rsidR="00B30E00" w:rsidRPr="004423D0" w14:paraId="04AD00A3" w14:textId="77777777" w:rsidTr="00566D86">
        <w:tc>
          <w:tcPr>
            <w:tcW w:w="2270" w:type="dxa"/>
            <w:gridSpan w:val="2"/>
          </w:tcPr>
          <w:p w14:paraId="6ACD5FEE" w14:textId="77777777" w:rsidR="00B30E00" w:rsidRPr="004423D0" w:rsidRDefault="00B30E00" w:rsidP="00B30E00">
            <w:pPr>
              <w:pStyle w:val="Normalgrey"/>
            </w:pPr>
          </w:p>
        </w:tc>
        <w:tc>
          <w:tcPr>
            <w:tcW w:w="174" w:type="dxa"/>
            <w:gridSpan w:val="2"/>
          </w:tcPr>
          <w:p w14:paraId="63E61888" w14:textId="77777777" w:rsidR="00B30E00" w:rsidRPr="004423D0" w:rsidRDefault="00B30E00" w:rsidP="00B30E00">
            <w:pPr>
              <w:pStyle w:val="Normalgrey"/>
            </w:pPr>
          </w:p>
        </w:tc>
        <w:tc>
          <w:tcPr>
            <w:tcW w:w="630" w:type="dxa"/>
            <w:gridSpan w:val="2"/>
          </w:tcPr>
          <w:p w14:paraId="0D4808FA" w14:textId="15A736E1" w:rsidR="00B30E00" w:rsidRPr="004423D0" w:rsidRDefault="00E301DA" w:rsidP="00B30E00">
            <w:pPr>
              <w:pStyle w:val="Normalgrey"/>
            </w:pPr>
            <w:r w:rsidRPr="004423D0">
              <w:t>1</w:t>
            </w:r>
            <w:r w:rsidR="00477146" w:rsidRPr="004423D0">
              <w:t>4</w:t>
            </w:r>
            <w:r w:rsidRPr="004423D0">
              <w:t>.1</w:t>
            </w:r>
            <w:r w:rsidR="00A47BA7" w:rsidRPr="004423D0">
              <w:t>7</w:t>
            </w:r>
          </w:p>
        </w:tc>
        <w:tc>
          <w:tcPr>
            <w:tcW w:w="6067" w:type="dxa"/>
            <w:gridSpan w:val="3"/>
          </w:tcPr>
          <w:p w14:paraId="34E45E0A" w14:textId="4AF1205E" w:rsidR="00B30E00" w:rsidRPr="004423D0" w:rsidRDefault="00B30E00" w:rsidP="00B30E00">
            <w:pPr>
              <w:pStyle w:val="Normalgrey"/>
            </w:pPr>
            <w:r w:rsidRPr="004423D0">
              <w:rPr>
                <w:b/>
                <w:bCs/>
              </w:rPr>
              <w:t>Water source</w:t>
            </w:r>
            <w:r w:rsidRPr="004423D0">
              <w:t xml:space="preserve"> – </w:t>
            </w:r>
            <w:r w:rsidR="003C0B52" w:rsidRPr="004423D0">
              <w:t>includes</w:t>
            </w:r>
            <w:r w:rsidRPr="004423D0">
              <w:t>:</w:t>
            </w:r>
          </w:p>
          <w:p w14:paraId="0738D430" w14:textId="77777777" w:rsidR="00B30E00" w:rsidRPr="004423D0" w:rsidRDefault="00B30E00" w:rsidP="00B30E00">
            <w:pPr>
              <w:pStyle w:val="Bullet1grey"/>
            </w:pPr>
            <w:r w:rsidRPr="004423D0">
              <w:t>potable water consumption (metered potable water from a town water supply)</w:t>
            </w:r>
          </w:p>
          <w:p w14:paraId="19828ECD" w14:textId="77777777" w:rsidR="00B30E00" w:rsidRPr="004423D0" w:rsidRDefault="00B30E00" w:rsidP="00B30E00">
            <w:pPr>
              <w:pStyle w:val="Bullet1grey"/>
            </w:pPr>
            <w:r w:rsidRPr="004423D0">
              <w:t>metered rainwater collection consumption (where available)</w:t>
            </w:r>
          </w:p>
          <w:p w14:paraId="443FFC6C" w14:textId="318A1634" w:rsidR="00B30E00" w:rsidRPr="004423D0" w:rsidRDefault="00B30E00" w:rsidP="00B30E00">
            <w:pPr>
              <w:pStyle w:val="Bullet1grey"/>
            </w:pPr>
            <w:r w:rsidRPr="004423D0">
              <w:t>metered alternate supply consumption (e.g. river, stream, aquifer, bore, fire supply, third pipe etc.)</w:t>
            </w:r>
          </w:p>
          <w:p w14:paraId="1F8D240E" w14:textId="4886E523" w:rsidR="00B30E00" w:rsidRPr="004423D0" w:rsidRDefault="00B30E00" w:rsidP="00B30E00">
            <w:pPr>
              <w:pStyle w:val="Bullet1grey"/>
              <w:rPr>
                <w:b/>
                <w:bCs/>
              </w:rPr>
            </w:pPr>
            <w:r w:rsidRPr="004423D0">
              <w:t>metered reused water consumption (e.g. grey or black water)</w:t>
            </w:r>
          </w:p>
        </w:tc>
      </w:tr>
      <w:tr w:rsidR="009829B1" w:rsidRPr="004423D0" w14:paraId="76E1D590" w14:textId="77777777" w:rsidTr="00C34CC9">
        <w:tc>
          <w:tcPr>
            <w:tcW w:w="2270" w:type="dxa"/>
            <w:gridSpan w:val="2"/>
          </w:tcPr>
          <w:p w14:paraId="034A6FC2" w14:textId="1FFEAAAE" w:rsidR="009829B1" w:rsidRPr="004423D0" w:rsidRDefault="00566D86" w:rsidP="00B30E00">
            <w:pPr>
              <w:pStyle w:val="Normalgrey"/>
            </w:pPr>
            <w:r w:rsidRPr="004423D0">
              <w:lastRenderedPageBreak/>
              <w:t>Guidance</w:t>
            </w:r>
          </w:p>
        </w:tc>
        <w:tc>
          <w:tcPr>
            <w:tcW w:w="174" w:type="dxa"/>
            <w:gridSpan w:val="2"/>
          </w:tcPr>
          <w:p w14:paraId="59AE2697" w14:textId="77777777" w:rsidR="009829B1" w:rsidRPr="004423D0" w:rsidRDefault="009829B1" w:rsidP="00B30E00">
            <w:pPr>
              <w:pStyle w:val="Normalgrey"/>
            </w:pPr>
          </w:p>
        </w:tc>
        <w:tc>
          <w:tcPr>
            <w:tcW w:w="630" w:type="dxa"/>
            <w:gridSpan w:val="2"/>
          </w:tcPr>
          <w:p w14:paraId="090B42C8" w14:textId="221752E6" w:rsidR="009829B1" w:rsidRPr="004423D0" w:rsidRDefault="009829B1" w:rsidP="00B30E00">
            <w:pPr>
              <w:pStyle w:val="Normalgrey"/>
            </w:pPr>
            <w:r w:rsidRPr="004423D0">
              <w:t>1</w:t>
            </w:r>
            <w:r w:rsidR="002C0C86" w:rsidRPr="004423D0">
              <w:t>5</w:t>
            </w:r>
            <w:r w:rsidRPr="004423D0">
              <w:t>.</w:t>
            </w:r>
            <w:r w:rsidR="00857918" w:rsidRPr="004423D0">
              <w:t>1</w:t>
            </w:r>
          </w:p>
        </w:tc>
        <w:tc>
          <w:tcPr>
            <w:tcW w:w="6067" w:type="dxa"/>
            <w:gridSpan w:val="3"/>
          </w:tcPr>
          <w:p w14:paraId="0AB3774B" w14:textId="77777777" w:rsidR="00711350" w:rsidRPr="00273A66" w:rsidRDefault="00711350" w:rsidP="00711350">
            <w:pPr>
              <w:pStyle w:val="Normalbold"/>
              <w:rPr>
                <w:rFonts w:ascii="Arial" w:eastAsia="Arial" w:hAnsi="Arial"/>
                <w:color w:val="4D4D4D"/>
              </w:rPr>
            </w:pPr>
            <w:r w:rsidRPr="00273A66">
              <w:rPr>
                <w:rFonts w:ascii="Arial" w:eastAsia="Arial" w:hAnsi="Arial" w:cs="Calibri"/>
                <w:color w:val="4D4D4D"/>
              </w:rPr>
              <w:t xml:space="preserve">Portfolio </w:t>
            </w:r>
            <w:r w:rsidRPr="00273A66">
              <w:rPr>
                <w:color w:val="4D4D4D"/>
              </w:rPr>
              <w:t>reporting</w:t>
            </w:r>
          </w:p>
          <w:p w14:paraId="100DA78F" w14:textId="4298777E" w:rsidR="009829B1" w:rsidRPr="00273A66" w:rsidRDefault="00711350" w:rsidP="00C34CC9">
            <w:pPr>
              <w:pStyle w:val="Bullet1grey"/>
              <w:numPr>
                <w:ilvl w:val="0"/>
                <w:numId w:val="0"/>
              </w:numPr>
              <w:rPr>
                <w:b/>
                <w:bCs/>
              </w:rPr>
            </w:pPr>
            <w:r w:rsidRPr="00273A66">
              <w:rPr>
                <w:rFonts w:ascii="Arial" w:eastAsia="Arial" w:hAnsi="Arial"/>
              </w:rPr>
              <w:t>A department may report on behalf of any of its portfolio entities by mutual agreement, where note of this arrangement is made in both the department’s and the entity’s annual reports. For reporting on another entity’s operations, the department only needs to report to the requirements of the tier of that entity (as per Appendix 1 and 2).</w:t>
            </w:r>
          </w:p>
        </w:tc>
      </w:tr>
      <w:tr w:rsidR="005576C3" w:rsidRPr="004423D0" w14:paraId="32989038" w14:textId="77777777" w:rsidTr="00C34CC9">
        <w:tc>
          <w:tcPr>
            <w:tcW w:w="2270" w:type="dxa"/>
            <w:gridSpan w:val="2"/>
          </w:tcPr>
          <w:p w14:paraId="0259391E" w14:textId="77777777" w:rsidR="005576C3" w:rsidRPr="004423D0" w:rsidRDefault="005576C3" w:rsidP="00B30E00">
            <w:pPr>
              <w:pStyle w:val="Normalgrey"/>
            </w:pPr>
          </w:p>
        </w:tc>
        <w:tc>
          <w:tcPr>
            <w:tcW w:w="174" w:type="dxa"/>
            <w:gridSpan w:val="2"/>
          </w:tcPr>
          <w:p w14:paraId="33F0D864" w14:textId="77777777" w:rsidR="005576C3" w:rsidRPr="004423D0" w:rsidRDefault="005576C3" w:rsidP="00B30E00">
            <w:pPr>
              <w:pStyle w:val="Normalgrey"/>
            </w:pPr>
          </w:p>
        </w:tc>
        <w:tc>
          <w:tcPr>
            <w:tcW w:w="630" w:type="dxa"/>
            <w:gridSpan w:val="2"/>
          </w:tcPr>
          <w:p w14:paraId="39AA396A" w14:textId="642749D1" w:rsidR="005576C3" w:rsidRPr="004423D0" w:rsidRDefault="005576C3" w:rsidP="00B30E00">
            <w:pPr>
              <w:pStyle w:val="Normalgrey"/>
            </w:pPr>
            <w:r w:rsidRPr="004423D0">
              <w:t>1</w:t>
            </w:r>
            <w:r w:rsidR="002C0C86" w:rsidRPr="004423D0">
              <w:t>5</w:t>
            </w:r>
            <w:r w:rsidRPr="004423D0">
              <w:t>.</w:t>
            </w:r>
            <w:r w:rsidR="00857918" w:rsidRPr="004423D0">
              <w:t>2</w:t>
            </w:r>
          </w:p>
        </w:tc>
        <w:tc>
          <w:tcPr>
            <w:tcW w:w="6067" w:type="dxa"/>
            <w:gridSpan w:val="3"/>
          </w:tcPr>
          <w:p w14:paraId="75C14C6D" w14:textId="77777777" w:rsidR="005576C3" w:rsidRPr="00273A66" w:rsidRDefault="005576C3" w:rsidP="005576C3">
            <w:pPr>
              <w:pStyle w:val="Normalbold"/>
              <w:rPr>
                <w:color w:val="4D4D4D"/>
              </w:rPr>
            </w:pPr>
            <w:r w:rsidRPr="00273A66">
              <w:rPr>
                <w:color w:val="4D4D4D"/>
              </w:rPr>
              <w:t>Reporting year</w:t>
            </w:r>
          </w:p>
          <w:p w14:paraId="5269741E" w14:textId="139DED3B" w:rsidR="005576C3" w:rsidRPr="004423D0" w:rsidRDefault="005576C3" w:rsidP="00C34CC9">
            <w:pPr>
              <w:pStyle w:val="Bullet1grey"/>
              <w:numPr>
                <w:ilvl w:val="0"/>
                <w:numId w:val="0"/>
              </w:numPr>
              <w:rPr>
                <w:rFonts w:ascii="Arial" w:eastAsia="Arial" w:hAnsi="Arial"/>
                <w:b/>
              </w:rPr>
            </w:pPr>
            <w:r w:rsidRPr="004423D0">
              <w:rPr>
                <w:rFonts w:ascii="Arial" w:eastAsia="Arial" w:hAnsi="Arial"/>
              </w:rPr>
              <w:t>Entities should report data for the previous year within their Annual Report of Operations for the period coincident with their financial report. Where reporting to this period is not practicable due to data availability, entities may alternatively report to another 12-month period, provided this is noted for all tabulated data.</w:t>
            </w:r>
          </w:p>
        </w:tc>
      </w:tr>
      <w:tr w:rsidR="00B30E00" w:rsidRPr="004423D0" w14:paraId="7A2D850E" w14:textId="77777777" w:rsidTr="00566D86">
        <w:tc>
          <w:tcPr>
            <w:tcW w:w="2270" w:type="dxa"/>
            <w:gridSpan w:val="2"/>
          </w:tcPr>
          <w:p w14:paraId="7B3441E7" w14:textId="77777777" w:rsidR="00B30E00" w:rsidRPr="004423D0" w:rsidRDefault="00B30E00" w:rsidP="00B30E00">
            <w:pPr>
              <w:pStyle w:val="Normalgrey"/>
            </w:pPr>
            <w:r w:rsidRPr="004423D0">
              <w:t>Relevant pronouncements</w:t>
            </w:r>
          </w:p>
        </w:tc>
        <w:tc>
          <w:tcPr>
            <w:tcW w:w="174" w:type="dxa"/>
            <w:gridSpan w:val="2"/>
          </w:tcPr>
          <w:p w14:paraId="1ED12F49" w14:textId="77777777" w:rsidR="00B30E00" w:rsidRPr="004423D0" w:rsidRDefault="00B30E00" w:rsidP="00B30E00">
            <w:pPr>
              <w:pStyle w:val="Normalgrey"/>
            </w:pPr>
          </w:p>
        </w:tc>
        <w:tc>
          <w:tcPr>
            <w:tcW w:w="630" w:type="dxa"/>
            <w:gridSpan w:val="2"/>
          </w:tcPr>
          <w:p w14:paraId="5A0FBA71" w14:textId="37DB99E2" w:rsidR="00B30E00" w:rsidRPr="004423D0" w:rsidRDefault="00E301DA" w:rsidP="00B30E00">
            <w:pPr>
              <w:pStyle w:val="Normalgrey"/>
            </w:pPr>
            <w:r w:rsidRPr="004423D0">
              <w:t>1</w:t>
            </w:r>
            <w:r w:rsidR="00AB1404">
              <w:t>6</w:t>
            </w:r>
            <w:r w:rsidRPr="004423D0">
              <w:t>.1</w:t>
            </w:r>
          </w:p>
        </w:tc>
        <w:tc>
          <w:tcPr>
            <w:tcW w:w="6067" w:type="dxa"/>
            <w:gridSpan w:val="3"/>
          </w:tcPr>
          <w:p w14:paraId="67FBC99B" w14:textId="77777777" w:rsidR="00B30E00" w:rsidRPr="004423D0" w:rsidRDefault="00B30E00" w:rsidP="00B30E00">
            <w:pPr>
              <w:pStyle w:val="Bullet1grey"/>
            </w:pPr>
            <w:r w:rsidRPr="004423D0">
              <w:rPr>
                <w:i/>
                <w:iCs/>
              </w:rPr>
              <w:t>Climate Change Act 2017 (Vic)</w:t>
            </w:r>
            <w:r w:rsidRPr="004423D0">
              <w:t xml:space="preserve"> and the:</w:t>
            </w:r>
          </w:p>
          <w:p w14:paraId="41723F49" w14:textId="77777777" w:rsidR="00B30E00" w:rsidRPr="004423D0" w:rsidRDefault="00B30E00" w:rsidP="00B30E00">
            <w:pPr>
              <w:pStyle w:val="Bullet2grey"/>
            </w:pPr>
            <w:r w:rsidRPr="004423D0">
              <w:t>Climate Change Strategy</w:t>
            </w:r>
          </w:p>
          <w:p w14:paraId="56F2B6A6" w14:textId="77777777" w:rsidR="00B30E00" w:rsidRPr="004423D0" w:rsidRDefault="00B30E00" w:rsidP="00B30E00">
            <w:pPr>
              <w:pStyle w:val="Bullet2grey"/>
            </w:pPr>
            <w:r w:rsidRPr="004423D0">
              <w:t>Whole of Victorian Government pledge 2021-25; and</w:t>
            </w:r>
          </w:p>
          <w:p w14:paraId="3855E40F" w14:textId="77777777" w:rsidR="00B30E00" w:rsidRPr="004423D0" w:rsidRDefault="00B30E00" w:rsidP="00B30E00">
            <w:pPr>
              <w:pStyle w:val="Bullet2grey"/>
            </w:pPr>
            <w:r w:rsidRPr="004423D0">
              <w:t xml:space="preserve">Climate Change Adaptation Action Plans </w:t>
            </w:r>
          </w:p>
          <w:p w14:paraId="521AE08D" w14:textId="77777777" w:rsidR="00B30E00" w:rsidRPr="004423D0" w:rsidRDefault="00B30E00" w:rsidP="00B30E00">
            <w:pPr>
              <w:pStyle w:val="Bullet1grey"/>
              <w:rPr>
                <w:i/>
                <w:iCs/>
              </w:rPr>
            </w:pPr>
            <w:r w:rsidRPr="004423D0">
              <w:rPr>
                <w:i/>
                <w:iCs/>
              </w:rPr>
              <w:t>Environment Protection Act 2017 (Vic)</w:t>
            </w:r>
          </w:p>
          <w:p w14:paraId="6C25578A" w14:textId="7EAB47B1" w:rsidR="00B30E00" w:rsidRPr="004423D0" w:rsidRDefault="00B30E00" w:rsidP="00B30E00">
            <w:pPr>
              <w:pStyle w:val="Bullet1grey"/>
            </w:pPr>
            <w:r w:rsidRPr="004423D0">
              <w:t xml:space="preserve">FRD 22 </w:t>
            </w:r>
            <w:r w:rsidRPr="00273A66">
              <w:rPr>
                <w:i/>
                <w:iCs/>
              </w:rPr>
              <w:t>Standard Disclosures in the Report of Operations</w:t>
            </w:r>
            <w:r w:rsidRPr="004423D0">
              <w:t xml:space="preserve"> </w:t>
            </w:r>
          </w:p>
          <w:p w14:paraId="6F9C2C8F" w14:textId="0BEA5447" w:rsidR="00B30E00" w:rsidRPr="004423D0" w:rsidRDefault="00B30E00" w:rsidP="00B30E00">
            <w:pPr>
              <w:pStyle w:val="Bullet1grey"/>
            </w:pPr>
            <w:r w:rsidRPr="004423D0">
              <w:t>Guide to Environmental Impact in Procurement can be found on the Victorian Government Purchasing Board (VGPB) website at www.vgpb.vic.gov.au</w:t>
            </w:r>
          </w:p>
          <w:p w14:paraId="55666BA6" w14:textId="3BE2048B" w:rsidR="00B30E00" w:rsidRPr="004423D0" w:rsidRDefault="00F4045C" w:rsidP="002B441B">
            <w:pPr>
              <w:pStyle w:val="Bullet1grey"/>
            </w:pPr>
            <w:r w:rsidRPr="004423D0">
              <w:t>Vic</w:t>
            </w:r>
            <w:r w:rsidR="002C6A47" w:rsidRPr="004423D0">
              <w:t xml:space="preserve">toria’s circular economy plan, </w:t>
            </w:r>
            <w:r w:rsidR="00B30E00" w:rsidRPr="004423D0">
              <w:t>Recycling Victoria: a new economy</w:t>
            </w:r>
            <w:r w:rsidR="002C6A47" w:rsidRPr="004423D0">
              <w:t>,</w:t>
            </w:r>
            <w:r w:rsidR="00DB4784" w:rsidRPr="004423D0">
              <w:t xml:space="preserve"> </w:t>
            </w:r>
            <w:r w:rsidR="00B2786E" w:rsidRPr="004423D0">
              <w:t>can be found</w:t>
            </w:r>
            <w:r w:rsidR="00B11E56" w:rsidRPr="004423D0">
              <w:t xml:space="preserve"> </w:t>
            </w:r>
            <w:r w:rsidR="00B2786E" w:rsidRPr="004423D0">
              <w:t>at</w:t>
            </w:r>
            <w:r w:rsidR="002B441B" w:rsidRPr="004423D0">
              <w:t xml:space="preserve"> www.vic.gov.au/victorias-plan-circular-economy</w:t>
            </w:r>
            <w:r w:rsidR="000E3FA9" w:rsidRPr="004423D0">
              <w:t xml:space="preserve"> </w:t>
            </w:r>
          </w:p>
          <w:p w14:paraId="553CA954" w14:textId="77777777" w:rsidR="00B30E00" w:rsidRPr="004423D0" w:rsidRDefault="00B30E00" w:rsidP="00B30E00">
            <w:pPr>
              <w:pStyle w:val="Bullet1grey"/>
              <w:rPr>
                <w:i/>
                <w:iCs/>
              </w:rPr>
            </w:pPr>
            <w:r w:rsidRPr="004423D0">
              <w:rPr>
                <w:i/>
                <w:iCs/>
              </w:rPr>
              <w:t>Renewable Energy (Jobs and Investment) Act 2017 (Vic)</w:t>
            </w:r>
          </w:p>
          <w:p w14:paraId="1338D62F" w14:textId="77777777" w:rsidR="00B30E00" w:rsidRPr="004423D0" w:rsidRDefault="00B30E00" w:rsidP="00B30E00">
            <w:pPr>
              <w:pStyle w:val="Bullet1grey"/>
            </w:pPr>
            <w:r w:rsidRPr="004423D0">
              <w:t>Sustainable Investment Guidelines</w:t>
            </w:r>
          </w:p>
          <w:p w14:paraId="067D7450" w14:textId="77777777" w:rsidR="00B30E00" w:rsidRPr="004423D0" w:rsidRDefault="00B30E00" w:rsidP="00B30E00">
            <w:pPr>
              <w:pStyle w:val="Bullet1grey"/>
            </w:pPr>
            <w:r w:rsidRPr="004423D0">
              <w:t>Victorian Government Risk Management Framework</w:t>
            </w:r>
          </w:p>
          <w:p w14:paraId="2870605D" w14:textId="15E3CD20" w:rsidR="00B30E00" w:rsidRPr="004423D0" w:rsidRDefault="00B30E00" w:rsidP="00B30E00">
            <w:pPr>
              <w:pStyle w:val="Bullet1grey"/>
              <w:rPr>
                <w:i/>
                <w:iCs/>
              </w:rPr>
            </w:pPr>
            <w:r w:rsidRPr="004423D0">
              <w:rPr>
                <w:i/>
                <w:iCs/>
              </w:rPr>
              <w:t>Water Act 1989 (Vic)</w:t>
            </w:r>
          </w:p>
        </w:tc>
      </w:tr>
      <w:tr w:rsidR="00B30E00" w:rsidRPr="004423D0" w14:paraId="70A25401" w14:textId="77777777" w:rsidTr="00566D86">
        <w:tc>
          <w:tcPr>
            <w:tcW w:w="2270" w:type="dxa"/>
            <w:gridSpan w:val="2"/>
          </w:tcPr>
          <w:p w14:paraId="01CE29DB" w14:textId="77777777" w:rsidR="00B30E00" w:rsidRPr="004423D0" w:rsidRDefault="00B30E00" w:rsidP="00B30E00">
            <w:pPr>
              <w:pStyle w:val="Normalgrey"/>
            </w:pPr>
            <w:r w:rsidRPr="004423D0">
              <w:lastRenderedPageBreak/>
              <w:t>Background</w:t>
            </w:r>
          </w:p>
          <w:p w14:paraId="00D08178" w14:textId="77777777" w:rsidR="00AD0E7E" w:rsidRPr="004423D0" w:rsidRDefault="00AD0E7E" w:rsidP="00B30E00">
            <w:pPr>
              <w:pStyle w:val="Normalgrey"/>
            </w:pPr>
          </w:p>
          <w:p w14:paraId="507E7979" w14:textId="77777777" w:rsidR="00AD0E7E" w:rsidRPr="004423D0" w:rsidRDefault="00AD0E7E" w:rsidP="00B30E00">
            <w:pPr>
              <w:pStyle w:val="Normalgrey"/>
            </w:pPr>
          </w:p>
          <w:p w14:paraId="4CADEF14" w14:textId="77777777" w:rsidR="00AD0E7E" w:rsidRPr="004423D0" w:rsidRDefault="00AD0E7E" w:rsidP="00B30E00">
            <w:pPr>
              <w:pStyle w:val="Normalgrey"/>
            </w:pPr>
          </w:p>
          <w:p w14:paraId="053E99B9" w14:textId="77777777" w:rsidR="00AD0E7E" w:rsidRPr="004423D0" w:rsidRDefault="00AD0E7E" w:rsidP="00B30E00">
            <w:pPr>
              <w:pStyle w:val="Normalgrey"/>
            </w:pPr>
          </w:p>
          <w:p w14:paraId="6C9E9A1F" w14:textId="77777777" w:rsidR="00AD0E7E" w:rsidRPr="004423D0" w:rsidRDefault="00AD0E7E" w:rsidP="00B30E00">
            <w:pPr>
              <w:pStyle w:val="Normalgrey"/>
            </w:pPr>
          </w:p>
          <w:p w14:paraId="00CBAA74" w14:textId="77777777" w:rsidR="00AD0E7E" w:rsidRPr="004423D0" w:rsidRDefault="00AD0E7E" w:rsidP="00B30E00">
            <w:pPr>
              <w:pStyle w:val="Normalgrey"/>
            </w:pPr>
          </w:p>
          <w:p w14:paraId="51A2C164" w14:textId="77777777" w:rsidR="00AD0E7E" w:rsidRPr="004423D0" w:rsidRDefault="00AD0E7E" w:rsidP="00B30E00">
            <w:pPr>
              <w:pStyle w:val="Normalgrey"/>
            </w:pPr>
          </w:p>
          <w:p w14:paraId="4EC5B889" w14:textId="77777777" w:rsidR="00AD0E7E" w:rsidRPr="004423D0" w:rsidRDefault="00AD0E7E" w:rsidP="00B30E00">
            <w:pPr>
              <w:pStyle w:val="Normalgrey"/>
            </w:pPr>
          </w:p>
          <w:p w14:paraId="7454D913" w14:textId="77777777" w:rsidR="00AD0E7E" w:rsidRPr="004423D0" w:rsidRDefault="00AD0E7E" w:rsidP="00B30E00">
            <w:pPr>
              <w:pStyle w:val="Normalgrey"/>
            </w:pPr>
          </w:p>
          <w:p w14:paraId="42BEB619" w14:textId="77777777" w:rsidR="00AD0E7E" w:rsidRPr="004423D0" w:rsidRDefault="00AD0E7E" w:rsidP="00B30E00">
            <w:pPr>
              <w:pStyle w:val="Normalgrey"/>
            </w:pPr>
          </w:p>
          <w:p w14:paraId="3E2F0D64" w14:textId="77777777" w:rsidR="00AD0E7E" w:rsidRPr="004423D0" w:rsidRDefault="00AD0E7E" w:rsidP="00B30E00">
            <w:pPr>
              <w:pStyle w:val="Normalgrey"/>
            </w:pPr>
          </w:p>
          <w:p w14:paraId="2011C996" w14:textId="77777777" w:rsidR="00AD0E7E" w:rsidRPr="004423D0" w:rsidRDefault="00AD0E7E" w:rsidP="00B30E00">
            <w:pPr>
              <w:pStyle w:val="Normalgrey"/>
            </w:pPr>
          </w:p>
          <w:p w14:paraId="68340E87" w14:textId="77777777" w:rsidR="00AD0E7E" w:rsidRPr="004423D0" w:rsidRDefault="00AD0E7E" w:rsidP="00B30E00">
            <w:pPr>
              <w:pStyle w:val="Normalgrey"/>
            </w:pPr>
          </w:p>
          <w:p w14:paraId="55823507" w14:textId="77777777" w:rsidR="00AD0E7E" w:rsidRPr="004423D0" w:rsidRDefault="00AD0E7E" w:rsidP="00B30E00">
            <w:pPr>
              <w:pStyle w:val="Normalgrey"/>
            </w:pPr>
          </w:p>
          <w:p w14:paraId="27C9A78C" w14:textId="77777777" w:rsidR="00AD0E7E" w:rsidRPr="004423D0" w:rsidRDefault="00AD0E7E" w:rsidP="00B30E00">
            <w:pPr>
              <w:pStyle w:val="Normalgrey"/>
            </w:pPr>
          </w:p>
          <w:p w14:paraId="013EB69A" w14:textId="77777777" w:rsidR="00AD0E7E" w:rsidRPr="004423D0" w:rsidRDefault="00AD0E7E" w:rsidP="00B30E00">
            <w:pPr>
              <w:pStyle w:val="Normalgrey"/>
            </w:pPr>
          </w:p>
          <w:p w14:paraId="4C27003F" w14:textId="77777777" w:rsidR="00AD0E7E" w:rsidRPr="004423D0" w:rsidRDefault="00AD0E7E" w:rsidP="00B30E00">
            <w:pPr>
              <w:pStyle w:val="Normalgrey"/>
            </w:pPr>
          </w:p>
          <w:p w14:paraId="3F566FE9" w14:textId="0461D4F1" w:rsidR="00AD0E7E" w:rsidRPr="004423D0" w:rsidRDefault="00AD0E7E" w:rsidP="00B30E00">
            <w:pPr>
              <w:pStyle w:val="Normalgrey"/>
            </w:pPr>
          </w:p>
        </w:tc>
        <w:tc>
          <w:tcPr>
            <w:tcW w:w="174" w:type="dxa"/>
            <w:gridSpan w:val="2"/>
          </w:tcPr>
          <w:p w14:paraId="72100101" w14:textId="77777777" w:rsidR="00B30E00" w:rsidRPr="004423D0" w:rsidRDefault="00B30E00" w:rsidP="00B30E00">
            <w:pPr>
              <w:pStyle w:val="Normalgrey"/>
            </w:pPr>
          </w:p>
        </w:tc>
        <w:tc>
          <w:tcPr>
            <w:tcW w:w="630" w:type="dxa"/>
            <w:gridSpan w:val="2"/>
          </w:tcPr>
          <w:p w14:paraId="568AC32D" w14:textId="37AFEEC0" w:rsidR="00B30E00" w:rsidRPr="004423D0" w:rsidRDefault="004D29FD" w:rsidP="00B30E00">
            <w:pPr>
              <w:pStyle w:val="Normalgrey"/>
            </w:pPr>
            <w:r w:rsidRPr="004423D0">
              <w:t>1</w:t>
            </w:r>
            <w:r w:rsidR="00981F6C">
              <w:t>7</w:t>
            </w:r>
            <w:r w:rsidRPr="004423D0">
              <w:t>.1</w:t>
            </w:r>
          </w:p>
          <w:p w14:paraId="787AE1FB" w14:textId="77777777" w:rsidR="00FE4B8C" w:rsidRPr="004423D0" w:rsidRDefault="00FE4B8C" w:rsidP="00B30E00">
            <w:pPr>
              <w:pStyle w:val="Normalgrey"/>
            </w:pPr>
          </w:p>
          <w:p w14:paraId="4AEEF3EC" w14:textId="77777777" w:rsidR="00FE4B8C" w:rsidRPr="004423D0" w:rsidRDefault="00FE4B8C" w:rsidP="00B30E00">
            <w:pPr>
              <w:pStyle w:val="Normalgrey"/>
            </w:pPr>
          </w:p>
          <w:p w14:paraId="640A730D" w14:textId="77777777" w:rsidR="00FE4B8C" w:rsidRPr="004423D0" w:rsidRDefault="00FE4B8C" w:rsidP="00B30E00">
            <w:pPr>
              <w:pStyle w:val="Normalgrey"/>
            </w:pPr>
          </w:p>
          <w:p w14:paraId="79F665D2" w14:textId="77777777" w:rsidR="00FE4B8C" w:rsidRPr="004423D0" w:rsidRDefault="00FE4B8C" w:rsidP="00B30E00">
            <w:pPr>
              <w:pStyle w:val="Normalgrey"/>
            </w:pPr>
          </w:p>
          <w:p w14:paraId="24413A46" w14:textId="77777777" w:rsidR="00FE4B8C" w:rsidRPr="004423D0" w:rsidRDefault="00FE4B8C" w:rsidP="00B30E00">
            <w:pPr>
              <w:pStyle w:val="Normalgrey"/>
            </w:pPr>
          </w:p>
          <w:p w14:paraId="1FDFA482" w14:textId="77777777" w:rsidR="00FE4B8C" w:rsidRPr="004423D0" w:rsidRDefault="00FE4B8C" w:rsidP="00B30E00">
            <w:pPr>
              <w:pStyle w:val="Normalgrey"/>
            </w:pPr>
          </w:p>
          <w:p w14:paraId="038437B2" w14:textId="77777777" w:rsidR="00FE4B8C" w:rsidRPr="004423D0" w:rsidRDefault="00FE4B8C" w:rsidP="00B30E00">
            <w:pPr>
              <w:pStyle w:val="Normalgrey"/>
            </w:pPr>
          </w:p>
          <w:p w14:paraId="4700A3F3" w14:textId="77777777" w:rsidR="00FE4B8C" w:rsidRPr="004423D0" w:rsidRDefault="00FE4B8C" w:rsidP="00B30E00">
            <w:pPr>
              <w:pStyle w:val="Normalgrey"/>
            </w:pPr>
          </w:p>
          <w:p w14:paraId="1FF3B9AB" w14:textId="77777777" w:rsidR="00FE4B8C" w:rsidRPr="004423D0" w:rsidRDefault="00FE4B8C" w:rsidP="00B30E00">
            <w:pPr>
              <w:pStyle w:val="Normalgrey"/>
            </w:pPr>
          </w:p>
          <w:p w14:paraId="7B928F36" w14:textId="77777777" w:rsidR="00FE4B8C" w:rsidRPr="004423D0" w:rsidRDefault="00FE4B8C" w:rsidP="00B30E00">
            <w:pPr>
              <w:pStyle w:val="Normalgrey"/>
            </w:pPr>
          </w:p>
          <w:p w14:paraId="6AB993CC" w14:textId="77777777" w:rsidR="00FE4B8C" w:rsidRPr="004423D0" w:rsidRDefault="00FE4B8C" w:rsidP="00B30E00">
            <w:pPr>
              <w:pStyle w:val="Normalgrey"/>
            </w:pPr>
          </w:p>
          <w:p w14:paraId="609F1BF7" w14:textId="77777777" w:rsidR="00FE4B8C" w:rsidRPr="004423D0" w:rsidRDefault="00FE4B8C" w:rsidP="00B30E00">
            <w:pPr>
              <w:pStyle w:val="Normalgrey"/>
            </w:pPr>
          </w:p>
          <w:p w14:paraId="7C1E0C4A" w14:textId="77777777" w:rsidR="00FE4B8C" w:rsidRPr="004423D0" w:rsidRDefault="00FE4B8C" w:rsidP="00B30E00">
            <w:pPr>
              <w:pStyle w:val="Normalgrey"/>
            </w:pPr>
          </w:p>
          <w:p w14:paraId="19DFF3E4" w14:textId="77777777" w:rsidR="00FE4B8C" w:rsidRPr="004423D0" w:rsidRDefault="00FE4B8C" w:rsidP="00B30E00">
            <w:pPr>
              <w:pStyle w:val="Normalgrey"/>
            </w:pPr>
          </w:p>
          <w:p w14:paraId="566F3727" w14:textId="77777777" w:rsidR="00FE4B8C" w:rsidRPr="004423D0" w:rsidRDefault="00FE4B8C" w:rsidP="00B30E00">
            <w:pPr>
              <w:pStyle w:val="Normalgrey"/>
            </w:pPr>
          </w:p>
          <w:p w14:paraId="36BBE815" w14:textId="77777777" w:rsidR="00FE4B8C" w:rsidRPr="004423D0" w:rsidRDefault="00FE4B8C" w:rsidP="00B30E00">
            <w:pPr>
              <w:pStyle w:val="Normalgrey"/>
            </w:pPr>
          </w:p>
          <w:p w14:paraId="2BFFA2D3" w14:textId="77777777" w:rsidR="001017A8" w:rsidRPr="004423D0" w:rsidRDefault="001017A8" w:rsidP="00B30E00">
            <w:pPr>
              <w:pStyle w:val="Normalgrey"/>
            </w:pPr>
          </w:p>
          <w:p w14:paraId="42B5513D" w14:textId="77777777" w:rsidR="00FE4B8C" w:rsidRPr="004423D0" w:rsidRDefault="00FE4B8C" w:rsidP="00B30E00">
            <w:pPr>
              <w:pStyle w:val="Normalgrey"/>
            </w:pPr>
          </w:p>
          <w:p w14:paraId="4FBBBCD5" w14:textId="77777777" w:rsidR="00FE4B8C" w:rsidRPr="004423D0" w:rsidRDefault="00FE4B8C" w:rsidP="00B30E00">
            <w:pPr>
              <w:pStyle w:val="Normalgrey"/>
            </w:pPr>
          </w:p>
          <w:p w14:paraId="509BCF3C" w14:textId="77777777" w:rsidR="00FE4B8C" w:rsidRPr="004423D0" w:rsidRDefault="00FE4B8C" w:rsidP="00B30E00">
            <w:pPr>
              <w:pStyle w:val="Normalgrey"/>
            </w:pPr>
          </w:p>
          <w:p w14:paraId="239F3BE7" w14:textId="77777777" w:rsidR="00FE4B8C" w:rsidRPr="004423D0" w:rsidRDefault="00FE4B8C" w:rsidP="00B30E00">
            <w:pPr>
              <w:pStyle w:val="Normalgrey"/>
            </w:pPr>
          </w:p>
          <w:p w14:paraId="4A085F42" w14:textId="77777777" w:rsidR="00FE4B8C" w:rsidRPr="004423D0" w:rsidRDefault="00FE4B8C" w:rsidP="00B30E00">
            <w:pPr>
              <w:pStyle w:val="Normalgrey"/>
            </w:pPr>
          </w:p>
          <w:p w14:paraId="74AE76CD" w14:textId="77777777" w:rsidR="00FE4B8C" w:rsidRPr="004423D0" w:rsidRDefault="00FE4B8C" w:rsidP="00B30E00">
            <w:pPr>
              <w:pStyle w:val="Normalgrey"/>
            </w:pPr>
          </w:p>
          <w:p w14:paraId="7688522D" w14:textId="77777777" w:rsidR="00FE4B8C" w:rsidRPr="004423D0" w:rsidRDefault="00FE4B8C" w:rsidP="00B30E00">
            <w:pPr>
              <w:pStyle w:val="Normalgrey"/>
            </w:pPr>
          </w:p>
          <w:p w14:paraId="4161199A" w14:textId="77777777" w:rsidR="00FE4B8C" w:rsidRPr="004423D0" w:rsidRDefault="00FE4B8C" w:rsidP="00B30E00">
            <w:pPr>
              <w:pStyle w:val="Normalgrey"/>
            </w:pPr>
          </w:p>
          <w:p w14:paraId="23475403" w14:textId="77777777" w:rsidR="00FE4B8C" w:rsidRPr="004423D0" w:rsidRDefault="00FE4B8C" w:rsidP="00B30E00">
            <w:pPr>
              <w:pStyle w:val="Normalgrey"/>
            </w:pPr>
          </w:p>
          <w:p w14:paraId="5539B4BC" w14:textId="77777777" w:rsidR="00FE4B8C" w:rsidRPr="004423D0" w:rsidRDefault="00FE4B8C" w:rsidP="00B30E00">
            <w:pPr>
              <w:pStyle w:val="Normalgrey"/>
            </w:pPr>
          </w:p>
          <w:p w14:paraId="6B036884" w14:textId="784048E7" w:rsidR="00FE4B8C" w:rsidRPr="004423D0" w:rsidRDefault="00FE4B8C" w:rsidP="00B30E00">
            <w:pPr>
              <w:pStyle w:val="Normalgrey"/>
            </w:pPr>
          </w:p>
        </w:tc>
        <w:tc>
          <w:tcPr>
            <w:tcW w:w="6067" w:type="dxa"/>
            <w:gridSpan w:val="3"/>
          </w:tcPr>
          <w:p w14:paraId="566A898B" w14:textId="527C9BB3" w:rsidR="00B30E00" w:rsidRPr="004423D0" w:rsidRDefault="00B30E00" w:rsidP="00B30E00">
            <w:pPr>
              <w:pStyle w:val="Bullet1grey"/>
            </w:pPr>
            <w:r w:rsidRPr="004423D0">
              <w:t xml:space="preserve">The </w:t>
            </w:r>
            <w:r w:rsidRPr="004423D0">
              <w:rPr>
                <w:i/>
                <w:iCs/>
              </w:rPr>
              <w:t>Climate Change Act 2017 (Vic)</w:t>
            </w:r>
            <w:r w:rsidRPr="004423D0">
              <w:t xml:space="preserve"> requires the Victorian Government to prepare a Whole of Victorian Government emissions reduction pledge every five years </w:t>
            </w:r>
            <w:r w:rsidR="00815A8C" w:rsidRPr="004423D0">
              <w:t>describing</w:t>
            </w:r>
            <w:r w:rsidRPr="004423D0">
              <w:t xml:space="preserve"> emissions reduction actions and estimated abatement from those actions. Disclosure of greenhouse gas emissions and environmental performance supports the preparation and acquittal of the Whole of Victorian Government emissions reduction pledge and the Government’s aim </w:t>
            </w:r>
            <w:r w:rsidR="00815A8C" w:rsidRPr="004423D0">
              <w:t>to improve</w:t>
            </w:r>
            <w:r w:rsidRPr="004423D0">
              <w:t xml:space="preserve"> environmental management across all entities.</w:t>
            </w:r>
          </w:p>
          <w:p w14:paraId="502B79C7" w14:textId="41FCFB8D" w:rsidR="00B30E00" w:rsidRPr="004423D0" w:rsidRDefault="00B30E00" w:rsidP="00B30E00">
            <w:pPr>
              <w:pStyle w:val="Bullet1grey"/>
            </w:pPr>
            <w:r w:rsidRPr="004423D0">
              <w:t xml:space="preserve">This disclosure also assists entities </w:t>
            </w:r>
            <w:r w:rsidR="00F02FA4" w:rsidRPr="004423D0">
              <w:t>to meet</w:t>
            </w:r>
            <w:r w:rsidRPr="004423D0">
              <w:t xml:space="preserve"> a range of other obligations including:</w:t>
            </w:r>
          </w:p>
          <w:p w14:paraId="2EEBB0CB" w14:textId="77777777" w:rsidR="00B30E00" w:rsidRPr="004423D0" w:rsidRDefault="00B30E00" w:rsidP="00B30E00">
            <w:pPr>
              <w:pStyle w:val="Bullet2grey"/>
            </w:pPr>
            <w:r w:rsidRPr="004423D0">
              <w:t xml:space="preserve">Obligations under section 20 of </w:t>
            </w:r>
            <w:r w:rsidRPr="004423D0">
              <w:rPr>
                <w:i/>
                <w:iCs/>
              </w:rPr>
              <w:t>the Climate Change Act 2017</w:t>
            </w:r>
            <w:r w:rsidRPr="004423D0">
              <w:t xml:space="preserve"> to consider climate change in all government activities.</w:t>
            </w:r>
          </w:p>
          <w:p w14:paraId="22EA2BFF" w14:textId="0F4D8C21" w:rsidR="00B30E00" w:rsidRPr="004423D0" w:rsidRDefault="00B30E00" w:rsidP="00B30E00">
            <w:pPr>
              <w:pStyle w:val="Bullet2grey"/>
            </w:pPr>
            <w:r w:rsidRPr="004423D0">
              <w:t xml:space="preserve">Obligations under the General Environmental Duty under </w:t>
            </w:r>
            <w:r w:rsidR="00F02FA4" w:rsidRPr="004423D0">
              <w:br/>
            </w:r>
            <w:r w:rsidRPr="004423D0">
              <w:t xml:space="preserve">section 25 of the </w:t>
            </w:r>
            <w:r w:rsidRPr="004423D0">
              <w:rPr>
                <w:i/>
                <w:iCs/>
              </w:rPr>
              <w:t>Environment Protection Act 2017 (Vic)</w:t>
            </w:r>
            <w:r w:rsidRPr="004423D0">
              <w:t>.</w:t>
            </w:r>
          </w:p>
          <w:p w14:paraId="0CA69DB9" w14:textId="77777777" w:rsidR="00B30E00" w:rsidRPr="004423D0" w:rsidRDefault="00B30E00" w:rsidP="00B30E00">
            <w:pPr>
              <w:pStyle w:val="Bullet2grey"/>
            </w:pPr>
            <w:r w:rsidRPr="004423D0">
              <w:t xml:space="preserve">Application of the Victorian Government Risk Management Framework under </w:t>
            </w:r>
            <w:r w:rsidRPr="004423D0">
              <w:rPr>
                <w:i/>
                <w:iCs/>
              </w:rPr>
              <w:t>Standing Direction of the Minister for Finance 3.7.1 – Risk Management Framework and Processes</w:t>
            </w:r>
            <w:r w:rsidRPr="004423D0">
              <w:t>.</w:t>
            </w:r>
          </w:p>
          <w:p w14:paraId="6EFD6BA4" w14:textId="38518A00" w:rsidR="00B30E00" w:rsidRPr="004423D0" w:rsidRDefault="00B30E00" w:rsidP="00B30E00">
            <w:pPr>
              <w:pStyle w:val="Bullet2grey"/>
            </w:pPr>
            <w:r w:rsidRPr="004423D0">
              <w:t xml:space="preserve">Duties of </w:t>
            </w:r>
            <w:r w:rsidR="00614AB8">
              <w:t>public sector entit</w:t>
            </w:r>
            <w:r w:rsidRPr="004423D0">
              <w:t xml:space="preserve">y directors and boards under </w:t>
            </w:r>
            <w:r w:rsidR="00F02FA4" w:rsidRPr="004423D0">
              <w:t xml:space="preserve">the </w:t>
            </w:r>
            <w:r w:rsidR="00F02FA4" w:rsidRPr="004423D0">
              <w:rPr>
                <w:i/>
                <w:iCs/>
              </w:rPr>
              <w:t xml:space="preserve">Public Administration Act 2004 </w:t>
            </w:r>
            <w:r w:rsidR="00F02FA4" w:rsidRPr="004423D0">
              <w:t xml:space="preserve">to act with reasonable diligence, care and skill </w:t>
            </w:r>
            <w:r w:rsidR="00F02CAA" w:rsidRPr="004423D0">
              <w:t>[</w:t>
            </w:r>
            <w:r w:rsidRPr="004423D0">
              <w:t>section 79(1)b</w:t>
            </w:r>
            <w:r w:rsidR="00F02CAA" w:rsidRPr="004423D0">
              <w:t>]</w:t>
            </w:r>
            <w:r w:rsidRPr="004423D0">
              <w:t xml:space="preserve"> and</w:t>
            </w:r>
            <w:r w:rsidRPr="004423D0" w:rsidDel="00F02CAA">
              <w:t xml:space="preserve"> </w:t>
            </w:r>
            <w:r w:rsidRPr="004423D0">
              <w:t xml:space="preserve">to disclose risks </w:t>
            </w:r>
            <w:r w:rsidR="00F02CAA" w:rsidRPr="004423D0">
              <w:t>[section 81(1)b</w:t>
            </w:r>
            <w:r w:rsidR="009615EF" w:rsidRPr="004423D0">
              <w:t>]</w:t>
            </w:r>
            <w:r w:rsidRPr="004423D0">
              <w:t>.</w:t>
            </w:r>
          </w:p>
          <w:p w14:paraId="0B175D94" w14:textId="5247BE2D" w:rsidR="00B30E00" w:rsidRPr="004423D0" w:rsidRDefault="00CA438F" w:rsidP="00B30E00">
            <w:pPr>
              <w:pStyle w:val="Bullet2grey"/>
            </w:pPr>
            <w:r w:rsidRPr="004423D0">
              <w:t>e</w:t>
            </w:r>
            <w:r w:rsidR="00B30E00" w:rsidRPr="004423D0">
              <w:t>ntity and sector specific legislation and regulation</w:t>
            </w:r>
          </w:p>
          <w:p w14:paraId="1A6DB8EE" w14:textId="1D44C52D" w:rsidR="00B30E00" w:rsidRPr="004423D0" w:rsidRDefault="00B30E00" w:rsidP="00B30E00">
            <w:pPr>
              <w:pStyle w:val="Bullet1grey"/>
            </w:pPr>
            <w:r w:rsidRPr="004423D0">
              <w:t>Section 8b</w:t>
            </w:r>
            <w:r w:rsidR="002D16AE" w:rsidRPr="004423D0">
              <w:t>(i)</w:t>
            </w:r>
            <w:r w:rsidRPr="004423D0">
              <w:t xml:space="preserve"> of the </w:t>
            </w:r>
            <w:r w:rsidRPr="004423D0">
              <w:rPr>
                <w:i/>
                <w:iCs/>
              </w:rPr>
              <w:t>Commissioner for Environmental Sustainability Act 2003</w:t>
            </w:r>
            <w:r w:rsidRPr="004423D0">
              <w:t xml:space="preserve"> requires the Commissioner to conduct, once every 2 years, strategic audits of EMS of </w:t>
            </w:r>
            <w:r w:rsidR="00614AB8">
              <w:t>public sector entit</w:t>
            </w:r>
            <w:r w:rsidRPr="004423D0">
              <w:t>ies. Implementation of this FRD assists entities to meet information requests for the purposes of these strategic audits.</w:t>
            </w:r>
          </w:p>
          <w:p w14:paraId="7CCD722E" w14:textId="394C3664" w:rsidR="00B30E00" w:rsidRPr="004423D0" w:rsidRDefault="00B30E00" w:rsidP="002C0C86">
            <w:pPr>
              <w:pStyle w:val="Bullet1grey"/>
            </w:pPr>
            <w:r w:rsidRPr="004423D0">
              <w:t>Every year by 31 January, the Commissioner for Environmental Sustainability will report annually to the Minister for Environment and Climate Change on progress of defined entities</w:t>
            </w:r>
            <w:r w:rsidR="009D41AF" w:rsidRPr="004423D0">
              <w:t>’</w:t>
            </w:r>
            <w:r w:rsidRPr="004423D0">
              <w:t xml:space="preserve"> EMS. The Minister will table this Report in Parliament within 10 sitting days of its receipt.</w:t>
            </w:r>
          </w:p>
        </w:tc>
      </w:tr>
      <w:tr w:rsidR="000E780A" w:rsidRPr="004423D0" w14:paraId="6235D871" w14:textId="77777777" w:rsidTr="00FB3556">
        <w:tc>
          <w:tcPr>
            <w:tcW w:w="2270" w:type="dxa"/>
            <w:gridSpan w:val="2"/>
          </w:tcPr>
          <w:p w14:paraId="491623DD" w14:textId="77777777" w:rsidR="000E780A" w:rsidRPr="004423D0" w:rsidRDefault="000E780A" w:rsidP="00B30E00">
            <w:pPr>
              <w:pStyle w:val="Normalgrey"/>
            </w:pPr>
          </w:p>
        </w:tc>
        <w:tc>
          <w:tcPr>
            <w:tcW w:w="174" w:type="dxa"/>
            <w:gridSpan w:val="2"/>
          </w:tcPr>
          <w:p w14:paraId="716AC167" w14:textId="77777777" w:rsidR="000E780A" w:rsidRPr="004423D0" w:rsidRDefault="000E780A" w:rsidP="00B30E00">
            <w:pPr>
              <w:pStyle w:val="Normalgrey"/>
            </w:pPr>
          </w:p>
        </w:tc>
        <w:tc>
          <w:tcPr>
            <w:tcW w:w="630" w:type="dxa"/>
            <w:gridSpan w:val="2"/>
          </w:tcPr>
          <w:p w14:paraId="278A90BE" w14:textId="7367161C" w:rsidR="000E780A" w:rsidRPr="004423D0" w:rsidRDefault="00B70458" w:rsidP="00B30E00">
            <w:pPr>
              <w:pStyle w:val="Normalgrey"/>
            </w:pPr>
            <w:r w:rsidRPr="004423D0">
              <w:t>1</w:t>
            </w:r>
            <w:r w:rsidR="00981F6C">
              <w:t>7</w:t>
            </w:r>
            <w:r w:rsidRPr="004423D0">
              <w:t>.2</w:t>
            </w:r>
          </w:p>
        </w:tc>
        <w:tc>
          <w:tcPr>
            <w:tcW w:w="6067" w:type="dxa"/>
            <w:gridSpan w:val="3"/>
          </w:tcPr>
          <w:p w14:paraId="2F43E400" w14:textId="77777777" w:rsidR="000E780A" w:rsidRPr="004423D0" w:rsidRDefault="000E780A" w:rsidP="00273A66">
            <w:pPr>
              <w:pStyle w:val="Normalgrey"/>
            </w:pPr>
            <w:r w:rsidRPr="004423D0">
              <w:t>This FRD was updated in:</w:t>
            </w:r>
          </w:p>
          <w:p w14:paraId="5A8E944A" w14:textId="77777777" w:rsidR="000E780A" w:rsidRPr="004423D0" w:rsidRDefault="000E780A" w:rsidP="00273A66">
            <w:pPr>
              <w:pStyle w:val="Bullet1grey"/>
            </w:pPr>
            <w:r w:rsidRPr="004423D0">
              <w:t>March 2006 to reflect minor amendments and clarification of scope arising from a working party review</w:t>
            </w:r>
          </w:p>
          <w:p w14:paraId="2ADBAEE1" w14:textId="77777777" w:rsidR="000E780A" w:rsidRPr="004423D0" w:rsidRDefault="000E780A" w:rsidP="00273A66">
            <w:pPr>
              <w:pStyle w:val="Bullet1grey"/>
            </w:pPr>
            <w:r w:rsidRPr="004423D0">
              <w:t>May 2007 to allow for enhanced reporting of water consumption</w:t>
            </w:r>
          </w:p>
          <w:p w14:paraId="48D0B8F7" w14:textId="77777777" w:rsidR="000E780A" w:rsidRPr="004423D0" w:rsidRDefault="000E780A" w:rsidP="00273A66">
            <w:pPr>
              <w:pStyle w:val="Bullet1grey"/>
            </w:pPr>
            <w:r w:rsidRPr="004423D0">
              <w:t>February 2008 to allow for enhanced reporting of all indicators</w:t>
            </w:r>
          </w:p>
          <w:p w14:paraId="0A54C3A9" w14:textId="77777777" w:rsidR="000E780A" w:rsidRPr="004423D0" w:rsidRDefault="000E780A" w:rsidP="00273A66">
            <w:pPr>
              <w:pStyle w:val="Bullet1grey"/>
            </w:pPr>
            <w:r w:rsidRPr="004423D0">
              <w:t>May 2018 to allow for enhanced reporting of all indicators</w:t>
            </w:r>
          </w:p>
          <w:p w14:paraId="0CE72001" w14:textId="77777777" w:rsidR="00AB1404" w:rsidRDefault="000E780A" w:rsidP="00AB1404">
            <w:pPr>
              <w:pStyle w:val="Bullet1grey"/>
            </w:pPr>
            <w:r w:rsidRPr="004423D0">
              <w:t>June 2022 to</w:t>
            </w:r>
            <w:r w:rsidR="00AB1404">
              <w:t>:</w:t>
            </w:r>
          </w:p>
          <w:p w14:paraId="5F9364EC" w14:textId="169CB0D8" w:rsidR="00AB1404" w:rsidRDefault="000E780A" w:rsidP="00273A66">
            <w:pPr>
              <w:pStyle w:val="Bullet2grey"/>
            </w:pPr>
            <w:r w:rsidRPr="004423D0">
              <w:t xml:space="preserve">rename the direction to </w:t>
            </w:r>
            <w:r w:rsidRPr="00273A66">
              <w:t>Reporting of environmental data by government entities</w:t>
            </w:r>
            <w:r w:rsidR="00AB1404">
              <w:t>;</w:t>
            </w:r>
          </w:p>
          <w:p w14:paraId="37C5F0ED" w14:textId="3ECE254D" w:rsidR="00AB1404" w:rsidRDefault="000E780A" w:rsidP="00AB1404">
            <w:pPr>
              <w:pStyle w:val="Bullet2grey"/>
            </w:pPr>
            <w:r w:rsidRPr="004423D0">
              <w:t xml:space="preserve">extend its application to all </w:t>
            </w:r>
            <w:r w:rsidR="00614AB8">
              <w:t>public sector entit</w:t>
            </w:r>
            <w:r w:rsidRPr="004423D0">
              <w:t>ies (with a tiered approach to reporting requirements)</w:t>
            </w:r>
            <w:r w:rsidR="00AB1404">
              <w:t>;</w:t>
            </w:r>
          </w:p>
          <w:p w14:paraId="2EE97D08" w14:textId="71628928" w:rsidR="00AB1404" w:rsidRDefault="000E780A" w:rsidP="00AB1404">
            <w:pPr>
              <w:pStyle w:val="Bullet2grey"/>
            </w:pPr>
            <w:r w:rsidRPr="004423D0">
              <w:t>expand the activities reported on to office and non-office based activities</w:t>
            </w:r>
            <w:r w:rsidR="00AB1404">
              <w:t>;</w:t>
            </w:r>
          </w:p>
          <w:p w14:paraId="1E15818D" w14:textId="78D8AF8E" w:rsidR="00AB1404" w:rsidRDefault="000E780A" w:rsidP="00AB1404">
            <w:pPr>
              <w:pStyle w:val="Bullet2grey"/>
            </w:pPr>
            <w:r w:rsidRPr="004423D0">
              <w:t xml:space="preserve">add new reporting indicators on climate-related risk management, environmental management systems, buildings and infrastructure, and waste and recycling; </w:t>
            </w:r>
          </w:p>
          <w:p w14:paraId="1251A57D" w14:textId="2BD3C6A2" w:rsidR="00AB1404" w:rsidRDefault="000E780A" w:rsidP="00AB1404">
            <w:pPr>
              <w:pStyle w:val="Bullet2grey"/>
            </w:pPr>
            <w:r w:rsidRPr="004423D0">
              <w:t xml:space="preserve">remove some indicators related to paper usage, waste and procurement; </w:t>
            </w:r>
          </w:p>
          <w:p w14:paraId="796FCC8B" w14:textId="38008CAD" w:rsidR="00AB1404" w:rsidRDefault="000E780A" w:rsidP="00AB1404">
            <w:pPr>
              <w:pStyle w:val="Bullet2grey"/>
            </w:pPr>
            <w:r w:rsidRPr="004423D0">
              <w:t xml:space="preserve">introduce some new optional procurement, buildings and infrastructure, and waste indicators; and </w:t>
            </w:r>
          </w:p>
          <w:p w14:paraId="09DF9A79" w14:textId="7C49ADEA" w:rsidR="000E780A" w:rsidRPr="004423D0" w:rsidRDefault="000E780A" w:rsidP="00273A66">
            <w:pPr>
              <w:pStyle w:val="Bullet2grey"/>
            </w:pPr>
            <w:r w:rsidRPr="004423D0">
              <w:t>ma</w:t>
            </w:r>
            <w:r w:rsidR="00614AB8">
              <w:t>k</w:t>
            </w:r>
            <w:r w:rsidRPr="004423D0">
              <w:t>e some previously optional indicators mandatory for electricity, transport, and buildings and infrastructure.</w:t>
            </w:r>
          </w:p>
        </w:tc>
      </w:tr>
    </w:tbl>
    <w:p w14:paraId="03E701E1" w14:textId="2F6564F2" w:rsidR="00A56ED6" w:rsidRPr="004423D0" w:rsidRDefault="00A56ED6" w:rsidP="00FE782F"/>
    <w:p w14:paraId="5FDE6217" w14:textId="77777777" w:rsidR="00A56ED6" w:rsidRPr="004423D0" w:rsidRDefault="00A56ED6">
      <w:pPr>
        <w:spacing w:before="0" w:after="200"/>
      </w:pPr>
      <w:r w:rsidRPr="004423D0">
        <w:br w:type="page"/>
      </w:r>
    </w:p>
    <w:p w14:paraId="1A1FE55B" w14:textId="55217925" w:rsidR="00DD7730" w:rsidRPr="004423D0" w:rsidRDefault="00DD7730" w:rsidP="00691FF5">
      <w:pPr>
        <w:pStyle w:val="Heading1"/>
        <w:rPr>
          <w:rFonts w:ascii="Arial" w:eastAsia="Arial" w:hAnsi="Arial" w:cs="Arial"/>
        </w:rPr>
      </w:pPr>
      <w:r w:rsidRPr="004423D0">
        <w:rPr>
          <w:rFonts w:ascii="Arial" w:eastAsia="Arial" w:hAnsi="Arial" w:cs="Arial"/>
        </w:rPr>
        <w:lastRenderedPageBreak/>
        <w:t>Appendix 1</w:t>
      </w:r>
      <w:r w:rsidR="00341BEB">
        <w:rPr>
          <w:rFonts w:ascii="Arial" w:eastAsia="Arial" w:hAnsi="Arial" w:cs="Arial"/>
        </w:rPr>
        <w:t xml:space="preserve"> -</w:t>
      </w:r>
      <w:r w:rsidR="00691FF5">
        <w:rPr>
          <w:rFonts w:ascii="Arial" w:eastAsia="Arial" w:hAnsi="Arial" w:cs="Arial"/>
        </w:rPr>
        <w:t xml:space="preserve"> </w:t>
      </w:r>
      <w:r w:rsidRPr="004423D0">
        <w:rPr>
          <w:rFonts w:ascii="Arial" w:eastAsia="Arial" w:hAnsi="Arial" w:cs="Arial"/>
        </w:rPr>
        <w:t>Tiered approach to mandatory and optional indicators</w:t>
      </w:r>
    </w:p>
    <w:p w14:paraId="4D4D4948" w14:textId="2F3AAE4F" w:rsidR="0049638D" w:rsidRPr="004423D0" w:rsidRDefault="00DD7730" w:rsidP="00DD7730">
      <w:pPr>
        <w:rPr>
          <w:rFonts w:ascii="Arial" w:eastAsia="Arial" w:hAnsi="Arial" w:cs="Arial"/>
          <w:szCs w:val="18"/>
        </w:rPr>
      </w:pPr>
      <w:r w:rsidRPr="004423D0">
        <w:rPr>
          <w:rFonts w:ascii="Arial" w:eastAsia="Arial" w:hAnsi="Arial" w:cs="Arial"/>
          <w:szCs w:val="18"/>
        </w:rPr>
        <w:t xml:space="preserve">Recognising the substantial variety in the size, environmental impact and capability of </w:t>
      </w:r>
      <w:r w:rsidR="00614AB8">
        <w:rPr>
          <w:rFonts w:ascii="Arial" w:eastAsia="Arial" w:hAnsi="Arial" w:cs="Arial"/>
          <w:szCs w:val="18"/>
        </w:rPr>
        <w:t>public sector entit</w:t>
      </w:r>
      <w:r w:rsidRPr="004423D0">
        <w:rPr>
          <w:rFonts w:ascii="Arial" w:eastAsia="Arial" w:hAnsi="Arial" w:cs="Arial"/>
          <w:szCs w:val="18"/>
        </w:rPr>
        <w:t xml:space="preserve">ies to report on environmental data, the </w:t>
      </w:r>
      <w:r w:rsidR="002A4DEA">
        <w:rPr>
          <w:rFonts w:ascii="Arial" w:eastAsia="Arial" w:hAnsi="Arial" w:cs="Arial"/>
          <w:szCs w:val="18"/>
        </w:rPr>
        <w:t>t</w:t>
      </w:r>
      <w:r w:rsidRPr="004423D0">
        <w:rPr>
          <w:rFonts w:ascii="Arial" w:eastAsia="Arial" w:hAnsi="Arial" w:cs="Arial"/>
          <w:szCs w:val="18"/>
        </w:rPr>
        <w:t xml:space="preserve">able below sets out </w:t>
      </w:r>
      <w:r w:rsidR="002D16AE" w:rsidRPr="004423D0">
        <w:rPr>
          <w:rFonts w:ascii="Arial" w:eastAsia="Arial" w:hAnsi="Arial" w:cs="Arial"/>
          <w:szCs w:val="18"/>
        </w:rPr>
        <w:t xml:space="preserve">the </w:t>
      </w:r>
      <w:r w:rsidR="005532C3" w:rsidRPr="004423D0">
        <w:rPr>
          <w:rFonts w:ascii="Arial" w:eastAsia="Arial" w:hAnsi="Arial" w:cs="Arial"/>
          <w:szCs w:val="18"/>
        </w:rPr>
        <w:t xml:space="preserve">classification of </w:t>
      </w:r>
      <w:r w:rsidRPr="004423D0">
        <w:rPr>
          <w:rFonts w:ascii="Arial" w:eastAsia="Arial" w:hAnsi="Arial" w:cs="Arial"/>
          <w:szCs w:val="18"/>
        </w:rPr>
        <w:t>different ‘tiers’ of entities</w:t>
      </w:r>
      <w:r w:rsidR="00DA5C59" w:rsidRPr="004423D0">
        <w:rPr>
          <w:rFonts w:ascii="Arial" w:eastAsia="Arial" w:hAnsi="Arial" w:cs="Arial"/>
          <w:szCs w:val="18"/>
        </w:rPr>
        <w:t xml:space="preserve"> for the purpose of reporting environmental data</w:t>
      </w:r>
      <w:r w:rsidRPr="004423D0">
        <w:rPr>
          <w:rFonts w:ascii="Arial" w:eastAsia="Arial" w:hAnsi="Arial" w:cs="Arial"/>
          <w:szCs w:val="18"/>
        </w:rPr>
        <w:t>.</w:t>
      </w:r>
      <w:r w:rsidR="006C1381" w:rsidRPr="004423D0">
        <w:rPr>
          <w:rFonts w:ascii="Arial" w:eastAsia="Arial" w:hAnsi="Arial" w:cs="Arial"/>
          <w:szCs w:val="18"/>
        </w:rPr>
        <w:t xml:space="preserve"> </w:t>
      </w:r>
    </w:p>
    <w:p w14:paraId="463DA5E7" w14:textId="421141D9" w:rsidR="00391E61" w:rsidRPr="004423D0" w:rsidRDefault="00086C6B" w:rsidP="00DD7730">
      <w:pPr>
        <w:rPr>
          <w:rFonts w:ascii="Arial" w:eastAsia="Arial" w:hAnsi="Arial" w:cs="Arial"/>
          <w:szCs w:val="18"/>
        </w:rPr>
      </w:pPr>
      <w:bookmarkStart w:id="0" w:name="_Hlk106194883"/>
      <w:r w:rsidRPr="004423D0">
        <w:rPr>
          <w:rFonts w:ascii="Arial" w:eastAsia="Arial" w:hAnsi="Arial" w:cs="Arial"/>
          <w:szCs w:val="18"/>
        </w:rPr>
        <w:t>A</w:t>
      </w:r>
      <w:r w:rsidR="002D16AE" w:rsidRPr="004423D0">
        <w:rPr>
          <w:rFonts w:ascii="Arial" w:eastAsia="Arial" w:hAnsi="Arial" w:cs="Arial"/>
          <w:szCs w:val="18"/>
        </w:rPr>
        <w:t xml:space="preserve"> list of </w:t>
      </w:r>
      <w:r w:rsidR="00614AB8">
        <w:rPr>
          <w:rFonts w:ascii="Arial" w:eastAsia="Arial" w:hAnsi="Arial" w:cs="Arial"/>
          <w:szCs w:val="18"/>
        </w:rPr>
        <w:t>public sector entit</w:t>
      </w:r>
      <w:r w:rsidR="00CF2CC8" w:rsidRPr="004423D0">
        <w:rPr>
          <w:rFonts w:ascii="Arial" w:eastAsia="Arial" w:hAnsi="Arial" w:cs="Arial"/>
          <w:szCs w:val="18"/>
        </w:rPr>
        <w:t>ies</w:t>
      </w:r>
      <w:r w:rsidR="00F14FDE">
        <w:rPr>
          <w:rFonts w:ascii="Arial" w:eastAsia="Arial" w:hAnsi="Arial" w:cs="Arial"/>
          <w:szCs w:val="18"/>
        </w:rPr>
        <w:t xml:space="preserve"> (or in some cases, groups of </w:t>
      </w:r>
      <w:r w:rsidR="00614AB8">
        <w:rPr>
          <w:rFonts w:ascii="Arial" w:eastAsia="Arial" w:hAnsi="Arial" w:cs="Arial"/>
          <w:szCs w:val="18"/>
        </w:rPr>
        <w:t>public sector entit</w:t>
      </w:r>
      <w:r w:rsidR="00F14FDE">
        <w:rPr>
          <w:rFonts w:ascii="Arial" w:eastAsia="Arial" w:hAnsi="Arial" w:cs="Arial"/>
          <w:szCs w:val="18"/>
        </w:rPr>
        <w:t>ies)</w:t>
      </w:r>
      <w:r w:rsidR="00CF2CC8" w:rsidRPr="004423D0">
        <w:rPr>
          <w:rFonts w:ascii="Arial" w:eastAsia="Arial" w:hAnsi="Arial" w:cs="Arial"/>
          <w:szCs w:val="18"/>
        </w:rPr>
        <w:t xml:space="preserve"> within</w:t>
      </w:r>
      <w:r w:rsidR="00F630CB" w:rsidRPr="004423D0">
        <w:rPr>
          <w:rFonts w:ascii="Arial" w:eastAsia="Arial" w:hAnsi="Arial" w:cs="Arial"/>
          <w:szCs w:val="18"/>
        </w:rPr>
        <w:t xml:space="preserve"> each tier</w:t>
      </w:r>
      <w:r w:rsidR="008E7C3C" w:rsidRPr="004423D0">
        <w:rPr>
          <w:rFonts w:ascii="Arial" w:eastAsia="Arial" w:hAnsi="Arial" w:cs="Arial"/>
          <w:szCs w:val="18"/>
        </w:rPr>
        <w:t xml:space="preserve"> </w:t>
      </w:r>
      <w:r w:rsidRPr="004423D0">
        <w:rPr>
          <w:rFonts w:ascii="Arial" w:eastAsia="Arial" w:hAnsi="Arial" w:cs="Arial"/>
          <w:szCs w:val="18"/>
        </w:rPr>
        <w:t>is</w:t>
      </w:r>
      <w:r w:rsidR="008E7C3C" w:rsidRPr="004423D0">
        <w:rPr>
          <w:rFonts w:ascii="Arial" w:eastAsia="Arial" w:hAnsi="Arial" w:cs="Arial"/>
          <w:szCs w:val="18"/>
        </w:rPr>
        <w:t xml:space="preserve"> set out i</w:t>
      </w:r>
      <w:r w:rsidR="00F931EF" w:rsidRPr="004423D0">
        <w:rPr>
          <w:rFonts w:ascii="Arial" w:eastAsia="Arial" w:hAnsi="Arial" w:cs="Arial"/>
          <w:szCs w:val="18"/>
        </w:rPr>
        <w:t>n</w:t>
      </w:r>
      <w:r w:rsidRPr="004423D0">
        <w:rPr>
          <w:rFonts w:ascii="Arial" w:eastAsia="Arial" w:hAnsi="Arial" w:cs="Arial"/>
          <w:szCs w:val="18"/>
        </w:rPr>
        <w:t xml:space="preserve"> the following document available on the DTF website</w:t>
      </w:r>
      <w:r w:rsidR="008E7C3C" w:rsidRPr="004423D0">
        <w:rPr>
          <w:rFonts w:ascii="Arial" w:eastAsia="Arial" w:hAnsi="Arial" w:cs="Arial"/>
          <w:szCs w:val="18"/>
        </w:rPr>
        <w:t>:</w:t>
      </w:r>
      <w:r w:rsidR="00CF2CC8" w:rsidRPr="004423D0">
        <w:rPr>
          <w:rFonts w:ascii="Arial" w:eastAsia="Arial" w:hAnsi="Arial" w:cs="Arial"/>
          <w:szCs w:val="18"/>
        </w:rPr>
        <w:t xml:space="preserve"> </w:t>
      </w:r>
    </w:p>
    <w:p w14:paraId="141CF8C4" w14:textId="343D6D96" w:rsidR="00B362CE" w:rsidRPr="004423D0" w:rsidRDefault="00086C6B" w:rsidP="00273A66">
      <w:pPr>
        <w:pStyle w:val="Bullet1"/>
        <w:rPr>
          <w:rFonts w:eastAsia="Arial"/>
        </w:rPr>
      </w:pPr>
      <w:r w:rsidRPr="00273A66">
        <w:rPr>
          <w:rFonts w:eastAsia="Arial"/>
        </w:rPr>
        <w:t>A</w:t>
      </w:r>
      <w:r w:rsidR="00FA15B1" w:rsidRPr="00273A66">
        <w:rPr>
          <w:rFonts w:eastAsia="Arial"/>
        </w:rPr>
        <w:t>pplication</w:t>
      </w:r>
      <w:r w:rsidR="00FA15B1" w:rsidRPr="004423D0">
        <w:rPr>
          <w:rFonts w:eastAsia="Arial"/>
        </w:rPr>
        <w:t xml:space="preserve"> of reporting tier</w:t>
      </w:r>
      <w:r w:rsidR="00D414CF" w:rsidRPr="004423D0">
        <w:rPr>
          <w:rFonts w:eastAsia="Arial"/>
        </w:rPr>
        <w:t xml:space="preserve">s to </w:t>
      </w:r>
      <w:r w:rsidR="00614AB8">
        <w:rPr>
          <w:rFonts w:eastAsia="Arial"/>
        </w:rPr>
        <w:t>public sector entit</w:t>
      </w:r>
      <w:r w:rsidR="00D414CF" w:rsidRPr="004423D0">
        <w:rPr>
          <w:rFonts w:eastAsia="Arial"/>
        </w:rPr>
        <w:t>ies</w:t>
      </w:r>
      <w:r w:rsidR="0049638D" w:rsidRPr="004423D0">
        <w:rPr>
          <w:rFonts w:eastAsia="Arial"/>
        </w:rPr>
        <w:t xml:space="preserve"> for FRD 24</w:t>
      </w:r>
      <w:r w:rsidR="00D65D91" w:rsidRPr="00D65D91">
        <w:t xml:space="preserve"> </w:t>
      </w:r>
      <w:r w:rsidR="00D65D91" w:rsidRPr="00D65D91">
        <w:rPr>
          <w:rFonts w:eastAsia="Arial"/>
          <w:i/>
          <w:iCs/>
        </w:rPr>
        <w:t>Reporting of environmental data by government entities</w:t>
      </w:r>
      <w:r w:rsidR="00A417C7" w:rsidRPr="004423D0">
        <w:rPr>
          <w:rFonts w:eastAsia="Arial"/>
        </w:rPr>
        <w:t>.</w:t>
      </w:r>
      <w:r w:rsidR="006C1381" w:rsidRPr="004423D0">
        <w:rPr>
          <w:rFonts w:eastAsia="Arial"/>
        </w:rPr>
        <w:t xml:space="preserve"> </w:t>
      </w:r>
    </w:p>
    <w:p w14:paraId="3FFA8C6A" w14:textId="058C3329" w:rsidR="00F219E5" w:rsidRDefault="00F219E5" w:rsidP="00DD7730">
      <w:pPr>
        <w:rPr>
          <w:rFonts w:ascii="Arial" w:eastAsia="Arial" w:hAnsi="Arial" w:cs="Arial"/>
          <w:szCs w:val="18"/>
        </w:rPr>
      </w:pPr>
      <w:r w:rsidRPr="00F219E5">
        <w:rPr>
          <w:rFonts w:ascii="Arial" w:eastAsia="Arial" w:hAnsi="Arial" w:cs="Arial"/>
          <w:szCs w:val="18"/>
        </w:rPr>
        <w:t>Entities should refer to this guidance note to determine their tier classification, the table below is provided to assist entities to understand the policy rationale behind the composition of each tier.</w:t>
      </w:r>
    </w:p>
    <w:bookmarkEnd w:id="0"/>
    <w:p w14:paraId="4A8BF6A9" w14:textId="23F3185E" w:rsidR="00DD7730" w:rsidRPr="004423D0" w:rsidRDefault="00DD7730" w:rsidP="00DD7730">
      <w:pPr>
        <w:rPr>
          <w:rFonts w:ascii="Arial" w:eastAsia="Arial" w:hAnsi="Arial" w:cs="Arial"/>
          <w:szCs w:val="18"/>
        </w:rPr>
      </w:pPr>
      <w:r w:rsidRPr="004423D0">
        <w:rPr>
          <w:rFonts w:ascii="Arial" w:eastAsia="Arial" w:hAnsi="Arial" w:cs="Arial"/>
          <w:szCs w:val="18"/>
        </w:rPr>
        <w:t>Each tier is required to report on a different set of indicators. These requirements are set out in Appendix 2.</w:t>
      </w:r>
    </w:p>
    <w:tbl>
      <w:tblPr>
        <w:tblStyle w:val="TableGrid"/>
        <w:tblW w:w="9154" w:type="dxa"/>
        <w:tblLayout w:type="fixed"/>
        <w:tblLook w:val="0420" w:firstRow="1" w:lastRow="0" w:firstColumn="0" w:lastColumn="0" w:noHBand="0" w:noVBand="1"/>
      </w:tblPr>
      <w:tblGrid>
        <w:gridCol w:w="483"/>
        <w:gridCol w:w="1701"/>
        <w:gridCol w:w="6970"/>
      </w:tblGrid>
      <w:tr w:rsidR="00DD7730" w:rsidRPr="004423D0" w14:paraId="74044F75" w14:textId="77777777" w:rsidTr="00645027">
        <w:trPr>
          <w:cnfStyle w:val="100000000000" w:firstRow="1" w:lastRow="0" w:firstColumn="0" w:lastColumn="0" w:oddVBand="0" w:evenVBand="0" w:oddHBand="0" w:evenHBand="0" w:firstRowFirstColumn="0" w:firstRowLastColumn="0" w:lastRowFirstColumn="0" w:lastRowLastColumn="0"/>
        </w:trPr>
        <w:tc>
          <w:tcPr>
            <w:tcW w:w="483" w:type="dxa"/>
            <w:tcBorders>
              <w:top w:val="nil"/>
              <w:left w:val="nil"/>
              <w:bottom w:val="nil"/>
              <w:right w:val="nil"/>
            </w:tcBorders>
            <w:shd w:val="clear" w:color="auto" w:fill="000000" w:themeFill="text1"/>
          </w:tcPr>
          <w:p w14:paraId="768289BB" w14:textId="77777777" w:rsidR="00DD7730" w:rsidRPr="004423D0" w:rsidRDefault="00DD7730" w:rsidP="00645027">
            <w:pPr>
              <w:spacing w:line="264" w:lineRule="auto"/>
              <w:rPr>
                <w:rFonts w:ascii="Arial" w:eastAsia="Arial" w:hAnsi="Arial" w:cs="Arial"/>
                <w:i/>
                <w:iCs/>
                <w:szCs w:val="18"/>
              </w:rPr>
            </w:pPr>
            <w:r w:rsidRPr="004423D0">
              <w:rPr>
                <w:rFonts w:ascii="Arial" w:eastAsia="Arial" w:hAnsi="Arial" w:cs="Arial"/>
                <w:i/>
                <w:iCs/>
                <w:sz w:val="17"/>
                <w:szCs w:val="17"/>
              </w:rPr>
              <w:t>Tier</w:t>
            </w:r>
          </w:p>
        </w:tc>
        <w:tc>
          <w:tcPr>
            <w:tcW w:w="1701" w:type="dxa"/>
            <w:tcBorders>
              <w:top w:val="nil"/>
              <w:left w:val="nil"/>
              <w:bottom w:val="nil"/>
              <w:right w:val="nil"/>
            </w:tcBorders>
            <w:shd w:val="clear" w:color="auto" w:fill="000000" w:themeFill="text1"/>
          </w:tcPr>
          <w:p w14:paraId="08EAD10F" w14:textId="77777777" w:rsidR="00DD7730" w:rsidRPr="004423D0" w:rsidRDefault="00DD7730" w:rsidP="00645027">
            <w:pPr>
              <w:spacing w:line="264" w:lineRule="auto"/>
              <w:rPr>
                <w:rFonts w:ascii="Arial" w:eastAsia="Arial" w:hAnsi="Arial" w:cs="Arial"/>
                <w:i/>
                <w:iCs/>
                <w:szCs w:val="18"/>
              </w:rPr>
            </w:pPr>
            <w:r w:rsidRPr="004423D0">
              <w:rPr>
                <w:rFonts w:ascii="Arial" w:eastAsia="Arial" w:hAnsi="Arial" w:cs="Arial"/>
                <w:i/>
                <w:iCs/>
                <w:sz w:val="17"/>
                <w:szCs w:val="17"/>
              </w:rPr>
              <w:t>Title</w:t>
            </w:r>
          </w:p>
        </w:tc>
        <w:tc>
          <w:tcPr>
            <w:tcW w:w="6970" w:type="dxa"/>
            <w:tcBorders>
              <w:top w:val="nil"/>
              <w:left w:val="nil"/>
              <w:bottom w:val="nil"/>
              <w:right w:val="nil"/>
            </w:tcBorders>
            <w:shd w:val="clear" w:color="auto" w:fill="000000" w:themeFill="text1"/>
          </w:tcPr>
          <w:p w14:paraId="3362E552" w14:textId="77777777" w:rsidR="00DD7730" w:rsidRPr="004423D0" w:rsidRDefault="00DD7730" w:rsidP="00645027">
            <w:pPr>
              <w:spacing w:line="264" w:lineRule="auto"/>
              <w:rPr>
                <w:rFonts w:ascii="Arial" w:eastAsia="Arial" w:hAnsi="Arial" w:cs="Arial"/>
                <w:i/>
                <w:iCs/>
                <w:sz w:val="17"/>
                <w:szCs w:val="17"/>
              </w:rPr>
            </w:pPr>
            <w:r w:rsidRPr="004423D0">
              <w:rPr>
                <w:rFonts w:ascii="Arial" w:eastAsia="Arial" w:hAnsi="Arial" w:cs="Arial"/>
                <w:i/>
                <w:iCs/>
                <w:sz w:val="17"/>
                <w:szCs w:val="17"/>
              </w:rPr>
              <w:t>Description of organisational boundary</w:t>
            </w:r>
          </w:p>
        </w:tc>
      </w:tr>
      <w:tr w:rsidR="00DD7730" w:rsidRPr="004423D0" w14:paraId="1DB85DBF" w14:textId="77777777" w:rsidTr="00645027">
        <w:tc>
          <w:tcPr>
            <w:tcW w:w="483" w:type="dxa"/>
            <w:tcBorders>
              <w:top w:val="nil"/>
              <w:left w:val="nil"/>
              <w:bottom w:val="nil"/>
              <w:right w:val="nil"/>
            </w:tcBorders>
            <w:shd w:val="clear" w:color="auto" w:fill="F2F2F2" w:themeFill="background1" w:themeFillShade="F2"/>
          </w:tcPr>
          <w:p w14:paraId="64691F15" w14:textId="77777777" w:rsidR="00DD7730" w:rsidRPr="004423D0" w:rsidRDefault="00DD7730" w:rsidP="00645027">
            <w:pPr>
              <w:spacing w:line="264" w:lineRule="auto"/>
              <w:jc w:val="left"/>
              <w:rPr>
                <w:rFonts w:ascii="Arial" w:eastAsia="Arial" w:hAnsi="Arial" w:cs="Arial"/>
                <w:i/>
                <w:iCs/>
                <w:color w:val="000000" w:themeColor="text1"/>
                <w:sz w:val="17"/>
                <w:szCs w:val="17"/>
              </w:rPr>
            </w:pPr>
            <w:r w:rsidRPr="004423D0">
              <w:rPr>
                <w:rFonts w:ascii="Arial" w:eastAsia="Arial" w:hAnsi="Arial" w:cs="Arial"/>
                <w:i/>
                <w:iCs/>
                <w:color w:val="000000" w:themeColor="text1"/>
                <w:sz w:val="17"/>
                <w:szCs w:val="17"/>
              </w:rPr>
              <w:t>1</w:t>
            </w:r>
          </w:p>
        </w:tc>
        <w:tc>
          <w:tcPr>
            <w:tcW w:w="1701" w:type="dxa"/>
            <w:tcBorders>
              <w:top w:val="nil"/>
              <w:left w:val="nil"/>
              <w:bottom w:val="nil"/>
              <w:right w:val="nil"/>
            </w:tcBorders>
            <w:shd w:val="clear" w:color="auto" w:fill="F2F2F2" w:themeFill="background1" w:themeFillShade="F2"/>
          </w:tcPr>
          <w:p w14:paraId="2FDA51E8"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Departments and Administrative Offices</w:t>
            </w:r>
          </w:p>
        </w:tc>
        <w:tc>
          <w:tcPr>
            <w:tcW w:w="6970" w:type="dxa"/>
            <w:tcBorders>
              <w:top w:val="nil"/>
              <w:left w:val="nil"/>
              <w:bottom w:val="nil"/>
              <w:right w:val="nil"/>
            </w:tcBorders>
            <w:shd w:val="clear" w:color="auto" w:fill="F2F2F2" w:themeFill="background1" w:themeFillShade="F2"/>
          </w:tcPr>
          <w:p w14:paraId="28D20FE4"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 xml:space="preserve">Departments are inclusive of their Administrative Offices and hosted entities, which include those with service level agreements for operations out of departmental facilities, vested entities and other similar arrangements. </w:t>
            </w:r>
          </w:p>
        </w:tc>
      </w:tr>
      <w:tr w:rsidR="00DD7730" w:rsidRPr="004423D0" w14:paraId="36602BE0" w14:textId="77777777" w:rsidTr="00645027">
        <w:trPr>
          <w:cnfStyle w:val="000000010000" w:firstRow="0" w:lastRow="0" w:firstColumn="0" w:lastColumn="0" w:oddVBand="0" w:evenVBand="0" w:oddHBand="0" w:evenHBand="1" w:firstRowFirstColumn="0" w:firstRowLastColumn="0" w:lastRowFirstColumn="0" w:lastRowLastColumn="0"/>
        </w:trPr>
        <w:tc>
          <w:tcPr>
            <w:tcW w:w="483" w:type="dxa"/>
            <w:tcBorders>
              <w:top w:val="nil"/>
              <w:left w:val="nil"/>
              <w:bottom w:val="nil"/>
              <w:right w:val="nil"/>
            </w:tcBorders>
            <w:shd w:val="clear" w:color="auto" w:fill="F2F2F2" w:themeFill="background1" w:themeFillShade="F2"/>
          </w:tcPr>
          <w:p w14:paraId="44F1198A" w14:textId="77777777" w:rsidR="00DD7730" w:rsidRPr="004423D0" w:rsidRDefault="00DD7730" w:rsidP="00645027">
            <w:pPr>
              <w:spacing w:line="264" w:lineRule="auto"/>
              <w:jc w:val="left"/>
              <w:rPr>
                <w:rFonts w:ascii="Arial" w:eastAsia="Arial" w:hAnsi="Arial" w:cs="Arial"/>
                <w:i/>
                <w:iCs/>
                <w:color w:val="000000" w:themeColor="text1"/>
                <w:sz w:val="17"/>
                <w:szCs w:val="17"/>
              </w:rPr>
            </w:pPr>
            <w:r w:rsidRPr="004423D0">
              <w:rPr>
                <w:rFonts w:ascii="Arial" w:eastAsia="Arial" w:hAnsi="Arial" w:cs="Arial"/>
                <w:i/>
                <w:iCs/>
                <w:color w:val="000000" w:themeColor="text1"/>
                <w:sz w:val="17"/>
                <w:szCs w:val="17"/>
              </w:rPr>
              <w:t>2</w:t>
            </w:r>
          </w:p>
        </w:tc>
        <w:tc>
          <w:tcPr>
            <w:tcW w:w="1701" w:type="dxa"/>
            <w:tcBorders>
              <w:top w:val="nil"/>
              <w:left w:val="nil"/>
              <w:bottom w:val="nil"/>
              <w:right w:val="nil"/>
            </w:tcBorders>
            <w:shd w:val="clear" w:color="auto" w:fill="F2F2F2" w:themeFill="background1" w:themeFillShade="F2"/>
          </w:tcPr>
          <w:p w14:paraId="706DA2F7"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Individually material entities</w:t>
            </w:r>
          </w:p>
        </w:tc>
        <w:tc>
          <w:tcPr>
            <w:tcW w:w="6970" w:type="dxa"/>
            <w:tcBorders>
              <w:top w:val="nil"/>
              <w:left w:val="nil"/>
              <w:bottom w:val="nil"/>
              <w:right w:val="nil"/>
            </w:tcBorders>
            <w:shd w:val="clear" w:color="auto" w:fill="F2F2F2" w:themeFill="background1" w:themeFillShade="F2"/>
          </w:tcPr>
          <w:p w14:paraId="7E9F0A6E" w14:textId="45BB9141" w:rsidR="00DD7730" w:rsidRPr="004423D0" w:rsidRDefault="00614AB8" w:rsidP="00C34CC9">
            <w:pPr>
              <w:spacing w:line="264" w:lineRule="auto"/>
              <w:jc w:val="left"/>
              <w:rPr>
                <w:rFonts w:asciiTheme="minorEastAsia" w:eastAsiaTheme="minorEastAsia" w:hAnsiTheme="minorEastAsia" w:cstheme="minorEastAsia"/>
                <w:color w:val="000000" w:themeColor="text1"/>
                <w:sz w:val="17"/>
                <w:szCs w:val="17"/>
              </w:rPr>
            </w:pPr>
            <w:r>
              <w:rPr>
                <w:rFonts w:ascii="Arial" w:eastAsia="Arial" w:hAnsi="Arial" w:cs="Arial"/>
                <w:color w:val="000000" w:themeColor="text1"/>
                <w:sz w:val="17"/>
                <w:szCs w:val="17"/>
              </w:rPr>
              <w:t>Public sector entit</w:t>
            </w:r>
            <w:r w:rsidR="00DD7730" w:rsidRPr="004423D0">
              <w:rPr>
                <w:rFonts w:ascii="Arial" w:eastAsia="Arial" w:hAnsi="Arial" w:cs="Arial"/>
                <w:color w:val="000000" w:themeColor="text1"/>
                <w:sz w:val="17"/>
                <w:szCs w:val="17"/>
              </w:rPr>
              <w:t>ies with individual estimated emissions greater than 1% of whole of Victorian Government emissions, environmental agencies, and Metropolitan health services</w:t>
            </w:r>
            <w:r w:rsidR="00583818">
              <w:rPr>
                <w:rFonts w:ascii="Arial" w:eastAsia="Arial" w:hAnsi="Arial" w:cs="Arial"/>
                <w:color w:val="000000" w:themeColor="text1"/>
                <w:sz w:val="17"/>
                <w:szCs w:val="17"/>
              </w:rPr>
              <w:t>.</w:t>
            </w:r>
          </w:p>
        </w:tc>
      </w:tr>
      <w:tr w:rsidR="00DD7730" w:rsidRPr="004423D0" w14:paraId="4D12CBB0" w14:textId="77777777" w:rsidTr="00645027">
        <w:tc>
          <w:tcPr>
            <w:tcW w:w="483" w:type="dxa"/>
            <w:tcBorders>
              <w:top w:val="nil"/>
              <w:left w:val="nil"/>
              <w:bottom w:val="nil"/>
              <w:right w:val="nil"/>
            </w:tcBorders>
            <w:shd w:val="clear" w:color="auto" w:fill="F2F2F2" w:themeFill="background1" w:themeFillShade="F2"/>
          </w:tcPr>
          <w:p w14:paraId="22800B6A" w14:textId="77777777" w:rsidR="00DD7730" w:rsidRPr="004423D0" w:rsidRDefault="00DD7730" w:rsidP="00645027">
            <w:pPr>
              <w:spacing w:line="264" w:lineRule="auto"/>
              <w:jc w:val="left"/>
              <w:rPr>
                <w:rFonts w:ascii="Arial" w:eastAsia="Arial" w:hAnsi="Arial" w:cs="Arial"/>
                <w:i/>
                <w:iCs/>
                <w:color w:val="000000" w:themeColor="text1"/>
                <w:sz w:val="17"/>
                <w:szCs w:val="17"/>
              </w:rPr>
            </w:pPr>
            <w:r w:rsidRPr="004423D0">
              <w:rPr>
                <w:rFonts w:ascii="Arial" w:eastAsia="Arial" w:hAnsi="Arial" w:cs="Arial"/>
                <w:i/>
                <w:iCs/>
                <w:color w:val="000000" w:themeColor="text1"/>
                <w:sz w:val="17"/>
                <w:szCs w:val="17"/>
              </w:rPr>
              <w:t>3a</w:t>
            </w:r>
          </w:p>
        </w:tc>
        <w:tc>
          <w:tcPr>
            <w:tcW w:w="1701" w:type="dxa"/>
            <w:tcBorders>
              <w:top w:val="nil"/>
              <w:left w:val="nil"/>
              <w:bottom w:val="nil"/>
              <w:right w:val="nil"/>
            </w:tcBorders>
            <w:shd w:val="clear" w:color="auto" w:fill="F2F2F2" w:themeFill="background1" w:themeFillShade="F2"/>
          </w:tcPr>
          <w:p w14:paraId="2542AF96"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Collectively material entities (part A)</w:t>
            </w:r>
          </w:p>
        </w:tc>
        <w:tc>
          <w:tcPr>
            <w:tcW w:w="6970" w:type="dxa"/>
            <w:tcBorders>
              <w:top w:val="nil"/>
              <w:left w:val="nil"/>
              <w:bottom w:val="nil"/>
              <w:right w:val="nil"/>
            </w:tcBorders>
            <w:shd w:val="clear" w:color="auto" w:fill="F2F2F2" w:themeFill="background1" w:themeFillShade="F2"/>
          </w:tcPr>
          <w:p w14:paraId="667FBA16" w14:textId="339F532D" w:rsidR="00DD7730" w:rsidRPr="004423D0" w:rsidRDefault="00DD7730" w:rsidP="00C34CC9">
            <w:pPr>
              <w:spacing w:line="264" w:lineRule="auto"/>
              <w:jc w:val="left"/>
              <w:rPr>
                <w:color w:val="000000" w:themeColor="text1"/>
                <w:sz w:val="17"/>
                <w:szCs w:val="17"/>
              </w:rPr>
            </w:pPr>
            <w:r w:rsidRPr="004423D0">
              <w:rPr>
                <w:rFonts w:ascii="Arial" w:eastAsia="Arial" w:hAnsi="Arial" w:cs="Arial"/>
                <w:color w:val="000000" w:themeColor="text1"/>
                <w:sz w:val="17"/>
                <w:szCs w:val="17"/>
              </w:rPr>
              <w:t xml:space="preserve">Groups of </w:t>
            </w:r>
            <w:r w:rsidR="00614AB8">
              <w:rPr>
                <w:rFonts w:ascii="Arial" w:eastAsia="Arial" w:hAnsi="Arial" w:cs="Arial"/>
                <w:color w:val="000000" w:themeColor="text1"/>
                <w:sz w:val="17"/>
                <w:szCs w:val="17"/>
              </w:rPr>
              <w:t>public sector entit</w:t>
            </w:r>
            <w:r w:rsidRPr="004423D0">
              <w:rPr>
                <w:rFonts w:ascii="Arial" w:eastAsia="Arial" w:hAnsi="Arial" w:cs="Arial"/>
                <w:color w:val="000000" w:themeColor="text1"/>
                <w:sz w:val="17"/>
                <w:szCs w:val="17"/>
              </w:rPr>
              <w:t>ies with estimated emissions greater than 1% of whole of Victorian Government emissions</w:t>
            </w:r>
            <w:r w:rsidR="00583818">
              <w:rPr>
                <w:rFonts w:ascii="Arial" w:eastAsia="Arial" w:hAnsi="Arial" w:cs="Arial"/>
                <w:color w:val="000000" w:themeColor="text1"/>
                <w:sz w:val="17"/>
                <w:szCs w:val="17"/>
              </w:rPr>
              <w:t>.</w:t>
            </w:r>
          </w:p>
        </w:tc>
      </w:tr>
      <w:tr w:rsidR="00DD7730" w:rsidRPr="004423D0" w14:paraId="3B97F0D5" w14:textId="77777777" w:rsidTr="00645027">
        <w:trPr>
          <w:cnfStyle w:val="000000010000" w:firstRow="0" w:lastRow="0" w:firstColumn="0" w:lastColumn="0" w:oddVBand="0" w:evenVBand="0" w:oddHBand="0" w:evenHBand="1" w:firstRowFirstColumn="0" w:firstRowLastColumn="0" w:lastRowFirstColumn="0" w:lastRowLastColumn="0"/>
        </w:trPr>
        <w:tc>
          <w:tcPr>
            <w:tcW w:w="483" w:type="dxa"/>
            <w:tcBorders>
              <w:top w:val="nil"/>
              <w:left w:val="nil"/>
              <w:bottom w:val="nil"/>
              <w:right w:val="nil"/>
            </w:tcBorders>
            <w:shd w:val="clear" w:color="auto" w:fill="F2F2F2" w:themeFill="background1" w:themeFillShade="F2"/>
          </w:tcPr>
          <w:p w14:paraId="651CF5C7" w14:textId="77777777" w:rsidR="00DD7730" w:rsidRPr="004423D0" w:rsidRDefault="00DD7730" w:rsidP="00645027">
            <w:pPr>
              <w:spacing w:line="264" w:lineRule="auto"/>
              <w:jc w:val="left"/>
              <w:rPr>
                <w:rFonts w:ascii="Arial" w:eastAsia="Arial" w:hAnsi="Arial" w:cs="Arial"/>
                <w:i/>
                <w:iCs/>
                <w:color w:val="000000" w:themeColor="text1"/>
                <w:sz w:val="17"/>
                <w:szCs w:val="17"/>
              </w:rPr>
            </w:pPr>
            <w:r w:rsidRPr="004423D0">
              <w:rPr>
                <w:rFonts w:ascii="Arial" w:eastAsia="Arial" w:hAnsi="Arial" w:cs="Arial"/>
                <w:i/>
                <w:iCs/>
                <w:color w:val="000000" w:themeColor="text1"/>
                <w:sz w:val="17"/>
                <w:szCs w:val="17"/>
              </w:rPr>
              <w:t>3b</w:t>
            </w:r>
          </w:p>
        </w:tc>
        <w:tc>
          <w:tcPr>
            <w:tcW w:w="1701" w:type="dxa"/>
            <w:tcBorders>
              <w:top w:val="nil"/>
              <w:left w:val="nil"/>
              <w:bottom w:val="nil"/>
              <w:right w:val="nil"/>
            </w:tcBorders>
            <w:shd w:val="clear" w:color="auto" w:fill="F2F2F2" w:themeFill="background1" w:themeFillShade="F2"/>
          </w:tcPr>
          <w:p w14:paraId="230DC124"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Collectively material entities (part B)</w:t>
            </w:r>
          </w:p>
        </w:tc>
        <w:tc>
          <w:tcPr>
            <w:tcW w:w="6970" w:type="dxa"/>
            <w:tcBorders>
              <w:top w:val="nil"/>
              <w:left w:val="nil"/>
              <w:bottom w:val="nil"/>
              <w:right w:val="nil"/>
            </w:tcBorders>
            <w:shd w:val="clear" w:color="auto" w:fill="F2F2F2" w:themeFill="background1" w:themeFillShade="F2"/>
          </w:tcPr>
          <w:p w14:paraId="2DB60985" w14:textId="5E1FF2BF" w:rsidR="00DD7730" w:rsidRPr="004423D0" w:rsidRDefault="00614AB8" w:rsidP="00C34CC9">
            <w:pPr>
              <w:spacing w:line="264" w:lineRule="auto"/>
              <w:jc w:val="left"/>
              <w:rPr>
                <w:rFonts w:eastAsiaTheme="minorEastAsia"/>
                <w:color w:val="000000" w:themeColor="text1"/>
                <w:sz w:val="17"/>
                <w:szCs w:val="17"/>
              </w:rPr>
            </w:pPr>
            <w:r>
              <w:rPr>
                <w:rFonts w:ascii="Arial" w:eastAsia="Arial" w:hAnsi="Arial" w:cs="Arial"/>
                <w:color w:val="000000" w:themeColor="text1"/>
                <w:sz w:val="17"/>
                <w:szCs w:val="17"/>
              </w:rPr>
              <w:t>Public sector entit</w:t>
            </w:r>
            <w:r w:rsidR="00DD7730" w:rsidRPr="004423D0">
              <w:rPr>
                <w:rFonts w:ascii="Arial" w:eastAsia="Arial" w:hAnsi="Arial" w:cs="Arial"/>
                <w:color w:val="000000" w:themeColor="text1"/>
                <w:sz w:val="17"/>
                <w:szCs w:val="17"/>
              </w:rPr>
              <w:t>ies with individual estimated emissions between 0.1% and 1% (these thresholds are chosen in order to meet overall materiality requirements) of whole of Victorian Government emissions, or who have significant capital works programs</w:t>
            </w:r>
            <w:r w:rsidR="00583818">
              <w:rPr>
                <w:rFonts w:ascii="Arial" w:eastAsia="Arial" w:hAnsi="Arial" w:cs="Arial"/>
                <w:color w:val="000000" w:themeColor="text1"/>
                <w:sz w:val="17"/>
                <w:szCs w:val="17"/>
              </w:rPr>
              <w:t>.</w:t>
            </w:r>
          </w:p>
        </w:tc>
      </w:tr>
      <w:tr w:rsidR="00DD7730" w:rsidRPr="004423D0" w14:paraId="244422E0" w14:textId="77777777" w:rsidTr="00645027">
        <w:tc>
          <w:tcPr>
            <w:tcW w:w="483" w:type="dxa"/>
            <w:tcBorders>
              <w:top w:val="nil"/>
              <w:left w:val="nil"/>
              <w:bottom w:val="nil"/>
              <w:right w:val="nil"/>
            </w:tcBorders>
            <w:shd w:val="clear" w:color="auto" w:fill="F2F2F2" w:themeFill="background1" w:themeFillShade="F2"/>
          </w:tcPr>
          <w:p w14:paraId="4EFEFA16" w14:textId="198577BE" w:rsidR="00DD7730" w:rsidRPr="004423D0" w:rsidRDefault="00DD7730" w:rsidP="00645027">
            <w:pPr>
              <w:spacing w:line="264" w:lineRule="auto"/>
              <w:jc w:val="left"/>
              <w:rPr>
                <w:rFonts w:ascii="Arial" w:eastAsia="Arial" w:hAnsi="Arial" w:cs="Arial"/>
                <w:i/>
                <w:iCs/>
                <w:color w:val="000000" w:themeColor="text1"/>
                <w:sz w:val="17"/>
                <w:szCs w:val="17"/>
              </w:rPr>
            </w:pPr>
            <w:r w:rsidRPr="004423D0">
              <w:rPr>
                <w:rFonts w:ascii="Arial" w:eastAsia="Arial" w:hAnsi="Arial" w:cs="Arial"/>
                <w:i/>
                <w:iCs/>
                <w:color w:val="000000" w:themeColor="text1"/>
                <w:sz w:val="17"/>
                <w:szCs w:val="17"/>
              </w:rPr>
              <w:t>3s</w:t>
            </w:r>
          </w:p>
        </w:tc>
        <w:tc>
          <w:tcPr>
            <w:tcW w:w="1701" w:type="dxa"/>
            <w:tcBorders>
              <w:top w:val="nil"/>
              <w:left w:val="nil"/>
              <w:bottom w:val="nil"/>
              <w:right w:val="nil"/>
            </w:tcBorders>
            <w:shd w:val="clear" w:color="auto" w:fill="F2F2F2" w:themeFill="background1" w:themeFillShade="F2"/>
          </w:tcPr>
          <w:p w14:paraId="26CD0E9C"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Consolidated schools reporting</w:t>
            </w:r>
          </w:p>
        </w:tc>
        <w:tc>
          <w:tcPr>
            <w:tcW w:w="6970" w:type="dxa"/>
            <w:tcBorders>
              <w:top w:val="nil"/>
              <w:left w:val="nil"/>
              <w:bottom w:val="nil"/>
              <w:right w:val="nil"/>
            </w:tcBorders>
            <w:shd w:val="clear" w:color="auto" w:fill="F2F2F2" w:themeFill="background1" w:themeFillShade="F2"/>
          </w:tcPr>
          <w:p w14:paraId="23B650BD" w14:textId="059822D0"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Reporting on all public schools for these indicators are to be consolidated into the organisational boundary of the Department of Education and Training</w:t>
            </w:r>
            <w:r w:rsidR="00583818">
              <w:rPr>
                <w:rFonts w:ascii="Arial" w:eastAsia="Arial" w:hAnsi="Arial" w:cs="Arial"/>
                <w:color w:val="000000" w:themeColor="text1"/>
                <w:sz w:val="17"/>
                <w:szCs w:val="17"/>
              </w:rPr>
              <w:t>.</w:t>
            </w:r>
          </w:p>
        </w:tc>
      </w:tr>
      <w:tr w:rsidR="00DD7730" w:rsidRPr="004423D0" w14:paraId="7358A0F7" w14:textId="77777777" w:rsidTr="00645027">
        <w:trPr>
          <w:cnfStyle w:val="000000010000" w:firstRow="0" w:lastRow="0" w:firstColumn="0" w:lastColumn="0" w:oddVBand="0" w:evenVBand="0" w:oddHBand="0" w:evenHBand="1" w:firstRowFirstColumn="0" w:firstRowLastColumn="0" w:lastRowFirstColumn="0" w:lastRowLastColumn="0"/>
        </w:trPr>
        <w:tc>
          <w:tcPr>
            <w:tcW w:w="483" w:type="dxa"/>
            <w:tcBorders>
              <w:top w:val="nil"/>
              <w:left w:val="nil"/>
              <w:bottom w:val="nil"/>
              <w:right w:val="nil"/>
            </w:tcBorders>
            <w:shd w:val="clear" w:color="auto" w:fill="F2F2F2" w:themeFill="background1" w:themeFillShade="F2"/>
          </w:tcPr>
          <w:p w14:paraId="64FAB866" w14:textId="77777777" w:rsidR="00DD7730" w:rsidRPr="004423D0" w:rsidRDefault="00DD7730" w:rsidP="00645027">
            <w:pPr>
              <w:spacing w:line="264" w:lineRule="auto"/>
              <w:jc w:val="left"/>
              <w:rPr>
                <w:rFonts w:ascii="Arial" w:eastAsia="Arial" w:hAnsi="Arial" w:cs="Arial"/>
                <w:i/>
                <w:iCs/>
                <w:color w:val="000000" w:themeColor="text1"/>
                <w:sz w:val="17"/>
                <w:szCs w:val="17"/>
              </w:rPr>
            </w:pPr>
            <w:r w:rsidRPr="004423D0">
              <w:rPr>
                <w:rFonts w:ascii="Arial" w:eastAsia="Arial" w:hAnsi="Arial" w:cs="Arial"/>
                <w:i/>
                <w:iCs/>
                <w:color w:val="000000" w:themeColor="text1"/>
                <w:sz w:val="17"/>
                <w:szCs w:val="17"/>
              </w:rPr>
              <w:t>4</w:t>
            </w:r>
          </w:p>
        </w:tc>
        <w:tc>
          <w:tcPr>
            <w:tcW w:w="1701" w:type="dxa"/>
            <w:tcBorders>
              <w:top w:val="nil"/>
              <w:left w:val="nil"/>
              <w:bottom w:val="nil"/>
              <w:right w:val="nil"/>
            </w:tcBorders>
            <w:shd w:val="clear" w:color="auto" w:fill="F2F2F2" w:themeFill="background1" w:themeFillShade="F2"/>
          </w:tcPr>
          <w:p w14:paraId="018116C5" w14:textId="77777777"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 xml:space="preserve">All other entities required to comply with the Standing Directions 2018 issued under Section 8 of the </w:t>
            </w:r>
            <w:r w:rsidRPr="004423D0">
              <w:rPr>
                <w:rFonts w:ascii="Arial" w:eastAsia="Arial" w:hAnsi="Arial" w:cs="Arial"/>
                <w:i/>
                <w:iCs/>
                <w:color w:val="000000" w:themeColor="text1"/>
                <w:sz w:val="17"/>
                <w:szCs w:val="17"/>
              </w:rPr>
              <w:t>Financial Management Act 1994</w:t>
            </w:r>
          </w:p>
        </w:tc>
        <w:tc>
          <w:tcPr>
            <w:tcW w:w="6970" w:type="dxa"/>
            <w:tcBorders>
              <w:top w:val="nil"/>
              <w:left w:val="nil"/>
              <w:bottom w:val="nil"/>
              <w:right w:val="nil"/>
            </w:tcBorders>
            <w:shd w:val="clear" w:color="auto" w:fill="F2F2F2" w:themeFill="background1" w:themeFillShade="F2"/>
          </w:tcPr>
          <w:p w14:paraId="505344C1" w14:textId="13252460" w:rsidR="00DD7730" w:rsidRPr="004423D0" w:rsidRDefault="00614AB8" w:rsidP="00645027">
            <w:pPr>
              <w:spacing w:line="264" w:lineRule="auto"/>
              <w:jc w:val="left"/>
              <w:rPr>
                <w:rFonts w:ascii="Arial" w:eastAsia="Arial" w:hAnsi="Arial" w:cs="Arial"/>
                <w:color w:val="000000" w:themeColor="text1"/>
                <w:sz w:val="17"/>
                <w:szCs w:val="17"/>
              </w:rPr>
            </w:pPr>
            <w:r>
              <w:rPr>
                <w:rFonts w:ascii="Arial" w:eastAsia="Arial" w:hAnsi="Arial" w:cs="Arial"/>
                <w:color w:val="000000" w:themeColor="text1"/>
                <w:sz w:val="17"/>
                <w:szCs w:val="17"/>
              </w:rPr>
              <w:t>Public sector entit</w:t>
            </w:r>
            <w:r w:rsidR="00DD7730" w:rsidRPr="004423D0">
              <w:rPr>
                <w:rFonts w:ascii="Arial" w:eastAsia="Arial" w:hAnsi="Arial" w:cs="Arial"/>
                <w:color w:val="000000" w:themeColor="text1"/>
                <w:sz w:val="17"/>
                <w:szCs w:val="17"/>
              </w:rPr>
              <w:t xml:space="preserve">ies under section 3 of the </w:t>
            </w:r>
            <w:r w:rsidR="00DD7730" w:rsidRPr="004423D0">
              <w:rPr>
                <w:rFonts w:ascii="Arial" w:eastAsia="Arial" w:hAnsi="Arial" w:cs="Arial"/>
                <w:i/>
                <w:color w:val="000000" w:themeColor="text1"/>
                <w:sz w:val="17"/>
                <w:szCs w:val="17"/>
              </w:rPr>
              <w:t>Financial Management Act 1994</w:t>
            </w:r>
            <w:r w:rsidR="00DD7730" w:rsidRPr="004423D0">
              <w:rPr>
                <w:rFonts w:ascii="Arial" w:eastAsia="Arial" w:hAnsi="Arial" w:cs="Arial"/>
                <w:color w:val="000000" w:themeColor="text1"/>
                <w:sz w:val="17"/>
                <w:szCs w:val="17"/>
              </w:rPr>
              <w:t xml:space="preserve">, with the exception of universities, not already captured in Tiers 1-3. </w:t>
            </w:r>
          </w:p>
          <w:p w14:paraId="25817B01" w14:textId="4626AB90" w:rsidR="00DD7730" w:rsidRPr="004423D0" w:rsidRDefault="00DD7730" w:rsidP="00645027">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 xml:space="preserve">Tier 4 entities are not required to report on these indicators if all material energy and transport use is captured through the State Purchase Contracts, HealthShare Victoria contracts, Shared Service Provider, their portfolio department or by another </w:t>
            </w:r>
            <w:r w:rsidR="00614AB8">
              <w:rPr>
                <w:rFonts w:ascii="Arial" w:eastAsia="Arial" w:hAnsi="Arial" w:cs="Arial"/>
                <w:color w:val="000000" w:themeColor="text1"/>
                <w:sz w:val="17"/>
                <w:szCs w:val="17"/>
              </w:rPr>
              <w:t>public sector entit</w:t>
            </w:r>
            <w:r w:rsidRPr="004423D0">
              <w:rPr>
                <w:rFonts w:ascii="Arial" w:eastAsia="Arial" w:hAnsi="Arial" w:cs="Arial"/>
                <w:color w:val="000000" w:themeColor="text1"/>
                <w:sz w:val="17"/>
                <w:szCs w:val="17"/>
              </w:rPr>
              <w:t>y. In these circumstances Tier 4 entities can comply with FRD</w:t>
            </w:r>
            <w:r w:rsidR="00740C45" w:rsidRPr="004423D0">
              <w:rPr>
                <w:rFonts w:ascii="Arial" w:eastAsia="Arial" w:hAnsi="Arial" w:cs="Arial"/>
                <w:color w:val="000000" w:themeColor="text1"/>
                <w:sz w:val="17"/>
                <w:szCs w:val="17"/>
              </w:rPr>
              <w:t xml:space="preserve"> </w:t>
            </w:r>
            <w:r w:rsidRPr="004423D0">
              <w:rPr>
                <w:rFonts w:ascii="Arial" w:eastAsia="Arial" w:hAnsi="Arial" w:cs="Arial"/>
                <w:color w:val="000000" w:themeColor="text1"/>
                <w:sz w:val="17"/>
                <w:szCs w:val="17"/>
              </w:rPr>
              <w:t>24 with a simple disclosure in the annual report. See Guidance Manual for further information.</w:t>
            </w:r>
          </w:p>
        </w:tc>
      </w:tr>
    </w:tbl>
    <w:p w14:paraId="503FCE6F" w14:textId="53A5571F" w:rsidR="00691FF5" w:rsidRDefault="00AB1404" w:rsidP="00273A66">
      <w:pPr>
        <w:keepNext/>
        <w:keepLines/>
        <w:spacing w:before="120" w:after="240"/>
        <w:outlineLvl w:val="0"/>
        <w:rPr>
          <w:rFonts w:eastAsia="Times New Roman" w:cstheme="majorHAnsi"/>
          <w:color w:val="0063A6" w:themeColor="accent1"/>
          <w:spacing w:val="-2"/>
          <w:sz w:val="52"/>
          <w:szCs w:val="52"/>
        </w:rPr>
      </w:pPr>
      <w:r w:rsidRPr="00575C18" w:rsidDel="00AB1404">
        <w:rPr>
          <w:rFonts w:eastAsia="Times New Roman" w:cstheme="majorHAnsi"/>
          <w:color w:val="0063A6" w:themeColor="accent1"/>
          <w:spacing w:val="-2"/>
          <w:sz w:val="52"/>
          <w:szCs w:val="52"/>
        </w:rPr>
        <w:t xml:space="preserve"> </w:t>
      </w:r>
    </w:p>
    <w:p w14:paraId="090C34C7" w14:textId="77777777" w:rsidR="00691FF5" w:rsidRDefault="00691FF5">
      <w:pPr>
        <w:spacing w:before="0" w:after="200"/>
        <w:rPr>
          <w:rFonts w:eastAsia="Times New Roman" w:cstheme="majorHAnsi"/>
          <w:color w:val="0063A6" w:themeColor="accent1"/>
          <w:spacing w:val="-2"/>
          <w:sz w:val="52"/>
          <w:szCs w:val="52"/>
        </w:rPr>
      </w:pPr>
      <w:r>
        <w:rPr>
          <w:rFonts w:eastAsia="Times New Roman" w:cstheme="majorHAnsi"/>
          <w:color w:val="0063A6" w:themeColor="accent1"/>
          <w:spacing w:val="-2"/>
          <w:sz w:val="52"/>
          <w:szCs w:val="52"/>
        </w:rPr>
        <w:br w:type="page"/>
      </w:r>
    </w:p>
    <w:p w14:paraId="4575EBB6" w14:textId="2444D71C" w:rsidR="00691FF5" w:rsidRPr="004423D0" w:rsidRDefault="00691FF5" w:rsidP="00691FF5">
      <w:pPr>
        <w:pStyle w:val="Heading1"/>
        <w:rPr>
          <w:rFonts w:ascii="Arial" w:eastAsia="Arial" w:hAnsi="Arial" w:cs="Arial"/>
        </w:rPr>
      </w:pPr>
      <w:bookmarkStart w:id="1" w:name="_Hlk105165942"/>
      <w:r w:rsidRPr="004423D0">
        <w:rPr>
          <w:rFonts w:ascii="Arial" w:eastAsia="Arial" w:hAnsi="Arial" w:cs="Arial"/>
        </w:rPr>
        <w:lastRenderedPageBreak/>
        <w:t>Appendix 2</w:t>
      </w:r>
      <w:r w:rsidR="00341BEB">
        <w:rPr>
          <w:rFonts w:ascii="Arial" w:eastAsia="Arial" w:hAnsi="Arial" w:cs="Arial"/>
        </w:rPr>
        <w:t xml:space="preserve"> -</w:t>
      </w:r>
      <w:r>
        <w:rPr>
          <w:rFonts w:ascii="Arial" w:eastAsia="Arial" w:hAnsi="Arial" w:cs="Arial"/>
        </w:rPr>
        <w:t xml:space="preserve"> </w:t>
      </w:r>
      <w:r w:rsidRPr="004423D0">
        <w:rPr>
          <w:rFonts w:ascii="Arial" w:eastAsia="Arial" w:hAnsi="Arial" w:cs="Arial"/>
        </w:rPr>
        <w:t xml:space="preserve">Reporting requirements for each tier </w:t>
      </w:r>
    </w:p>
    <w:p w14:paraId="57E06D7F" w14:textId="1704CB36" w:rsidR="00691FF5" w:rsidRPr="004423D0" w:rsidRDefault="00691FF5" w:rsidP="00691FF5">
      <w:pPr>
        <w:rPr>
          <w:rFonts w:ascii="Arial" w:eastAsia="Arial" w:hAnsi="Arial" w:cs="Arial"/>
          <w:szCs w:val="18"/>
        </w:rPr>
      </w:pPr>
      <w:r w:rsidRPr="004423D0">
        <w:rPr>
          <w:rFonts w:ascii="Arial" w:eastAsia="Arial" w:hAnsi="Arial" w:cs="Arial"/>
          <w:szCs w:val="18"/>
        </w:rPr>
        <w:t xml:space="preserve">This Appendix details which indicators are considered mandatory for which Tier of </w:t>
      </w:r>
      <w:r w:rsidR="00614AB8">
        <w:rPr>
          <w:rFonts w:ascii="Arial" w:eastAsia="Arial" w:hAnsi="Arial" w:cs="Arial"/>
          <w:szCs w:val="18"/>
        </w:rPr>
        <w:t>public sector entit</w:t>
      </w:r>
      <w:r w:rsidRPr="004423D0">
        <w:rPr>
          <w:rFonts w:ascii="Arial" w:eastAsia="Arial" w:hAnsi="Arial" w:cs="Arial"/>
          <w:szCs w:val="18"/>
        </w:rPr>
        <w:t>ies (set out in Appendix 1). These are detailed in the table below. Entities may optionally report on indicators that are not mandatory.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65"/>
        <w:gridCol w:w="3912"/>
        <w:gridCol w:w="710"/>
        <w:gridCol w:w="711"/>
        <w:gridCol w:w="710"/>
        <w:gridCol w:w="711"/>
        <w:gridCol w:w="710"/>
        <w:gridCol w:w="711"/>
      </w:tblGrid>
      <w:tr w:rsidR="00691FF5" w:rsidRPr="004423D0" w14:paraId="7BA3FFBC" w14:textId="77777777" w:rsidTr="00B13278">
        <w:trPr>
          <w:cnfStyle w:val="100000000000" w:firstRow="1" w:lastRow="0" w:firstColumn="0" w:lastColumn="0" w:oddVBand="0" w:evenVBand="0" w:oddHBand="0" w:evenHBand="0" w:firstRowFirstColumn="0" w:firstRowLastColumn="0" w:lastRowFirstColumn="0" w:lastRowLastColumn="0"/>
        </w:trPr>
        <w:tc>
          <w:tcPr>
            <w:tcW w:w="965" w:type="dxa"/>
            <w:shd w:val="clear" w:color="auto" w:fill="000000" w:themeFill="text1"/>
          </w:tcPr>
          <w:p w14:paraId="57D58CCF" w14:textId="77777777" w:rsidR="00691FF5" w:rsidRPr="004423D0" w:rsidRDefault="00691FF5" w:rsidP="00B13278">
            <w:pPr>
              <w:spacing w:line="264" w:lineRule="auto"/>
              <w:rPr>
                <w:rFonts w:ascii="Arial" w:eastAsia="Arial" w:hAnsi="Arial" w:cs="Arial"/>
                <w:i/>
                <w:iCs/>
                <w:szCs w:val="18"/>
              </w:rPr>
            </w:pPr>
            <w:r w:rsidRPr="004423D0">
              <w:rPr>
                <w:rFonts w:ascii="Arial" w:eastAsia="Arial" w:hAnsi="Arial" w:cs="Arial"/>
                <w:i/>
                <w:iCs/>
                <w:sz w:val="17"/>
                <w:szCs w:val="17"/>
              </w:rPr>
              <w:t>Indicator</w:t>
            </w:r>
          </w:p>
        </w:tc>
        <w:tc>
          <w:tcPr>
            <w:tcW w:w="3912" w:type="dxa"/>
            <w:shd w:val="clear" w:color="auto" w:fill="000000" w:themeFill="text1"/>
          </w:tcPr>
          <w:p w14:paraId="3687BBB7" w14:textId="77777777" w:rsidR="00691FF5" w:rsidRPr="004423D0" w:rsidRDefault="00691FF5" w:rsidP="00B13278">
            <w:pPr>
              <w:spacing w:line="264" w:lineRule="auto"/>
              <w:rPr>
                <w:rFonts w:ascii="Arial" w:eastAsia="Arial" w:hAnsi="Arial" w:cs="Arial"/>
                <w:i/>
                <w:iCs/>
                <w:szCs w:val="18"/>
              </w:rPr>
            </w:pPr>
            <w:r w:rsidRPr="004423D0">
              <w:rPr>
                <w:rFonts w:ascii="Arial" w:eastAsia="Arial" w:hAnsi="Arial" w:cs="Arial"/>
                <w:i/>
                <w:iCs/>
                <w:sz w:val="17"/>
                <w:szCs w:val="17"/>
              </w:rPr>
              <w:t>Indicator Title</w:t>
            </w:r>
          </w:p>
        </w:tc>
        <w:tc>
          <w:tcPr>
            <w:tcW w:w="710" w:type="dxa"/>
            <w:shd w:val="clear" w:color="auto" w:fill="000000" w:themeFill="text1"/>
          </w:tcPr>
          <w:p w14:paraId="10391F25" w14:textId="77777777" w:rsidR="00691FF5" w:rsidRPr="004423D0" w:rsidRDefault="00691FF5" w:rsidP="00B13278">
            <w:pPr>
              <w:spacing w:line="264" w:lineRule="auto"/>
              <w:rPr>
                <w:rFonts w:ascii="Arial" w:eastAsia="Arial" w:hAnsi="Arial" w:cs="Arial"/>
                <w:i/>
                <w:iCs/>
                <w:sz w:val="17"/>
                <w:szCs w:val="17"/>
              </w:rPr>
            </w:pPr>
            <w:r w:rsidRPr="004423D0">
              <w:rPr>
                <w:rFonts w:ascii="Arial" w:eastAsia="Arial" w:hAnsi="Arial" w:cs="Arial"/>
                <w:i/>
                <w:iCs/>
                <w:sz w:val="17"/>
                <w:szCs w:val="17"/>
              </w:rPr>
              <w:t>Tier 1</w:t>
            </w:r>
          </w:p>
        </w:tc>
        <w:tc>
          <w:tcPr>
            <w:tcW w:w="711" w:type="dxa"/>
            <w:shd w:val="clear" w:color="auto" w:fill="000000" w:themeFill="text1"/>
          </w:tcPr>
          <w:p w14:paraId="7A6C82BD" w14:textId="77777777" w:rsidR="00691FF5" w:rsidRPr="004423D0" w:rsidRDefault="00691FF5" w:rsidP="00B13278">
            <w:pPr>
              <w:spacing w:line="264" w:lineRule="auto"/>
              <w:rPr>
                <w:rFonts w:ascii="Arial" w:eastAsia="Arial" w:hAnsi="Arial" w:cs="Arial"/>
                <w:i/>
                <w:iCs/>
                <w:sz w:val="17"/>
                <w:szCs w:val="17"/>
              </w:rPr>
            </w:pPr>
            <w:r w:rsidRPr="004423D0">
              <w:rPr>
                <w:rFonts w:ascii="Arial" w:eastAsia="Arial" w:hAnsi="Arial" w:cs="Arial"/>
                <w:i/>
                <w:iCs/>
                <w:sz w:val="17"/>
                <w:szCs w:val="17"/>
              </w:rPr>
              <w:t>Tier 2</w:t>
            </w:r>
          </w:p>
        </w:tc>
        <w:tc>
          <w:tcPr>
            <w:tcW w:w="710" w:type="dxa"/>
            <w:shd w:val="clear" w:color="auto" w:fill="000000" w:themeFill="text1"/>
          </w:tcPr>
          <w:p w14:paraId="2FE0849F" w14:textId="77777777" w:rsidR="00691FF5" w:rsidRPr="004423D0" w:rsidRDefault="00691FF5" w:rsidP="00B13278">
            <w:pPr>
              <w:spacing w:line="264" w:lineRule="auto"/>
              <w:rPr>
                <w:rFonts w:ascii="Arial" w:eastAsia="Arial" w:hAnsi="Arial" w:cs="Arial"/>
                <w:i/>
                <w:iCs/>
                <w:sz w:val="17"/>
                <w:szCs w:val="17"/>
              </w:rPr>
            </w:pPr>
            <w:r w:rsidRPr="004423D0">
              <w:rPr>
                <w:rFonts w:ascii="Arial" w:eastAsia="Arial" w:hAnsi="Arial" w:cs="Arial"/>
                <w:i/>
                <w:iCs/>
                <w:sz w:val="17"/>
                <w:szCs w:val="17"/>
              </w:rPr>
              <w:t>Tier 3a</w:t>
            </w:r>
          </w:p>
        </w:tc>
        <w:tc>
          <w:tcPr>
            <w:tcW w:w="711" w:type="dxa"/>
            <w:shd w:val="clear" w:color="auto" w:fill="000000" w:themeFill="text1"/>
          </w:tcPr>
          <w:p w14:paraId="534C9A42" w14:textId="77777777" w:rsidR="00691FF5" w:rsidRPr="004423D0" w:rsidRDefault="00691FF5" w:rsidP="00B13278">
            <w:pPr>
              <w:spacing w:line="264" w:lineRule="auto"/>
              <w:rPr>
                <w:rFonts w:ascii="Arial" w:eastAsia="Arial" w:hAnsi="Arial" w:cs="Arial"/>
                <w:i/>
                <w:iCs/>
                <w:sz w:val="17"/>
                <w:szCs w:val="17"/>
              </w:rPr>
            </w:pPr>
            <w:r w:rsidRPr="004423D0">
              <w:rPr>
                <w:rFonts w:ascii="Arial" w:eastAsia="Arial" w:hAnsi="Arial" w:cs="Arial"/>
                <w:i/>
                <w:iCs/>
                <w:sz w:val="17"/>
                <w:szCs w:val="17"/>
              </w:rPr>
              <w:t>Tier 3b</w:t>
            </w:r>
          </w:p>
        </w:tc>
        <w:tc>
          <w:tcPr>
            <w:tcW w:w="710" w:type="dxa"/>
            <w:shd w:val="clear" w:color="auto" w:fill="000000" w:themeFill="text1"/>
          </w:tcPr>
          <w:p w14:paraId="3CC6AF4B" w14:textId="1E10817C" w:rsidR="00691FF5" w:rsidRPr="004423D0" w:rsidRDefault="00691FF5" w:rsidP="00B13278">
            <w:pPr>
              <w:spacing w:line="264" w:lineRule="auto"/>
              <w:rPr>
                <w:rFonts w:ascii="Arial" w:eastAsia="Arial" w:hAnsi="Arial" w:cs="Arial"/>
                <w:i/>
                <w:iCs/>
                <w:sz w:val="17"/>
                <w:szCs w:val="17"/>
              </w:rPr>
            </w:pPr>
            <w:r w:rsidRPr="004423D0">
              <w:rPr>
                <w:rFonts w:ascii="Arial" w:eastAsia="Arial" w:hAnsi="Arial" w:cs="Arial"/>
                <w:i/>
                <w:iCs/>
                <w:sz w:val="17"/>
                <w:szCs w:val="17"/>
              </w:rPr>
              <w:t>Tier 3s</w:t>
            </w:r>
          </w:p>
        </w:tc>
        <w:tc>
          <w:tcPr>
            <w:tcW w:w="711" w:type="dxa"/>
            <w:shd w:val="clear" w:color="auto" w:fill="000000" w:themeFill="text1"/>
          </w:tcPr>
          <w:p w14:paraId="2D3F9781" w14:textId="77777777" w:rsidR="00691FF5" w:rsidRPr="004423D0" w:rsidRDefault="00691FF5" w:rsidP="00B13278">
            <w:pPr>
              <w:spacing w:line="264" w:lineRule="auto"/>
              <w:rPr>
                <w:rFonts w:ascii="Arial" w:eastAsia="Arial" w:hAnsi="Arial" w:cs="Arial"/>
                <w:i/>
                <w:iCs/>
                <w:sz w:val="17"/>
                <w:szCs w:val="17"/>
              </w:rPr>
            </w:pPr>
            <w:r w:rsidRPr="004423D0">
              <w:rPr>
                <w:rFonts w:ascii="Arial" w:eastAsia="Arial" w:hAnsi="Arial" w:cs="Arial"/>
                <w:i/>
                <w:iCs/>
                <w:sz w:val="17"/>
                <w:szCs w:val="17"/>
              </w:rPr>
              <w:t>Tier 4</w:t>
            </w:r>
          </w:p>
        </w:tc>
      </w:tr>
      <w:tr w:rsidR="00691FF5" w:rsidRPr="004423D0" w14:paraId="57736D8E" w14:textId="77777777" w:rsidTr="00B13278">
        <w:tc>
          <w:tcPr>
            <w:tcW w:w="965" w:type="dxa"/>
            <w:shd w:val="clear" w:color="auto" w:fill="F2F2F2" w:themeFill="background1" w:themeFillShade="F2"/>
          </w:tcPr>
          <w:p w14:paraId="5D96C14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EL1</w:t>
            </w:r>
          </w:p>
        </w:tc>
        <w:tc>
          <w:tcPr>
            <w:tcW w:w="3912" w:type="dxa"/>
            <w:shd w:val="clear" w:color="auto" w:fill="F2F2F2" w:themeFill="background1" w:themeFillShade="F2"/>
          </w:tcPr>
          <w:p w14:paraId="7B810BD1"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electricity consumption segmented by source</w:t>
            </w:r>
          </w:p>
        </w:tc>
        <w:tc>
          <w:tcPr>
            <w:tcW w:w="710" w:type="dxa"/>
            <w:shd w:val="clear" w:color="auto" w:fill="F2F2F2" w:themeFill="background1" w:themeFillShade="F2"/>
          </w:tcPr>
          <w:p w14:paraId="20AF410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E5E2C7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DDCAE4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6173DC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14AAB12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359CF5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r>
      <w:tr w:rsidR="00691FF5" w:rsidRPr="004423D0" w14:paraId="35E49C36"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023EC8A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EL2</w:t>
            </w:r>
          </w:p>
        </w:tc>
        <w:tc>
          <w:tcPr>
            <w:tcW w:w="3912" w:type="dxa"/>
            <w:shd w:val="clear" w:color="auto" w:fill="F2F2F2" w:themeFill="background1" w:themeFillShade="F2"/>
          </w:tcPr>
          <w:p w14:paraId="3DA4E0B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On-site electricity generated segmented by usage and source</w:t>
            </w:r>
          </w:p>
        </w:tc>
        <w:tc>
          <w:tcPr>
            <w:tcW w:w="710" w:type="dxa"/>
            <w:shd w:val="clear" w:color="auto" w:fill="F2F2F2" w:themeFill="background1" w:themeFillShade="F2"/>
          </w:tcPr>
          <w:p w14:paraId="794CFCA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986A54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D7EAD2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FC61C71"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4E3E026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BEE0939"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72A01169" w14:textId="77777777" w:rsidTr="00B13278">
        <w:tc>
          <w:tcPr>
            <w:tcW w:w="965" w:type="dxa"/>
            <w:shd w:val="clear" w:color="auto" w:fill="F2F2F2" w:themeFill="background1" w:themeFillShade="F2"/>
          </w:tcPr>
          <w:p w14:paraId="1E49888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EL3</w:t>
            </w:r>
          </w:p>
        </w:tc>
        <w:tc>
          <w:tcPr>
            <w:tcW w:w="3912" w:type="dxa"/>
            <w:shd w:val="clear" w:color="auto" w:fill="F2F2F2" w:themeFill="background1" w:themeFillShade="F2"/>
          </w:tcPr>
          <w:p w14:paraId="0608674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On-site installed generation capacity segmented by source</w:t>
            </w:r>
          </w:p>
        </w:tc>
        <w:tc>
          <w:tcPr>
            <w:tcW w:w="710" w:type="dxa"/>
            <w:shd w:val="clear" w:color="auto" w:fill="F2F2F2" w:themeFill="background1" w:themeFillShade="F2"/>
          </w:tcPr>
          <w:p w14:paraId="0B6E273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BE44E51"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09D364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A37BB6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71E0D9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6FBBD75" w14:textId="77777777" w:rsidR="00691FF5" w:rsidRPr="004423D0" w:rsidRDefault="00691FF5" w:rsidP="00B13278">
            <w:pPr>
              <w:spacing w:line="264" w:lineRule="auto"/>
              <w:rPr>
                <w:rFonts w:ascii="Arial" w:eastAsia="Arial" w:hAnsi="Arial" w:cs="Arial"/>
                <w:color w:val="000000" w:themeColor="text1"/>
                <w:sz w:val="17"/>
                <w:szCs w:val="17"/>
              </w:rPr>
            </w:pPr>
          </w:p>
        </w:tc>
      </w:tr>
      <w:tr w:rsidR="00691FF5" w:rsidRPr="004423D0" w14:paraId="3F0B46BE"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01C8D62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EL4</w:t>
            </w:r>
          </w:p>
        </w:tc>
        <w:tc>
          <w:tcPr>
            <w:tcW w:w="3912" w:type="dxa"/>
            <w:shd w:val="clear" w:color="auto" w:fill="F2F2F2" w:themeFill="background1" w:themeFillShade="F2"/>
          </w:tcPr>
          <w:p w14:paraId="10CCEE3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electricity offsets segmented by offset type</w:t>
            </w:r>
          </w:p>
        </w:tc>
        <w:tc>
          <w:tcPr>
            <w:tcW w:w="710" w:type="dxa"/>
            <w:shd w:val="clear" w:color="auto" w:fill="F2F2F2" w:themeFill="background1" w:themeFillShade="F2"/>
          </w:tcPr>
          <w:p w14:paraId="20DA749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7B89F5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0C5096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206443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65744B6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97E583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r>
      <w:tr w:rsidR="00691FF5" w:rsidRPr="004423D0" w14:paraId="01C836B2" w14:textId="77777777" w:rsidTr="00B13278">
        <w:tc>
          <w:tcPr>
            <w:tcW w:w="965" w:type="dxa"/>
            <w:shd w:val="clear" w:color="auto" w:fill="F2F2F2" w:themeFill="background1" w:themeFillShade="F2"/>
          </w:tcPr>
          <w:p w14:paraId="2EA5BE2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F1</w:t>
            </w:r>
          </w:p>
        </w:tc>
        <w:tc>
          <w:tcPr>
            <w:tcW w:w="3912" w:type="dxa"/>
            <w:shd w:val="clear" w:color="auto" w:fill="F2F2F2" w:themeFill="background1" w:themeFillShade="F2"/>
          </w:tcPr>
          <w:p w14:paraId="277D349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fuels used in buildings and machinery segmented by fuel type</w:t>
            </w:r>
          </w:p>
        </w:tc>
        <w:tc>
          <w:tcPr>
            <w:tcW w:w="710" w:type="dxa"/>
            <w:shd w:val="clear" w:color="auto" w:fill="F2F2F2" w:themeFill="background1" w:themeFillShade="F2"/>
          </w:tcPr>
          <w:p w14:paraId="09583F5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982609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39C164D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B4664F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669C684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958E14E"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35D9847A"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78E6F77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F2</w:t>
            </w:r>
          </w:p>
        </w:tc>
        <w:tc>
          <w:tcPr>
            <w:tcW w:w="3912" w:type="dxa"/>
            <w:shd w:val="clear" w:color="auto" w:fill="F2F2F2" w:themeFill="background1" w:themeFillShade="F2"/>
          </w:tcPr>
          <w:p w14:paraId="4FB0A84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Greenhouse gas emissions from stationary fuel consumption segmented by fuel type</w:t>
            </w:r>
          </w:p>
        </w:tc>
        <w:tc>
          <w:tcPr>
            <w:tcW w:w="710" w:type="dxa"/>
            <w:shd w:val="clear" w:color="auto" w:fill="F2F2F2" w:themeFill="background1" w:themeFillShade="F2"/>
          </w:tcPr>
          <w:p w14:paraId="4733F1E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ED2E88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6C3062A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74697E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A3E924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D7F407C"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50F31AA5" w14:textId="77777777" w:rsidTr="00B13278">
        <w:tc>
          <w:tcPr>
            <w:tcW w:w="965" w:type="dxa"/>
            <w:shd w:val="clear" w:color="auto" w:fill="F2F2F2" w:themeFill="background1" w:themeFillShade="F2"/>
          </w:tcPr>
          <w:p w14:paraId="74BC155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T1</w:t>
            </w:r>
          </w:p>
        </w:tc>
        <w:tc>
          <w:tcPr>
            <w:tcW w:w="3912" w:type="dxa"/>
            <w:shd w:val="clear" w:color="auto" w:fill="F2F2F2" w:themeFill="background1" w:themeFillShade="F2"/>
          </w:tcPr>
          <w:p w14:paraId="6E8B55F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energy used in transportation within the entity segmented by fuel type and vehicle category</w:t>
            </w:r>
          </w:p>
        </w:tc>
        <w:tc>
          <w:tcPr>
            <w:tcW w:w="710" w:type="dxa"/>
            <w:shd w:val="clear" w:color="auto" w:fill="F2F2F2" w:themeFill="background1" w:themeFillShade="F2"/>
          </w:tcPr>
          <w:p w14:paraId="726EAB5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AB0201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1CCEDF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DD14EF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41CED22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66161D6"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79D36A2F"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195205D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T2</w:t>
            </w:r>
          </w:p>
        </w:tc>
        <w:tc>
          <w:tcPr>
            <w:tcW w:w="3912" w:type="dxa"/>
            <w:shd w:val="clear" w:color="auto" w:fill="F2F2F2" w:themeFill="background1" w:themeFillShade="F2"/>
          </w:tcPr>
          <w:p w14:paraId="7AB77B3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Number and proportion of vehicles in the organisational boundary segmented by engine/fuel type and vehicle category</w:t>
            </w:r>
          </w:p>
        </w:tc>
        <w:tc>
          <w:tcPr>
            <w:tcW w:w="710" w:type="dxa"/>
            <w:shd w:val="clear" w:color="auto" w:fill="F2F2F2" w:themeFill="background1" w:themeFillShade="F2"/>
          </w:tcPr>
          <w:p w14:paraId="6BFE28C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06FE8D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3045162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657025B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1A63E33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5110AA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r>
      <w:tr w:rsidR="00691FF5" w:rsidRPr="004423D0" w14:paraId="35A2AFDC" w14:textId="77777777" w:rsidTr="00B13278">
        <w:tc>
          <w:tcPr>
            <w:tcW w:w="965" w:type="dxa"/>
            <w:shd w:val="clear" w:color="auto" w:fill="F2F2F2" w:themeFill="background1" w:themeFillShade="F2"/>
          </w:tcPr>
          <w:p w14:paraId="3E9D770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T3</w:t>
            </w:r>
          </w:p>
        </w:tc>
        <w:tc>
          <w:tcPr>
            <w:tcW w:w="3912" w:type="dxa"/>
            <w:shd w:val="clear" w:color="auto" w:fill="F2F2F2" w:themeFill="background1" w:themeFillShade="F2"/>
          </w:tcPr>
          <w:p w14:paraId="39EBF50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Greenhouse gas emissions from vehicle fleet segmented by fuel type and vehicle category</w:t>
            </w:r>
          </w:p>
        </w:tc>
        <w:tc>
          <w:tcPr>
            <w:tcW w:w="710" w:type="dxa"/>
            <w:shd w:val="clear" w:color="auto" w:fill="F2F2F2" w:themeFill="background1" w:themeFillShade="F2"/>
          </w:tcPr>
          <w:p w14:paraId="2C23CAD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4293D8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6D2AFA7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4D7F34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B9C1C3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EF26F3F"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66CDF957"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3D415B0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T4</w:t>
            </w:r>
          </w:p>
        </w:tc>
        <w:tc>
          <w:tcPr>
            <w:tcW w:w="3912" w:type="dxa"/>
            <w:shd w:val="clear" w:color="auto" w:fill="F2F2F2" w:themeFill="background1" w:themeFillShade="F2"/>
          </w:tcPr>
          <w:p w14:paraId="0F4DAF5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 xml:space="preserve">Total distance travelled by commercial air travel </w:t>
            </w:r>
          </w:p>
        </w:tc>
        <w:tc>
          <w:tcPr>
            <w:tcW w:w="710" w:type="dxa"/>
            <w:shd w:val="clear" w:color="auto" w:fill="F2F2F2" w:themeFill="background1" w:themeFillShade="F2"/>
          </w:tcPr>
          <w:p w14:paraId="324BDB3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324D10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674A8E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48177B2"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05D9BB37"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0CEFCE67"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5E369F58" w14:textId="77777777" w:rsidTr="00B13278">
        <w:tc>
          <w:tcPr>
            <w:tcW w:w="965" w:type="dxa"/>
            <w:shd w:val="clear" w:color="auto" w:fill="F2F2F2" w:themeFill="background1" w:themeFillShade="F2"/>
          </w:tcPr>
          <w:p w14:paraId="06E37A1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E1</w:t>
            </w:r>
          </w:p>
        </w:tc>
        <w:tc>
          <w:tcPr>
            <w:tcW w:w="3912" w:type="dxa"/>
            <w:shd w:val="clear" w:color="auto" w:fill="F2F2F2" w:themeFill="background1" w:themeFillShade="F2"/>
          </w:tcPr>
          <w:p w14:paraId="5FCF850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energy usage from fuels</w:t>
            </w:r>
          </w:p>
        </w:tc>
        <w:tc>
          <w:tcPr>
            <w:tcW w:w="710" w:type="dxa"/>
            <w:shd w:val="clear" w:color="auto" w:fill="F2F2F2" w:themeFill="background1" w:themeFillShade="F2"/>
          </w:tcPr>
          <w:p w14:paraId="372EE14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C85B0D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4FDF1E7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D9FE78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3A8250B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45FE73B"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5EB60143"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708BD5C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E2</w:t>
            </w:r>
          </w:p>
        </w:tc>
        <w:tc>
          <w:tcPr>
            <w:tcW w:w="3912" w:type="dxa"/>
            <w:shd w:val="clear" w:color="auto" w:fill="F2F2F2" w:themeFill="background1" w:themeFillShade="F2"/>
          </w:tcPr>
          <w:p w14:paraId="3F95E35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energy usage from electricity</w:t>
            </w:r>
          </w:p>
        </w:tc>
        <w:tc>
          <w:tcPr>
            <w:tcW w:w="710" w:type="dxa"/>
            <w:shd w:val="clear" w:color="auto" w:fill="F2F2F2" w:themeFill="background1" w:themeFillShade="F2"/>
          </w:tcPr>
          <w:p w14:paraId="743FD16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F524BB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32F94E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370518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36F5CD8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EDA1075" w14:textId="77777777" w:rsidR="00691FF5" w:rsidRPr="004423D0" w:rsidRDefault="00691FF5" w:rsidP="00B13278">
            <w:pPr>
              <w:spacing w:line="264" w:lineRule="auto"/>
              <w:rPr>
                <w:rFonts w:ascii="Arial" w:eastAsia="Arial" w:hAnsi="Arial" w:cs="Arial"/>
                <w:color w:val="000000" w:themeColor="text1"/>
                <w:sz w:val="17"/>
                <w:szCs w:val="17"/>
              </w:rPr>
            </w:pPr>
          </w:p>
        </w:tc>
      </w:tr>
      <w:tr w:rsidR="00691FF5" w:rsidRPr="004423D0" w14:paraId="1DD1FAB0" w14:textId="77777777" w:rsidTr="00B13278">
        <w:tc>
          <w:tcPr>
            <w:tcW w:w="965" w:type="dxa"/>
            <w:shd w:val="clear" w:color="auto" w:fill="F2F2F2" w:themeFill="background1" w:themeFillShade="F2"/>
          </w:tcPr>
          <w:p w14:paraId="075B605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E3</w:t>
            </w:r>
          </w:p>
        </w:tc>
        <w:tc>
          <w:tcPr>
            <w:tcW w:w="3912" w:type="dxa"/>
            <w:shd w:val="clear" w:color="auto" w:fill="F2F2F2" w:themeFill="background1" w:themeFillShade="F2"/>
          </w:tcPr>
          <w:p w14:paraId="578C1D9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energy usage segmented into renewable and non-renewable sources</w:t>
            </w:r>
          </w:p>
        </w:tc>
        <w:tc>
          <w:tcPr>
            <w:tcW w:w="710" w:type="dxa"/>
            <w:shd w:val="clear" w:color="auto" w:fill="F2F2F2" w:themeFill="background1" w:themeFillShade="F2"/>
          </w:tcPr>
          <w:p w14:paraId="3557C28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2CDC5D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B2C00C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225CDA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F501D0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F75307E"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0EFD7425"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1B8AEC2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E4</w:t>
            </w:r>
          </w:p>
        </w:tc>
        <w:tc>
          <w:tcPr>
            <w:tcW w:w="3912" w:type="dxa"/>
            <w:shd w:val="clear" w:color="auto" w:fill="F2F2F2" w:themeFill="background1" w:themeFillShade="F2"/>
          </w:tcPr>
          <w:p w14:paraId="3B92998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Units of energy used normalised by FTE, headcount, floor area, or other entity or sector specific quantity</w:t>
            </w:r>
          </w:p>
        </w:tc>
        <w:tc>
          <w:tcPr>
            <w:tcW w:w="710" w:type="dxa"/>
            <w:shd w:val="clear" w:color="auto" w:fill="F2F2F2" w:themeFill="background1" w:themeFillShade="F2"/>
          </w:tcPr>
          <w:p w14:paraId="0219294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A50B8E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5D2F77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96BCCB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79995C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A147C9D"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4469F82A" w14:textId="77777777" w:rsidTr="00B13278">
        <w:tc>
          <w:tcPr>
            <w:tcW w:w="965" w:type="dxa"/>
            <w:shd w:val="clear" w:color="auto" w:fill="F2F2F2" w:themeFill="background1" w:themeFillShade="F2"/>
          </w:tcPr>
          <w:p w14:paraId="2C5D7281"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B1</w:t>
            </w:r>
          </w:p>
        </w:tc>
        <w:tc>
          <w:tcPr>
            <w:tcW w:w="3912" w:type="dxa"/>
            <w:shd w:val="clear" w:color="auto" w:fill="F2F2F2" w:themeFill="background1" w:themeFillShade="F2"/>
          </w:tcPr>
          <w:p w14:paraId="17FE882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Discuss how environmentally sustainable design (ESD) is incorporated into newly completed entity-owned buildings</w:t>
            </w:r>
          </w:p>
        </w:tc>
        <w:tc>
          <w:tcPr>
            <w:tcW w:w="710" w:type="dxa"/>
            <w:shd w:val="clear" w:color="auto" w:fill="F2F2F2" w:themeFill="background1" w:themeFillShade="F2"/>
          </w:tcPr>
          <w:p w14:paraId="1AB9BFA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62F9EC5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8ED9A4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E45791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A43C15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645C4FB0"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4401EBFF"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30624C4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B2</w:t>
            </w:r>
          </w:p>
        </w:tc>
        <w:tc>
          <w:tcPr>
            <w:tcW w:w="3912" w:type="dxa"/>
            <w:shd w:val="clear" w:color="auto" w:fill="F2F2F2" w:themeFill="background1" w:themeFillShade="F2"/>
          </w:tcPr>
          <w:p w14:paraId="46163F8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 xml:space="preserve">Discuss how new entity leases meet the requirement to preference higher-rated office </w:t>
            </w:r>
            <w:r w:rsidRPr="004423D0">
              <w:rPr>
                <w:rFonts w:ascii="Arial" w:eastAsia="Arial" w:hAnsi="Arial" w:cs="Arial"/>
                <w:color w:val="000000" w:themeColor="text1"/>
                <w:sz w:val="17"/>
                <w:szCs w:val="17"/>
              </w:rPr>
              <w:lastRenderedPageBreak/>
              <w:t>buildings and those with a Green Lease Schedule</w:t>
            </w:r>
          </w:p>
        </w:tc>
        <w:tc>
          <w:tcPr>
            <w:tcW w:w="710" w:type="dxa"/>
            <w:shd w:val="clear" w:color="auto" w:fill="F2F2F2" w:themeFill="background1" w:themeFillShade="F2"/>
          </w:tcPr>
          <w:p w14:paraId="5E8EF24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lastRenderedPageBreak/>
              <w:t>Yes</w:t>
            </w:r>
          </w:p>
        </w:tc>
        <w:tc>
          <w:tcPr>
            <w:tcW w:w="711" w:type="dxa"/>
            <w:shd w:val="clear" w:color="auto" w:fill="F2F2F2" w:themeFill="background1" w:themeFillShade="F2"/>
          </w:tcPr>
          <w:p w14:paraId="2CF28E4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048070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641EF2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A80AF1D"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35CAE6B8"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533A9579" w14:textId="77777777" w:rsidTr="00B13278">
        <w:tc>
          <w:tcPr>
            <w:tcW w:w="965" w:type="dxa"/>
            <w:shd w:val="clear" w:color="auto" w:fill="F2F2F2" w:themeFill="background1" w:themeFillShade="F2"/>
          </w:tcPr>
          <w:p w14:paraId="18C7769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B3</w:t>
            </w:r>
          </w:p>
        </w:tc>
        <w:tc>
          <w:tcPr>
            <w:tcW w:w="3912" w:type="dxa"/>
            <w:shd w:val="clear" w:color="auto" w:fill="F2F2F2" w:themeFill="background1" w:themeFillShade="F2"/>
          </w:tcPr>
          <w:p w14:paraId="371D80B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NABERS Energy ratings of newly completed/occupied entity-owned office buildings and substantial tenancy fit-outs</w:t>
            </w:r>
          </w:p>
        </w:tc>
        <w:tc>
          <w:tcPr>
            <w:tcW w:w="710" w:type="dxa"/>
            <w:shd w:val="clear" w:color="auto" w:fill="F2F2F2" w:themeFill="background1" w:themeFillShade="F2"/>
          </w:tcPr>
          <w:p w14:paraId="01DF714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4097C3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2AF0535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60BAAC2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46AB1FF"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3C3B8A6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r>
      <w:tr w:rsidR="00691FF5" w:rsidRPr="004423D0" w14:paraId="2BF47871"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098511E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B4</w:t>
            </w:r>
          </w:p>
        </w:tc>
        <w:tc>
          <w:tcPr>
            <w:tcW w:w="3912" w:type="dxa"/>
            <w:shd w:val="clear" w:color="auto" w:fill="F2F2F2" w:themeFill="background1" w:themeFillShade="F2"/>
          </w:tcPr>
          <w:p w14:paraId="510DC28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Environmental performance ratings of newly completed entity-owned non-office building or infrastructure projects or upgrades with a value over $1 million, where these ratings have been conducted</w:t>
            </w:r>
          </w:p>
        </w:tc>
        <w:tc>
          <w:tcPr>
            <w:tcW w:w="710" w:type="dxa"/>
            <w:shd w:val="clear" w:color="auto" w:fill="F2F2F2" w:themeFill="background1" w:themeFillShade="F2"/>
          </w:tcPr>
          <w:p w14:paraId="17ECCAE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230BE2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2FCE8B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B79889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1079818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06A6013"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5BF77094" w14:textId="77777777" w:rsidTr="00B13278">
        <w:tc>
          <w:tcPr>
            <w:tcW w:w="965" w:type="dxa"/>
            <w:shd w:val="clear" w:color="auto" w:fill="F2F2F2" w:themeFill="background1" w:themeFillShade="F2"/>
          </w:tcPr>
          <w:p w14:paraId="5CBD621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B5</w:t>
            </w:r>
          </w:p>
        </w:tc>
        <w:tc>
          <w:tcPr>
            <w:tcW w:w="3912" w:type="dxa"/>
            <w:shd w:val="clear" w:color="auto" w:fill="F2F2F2" w:themeFill="background1" w:themeFillShade="F2"/>
          </w:tcPr>
          <w:p w14:paraId="6868DA6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Environmental performance ratings achieved for entity-owned assets portfolio segmented by rating scheme and building, facility, or infrastructure type, where these ratings have been conducted</w:t>
            </w:r>
          </w:p>
        </w:tc>
        <w:tc>
          <w:tcPr>
            <w:tcW w:w="710" w:type="dxa"/>
            <w:shd w:val="clear" w:color="auto" w:fill="F2F2F2" w:themeFill="background1" w:themeFillShade="F2"/>
          </w:tcPr>
          <w:p w14:paraId="1990922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A43434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61799ABE"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11324697"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50CAC0F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D5A4AE2"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0295B0EE"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3EA6CB9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W1</w:t>
            </w:r>
          </w:p>
        </w:tc>
        <w:tc>
          <w:tcPr>
            <w:tcW w:w="3912" w:type="dxa"/>
            <w:shd w:val="clear" w:color="auto" w:fill="F2F2F2" w:themeFill="background1" w:themeFillShade="F2"/>
          </w:tcPr>
          <w:p w14:paraId="1FDE047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units of metered water consumed by water source</w:t>
            </w:r>
          </w:p>
        </w:tc>
        <w:tc>
          <w:tcPr>
            <w:tcW w:w="710" w:type="dxa"/>
            <w:shd w:val="clear" w:color="auto" w:fill="F2F2F2" w:themeFill="background1" w:themeFillShade="F2"/>
          </w:tcPr>
          <w:p w14:paraId="235D956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8388FC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CF030C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58B8B84"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05744FA0"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5A1F6C97"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1A806EB0" w14:textId="77777777" w:rsidTr="00B13278">
        <w:tc>
          <w:tcPr>
            <w:tcW w:w="965" w:type="dxa"/>
            <w:shd w:val="clear" w:color="auto" w:fill="F2F2F2" w:themeFill="background1" w:themeFillShade="F2"/>
          </w:tcPr>
          <w:p w14:paraId="43B1464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W2</w:t>
            </w:r>
          </w:p>
        </w:tc>
        <w:tc>
          <w:tcPr>
            <w:tcW w:w="3912" w:type="dxa"/>
            <w:shd w:val="clear" w:color="auto" w:fill="F2F2F2" w:themeFill="background1" w:themeFillShade="F2"/>
          </w:tcPr>
          <w:p w14:paraId="02E28F0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Units of metered water consumed normalised by FTE, headcount, floor area, or other entity or sector specific quantity</w:t>
            </w:r>
          </w:p>
        </w:tc>
        <w:tc>
          <w:tcPr>
            <w:tcW w:w="710" w:type="dxa"/>
            <w:shd w:val="clear" w:color="auto" w:fill="F2F2F2" w:themeFill="background1" w:themeFillShade="F2"/>
          </w:tcPr>
          <w:p w14:paraId="4896D47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D61C4E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ACBC37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6155A48"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3C3557A5"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65702676"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338ABB30"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4C23060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WR1</w:t>
            </w:r>
          </w:p>
        </w:tc>
        <w:tc>
          <w:tcPr>
            <w:tcW w:w="3912" w:type="dxa"/>
            <w:shd w:val="clear" w:color="auto" w:fill="F2F2F2" w:themeFill="background1" w:themeFillShade="F2"/>
          </w:tcPr>
          <w:p w14:paraId="76AB9EF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units of waste disposed of by disposal method and material type / waste stream</w:t>
            </w:r>
          </w:p>
        </w:tc>
        <w:tc>
          <w:tcPr>
            <w:tcW w:w="710" w:type="dxa"/>
            <w:shd w:val="clear" w:color="auto" w:fill="F2F2F2" w:themeFill="background1" w:themeFillShade="F2"/>
          </w:tcPr>
          <w:p w14:paraId="30FF960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82B218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09B2C8A3"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AC7C159"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4C514CA5"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65F6438F"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24F7D5B2" w14:textId="77777777" w:rsidTr="00B13278">
        <w:tc>
          <w:tcPr>
            <w:tcW w:w="965" w:type="dxa"/>
            <w:shd w:val="clear" w:color="auto" w:fill="F2F2F2" w:themeFill="background1" w:themeFillShade="F2"/>
          </w:tcPr>
          <w:p w14:paraId="6C3BEC0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WR2</w:t>
            </w:r>
          </w:p>
        </w:tc>
        <w:tc>
          <w:tcPr>
            <w:tcW w:w="3912" w:type="dxa"/>
            <w:shd w:val="clear" w:color="auto" w:fill="F2F2F2" w:themeFill="background1" w:themeFillShade="F2"/>
          </w:tcPr>
          <w:p w14:paraId="51DB200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Dedicated collection services provided in offices for printer cartridges, batteries, and soft plastics</w:t>
            </w:r>
          </w:p>
        </w:tc>
        <w:tc>
          <w:tcPr>
            <w:tcW w:w="710" w:type="dxa"/>
            <w:shd w:val="clear" w:color="auto" w:fill="F2F2F2" w:themeFill="background1" w:themeFillShade="F2"/>
          </w:tcPr>
          <w:p w14:paraId="5E68E26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8C2107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47FE5B8E"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040B2497"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3A876BB4"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783BB0BA"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4E67F0AC"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52CDC689"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WR3</w:t>
            </w:r>
          </w:p>
        </w:tc>
        <w:tc>
          <w:tcPr>
            <w:tcW w:w="3912" w:type="dxa"/>
            <w:shd w:val="clear" w:color="auto" w:fill="F2F2F2" w:themeFill="background1" w:themeFillShade="F2"/>
          </w:tcPr>
          <w:p w14:paraId="3B464A7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units of waste disposed normalised by FTE, headcount, floor area, or other entity or sector specific quantity, by disposal method</w:t>
            </w:r>
          </w:p>
        </w:tc>
        <w:tc>
          <w:tcPr>
            <w:tcW w:w="710" w:type="dxa"/>
            <w:shd w:val="clear" w:color="auto" w:fill="F2F2F2" w:themeFill="background1" w:themeFillShade="F2"/>
          </w:tcPr>
          <w:p w14:paraId="12A28E4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138AFE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6C10BA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66E90498"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14623B6D"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178E6FE9"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7177ADF5" w14:textId="77777777" w:rsidTr="00B13278">
        <w:tc>
          <w:tcPr>
            <w:tcW w:w="965" w:type="dxa"/>
            <w:shd w:val="clear" w:color="auto" w:fill="F2F2F2" w:themeFill="background1" w:themeFillShade="F2"/>
          </w:tcPr>
          <w:p w14:paraId="0488C4B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WR4</w:t>
            </w:r>
          </w:p>
        </w:tc>
        <w:tc>
          <w:tcPr>
            <w:tcW w:w="3912" w:type="dxa"/>
            <w:shd w:val="clear" w:color="auto" w:fill="F2F2F2" w:themeFill="background1" w:themeFillShade="F2"/>
          </w:tcPr>
          <w:p w14:paraId="0DEF45E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Recycling rate</w:t>
            </w:r>
          </w:p>
        </w:tc>
        <w:tc>
          <w:tcPr>
            <w:tcW w:w="710" w:type="dxa"/>
            <w:shd w:val="clear" w:color="auto" w:fill="F2F2F2" w:themeFill="background1" w:themeFillShade="F2"/>
          </w:tcPr>
          <w:p w14:paraId="2F5847FE"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68CE95C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855614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E814358"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2001786A"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73752E21"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04137160"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17598784"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WR5</w:t>
            </w:r>
          </w:p>
        </w:tc>
        <w:tc>
          <w:tcPr>
            <w:tcW w:w="3912" w:type="dxa"/>
            <w:shd w:val="clear" w:color="auto" w:fill="F2F2F2" w:themeFill="background1" w:themeFillShade="F2"/>
          </w:tcPr>
          <w:p w14:paraId="60B0A200"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Greenhouse gas emissions associated with waste disposal</w:t>
            </w:r>
          </w:p>
        </w:tc>
        <w:tc>
          <w:tcPr>
            <w:tcW w:w="710" w:type="dxa"/>
            <w:shd w:val="clear" w:color="auto" w:fill="F2F2F2" w:themeFill="background1" w:themeFillShade="F2"/>
          </w:tcPr>
          <w:p w14:paraId="7343CC0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0AF7870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5031671"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280C829"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518BC84D" w14:textId="77777777" w:rsidR="00691FF5" w:rsidRPr="004423D0"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7A90121A"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142B1393" w14:textId="77777777" w:rsidTr="00B13278">
        <w:tc>
          <w:tcPr>
            <w:tcW w:w="965" w:type="dxa"/>
            <w:shd w:val="clear" w:color="auto" w:fill="F2F2F2" w:themeFill="background1" w:themeFillShade="F2"/>
          </w:tcPr>
          <w:p w14:paraId="78F12226"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G1</w:t>
            </w:r>
          </w:p>
        </w:tc>
        <w:tc>
          <w:tcPr>
            <w:tcW w:w="3912" w:type="dxa"/>
            <w:shd w:val="clear" w:color="auto" w:fill="F2F2F2" w:themeFill="background1" w:themeFillShade="F2"/>
          </w:tcPr>
          <w:p w14:paraId="55B8076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scope one (direct) greenhouse gas emissions</w:t>
            </w:r>
          </w:p>
        </w:tc>
        <w:tc>
          <w:tcPr>
            <w:tcW w:w="710" w:type="dxa"/>
            <w:shd w:val="clear" w:color="auto" w:fill="F2F2F2" w:themeFill="background1" w:themeFillShade="F2"/>
          </w:tcPr>
          <w:p w14:paraId="10022271"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3CEFF8DB"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D2ABF0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4BF0393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59D0484D"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67290D5"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rsidRPr="004423D0" w14:paraId="6311E472" w14:textId="77777777" w:rsidTr="00B13278">
        <w:trPr>
          <w:cnfStyle w:val="000000010000" w:firstRow="0" w:lastRow="0" w:firstColumn="0" w:lastColumn="0" w:oddVBand="0" w:evenVBand="0" w:oddHBand="0" w:evenHBand="1" w:firstRowFirstColumn="0" w:firstRowLastColumn="0" w:lastRowFirstColumn="0" w:lastRowLastColumn="0"/>
        </w:trPr>
        <w:tc>
          <w:tcPr>
            <w:tcW w:w="965" w:type="dxa"/>
            <w:shd w:val="clear" w:color="auto" w:fill="F2F2F2" w:themeFill="background1" w:themeFillShade="F2"/>
          </w:tcPr>
          <w:p w14:paraId="539A99D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G2</w:t>
            </w:r>
          </w:p>
        </w:tc>
        <w:tc>
          <w:tcPr>
            <w:tcW w:w="3912" w:type="dxa"/>
            <w:shd w:val="clear" w:color="auto" w:fill="F2F2F2" w:themeFill="background1" w:themeFillShade="F2"/>
          </w:tcPr>
          <w:p w14:paraId="6D0D743F"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scope two (indirect electricity) greenhouse gas emissions</w:t>
            </w:r>
          </w:p>
        </w:tc>
        <w:tc>
          <w:tcPr>
            <w:tcW w:w="710" w:type="dxa"/>
            <w:shd w:val="clear" w:color="auto" w:fill="F2F2F2" w:themeFill="background1" w:themeFillShade="F2"/>
          </w:tcPr>
          <w:p w14:paraId="3831813C"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5E37A772"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181FB9A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421EB1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444F71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14C84BD5" w14:textId="77777777" w:rsidR="00691FF5" w:rsidRPr="004423D0" w:rsidRDefault="00691FF5" w:rsidP="00B13278">
            <w:pPr>
              <w:spacing w:line="264" w:lineRule="auto"/>
              <w:jc w:val="left"/>
              <w:rPr>
                <w:rFonts w:ascii="Arial" w:eastAsia="Arial" w:hAnsi="Arial" w:cs="Arial"/>
                <w:color w:val="000000" w:themeColor="text1"/>
                <w:sz w:val="17"/>
                <w:szCs w:val="17"/>
              </w:rPr>
            </w:pPr>
          </w:p>
        </w:tc>
      </w:tr>
      <w:tr w:rsidR="00691FF5" w14:paraId="0FF98578" w14:textId="77777777" w:rsidTr="00B13278">
        <w:tc>
          <w:tcPr>
            <w:tcW w:w="965" w:type="dxa"/>
            <w:shd w:val="clear" w:color="auto" w:fill="F2F2F2" w:themeFill="background1" w:themeFillShade="F2"/>
          </w:tcPr>
          <w:p w14:paraId="4075E0DA"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G3</w:t>
            </w:r>
          </w:p>
        </w:tc>
        <w:tc>
          <w:tcPr>
            <w:tcW w:w="3912" w:type="dxa"/>
            <w:shd w:val="clear" w:color="auto" w:fill="F2F2F2" w:themeFill="background1" w:themeFillShade="F2"/>
          </w:tcPr>
          <w:p w14:paraId="053FD335"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Total scope three (other indirect) greenhouse gas emissions associated with commercial air travel and waste disposal</w:t>
            </w:r>
          </w:p>
        </w:tc>
        <w:tc>
          <w:tcPr>
            <w:tcW w:w="710" w:type="dxa"/>
            <w:shd w:val="clear" w:color="auto" w:fill="F2F2F2" w:themeFill="background1" w:themeFillShade="F2"/>
          </w:tcPr>
          <w:p w14:paraId="7C963AB8"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2A5793F7" w14:textId="77777777" w:rsidR="00691FF5" w:rsidRPr="004423D0"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0" w:type="dxa"/>
            <w:shd w:val="clear" w:color="auto" w:fill="F2F2F2" w:themeFill="background1" w:themeFillShade="F2"/>
          </w:tcPr>
          <w:p w14:paraId="7CD42C97" w14:textId="77777777" w:rsidR="00691FF5" w:rsidRDefault="00691FF5" w:rsidP="00B13278">
            <w:pPr>
              <w:spacing w:line="264" w:lineRule="auto"/>
              <w:jc w:val="left"/>
              <w:rPr>
                <w:rFonts w:ascii="Arial" w:eastAsia="Arial" w:hAnsi="Arial" w:cs="Arial"/>
                <w:color w:val="000000" w:themeColor="text1"/>
                <w:sz w:val="17"/>
                <w:szCs w:val="17"/>
              </w:rPr>
            </w:pPr>
            <w:r w:rsidRPr="004423D0">
              <w:rPr>
                <w:rFonts w:ascii="Arial" w:eastAsia="Arial" w:hAnsi="Arial" w:cs="Arial"/>
                <w:color w:val="000000" w:themeColor="text1"/>
                <w:sz w:val="17"/>
                <w:szCs w:val="17"/>
              </w:rPr>
              <w:t>Yes</w:t>
            </w:r>
          </w:p>
        </w:tc>
        <w:tc>
          <w:tcPr>
            <w:tcW w:w="711" w:type="dxa"/>
            <w:shd w:val="clear" w:color="auto" w:fill="F2F2F2" w:themeFill="background1" w:themeFillShade="F2"/>
          </w:tcPr>
          <w:p w14:paraId="72BF9018" w14:textId="77777777" w:rsidR="00691FF5" w:rsidRDefault="00691FF5" w:rsidP="00B13278">
            <w:pPr>
              <w:spacing w:line="264" w:lineRule="auto"/>
              <w:jc w:val="left"/>
              <w:rPr>
                <w:rFonts w:ascii="Arial" w:eastAsia="Arial" w:hAnsi="Arial" w:cs="Arial"/>
                <w:color w:val="000000" w:themeColor="text1"/>
                <w:sz w:val="17"/>
                <w:szCs w:val="17"/>
              </w:rPr>
            </w:pPr>
          </w:p>
        </w:tc>
        <w:tc>
          <w:tcPr>
            <w:tcW w:w="710" w:type="dxa"/>
            <w:shd w:val="clear" w:color="auto" w:fill="F2F2F2" w:themeFill="background1" w:themeFillShade="F2"/>
          </w:tcPr>
          <w:p w14:paraId="3A07D0A5" w14:textId="77777777" w:rsidR="00691FF5" w:rsidRDefault="00691FF5" w:rsidP="00B13278">
            <w:pPr>
              <w:spacing w:line="264" w:lineRule="auto"/>
              <w:jc w:val="left"/>
              <w:rPr>
                <w:rFonts w:ascii="Arial" w:eastAsia="Arial" w:hAnsi="Arial" w:cs="Arial"/>
                <w:color w:val="000000" w:themeColor="text1"/>
                <w:sz w:val="17"/>
                <w:szCs w:val="17"/>
              </w:rPr>
            </w:pPr>
          </w:p>
        </w:tc>
        <w:tc>
          <w:tcPr>
            <w:tcW w:w="711" w:type="dxa"/>
            <w:shd w:val="clear" w:color="auto" w:fill="F2F2F2" w:themeFill="background1" w:themeFillShade="F2"/>
          </w:tcPr>
          <w:p w14:paraId="58DC2162" w14:textId="77777777" w:rsidR="00691FF5" w:rsidRDefault="00691FF5" w:rsidP="00B13278">
            <w:pPr>
              <w:spacing w:line="264" w:lineRule="auto"/>
              <w:jc w:val="left"/>
              <w:rPr>
                <w:rFonts w:ascii="Arial" w:eastAsia="Arial" w:hAnsi="Arial" w:cs="Arial"/>
                <w:color w:val="000000" w:themeColor="text1"/>
                <w:sz w:val="17"/>
                <w:szCs w:val="17"/>
              </w:rPr>
            </w:pPr>
          </w:p>
        </w:tc>
      </w:tr>
      <w:bookmarkEnd w:id="1"/>
    </w:tbl>
    <w:p w14:paraId="72821067" w14:textId="77777777" w:rsidR="00691FF5" w:rsidRDefault="00691FF5" w:rsidP="00691FF5"/>
    <w:p w14:paraId="218DAFFE" w14:textId="77777777" w:rsidR="008C63EE" w:rsidRDefault="008C63EE" w:rsidP="00273A66">
      <w:pPr>
        <w:keepNext/>
        <w:keepLines/>
        <w:spacing w:before="120" w:after="240"/>
        <w:outlineLvl w:val="0"/>
      </w:pPr>
    </w:p>
    <w:sectPr w:rsidR="008C63EE" w:rsidSect="005828FE">
      <w:headerReference w:type="default" r:id="rId17"/>
      <w:footerReference w:type="even" r:id="rId18"/>
      <w:footerReference w:type="default" r:id="rId19"/>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8A4D" w14:textId="77777777" w:rsidR="009164EE" w:rsidRDefault="009164EE" w:rsidP="002D711A">
      <w:pPr>
        <w:spacing w:after="0" w:line="240" w:lineRule="auto"/>
      </w:pPr>
      <w:r>
        <w:separator/>
      </w:r>
    </w:p>
    <w:p w14:paraId="2537A13D" w14:textId="77777777" w:rsidR="009164EE" w:rsidRDefault="009164EE"/>
  </w:endnote>
  <w:endnote w:type="continuationSeparator" w:id="0">
    <w:p w14:paraId="1B15710B" w14:textId="77777777" w:rsidR="009164EE" w:rsidRDefault="009164EE" w:rsidP="002D711A">
      <w:pPr>
        <w:spacing w:after="0" w:line="240" w:lineRule="auto"/>
      </w:pPr>
      <w:r>
        <w:continuationSeparator/>
      </w:r>
    </w:p>
    <w:p w14:paraId="209E6CC5" w14:textId="77777777" w:rsidR="009164EE" w:rsidRDefault="009164EE"/>
  </w:endnote>
  <w:endnote w:type="continuationNotice" w:id="1">
    <w:p w14:paraId="643C15B1" w14:textId="77777777" w:rsidR="009164EE" w:rsidRDefault="009164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E18C" w14:textId="77777777" w:rsidR="00014213" w:rsidRPr="00014213" w:rsidRDefault="00014213" w:rsidP="00C022F9">
    <w:pPr>
      <w:pStyle w:val="Footer"/>
    </w:pPr>
    <w:r>
      <w:drawing>
        <wp:anchor distT="0" distB="0" distL="114300" distR="114300" simplePos="0" relativeHeight="251657216" behindDoc="0" locked="0" layoutInCell="1" allowOverlap="1" wp14:anchorId="2A47372D" wp14:editId="091C7ECF">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62F57A9E"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B317" w14:textId="6A88B0D0" w:rsidR="00A516DE" w:rsidRDefault="005504FB" w:rsidP="00A516DE">
    <w:pPr>
      <w:pStyle w:val="Spacer"/>
    </w:pPr>
    <w:r>
      <w:rPr>
        <w:noProof/>
      </w:rPr>
      <mc:AlternateContent>
        <mc:Choice Requires="wps">
          <w:drawing>
            <wp:anchor distT="0" distB="0" distL="114300" distR="114300" simplePos="0" relativeHeight="251659264" behindDoc="0" locked="0" layoutInCell="0" allowOverlap="1" wp14:anchorId="18F4030B" wp14:editId="23CC4034">
              <wp:simplePos x="0" y="0"/>
              <wp:positionH relativeFrom="page">
                <wp:posOffset>0</wp:posOffset>
              </wp:positionH>
              <wp:positionV relativeFrom="page">
                <wp:posOffset>10228580</wp:posOffset>
              </wp:positionV>
              <wp:extent cx="7560310" cy="273050"/>
              <wp:effectExtent l="0" t="0" r="0" b="12700"/>
              <wp:wrapNone/>
              <wp:docPr id="1" name="MSIPCMe8064f5e8f096c31e2412d3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A6B71" w14:textId="7D47FC15" w:rsidR="005504FB" w:rsidRPr="00981F6C" w:rsidRDefault="00981F6C" w:rsidP="00981F6C">
                          <w:pPr>
                            <w:spacing w:before="0" w:after="0"/>
                            <w:rPr>
                              <w:rFonts w:ascii="Calibri" w:hAnsi="Calibri" w:cs="Calibri"/>
                              <w:color w:val="000000"/>
                              <w:sz w:val="22"/>
                            </w:rPr>
                          </w:pPr>
                          <w:r w:rsidRPr="00981F6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F4030B" id="_x0000_t202" coordsize="21600,21600" o:spt="202" path="m,l,21600r21600,l21600,xe">
              <v:stroke joinstyle="miter"/>
              <v:path gradientshapeok="t" o:connecttype="rect"/>
            </v:shapetype>
            <v:shape id="MSIPCMe8064f5e8f096c31e2412d32" o:spid="_x0000_s1026" type="#_x0000_t202" alt="{&quot;HashCode&quot;:-126760350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D4jDH2xAgAASAUAAA4A&#10;AAAAAAAAAAAAAAAALgIAAGRycy9lMm9Eb2MueG1sUEsBAi0AFAAGAAgAAAAhACeDgoneAAAACwEA&#10;AA8AAAAAAAAAAAAAAAAACwUAAGRycy9kb3ducmV2LnhtbFBLBQYAAAAABAAEAPMAAAAWBgAAAAA=&#10;" o:allowincell="f" filled="f" stroked="f" strokeweight=".5pt">
              <v:textbox inset="20pt,0,,0">
                <w:txbxContent>
                  <w:p w14:paraId="5D6A6B71" w14:textId="7D47FC15" w:rsidR="005504FB" w:rsidRPr="00981F6C" w:rsidRDefault="00981F6C" w:rsidP="00981F6C">
                    <w:pPr>
                      <w:spacing w:before="0" w:after="0"/>
                      <w:rPr>
                        <w:rFonts w:ascii="Calibri" w:hAnsi="Calibri" w:cs="Calibri"/>
                        <w:color w:val="000000"/>
                        <w:sz w:val="22"/>
                      </w:rPr>
                    </w:pPr>
                    <w:r w:rsidRPr="00981F6C">
                      <w:rPr>
                        <w:rFonts w:ascii="Calibri" w:hAnsi="Calibri" w:cs="Calibri"/>
                        <w:color w:val="000000"/>
                        <w:sz w:val="22"/>
                      </w:rPr>
                      <w:t>OFFICIAL</w:t>
                    </w:r>
                  </w:p>
                </w:txbxContent>
              </v:textbox>
              <w10:wrap anchorx="page" anchory="page"/>
            </v:shape>
          </w:pict>
        </mc:Fallback>
      </mc:AlternateContent>
    </w:r>
  </w:p>
  <w:p w14:paraId="21856DB9" w14:textId="779459DD"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0E61F9">
      <w:rPr>
        <w:b/>
      </w:rPr>
      <w:t>FRD 24</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0E61F9">
      <w:t>Reporting of environmental data by government entities (June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F5B90">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5B7F" w14:textId="77777777" w:rsidR="009164EE" w:rsidRDefault="009164EE" w:rsidP="002D711A">
      <w:pPr>
        <w:spacing w:after="0" w:line="240" w:lineRule="auto"/>
      </w:pPr>
      <w:r>
        <w:separator/>
      </w:r>
    </w:p>
    <w:p w14:paraId="6B67F219" w14:textId="77777777" w:rsidR="009164EE" w:rsidRDefault="009164EE"/>
  </w:footnote>
  <w:footnote w:type="continuationSeparator" w:id="0">
    <w:p w14:paraId="09FF879A" w14:textId="77777777" w:rsidR="009164EE" w:rsidRDefault="009164EE" w:rsidP="002D711A">
      <w:pPr>
        <w:spacing w:after="0" w:line="240" w:lineRule="auto"/>
      </w:pPr>
      <w:r>
        <w:continuationSeparator/>
      </w:r>
    </w:p>
    <w:p w14:paraId="2B01D366" w14:textId="77777777" w:rsidR="009164EE" w:rsidRDefault="009164EE"/>
  </w:footnote>
  <w:footnote w:type="continuationNotice" w:id="1">
    <w:p w14:paraId="26C3E040" w14:textId="77777777" w:rsidR="009164EE" w:rsidRDefault="009164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7EE5" w14:textId="77777777" w:rsidR="0041689E" w:rsidRPr="0041689E" w:rsidRDefault="005828FE" w:rsidP="005828FE">
    <w:pPr>
      <w:pStyle w:val="Header"/>
      <w:tabs>
        <w:tab w:val="clear" w:pos="9026"/>
      </w:tabs>
      <w:ind w:right="-694"/>
      <w:jc w:val="right"/>
    </w:pPr>
    <w:r>
      <w:rPr>
        <w:noProof/>
      </w:rPr>
      <w:drawing>
        <wp:inline distT="0" distB="0" distL="0" distR="0" wp14:anchorId="2083D35C" wp14:editId="7C502924">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4A9FEEB5" w14:textId="21F0E945"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0B0"/>
    <w:multiLevelType w:val="hybridMultilevel"/>
    <w:tmpl w:val="521E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EB1761"/>
    <w:multiLevelType w:val="hybridMultilevel"/>
    <w:tmpl w:val="FFFFFFFF"/>
    <w:lvl w:ilvl="0" w:tplc="3306B814">
      <w:start w:val="1"/>
      <w:numFmt w:val="bullet"/>
      <w:lvlText w:val="o"/>
      <w:lvlJc w:val="left"/>
      <w:pPr>
        <w:ind w:left="720" w:hanging="360"/>
      </w:pPr>
      <w:rPr>
        <w:rFonts w:ascii="Courier New" w:hAnsi="Courier New" w:hint="default"/>
      </w:rPr>
    </w:lvl>
    <w:lvl w:ilvl="1" w:tplc="70340A5C">
      <w:start w:val="1"/>
      <w:numFmt w:val="bullet"/>
      <w:lvlText w:val="o"/>
      <w:lvlJc w:val="left"/>
      <w:pPr>
        <w:ind w:left="1440" w:hanging="360"/>
      </w:pPr>
      <w:rPr>
        <w:rFonts w:ascii="Courier New" w:hAnsi="Courier New" w:hint="default"/>
      </w:rPr>
    </w:lvl>
    <w:lvl w:ilvl="2" w:tplc="CA9E9DF2">
      <w:start w:val="1"/>
      <w:numFmt w:val="bullet"/>
      <w:lvlText w:val=""/>
      <w:lvlJc w:val="left"/>
      <w:pPr>
        <w:ind w:left="2160" w:hanging="360"/>
      </w:pPr>
      <w:rPr>
        <w:rFonts w:ascii="Wingdings" w:hAnsi="Wingdings" w:hint="default"/>
      </w:rPr>
    </w:lvl>
    <w:lvl w:ilvl="3" w:tplc="DA4C4130">
      <w:start w:val="1"/>
      <w:numFmt w:val="bullet"/>
      <w:lvlText w:val=""/>
      <w:lvlJc w:val="left"/>
      <w:pPr>
        <w:ind w:left="2880" w:hanging="360"/>
      </w:pPr>
      <w:rPr>
        <w:rFonts w:ascii="Symbol" w:hAnsi="Symbol" w:hint="default"/>
      </w:rPr>
    </w:lvl>
    <w:lvl w:ilvl="4" w:tplc="5CCC579C">
      <w:start w:val="1"/>
      <w:numFmt w:val="bullet"/>
      <w:lvlText w:val="o"/>
      <w:lvlJc w:val="left"/>
      <w:pPr>
        <w:ind w:left="3600" w:hanging="360"/>
      </w:pPr>
      <w:rPr>
        <w:rFonts w:ascii="Courier New" w:hAnsi="Courier New" w:hint="default"/>
      </w:rPr>
    </w:lvl>
    <w:lvl w:ilvl="5" w:tplc="6B1C912A">
      <w:start w:val="1"/>
      <w:numFmt w:val="bullet"/>
      <w:lvlText w:val=""/>
      <w:lvlJc w:val="left"/>
      <w:pPr>
        <w:ind w:left="4320" w:hanging="360"/>
      </w:pPr>
      <w:rPr>
        <w:rFonts w:ascii="Wingdings" w:hAnsi="Wingdings" w:hint="default"/>
      </w:rPr>
    </w:lvl>
    <w:lvl w:ilvl="6" w:tplc="845AFA62">
      <w:start w:val="1"/>
      <w:numFmt w:val="bullet"/>
      <w:lvlText w:val=""/>
      <w:lvlJc w:val="left"/>
      <w:pPr>
        <w:ind w:left="5040" w:hanging="360"/>
      </w:pPr>
      <w:rPr>
        <w:rFonts w:ascii="Symbol" w:hAnsi="Symbol" w:hint="default"/>
      </w:rPr>
    </w:lvl>
    <w:lvl w:ilvl="7" w:tplc="3A4608CA">
      <w:start w:val="1"/>
      <w:numFmt w:val="bullet"/>
      <w:lvlText w:val="o"/>
      <w:lvlJc w:val="left"/>
      <w:pPr>
        <w:ind w:left="5760" w:hanging="360"/>
      </w:pPr>
      <w:rPr>
        <w:rFonts w:ascii="Courier New" w:hAnsi="Courier New" w:hint="default"/>
      </w:rPr>
    </w:lvl>
    <w:lvl w:ilvl="8" w:tplc="79C29EDA">
      <w:start w:val="1"/>
      <w:numFmt w:val="bullet"/>
      <w:lvlText w:val=""/>
      <w:lvlJc w:val="left"/>
      <w:pPr>
        <w:ind w:left="6480" w:hanging="360"/>
      </w:pPr>
      <w:rPr>
        <w:rFonts w:ascii="Wingdings" w:hAnsi="Wingdings" w:hint="default"/>
      </w:rPr>
    </w:lvl>
  </w:abstractNum>
  <w:abstractNum w:abstractNumId="2" w15:restartNumberingAfterBreak="0">
    <w:nsid w:val="16D52A43"/>
    <w:multiLevelType w:val="hybridMultilevel"/>
    <w:tmpl w:val="2BBC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870C0"/>
    <w:multiLevelType w:val="hybridMultilevel"/>
    <w:tmpl w:val="ACE8C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140C3F"/>
    <w:multiLevelType w:val="hybridMultilevel"/>
    <w:tmpl w:val="F34415B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1F330A"/>
    <w:multiLevelType w:val="hybridMultilevel"/>
    <w:tmpl w:val="FFFFFFFF"/>
    <w:lvl w:ilvl="0" w:tplc="79CCE926">
      <w:start w:val="1"/>
      <w:numFmt w:val="bullet"/>
      <w:lvlText w:val="o"/>
      <w:lvlJc w:val="left"/>
      <w:pPr>
        <w:ind w:left="720" w:hanging="360"/>
      </w:pPr>
      <w:rPr>
        <w:rFonts w:ascii="Courier New" w:hAnsi="Courier New" w:hint="default"/>
      </w:rPr>
    </w:lvl>
    <w:lvl w:ilvl="1" w:tplc="FF3640CC">
      <w:start w:val="1"/>
      <w:numFmt w:val="bullet"/>
      <w:lvlText w:val="o"/>
      <w:lvlJc w:val="left"/>
      <w:pPr>
        <w:ind w:left="1440" w:hanging="360"/>
      </w:pPr>
      <w:rPr>
        <w:rFonts w:ascii="Courier New" w:hAnsi="Courier New" w:hint="default"/>
      </w:rPr>
    </w:lvl>
    <w:lvl w:ilvl="2" w:tplc="26DC4690">
      <w:start w:val="1"/>
      <w:numFmt w:val="bullet"/>
      <w:lvlText w:val=""/>
      <w:lvlJc w:val="left"/>
      <w:pPr>
        <w:ind w:left="2160" w:hanging="360"/>
      </w:pPr>
      <w:rPr>
        <w:rFonts w:ascii="Wingdings" w:hAnsi="Wingdings" w:hint="default"/>
      </w:rPr>
    </w:lvl>
    <w:lvl w:ilvl="3" w:tplc="7A1C09F4">
      <w:start w:val="1"/>
      <w:numFmt w:val="bullet"/>
      <w:lvlText w:val=""/>
      <w:lvlJc w:val="left"/>
      <w:pPr>
        <w:ind w:left="2880" w:hanging="360"/>
      </w:pPr>
      <w:rPr>
        <w:rFonts w:ascii="Symbol" w:hAnsi="Symbol" w:hint="default"/>
      </w:rPr>
    </w:lvl>
    <w:lvl w:ilvl="4" w:tplc="3F96B1EC">
      <w:start w:val="1"/>
      <w:numFmt w:val="bullet"/>
      <w:lvlText w:val="o"/>
      <w:lvlJc w:val="left"/>
      <w:pPr>
        <w:ind w:left="3600" w:hanging="360"/>
      </w:pPr>
      <w:rPr>
        <w:rFonts w:ascii="Courier New" w:hAnsi="Courier New" w:hint="default"/>
      </w:rPr>
    </w:lvl>
    <w:lvl w:ilvl="5" w:tplc="1882767E">
      <w:start w:val="1"/>
      <w:numFmt w:val="bullet"/>
      <w:lvlText w:val=""/>
      <w:lvlJc w:val="left"/>
      <w:pPr>
        <w:ind w:left="4320" w:hanging="360"/>
      </w:pPr>
      <w:rPr>
        <w:rFonts w:ascii="Wingdings" w:hAnsi="Wingdings" w:hint="default"/>
      </w:rPr>
    </w:lvl>
    <w:lvl w:ilvl="6" w:tplc="4C1A1722">
      <w:start w:val="1"/>
      <w:numFmt w:val="bullet"/>
      <w:lvlText w:val=""/>
      <w:lvlJc w:val="left"/>
      <w:pPr>
        <w:ind w:left="5040" w:hanging="360"/>
      </w:pPr>
      <w:rPr>
        <w:rFonts w:ascii="Symbol" w:hAnsi="Symbol" w:hint="default"/>
      </w:rPr>
    </w:lvl>
    <w:lvl w:ilvl="7" w:tplc="DB7CD1CA">
      <w:start w:val="1"/>
      <w:numFmt w:val="bullet"/>
      <w:lvlText w:val="o"/>
      <w:lvlJc w:val="left"/>
      <w:pPr>
        <w:ind w:left="5760" w:hanging="360"/>
      </w:pPr>
      <w:rPr>
        <w:rFonts w:ascii="Courier New" w:hAnsi="Courier New" w:hint="default"/>
      </w:rPr>
    </w:lvl>
    <w:lvl w:ilvl="8" w:tplc="D3AE7182">
      <w:start w:val="1"/>
      <w:numFmt w:val="bullet"/>
      <w:lvlText w:val=""/>
      <w:lvlJc w:val="left"/>
      <w:pPr>
        <w:ind w:left="6480" w:hanging="360"/>
      </w:pPr>
      <w:rPr>
        <w:rFonts w:ascii="Wingdings" w:hAnsi="Wingdings" w:hint="default"/>
      </w:rPr>
    </w:lvl>
  </w:abstractNum>
  <w:abstractNum w:abstractNumId="7" w15:restartNumberingAfterBreak="0">
    <w:nsid w:val="388053B9"/>
    <w:multiLevelType w:val="hybridMultilevel"/>
    <w:tmpl w:val="54385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64737"/>
    <w:multiLevelType w:val="hybridMultilevel"/>
    <w:tmpl w:val="44A6EE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74094D"/>
    <w:multiLevelType w:val="hybridMultilevel"/>
    <w:tmpl w:val="3BF2FFBC"/>
    <w:lvl w:ilvl="0" w:tplc="4F364426">
      <w:start w:val="1"/>
      <w:numFmt w:val="bullet"/>
      <w:lvlText w:val=""/>
      <w:lvlJc w:val="left"/>
      <w:pPr>
        <w:ind w:left="720" w:hanging="360"/>
      </w:pPr>
      <w:rPr>
        <w:rFonts w:ascii="Symbol" w:hAnsi="Symbol" w:hint="default"/>
        <w:sz w:val="12"/>
        <w:szCs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FB0E14"/>
    <w:multiLevelType w:val="hybridMultilevel"/>
    <w:tmpl w:val="9A40F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683F86"/>
    <w:multiLevelType w:val="hybridMultilevel"/>
    <w:tmpl w:val="4FB8B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8F36219"/>
    <w:multiLevelType w:val="hybridMultilevel"/>
    <w:tmpl w:val="2F2620FC"/>
    <w:lvl w:ilvl="0" w:tplc="1B4EEA4C">
      <w:start w:val="1"/>
      <w:numFmt w:val="bullet"/>
      <w:lvlText w:val=""/>
      <w:lvlJc w:val="left"/>
      <w:pPr>
        <w:tabs>
          <w:tab w:val="num" w:pos="720"/>
        </w:tabs>
        <w:ind w:left="720" w:hanging="360"/>
      </w:pPr>
      <w:rPr>
        <w:rFonts w:ascii="Symbol" w:hAnsi="Symbol" w:hint="default"/>
        <w:sz w:val="20"/>
      </w:rPr>
    </w:lvl>
    <w:lvl w:ilvl="1" w:tplc="FC7CB53C">
      <w:start w:val="1"/>
      <w:numFmt w:val="bullet"/>
      <w:lvlText w:val=""/>
      <w:lvlJc w:val="left"/>
      <w:pPr>
        <w:tabs>
          <w:tab w:val="num" w:pos="1440"/>
        </w:tabs>
        <w:ind w:left="1440" w:hanging="360"/>
      </w:pPr>
      <w:rPr>
        <w:rFonts w:ascii="Symbol" w:hAnsi="Symbol" w:hint="default"/>
        <w:sz w:val="20"/>
      </w:rPr>
    </w:lvl>
    <w:lvl w:ilvl="2" w:tplc="6F1297F0" w:tentative="1">
      <w:start w:val="1"/>
      <w:numFmt w:val="bullet"/>
      <w:lvlText w:val=""/>
      <w:lvlJc w:val="left"/>
      <w:pPr>
        <w:tabs>
          <w:tab w:val="num" w:pos="2160"/>
        </w:tabs>
        <w:ind w:left="2160" w:hanging="360"/>
      </w:pPr>
      <w:rPr>
        <w:rFonts w:ascii="Symbol" w:hAnsi="Symbol" w:hint="default"/>
        <w:sz w:val="20"/>
      </w:rPr>
    </w:lvl>
    <w:lvl w:ilvl="3" w:tplc="755CC3B0" w:tentative="1">
      <w:start w:val="1"/>
      <w:numFmt w:val="bullet"/>
      <w:lvlText w:val=""/>
      <w:lvlJc w:val="left"/>
      <w:pPr>
        <w:tabs>
          <w:tab w:val="num" w:pos="2880"/>
        </w:tabs>
        <w:ind w:left="2880" w:hanging="360"/>
      </w:pPr>
      <w:rPr>
        <w:rFonts w:ascii="Symbol" w:hAnsi="Symbol" w:hint="default"/>
        <w:sz w:val="20"/>
      </w:rPr>
    </w:lvl>
    <w:lvl w:ilvl="4" w:tplc="CB7E4882" w:tentative="1">
      <w:start w:val="1"/>
      <w:numFmt w:val="bullet"/>
      <w:lvlText w:val=""/>
      <w:lvlJc w:val="left"/>
      <w:pPr>
        <w:tabs>
          <w:tab w:val="num" w:pos="3600"/>
        </w:tabs>
        <w:ind w:left="3600" w:hanging="360"/>
      </w:pPr>
      <w:rPr>
        <w:rFonts w:ascii="Symbol" w:hAnsi="Symbol" w:hint="default"/>
        <w:sz w:val="20"/>
      </w:rPr>
    </w:lvl>
    <w:lvl w:ilvl="5" w:tplc="3B00ED1C" w:tentative="1">
      <w:start w:val="1"/>
      <w:numFmt w:val="bullet"/>
      <w:lvlText w:val=""/>
      <w:lvlJc w:val="left"/>
      <w:pPr>
        <w:tabs>
          <w:tab w:val="num" w:pos="4320"/>
        </w:tabs>
        <w:ind w:left="4320" w:hanging="360"/>
      </w:pPr>
      <w:rPr>
        <w:rFonts w:ascii="Symbol" w:hAnsi="Symbol" w:hint="default"/>
        <w:sz w:val="20"/>
      </w:rPr>
    </w:lvl>
    <w:lvl w:ilvl="6" w:tplc="0F28E4CA" w:tentative="1">
      <w:start w:val="1"/>
      <w:numFmt w:val="bullet"/>
      <w:lvlText w:val=""/>
      <w:lvlJc w:val="left"/>
      <w:pPr>
        <w:tabs>
          <w:tab w:val="num" w:pos="5040"/>
        </w:tabs>
        <w:ind w:left="5040" w:hanging="360"/>
      </w:pPr>
      <w:rPr>
        <w:rFonts w:ascii="Symbol" w:hAnsi="Symbol" w:hint="default"/>
        <w:sz w:val="20"/>
      </w:rPr>
    </w:lvl>
    <w:lvl w:ilvl="7" w:tplc="BDAC1BF0" w:tentative="1">
      <w:start w:val="1"/>
      <w:numFmt w:val="bullet"/>
      <w:lvlText w:val=""/>
      <w:lvlJc w:val="left"/>
      <w:pPr>
        <w:tabs>
          <w:tab w:val="num" w:pos="5760"/>
        </w:tabs>
        <w:ind w:left="5760" w:hanging="360"/>
      </w:pPr>
      <w:rPr>
        <w:rFonts w:ascii="Symbol" w:hAnsi="Symbol" w:hint="default"/>
        <w:sz w:val="20"/>
      </w:rPr>
    </w:lvl>
    <w:lvl w:ilvl="8" w:tplc="2D3EF8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FD44514"/>
    <w:multiLevelType w:val="multilevel"/>
    <w:tmpl w:val="0562CB6E"/>
    <w:lvl w:ilvl="0">
      <w:start w:val="1"/>
      <w:numFmt w:val="lowerLetter"/>
      <w:lvlText w:val="(%1)"/>
      <w:lvlJc w:val="left"/>
      <w:pPr>
        <w:tabs>
          <w:tab w:val="num" w:pos="504"/>
        </w:tabs>
        <w:ind w:left="504" w:hanging="504"/>
      </w:pPr>
      <w:rPr>
        <w:rFonts w:hint="default"/>
      </w:rPr>
    </w:lvl>
    <w:lvl w:ilvl="1">
      <w:start w:val="1"/>
      <w:numFmt w:val="lowerRoman"/>
      <w:lvlText w:val="(%2)"/>
      <w:lvlJc w:val="left"/>
      <w:pPr>
        <w:tabs>
          <w:tab w:val="num" w:pos="1008"/>
        </w:tabs>
        <w:ind w:left="1008" w:hanging="504"/>
      </w:pPr>
      <w:rPr>
        <w:rFonts w:hint="default"/>
      </w:rPr>
    </w:lvl>
    <w:lvl w:ilvl="2">
      <w:start w:val="1"/>
      <w:numFmt w:val="lowerLetter"/>
      <w:lvlRestart w:val="0"/>
      <w:lvlText w:val="(%3)"/>
      <w:lvlJc w:val="left"/>
      <w:pPr>
        <w:tabs>
          <w:tab w:val="num" w:pos="504"/>
        </w:tabs>
        <w:ind w:left="504" w:hanging="504"/>
      </w:pPr>
      <w:rPr>
        <w:rFonts w:hint="default"/>
      </w:rPr>
    </w:lvl>
    <w:lvl w:ilvl="3">
      <w:start w:val="1"/>
      <w:numFmt w:val="lowerRoman"/>
      <w:lvlText w:val="(%4)"/>
      <w:lvlJc w:val="left"/>
      <w:pPr>
        <w:tabs>
          <w:tab w:val="num" w:pos="1008"/>
        </w:tabs>
        <w:ind w:left="1008" w:hanging="504"/>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9"/>
  </w:num>
  <w:num w:numId="2">
    <w:abstractNumId w:val="9"/>
  </w:num>
  <w:num w:numId="3">
    <w:abstractNumId w:val="9"/>
  </w:num>
  <w:num w:numId="4">
    <w:abstractNumId w:val="17"/>
  </w:num>
  <w:num w:numId="5">
    <w:abstractNumId w:val="9"/>
  </w:num>
  <w:num w:numId="6">
    <w:abstractNumId w:val="9"/>
  </w:num>
  <w:num w:numId="7">
    <w:abstractNumId w:val="9"/>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4"/>
  </w:num>
  <w:num w:numId="18">
    <w:abstractNumId w:val="4"/>
  </w:num>
  <w:num w:numId="19">
    <w:abstractNumId w:val="10"/>
  </w:num>
  <w:num w:numId="20">
    <w:abstractNumId w:val="16"/>
  </w:num>
  <w:num w:numId="21">
    <w:abstractNumId w:val="16"/>
  </w:num>
  <w:num w:numId="22">
    <w:abstractNumId w:val="14"/>
  </w:num>
  <w:num w:numId="23">
    <w:abstractNumId w:val="14"/>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14"/>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9"/>
  </w:num>
  <w:num w:numId="30">
    <w:abstractNumId w:val="9"/>
  </w:num>
  <w:num w:numId="31">
    <w:abstractNumId w:val="6"/>
  </w:num>
  <w:num w:numId="32">
    <w:abstractNumId w:val="9"/>
  </w:num>
  <w:num w:numId="33">
    <w:abstractNumId w:val="9"/>
  </w:num>
  <w:num w:numId="34">
    <w:abstractNumId w:val="9"/>
  </w:num>
  <w:num w:numId="35">
    <w:abstractNumId w:val="9"/>
  </w:num>
  <w:num w:numId="36">
    <w:abstractNumId w:val="5"/>
  </w:num>
  <w:num w:numId="37">
    <w:abstractNumId w:val="9"/>
  </w:num>
  <w:num w:numId="38">
    <w:abstractNumId w:val="13"/>
  </w:num>
  <w:num w:numId="39">
    <w:abstractNumId w:val="1"/>
  </w:num>
  <w:num w:numId="40">
    <w:abstractNumId w:val="9"/>
  </w:num>
  <w:num w:numId="41">
    <w:abstractNumId w:val="9"/>
  </w:num>
  <w:num w:numId="42">
    <w:abstractNumId w:val="9"/>
  </w:num>
  <w:num w:numId="43">
    <w:abstractNumId w:val="15"/>
  </w:num>
  <w:num w:numId="44">
    <w:abstractNumId w:val="2"/>
  </w:num>
  <w:num w:numId="45">
    <w:abstractNumId w:val="3"/>
  </w:num>
  <w:num w:numId="46">
    <w:abstractNumId w:val="12"/>
  </w:num>
  <w:num w:numId="47">
    <w:abstractNumId w:val="9"/>
  </w:num>
  <w:num w:numId="48">
    <w:abstractNumId w:val="9"/>
  </w:num>
  <w:num w:numId="49">
    <w:abstractNumId w:val="9"/>
  </w:num>
  <w:num w:numId="50">
    <w:abstractNumId w:val="9"/>
  </w:num>
  <w:num w:numId="51">
    <w:abstractNumId w:val="14"/>
    <w:lvlOverride w:ilvl="0">
      <w:lvl w:ilvl="0">
        <w:start w:val="1"/>
        <w:numFmt w:val="decimal"/>
        <w:pStyle w:val="Refnum1"/>
        <w:suff w:val="nothing"/>
        <w:lvlText w:val="%1."/>
        <w:lvlJc w:val="left"/>
        <w:pPr>
          <w:ind w:left="0" w:firstLine="0"/>
        </w:pPr>
        <w:rPr>
          <w:rFonts w:cs="Segoe UI"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52">
    <w:abstractNumId w:val="14"/>
    <w:lvlOverride w:ilvl="0">
      <w:lvl w:ilvl="0">
        <w:start w:val="1"/>
        <w:numFmt w:val="decimal"/>
        <w:pStyle w:val="Refnum1"/>
        <w:suff w:val="nothing"/>
        <w:lvlText w:val="%1."/>
        <w:lvlJc w:val="left"/>
        <w:pPr>
          <w:ind w:left="0" w:firstLine="0"/>
        </w:pPr>
        <w:rPr>
          <w:rFonts w:cs="Segoe UI"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53">
    <w:abstractNumId w:val="11"/>
  </w:num>
  <w:num w:numId="54">
    <w:abstractNumId w:val="7"/>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659A"/>
    <w:rsid w:val="0000176A"/>
    <w:rsid w:val="00004E0D"/>
    <w:rsid w:val="00012F6F"/>
    <w:rsid w:val="00013431"/>
    <w:rsid w:val="00013AFE"/>
    <w:rsid w:val="00014213"/>
    <w:rsid w:val="00014B55"/>
    <w:rsid w:val="0001589F"/>
    <w:rsid w:val="0001676B"/>
    <w:rsid w:val="000200AC"/>
    <w:rsid w:val="00020ABD"/>
    <w:rsid w:val="00020E3E"/>
    <w:rsid w:val="00022750"/>
    <w:rsid w:val="00023047"/>
    <w:rsid w:val="00023BF3"/>
    <w:rsid w:val="000243C2"/>
    <w:rsid w:val="00025F2B"/>
    <w:rsid w:val="00026811"/>
    <w:rsid w:val="00026913"/>
    <w:rsid w:val="0002692E"/>
    <w:rsid w:val="00027448"/>
    <w:rsid w:val="000312E7"/>
    <w:rsid w:val="0003233C"/>
    <w:rsid w:val="000337DF"/>
    <w:rsid w:val="00033E67"/>
    <w:rsid w:val="0003663E"/>
    <w:rsid w:val="00036ABB"/>
    <w:rsid w:val="0004356D"/>
    <w:rsid w:val="00043B75"/>
    <w:rsid w:val="00043EE3"/>
    <w:rsid w:val="000445C1"/>
    <w:rsid w:val="00045296"/>
    <w:rsid w:val="000547B0"/>
    <w:rsid w:val="0005523F"/>
    <w:rsid w:val="00061ACA"/>
    <w:rsid w:val="0006775C"/>
    <w:rsid w:val="00071D53"/>
    <w:rsid w:val="00073252"/>
    <w:rsid w:val="00074256"/>
    <w:rsid w:val="00075E6C"/>
    <w:rsid w:val="00076B8F"/>
    <w:rsid w:val="00076FB9"/>
    <w:rsid w:val="00080B71"/>
    <w:rsid w:val="00086344"/>
    <w:rsid w:val="00086B35"/>
    <w:rsid w:val="00086C6B"/>
    <w:rsid w:val="000927F2"/>
    <w:rsid w:val="00093665"/>
    <w:rsid w:val="00094E50"/>
    <w:rsid w:val="00095B77"/>
    <w:rsid w:val="000960EC"/>
    <w:rsid w:val="00096892"/>
    <w:rsid w:val="000A0C06"/>
    <w:rsid w:val="000A330C"/>
    <w:rsid w:val="000A727E"/>
    <w:rsid w:val="000A7C68"/>
    <w:rsid w:val="000B24A5"/>
    <w:rsid w:val="000B29AD"/>
    <w:rsid w:val="000B3F63"/>
    <w:rsid w:val="000B3FD5"/>
    <w:rsid w:val="000B49B0"/>
    <w:rsid w:val="000B4E25"/>
    <w:rsid w:val="000C10B2"/>
    <w:rsid w:val="000C19B1"/>
    <w:rsid w:val="000C4825"/>
    <w:rsid w:val="000C6372"/>
    <w:rsid w:val="000D0A54"/>
    <w:rsid w:val="000D2F2E"/>
    <w:rsid w:val="000D5D4C"/>
    <w:rsid w:val="000D74FC"/>
    <w:rsid w:val="000E392D"/>
    <w:rsid w:val="000E3FA9"/>
    <w:rsid w:val="000E4DE4"/>
    <w:rsid w:val="000E61F9"/>
    <w:rsid w:val="000E68CD"/>
    <w:rsid w:val="000E77B0"/>
    <w:rsid w:val="000E780A"/>
    <w:rsid w:val="000F0B55"/>
    <w:rsid w:val="000F3E35"/>
    <w:rsid w:val="000F4288"/>
    <w:rsid w:val="000F43D4"/>
    <w:rsid w:val="000F5F77"/>
    <w:rsid w:val="000F7165"/>
    <w:rsid w:val="001017A8"/>
    <w:rsid w:val="00102379"/>
    <w:rsid w:val="0010255F"/>
    <w:rsid w:val="001040CC"/>
    <w:rsid w:val="0010474C"/>
    <w:rsid w:val="001065D6"/>
    <w:rsid w:val="00106E44"/>
    <w:rsid w:val="00110F7F"/>
    <w:rsid w:val="00110FB6"/>
    <w:rsid w:val="001128AC"/>
    <w:rsid w:val="00113573"/>
    <w:rsid w:val="00117B32"/>
    <w:rsid w:val="00117C6B"/>
    <w:rsid w:val="00117C76"/>
    <w:rsid w:val="00120D38"/>
    <w:rsid w:val="00121252"/>
    <w:rsid w:val="00122D0F"/>
    <w:rsid w:val="00124609"/>
    <w:rsid w:val="001254CE"/>
    <w:rsid w:val="00125E09"/>
    <w:rsid w:val="00126353"/>
    <w:rsid w:val="001269B7"/>
    <w:rsid w:val="001302DE"/>
    <w:rsid w:val="00131DD4"/>
    <w:rsid w:val="001326A6"/>
    <w:rsid w:val="00133BE3"/>
    <w:rsid w:val="00133C4E"/>
    <w:rsid w:val="00134ACC"/>
    <w:rsid w:val="00134CEA"/>
    <w:rsid w:val="00136FC5"/>
    <w:rsid w:val="001370BC"/>
    <w:rsid w:val="0013763A"/>
    <w:rsid w:val="00141787"/>
    <w:rsid w:val="001422CC"/>
    <w:rsid w:val="00143452"/>
    <w:rsid w:val="001435BD"/>
    <w:rsid w:val="001442E3"/>
    <w:rsid w:val="00144A92"/>
    <w:rsid w:val="00146A34"/>
    <w:rsid w:val="001510E8"/>
    <w:rsid w:val="00151190"/>
    <w:rsid w:val="00154FDB"/>
    <w:rsid w:val="00156A67"/>
    <w:rsid w:val="001610B5"/>
    <w:rsid w:val="001617B6"/>
    <w:rsid w:val="00165C88"/>
    <w:rsid w:val="00165E66"/>
    <w:rsid w:val="00165FEB"/>
    <w:rsid w:val="00166522"/>
    <w:rsid w:val="0016678E"/>
    <w:rsid w:val="0016774A"/>
    <w:rsid w:val="0017058B"/>
    <w:rsid w:val="00173C88"/>
    <w:rsid w:val="00174643"/>
    <w:rsid w:val="00174DEE"/>
    <w:rsid w:val="00175948"/>
    <w:rsid w:val="00177EB0"/>
    <w:rsid w:val="00183A3F"/>
    <w:rsid w:val="0018421B"/>
    <w:rsid w:val="00185DC8"/>
    <w:rsid w:val="0019012C"/>
    <w:rsid w:val="00191C3C"/>
    <w:rsid w:val="00193758"/>
    <w:rsid w:val="00194E11"/>
    <w:rsid w:val="00194E5F"/>
    <w:rsid w:val="001A16E6"/>
    <w:rsid w:val="001A2910"/>
    <w:rsid w:val="001A6E60"/>
    <w:rsid w:val="001B0273"/>
    <w:rsid w:val="001B35B5"/>
    <w:rsid w:val="001C7BAE"/>
    <w:rsid w:val="001D355D"/>
    <w:rsid w:val="001D3C2B"/>
    <w:rsid w:val="001D6A4C"/>
    <w:rsid w:val="001E31FA"/>
    <w:rsid w:val="001E5250"/>
    <w:rsid w:val="001E5494"/>
    <w:rsid w:val="001E64F6"/>
    <w:rsid w:val="001E6F9E"/>
    <w:rsid w:val="001E7C51"/>
    <w:rsid w:val="001F2212"/>
    <w:rsid w:val="001F41B6"/>
    <w:rsid w:val="001F7246"/>
    <w:rsid w:val="00204CB9"/>
    <w:rsid w:val="0020644B"/>
    <w:rsid w:val="00213421"/>
    <w:rsid w:val="00215F7C"/>
    <w:rsid w:val="00217CCE"/>
    <w:rsid w:val="00220160"/>
    <w:rsid w:val="00221609"/>
    <w:rsid w:val="00222BEB"/>
    <w:rsid w:val="00223C5E"/>
    <w:rsid w:val="00225CF4"/>
    <w:rsid w:val="00225E60"/>
    <w:rsid w:val="00226E11"/>
    <w:rsid w:val="00230D94"/>
    <w:rsid w:val="00231A5F"/>
    <w:rsid w:val="00231BD3"/>
    <w:rsid w:val="0023202C"/>
    <w:rsid w:val="00232A4A"/>
    <w:rsid w:val="0023407D"/>
    <w:rsid w:val="002352F2"/>
    <w:rsid w:val="00235E87"/>
    <w:rsid w:val="00236203"/>
    <w:rsid w:val="002432A2"/>
    <w:rsid w:val="002437C7"/>
    <w:rsid w:val="00244828"/>
    <w:rsid w:val="00244E32"/>
    <w:rsid w:val="00245043"/>
    <w:rsid w:val="00250557"/>
    <w:rsid w:val="00250965"/>
    <w:rsid w:val="00253B2E"/>
    <w:rsid w:val="00257760"/>
    <w:rsid w:val="00261750"/>
    <w:rsid w:val="0026215C"/>
    <w:rsid w:val="00270045"/>
    <w:rsid w:val="002711ED"/>
    <w:rsid w:val="002725FA"/>
    <w:rsid w:val="00273A66"/>
    <w:rsid w:val="00273DF1"/>
    <w:rsid w:val="00273EAE"/>
    <w:rsid w:val="00274095"/>
    <w:rsid w:val="002752C5"/>
    <w:rsid w:val="00280031"/>
    <w:rsid w:val="00281396"/>
    <w:rsid w:val="00281560"/>
    <w:rsid w:val="00281974"/>
    <w:rsid w:val="00286F9A"/>
    <w:rsid w:val="002878C9"/>
    <w:rsid w:val="00290F5C"/>
    <w:rsid w:val="002913E6"/>
    <w:rsid w:val="00292D36"/>
    <w:rsid w:val="00294399"/>
    <w:rsid w:val="002945E2"/>
    <w:rsid w:val="002946DD"/>
    <w:rsid w:val="00295B98"/>
    <w:rsid w:val="00297281"/>
    <w:rsid w:val="002A4004"/>
    <w:rsid w:val="002A4DEA"/>
    <w:rsid w:val="002A4FC3"/>
    <w:rsid w:val="002A533C"/>
    <w:rsid w:val="002A672A"/>
    <w:rsid w:val="002A79B8"/>
    <w:rsid w:val="002B035D"/>
    <w:rsid w:val="002B1C7F"/>
    <w:rsid w:val="002B1FA7"/>
    <w:rsid w:val="002B441B"/>
    <w:rsid w:val="002C0C86"/>
    <w:rsid w:val="002C1C66"/>
    <w:rsid w:val="002C2C36"/>
    <w:rsid w:val="002C309D"/>
    <w:rsid w:val="002C4556"/>
    <w:rsid w:val="002C4DBD"/>
    <w:rsid w:val="002C5209"/>
    <w:rsid w:val="002C54E0"/>
    <w:rsid w:val="002C6A47"/>
    <w:rsid w:val="002D16AE"/>
    <w:rsid w:val="002D4F5E"/>
    <w:rsid w:val="002D711A"/>
    <w:rsid w:val="002D7336"/>
    <w:rsid w:val="002D7437"/>
    <w:rsid w:val="002E1463"/>
    <w:rsid w:val="002E3396"/>
    <w:rsid w:val="002E33C8"/>
    <w:rsid w:val="002E3BC5"/>
    <w:rsid w:val="002E4F5A"/>
    <w:rsid w:val="002E7070"/>
    <w:rsid w:val="002F0A95"/>
    <w:rsid w:val="002F2FB1"/>
    <w:rsid w:val="002F3509"/>
    <w:rsid w:val="002F5BF6"/>
    <w:rsid w:val="002F7334"/>
    <w:rsid w:val="00303217"/>
    <w:rsid w:val="00307F31"/>
    <w:rsid w:val="003104F9"/>
    <w:rsid w:val="0031149C"/>
    <w:rsid w:val="00320A6D"/>
    <w:rsid w:val="00321388"/>
    <w:rsid w:val="00321833"/>
    <w:rsid w:val="00321AC8"/>
    <w:rsid w:val="003225E4"/>
    <w:rsid w:val="00325660"/>
    <w:rsid w:val="003279B6"/>
    <w:rsid w:val="003306F0"/>
    <w:rsid w:val="003322E5"/>
    <w:rsid w:val="00332C12"/>
    <w:rsid w:val="00336A46"/>
    <w:rsid w:val="003402F4"/>
    <w:rsid w:val="00341BEB"/>
    <w:rsid w:val="00342A96"/>
    <w:rsid w:val="00342C36"/>
    <w:rsid w:val="00342F5C"/>
    <w:rsid w:val="00347EF4"/>
    <w:rsid w:val="0035054F"/>
    <w:rsid w:val="0035111F"/>
    <w:rsid w:val="0035162E"/>
    <w:rsid w:val="00355CA3"/>
    <w:rsid w:val="00360DBA"/>
    <w:rsid w:val="00361426"/>
    <w:rsid w:val="0036196E"/>
    <w:rsid w:val="00367C51"/>
    <w:rsid w:val="00367F0F"/>
    <w:rsid w:val="00370722"/>
    <w:rsid w:val="00371217"/>
    <w:rsid w:val="003764BB"/>
    <w:rsid w:val="00376FFD"/>
    <w:rsid w:val="00382EE1"/>
    <w:rsid w:val="0038396E"/>
    <w:rsid w:val="00385422"/>
    <w:rsid w:val="00387127"/>
    <w:rsid w:val="003871DD"/>
    <w:rsid w:val="0038771C"/>
    <w:rsid w:val="003905E3"/>
    <w:rsid w:val="00391E61"/>
    <w:rsid w:val="0039249F"/>
    <w:rsid w:val="0039323F"/>
    <w:rsid w:val="0039405B"/>
    <w:rsid w:val="003961D9"/>
    <w:rsid w:val="00396A37"/>
    <w:rsid w:val="003A1C92"/>
    <w:rsid w:val="003A541A"/>
    <w:rsid w:val="003A5FB8"/>
    <w:rsid w:val="003A6923"/>
    <w:rsid w:val="003A6AB0"/>
    <w:rsid w:val="003A6FD6"/>
    <w:rsid w:val="003A7570"/>
    <w:rsid w:val="003A7C77"/>
    <w:rsid w:val="003B0B30"/>
    <w:rsid w:val="003B0C49"/>
    <w:rsid w:val="003B436D"/>
    <w:rsid w:val="003C0AEE"/>
    <w:rsid w:val="003C0B52"/>
    <w:rsid w:val="003C2C67"/>
    <w:rsid w:val="003C5BA4"/>
    <w:rsid w:val="003D0C75"/>
    <w:rsid w:val="003D3519"/>
    <w:rsid w:val="003D546C"/>
    <w:rsid w:val="003D5B2B"/>
    <w:rsid w:val="003E3E26"/>
    <w:rsid w:val="003E67F4"/>
    <w:rsid w:val="003F0560"/>
    <w:rsid w:val="003F1295"/>
    <w:rsid w:val="003F1935"/>
    <w:rsid w:val="003F1CE4"/>
    <w:rsid w:val="003F617B"/>
    <w:rsid w:val="003F6330"/>
    <w:rsid w:val="003F6B7F"/>
    <w:rsid w:val="003F76FC"/>
    <w:rsid w:val="00400179"/>
    <w:rsid w:val="004002EB"/>
    <w:rsid w:val="00400648"/>
    <w:rsid w:val="00401BEC"/>
    <w:rsid w:val="00407E51"/>
    <w:rsid w:val="00410EBC"/>
    <w:rsid w:val="00412438"/>
    <w:rsid w:val="00412AD8"/>
    <w:rsid w:val="00415345"/>
    <w:rsid w:val="00415D8A"/>
    <w:rsid w:val="0041689E"/>
    <w:rsid w:val="00421F2E"/>
    <w:rsid w:val="004225EA"/>
    <w:rsid w:val="004236C8"/>
    <w:rsid w:val="004239FE"/>
    <w:rsid w:val="00424337"/>
    <w:rsid w:val="00425347"/>
    <w:rsid w:val="004274AF"/>
    <w:rsid w:val="00427681"/>
    <w:rsid w:val="00427BD4"/>
    <w:rsid w:val="00431299"/>
    <w:rsid w:val="004312EF"/>
    <w:rsid w:val="004321A5"/>
    <w:rsid w:val="00433DB7"/>
    <w:rsid w:val="00434249"/>
    <w:rsid w:val="00434475"/>
    <w:rsid w:val="00434DC5"/>
    <w:rsid w:val="004362E6"/>
    <w:rsid w:val="004374C2"/>
    <w:rsid w:val="00437BDD"/>
    <w:rsid w:val="00440772"/>
    <w:rsid w:val="00441884"/>
    <w:rsid w:val="004423D0"/>
    <w:rsid w:val="004437E8"/>
    <w:rsid w:val="0044743B"/>
    <w:rsid w:val="00450636"/>
    <w:rsid w:val="004515D5"/>
    <w:rsid w:val="00453750"/>
    <w:rsid w:val="00456941"/>
    <w:rsid w:val="00456D57"/>
    <w:rsid w:val="0046417F"/>
    <w:rsid w:val="00464F7E"/>
    <w:rsid w:val="0046697B"/>
    <w:rsid w:val="004702EA"/>
    <w:rsid w:val="00470FB4"/>
    <w:rsid w:val="00476F82"/>
    <w:rsid w:val="00477146"/>
    <w:rsid w:val="004772BB"/>
    <w:rsid w:val="0047784B"/>
    <w:rsid w:val="0048054C"/>
    <w:rsid w:val="00480DFD"/>
    <w:rsid w:val="00482D02"/>
    <w:rsid w:val="00486D46"/>
    <w:rsid w:val="00490164"/>
    <w:rsid w:val="00492EB9"/>
    <w:rsid w:val="00492ECA"/>
    <w:rsid w:val="0049638D"/>
    <w:rsid w:val="00496895"/>
    <w:rsid w:val="00496FA8"/>
    <w:rsid w:val="004A058A"/>
    <w:rsid w:val="004A18BE"/>
    <w:rsid w:val="004A40D8"/>
    <w:rsid w:val="004A6D5C"/>
    <w:rsid w:val="004A7177"/>
    <w:rsid w:val="004A725E"/>
    <w:rsid w:val="004A7519"/>
    <w:rsid w:val="004B0171"/>
    <w:rsid w:val="004C1CDD"/>
    <w:rsid w:val="004C3B57"/>
    <w:rsid w:val="004C7B39"/>
    <w:rsid w:val="004D29FD"/>
    <w:rsid w:val="004D3518"/>
    <w:rsid w:val="004D62D6"/>
    <w:rsid w:val="004D71D7"/>
    <w:rsid w:val="004E0915"/>
    <w:rsid w:val="004E4C75"/>
    <w:rsid w:val="004E6588"/>
    <w:rsid w:val="004E6638"/>
    <w:rsid w:val="004E7BED"/>
    <w:rsid w:val="004F163E"/>
    <w:rsid w:val="004F4011"/>
    <w:rsid w:val="004F60A5"/>
    <w:rsid w:val="004F641B"/>
    <w:rsid w:val="004F6445"/>
    <w:rsid w:val="005016F8"/>
    <w:rsid w:val="00501F83"/>
    <w:rsid w:val="00503568"/>
    <w:rsid w:val="005039D4"/>
    <w:rsid w:val="00505D3D"/>
    <w:rsid w:val="00505FA7"/>
    <w:rsid w:val="0050699F"/>
    <w:rsid w:val="00507926"/>
    <w:rsid w:val="00507E41"/>
    <w:rsid w:val="00507F84"/>
    <w:rsid w:val="00511DC1"/>
    <w:rsid w:val="00512E0E"/>
    <w:rsid w:val="00515399"/>
    <w:rsid w:val="00516D18"/>
    <w:rsid w:val="00517169"/>
    <w:rsid w:val="00517E43"/>
    <w:rsid w:val="00523444"/>
    <w:rsid w:val="0052559E"/>
    <w:rsid w:val="00525A15"/>
    <w:rsid w:val="00525CA0"/>
    <w:rsid w:val="005266A2"/>
    <w:rsid w:val="0053416C"/>
    <w:rsid w:val="005344E6"/>
    <w:rsid w:val="0053496E"/>
    <w:rsid w:val="00535318"/>
    <w:rsid w:val="00537B3E"/>
    <w:rsid w:val="00541C2F"/>
    <w:rsid w:val="00541C48"/>
    <w:rsid w:val="005433C5"/>
    <w:rsid w:val="00543641"/>
    <w:rsid w:val="005454EE"/>
    <w:rsid w:val="0054559B"/>
    <w:rsid w:val="005504FB"/>
    <w:rsid w:val="005515B2"/>
    <w:rsid w:val="0055199E"/>
    <w:rsid w:val="0055324C"/>
    <w:rsid w:val="005532C3"/>
    <w:rsid w:val="00554086"/>
    <w:rsid w:val="00556B75"/>
    <w:rsid w:val="00557322"/>
    <w:rsid w:val="005576C3"/>
    <w:rsid w:val="00563527"/>
    <w:rsid w:val="00565CF3"/>
    <w:rsid w:val="00566D86"/>
    <w:rsid w:val="00571D68"/>
    <w:rsid w:val="00574F25"/>
    <w:rsid w:val="00575C18"/>
    <w:rsid w:val="0057703D"/>
    <w:rsid w:val="00580743"/>
    <w:rsid w:val="0058124E"/>
    <w:rsid w:val="00581EEE"/>
    <w:rsid w:val="005828FE"/>
    <w:rsid w:val="00583818"/>
    <w:rsid w:val="005850F1"/>
    <w:rsid w:val="005873CD"/>
    <w:rsid w:val="005875A3"/>
    <w:rsid w:val="00595F67"/>
    <w:rsid w:val="00596166"/>
    <w:rsid w:val="005A1A64"/>
    <w:rsid w:val="005A3416"/>
    <w:rsid w:val="005A3D35"/>
    <w:rsid w:val="005A594D"/>
    <w:rsid w:val="005A5F26"/>
    <w:rsid w:val="005B14C6"/>
    <w:rsid w:val="005B27FE"/>
    <w:rsid w:val="005B3317"/>
    <w:rsid w:val="005B3973"/>
    <w:rsid w:val="005C1697"/>
    <w:rsid w:val="005C2E44"/>
    <w:rsid w:val="005C362C"/>
    <w:rsid w:val="005C3BA7"/>
    <w:rsid w:val="005C3E6D"/>
    <w:rsid w:val="005D14FE"/>
    <w:rsid w:val="005D51F0"/>
    <w:rsid w:val="005E0DD6"/>
    <w:rsid w:val="005E3C99"/>
    <w:rsid w:val="005E42D8"/>
    <w:rsid w:val="005E66D1"/>
    <w:rsid w:val="005E7F31"/>
    <w:rsid w:val="005F1485"/>
    <w:rsid w:val="005F4D43"/>
    <w:rsid w:val="005F5C1E"/>
    <w:rsid w:val="005F61DF"/>
    <w:rsid w:val="005F681F"/>
    <w:rsid w:val="006023F9"/>
    <w:rsid w:val="0060420A"/>
    <w:rsid w:val="00604D57"/>
    <w:rsid w:val="00606A00"/>
    <w:rsid w:val="00610559"/>
    <w:rsid w:val="0061310D"/>
    <w:rsid w:val="006135D2"/>
    <w:rsid w:val="00614903"/>
    <w:rsid w:val="00614AB8"/>
    <w:rsid w:val="006156CE"/>
    <w:rsid w:val="00616251"/>
    <w:rsid w:val="00620A48"/>
    <w:rsid w:val="00622B7B"/>
    <w:rsid w:val="00631B94"/>
    <w:rsid w:val="006332F6"/>
    <w:rsid w:val="00633C2F"/>
    <w:rsid w:val="00635AB0"/>
    <w:rsid w:val="00641088"/>
    <w:rsid w:val="00642335"/>
    <w:rsid w:val="00643B1F"/>
    <w:rsid w:val="00645027"/>
    <w:rsid w:val="006519F6"/>
    <w:rsid w:val="00652625"/>
    <w:rsid w:val="006528B6"/>
    <w:rsid w:val="006534B2"/>
    <w:rsid w:val="0065496B"/>
    <w:rsid w:val="00654C98"/>
    <w:rsid w:val="0065554F"/>
    <w:rsid w:val="006557A5"/>
    <w:rsid w:val="00655A2B"/>
    <w:rsid w:val="0065615D"/>
    <w:rsid w:val="006564DF"/>
    <w:rsid w:val="00657011"/>
    <w:rsid w:val="0066491C"/>
    <w:rsid w:val="006650B5"/>
    <w:rsid w:val="006651B1"/>
    <w:rsid w:val="00665778"/>
    <w:rsid w:val="00665B8A"/>
    <w:rsid w:val="00665DDD"/>
    <w:rsid w:val="00666532"/>
    <w:rsid w:val="006701E6"/>
    <w:rsid w:val="00670C4E"/>
    <w:rsid w:val="00671A1F"/>
    <w:rsid w:val="00675EBD"/>
    <w:rsid w:val="00681AD0"/>
    <w:rsid w:val="0068659A"/>
    <w:rsid w:val="00686690"/>
    <w:rsid w:val="00691FF5"/>
    <w:rsid w:val="00693F5C"/>
    <w:rsid w:val="006960A9"/>
    <w:rsid w:val="00696117"/>
    <w:rsid w:val="006978AF"/>
    <w:rsid w:val="006A100C"/>
    <w:rsid w:val="006A25CB"/>
    <w:rsid w:val="006A2CB1"/>
    <w:rsid w:val="006A3684"/>
    <w:rsid w:val="006A43CB"/>
    <w:rsid w:val="006A5B34"/>
    <w:rsid w:val="006A5F5B"/>
    <w:rsid w:val="006B0C60"/>
    <w:rsid w:val="006B2788"/>
    <w:rsid w:val="006B2873"/>
    <w:rsid w:val="006B33D4"/>
    <w:rsid w:val="006B717C"/>
    <w:rsid w:val="006C1381"/>
    <w:rsid w:val="006C3BED"/>
    <w:rsid w:val="006C4DDD"/>
    <w:rsid w:val="006C722C"/>
    <w:rsid w:val="006C77A9"/>
    <w:rsid w:val="006C78FB"/>
    <w:rsid w:val="006D0072"/>
    <w:rsid w:val="006D1EFC"/>
    <w:rsid w:val="006D3D27"/>
    <w:rsid w:val="006D4DD5"/>
    <w:rsid w:val="006D66F9"/>
    <w:rsid w:val="006D776C"/>
    <w:rsid w:val="006E0B28"/>
    <w:rsid w:val="006E77FD"/>
    <w:rsid w:val="006F2593"/>
    <w:rsid w:val="006F4720"/>
    <w:rsid w:val="006F6693"/>
    <w:rsid w:val="006F7FC1"/>
    <w:rsid w:val="007007C1"/>
    <w:rsid w:val="0070117D"/>
    <w:rsid w:val="00701B65"/>
    <w:rsid w:val="00701CAA"/>
    <w:rsid w:val="007037E5"/>
    <w:rsid w:val="00707FE8"/>
    <w:rsid w:val="007109B3"/>
    <w:rsid w:val="00711350"/>
    <w:rsid w:val="007137E8"/>
    <w:rsid w:val="00720DD0"/>
    <w:rsid w:val="00724962"/>
    <w:rsid w:val="00724A0F"/>
    <w:rsid w:val="00731381"/>
    <w:rsid w:val="00731921"/>
    <w:rsid w:val="00732162"/>
    <w:rsid w:val="007351AD"/>
    <w:rsid w:val="007364BB"/>
    <w:rsid w:val="00736732"/>
    <w:rsid w:val="00740302"/>
    <w:rsid w:val="00740C45"/>
    <w:rsid w:val="00741A7F"/>
    <w:rsid w:val="0074281E"/>
    <w:rsid w:val="00743160"/>
    <w:rsid w:val="00745174"/>
    <w:rsid w:val="00750CBE"/>
    <w:rsid w:val="00756484"/>
    <w:rsid w:val="0075729E"/>
    <w:rsid w:val="00763F15"/>
    <w:rsid w:val="00766B5A"/>
    <w:rsid w:val="007717E1"/>
    <w:rsid w:val="007737D0"/>
    <w:rsid w:val="00777C4F"/>
    <w:rsid w:val="00781D97"/>
    <w:rsid w:val="00782A3F"/>
    <w:rsid w:val="007834F2"/>
    <w:rsid w:val="007848E5"/>
    <w:rsid w:val="00791020"/>
    <w:rsid w:val="007913A3"/>
    <w:rsid w:val="007918A8"/>
    <w:rsid w:val="00793681"/>
    <w:rsid w:val="007949CD"/>
    <w:rsid w:val="007A1CC8"/>
    <w:rsid w:val="007A3261"/>
    <w:rsid w:val="007A5F82"/>
    <w:rsid w:val="007A6C82"/>
    <w:rsid w:val="007B01B5"/>
    <w:rsid w:val="007B066C"/>
    <w:rsid w:val="007B101E"/>
    <w:rsid w:val="007B3B34"/>
    <w:rsid w:val="007B74DD"/>
    <w:rsid w:val="007B7753"/>
    <w:rsid w:val="007C307D"/>
    <w:rsid w:val="007C3732"/>
    <w:rsid w:val="007D6971"/>
    <w:rsid w:val="007E0879"/>
    <w:rsid w:val="007E2A4B"/>
    <w:rsid w:val="007E535F"/>
    <w:rsid w:val="007E78D4"/>
    <w:rsid w:val="007F0E76"/>
    <w:rsid w:val="007F1A4C"/>
    <w:rsid w:val="007F2506"/>
    <w:rsid w:val="007F286D"/>
    <w:rsid w:val="007F31F1"/>
    <w:rsid w:val="007F476A"/>
    <w:rsid w:val="007F4FC3"/>
    <w:rsid w:val="007F7057"/>
    <w:rsid w:val="008022C3"/>
    <w:rsid w:val="008041E6"/>
    <w:rsid w:val="00804C03"/>
    <w:rsid w:val="00806521"/>
    <w:rsid w:val="008065D2"/>
    <w:rsid w:val="00807EEA"/>
    <w:rsid w:val="0081196E"/>
    <w:rsid w:val="00811E08"/>
    <w:rsid w:val="00815A8C"/>
    <w:rsid w:val="008208AA"/>
    <w:rsid w:val="0082194C"/>
    <w:rsid w:val="008220C4"/>
    <w:rsid w:val="008222FF"/>
    <w:rsid w:val="00822B75"/>
    <w:rsid w:val="00823EB7"/>
    <w:rsid w:val="008241FF"/>
    <w:rsid w:val="008304BA"/>
    <w:rsid w:val="008322A9"/>
    <w:rsid w:val="00832AAC"/>
    <w:rsid w:val="008338B7"/>
    <w:rsid w:val="00836621"/>
    <w:rsid w:val="0084032B"/>
    <w:rsid w:val="008411E9"/>
    <w:rsid w:val="0084200F"/>
    <w:rsid w:val="00843B2C"/>
    <w:rsid w:val="008459D9"/>
    <w:rsid w:val="00847236"/>
    <w:rsid w:val="00855BBC"/>
    <w:rsid w:val="00856156"/>
    <w:rsid w:val="00857918"/>
    <w:rsid w:val="0086163B"/>
    <w:rsid w:val="0086203B"/>
    <w:rsid w:val="008621A8"/>
    <w:rsid w:val="00863669"/>
    <w:rsid w:val="008647F5"/>
    <w:rsid w:val="00873A7F"/>
    <w:rsid w:val="008828D1"/>
    <w:rsid w:val="008875AC"/>
    <w:rsid w:val="00887E73"/>
    <w:rsid w:val="00890F93"/>
    <w:rsid w:val="0089117B"/>
    <w:rsid w:val="008947E8"/>
    <w:rsid w:val="00894ABE"/>
    <w:rsid w:val="00897785"/>
    <w:rsid w:val="008A1708"/>
    <w:rsid w:val="008A35AF"/>
    <w:rsid w:val="008A4900"/>
    <w:rsid w:val="008A4C2A"/>
    <w:rsid w:val="008B0EA2"/>
    <w:rsid w:val="008B20C8"/>
    <w:rsid w:val="008B21AA"/>
    <w:rsid w:val="008B2A17"/>
    <w:rsid w:val="008B42DA"/>
    <w:rsid w:val="008B5E50"/>
    <w:rsid w:val="008C0BA0"/>
    <w:rsid w:val="008C3D4E"/>
    <w:rsid w:val="008C4061"/>
    <w:rsid w:val="008C63EE"/>
    <w:rsid w:val="008D0281"/>
    <w:rsid w:val="008D0902"/>
    <w:rsid w:val="008D21D3"/>
    <w:rsid w:val="008D2C6B"/>
    <w:rsid w:val="008D2CE9"/>
    <w:rsid w:val="008D4A3D"/>
    <w:rsid w:val="008E3C4E"/>
    <w:rsid w:val="008E4A9B"/>
    <w:rsid w:val="008E644A"/>
    <w:rsid w:val="008E71F4"/>
    <w:rsid w:val="008E758E"/>
    <w:rsid w:val="008E7775"/>
    <w:rsid w:val="008E7C3C"/>
    <w:rsid w:val="008F0326"/>
    <w:rsid w:val="008F2BCC"/>
    <w:rsid w:val="008F3529"/>
    <w:rsid w:val="008F3ABF"/>
    <w:rsid w:val="008F44B4"/>
    <w:rsid w:val="008F6D45"/>
    <w:rsid w:val="008F7A5D"/>
    <w:rsid w:val="00900B37"/>
    <w:rsid w:val="009026E7"/>
    <w:rsid w:val="00907573"/>
    <w:rsid w:val="0091000B"/>
    <w:rsid w:val="009103ED"/>
    <w:rsid w:val="00910685"/>
    <w:rsid w:val="0091083C"/>
    <w:rsid w:val="00910AB5"/>
    <w:rsid w:val="009111B6"/>
    <w:rsid w:val="0091613E"/>
    <w:rsid w:val="009164EE"/>
    <w:rsid w:val="00917E99"/>
    <w:rsid w:val="009211DA"/>
    <w:rsid w:val="00921DEE"/>
    <w:rsid w:val="00922484"/>
    <w:rsid w:val="0092687D"/>
    <w:rsid w:val="00932930"/>
    <w:rsid w:val="0093343E"/>
    <w:rsid w:val="0093684B"/>
    <w:rsid w:val="00937DBB"/>
    <w:rsid w:val="0094000D"/>
    <w:rsid w:val="00941621"/>
    <w:rsid w:val="00942CF8"/>
    <w:rsid w:val="00947130"/>
    <w:rsid w:val="00950C62"/>
    <w:rsid w:val="00950F98"/>
    <w:rsid w:val="009550F1"/>
    <w:rsid w:val="00956E1C"/>
    <w:rsid w:val="00957221"/>
    <w:rsid w:val="00960278"/>
    <w:rsid w:val="00960727"/>
    <w:rsid w:val="00960849"/>
    <w:rsid w:val="00960FD0"/>
    <w:rsid w:val="009615EF"/>
    <w:rsid w:val="00961C27"/>
    <w:rsid w:val="00961FCA"/>
    <w:rsid w:val="00962BE9"/>
    <w:rsid w:val="00963C94"/>
    <w:rsid w:val="00966BC3"/>
    <w:rsid w:val="009672A1"/>
    <w:rsid w:val="0096742C"/>
    <w:rsid w:val="009701BD"/>
    <w:rsid w:val="00972B70"/>
    <w:rsid w:val="00972FE5"/>
    <w:rsid w:val="00973557"/>
    <w:rsid w:val="0098107B"/>
    <w:rsid w:val="00981179"/>
    <w:rsid w:val="00981F6C"/>
    <w:rsid w:val="0098201D"/>
    <w:rsid w:val="009829B1"/>
    <w:rsid w:val="00982FD3"/>
    <w:rsid w:val="009834C0"/>
    <w:rsid w:val="009846FE"/>
    <w:rsid w:val="00986322"/>
    <w:rsid w:val="00986AAC"/>
    <w:rsid w:val="00987667"/>
    <w:rsid w:val="0099093E"/>
    <w:rsid w:val="009A09C3"/>
    <w:rsid w:val="009A1245"/>
    <w:rsid w:val="009A1DA2"/>
    <w:rsid w:val="009A24CD"/>
    <w:rsid w:val="009A321A"/>
    <w:rsid w:val="009A3704"/>
    <w:rsid w:val="009A4739"/>
    <w:rsid w:val="009A584A"/>
    <w:rsid w:val="009A5E50"/>
    <w:rsid w:val="009A674F"/>
    <w:rsid w:val="009B0054"/>
    <w:rsid w:val="009B199C"/>
    <w:rsid w:val="009B1E14"/>
    <w:rsid w:val="009B2525"/>
    <w:rsid w:val="009B3EEF"/>
    <w:rsid w:val="009B54C8"/>
    <w:rsid w:val="009B58FA"/>
    <w:rsid w:val="009B61F1"/>
    <w:rsid w:val="009B62D8"/>
    <w:rsid w:val="009B62E0"/>
    <w:rsid w:val="009B6483"/>
    <w:rsid w:val="009B6494"/>
    <w:rsid w:val="009C3D88"/>
    <w:rsid w:val="009C503D"/>
    <w:rsid w:val="009C6B5F"/>
    <w:rsid w:val="009D0402"/>
    <w:rsid w:val="009D0905"/>
    <w:rsid w:val="009D41AF"/>
    <w:rsid w:val="009D4348"/>
    <w:rsid w:val="009D58ED"/>
    <w:rsid w:val="009E0B34"/>
    <w:rsid w:val="009E3858"/>
    <w:rsid w:val="009E4440"/>
    <w:rsid w:val="009E56A3"/>
    <w:rsid w:val="009E5E8E"/>
    <w:rsid w:val="009E70DD"/>
    <w:rsid w:val="009E79E4"/>
    <w:rsid w:val="009F1D88"/>
    <w:rsid w:val="009F2453"/>
    <w:rsid w:val="009F2ED9"/>
    <w:rsid w:val="009F3231"/>
    <w:rsid w:val="009F35A4"/>
    <w:rsid w:val="009F5C58"/>
    <w:rsid w:val="00A01376"/>
    <w:rsid w:val="00A023A0"/>
    <w:rsid w:val="00A03F5F"/>
    <w:rsid w:val="00A04821"/>
    <w:rsid w:val="00A04BF1"/>
    <w:rsid w:val="00A070BD"/>
    <w:rsid w:val="00A11166"/>
    <w:rsid w:val="00A11463"/>
    <w:rsid w:val="00A12E41"/>
    <w:rsid w:val="00A15187"/>
    <w:rsid w:val="00A1562B"/>
    <w:rsid w:val="00A1694A"/>
    <w:rsid w:val="00A170F4"/>
    <w:rsid w:val="00A173BA"/>
    <w:rsid w:val="00A20C00"/>
    <w:rsid w:val="00A20D25"/>
    <w:rsid w:val="00A2559E"/>
    <w:rsid w:val="00A25FD9"/>
    <w:rsid w:val="00A2622E"/>
    <w:rsid w:val="00A26F37"/>
    <w:rsid w:val="00A3545F"/>
    <w:rsid w:val="00A3764D"/>
    <w:rsid w:val="00A37C68"/>
    <w:rsid w:val="00A41000"/>
    <w:rsid w:val="00A4124B"/>
    <w:rsid w:val="00A417C7"/>
    <w:rsid w:val="00A42C12"/>
    <w:rsid w:val="00A433E3"/>
    <w:rsid w:val="00A44477"/>
    <w:rsid w:val="00A45A0B"/>
    <w:rsid w:val="00A46BA8"/>
    <w:rsid w:val="00A47634"/>
    <w:rsid w:val="00A47722"/>
    <w:rsid w:val="00A47BA7"/>
    <w:rsid w:val="00A50D03"/>
    <w:rsid w:val="00A516DE"/>
    <w:rsid w:val="00A521CE"/>
    <w:rsid w:val="00A556C5"/>
    <w:rsid w:val="00A56ED6"/>
    <w:rsid w:val="00A612FE"/>
    <w:rsid w:val="00A62AC2"/>
    <w:rsid w:val="00A62C34"/>
    <w:rsid w:val="00A63D42"/>
    <w:rsid w:val="00A64821"/>
    <w:rsid w:val="00A660FC"/>
    <w:rsid w:val="00A736BE"/>
    <w:rsid w:val="00A8430D"/>
    <w:rsid w:val="00A8432F"/>
    <w:rsid w:val="00A875FB"/>
    <w:rsid w:val="00A947A9"/>
    <w:rsid w:val="00A94A37"/>
    <w:rsid w:val="00A95D96"/>
    <w:rsid w:val="00AA1437"/>
    <w:rsid w:val="00AA26B8"/>
    <w:rsid w:val="00AA3BAC"/>
    <w:rsid w:val="00AA48D0"/>
    <w:rsid w:val="00AA4D53"/>
    <w:rsid w:val="00AA749B"/>
    <w:rsid w:val="00AB1404"/>
    <w:rsid w:val="00AB310F"/>
    <w:rsid w:val="00AB3FE2"/>
    <w:rsid w:val="00AB4DB7"/>
    <w:rsid w:val="00AC11CF"/>
    <w:rsid w:val="00AC1BB5"/>
    <w:rsid w:val="00AC1FD6"/>
    <w:rsid w:val="00AC2117"/>
    <w:rsid w:val="00AC47F1"/>
    <w:rsid w:val="00AC4B9D"/>
    <w:rsid w:val="00AC548B"/>
    <w:rsid w:val="00AC5F68"/>
    <w:rsid w:val="00AC7845"/>
    <w:rsid w:val="00AC7EAF"/>
    <w:rsid w:val="00AD0709"/>
    <w:rsid w:val="00AD0E7E"/>
    <w:rsid w:val="00AD2A6D"/>
    <w:rsid w:val="00AD3322"/>
    <w:rsid w:val="00AD4EFF"/>
    <w:rsid w:val="00AD7E4E"/>
    <w:rsid w:val="00AE087E"/>
    <w:rsid w:val="00AE0A4A"/>
    <w:rsid w:val="00AE2D7B"/>
    <w:rsid w:val="00AF3D47"/>
    <w:rsid w:val="00AF48A0"/>
    <w:rsid w:val="00AF4D58"/>
    <w:rsid w:val="00AF6666"/>
    <w:rsid w:val="00B10154"/>
    <w:rsid w:val="00B11E56"/>
    <w:rsid w:val="00B12D5C"/>
    <w:rsid w:val="00B13177"/>
    <w:rsid w:val="00B139CB"/>
    <w:rsid w:val="00B139E4"/>
    <w:rsid w:val="00B14914"/>
    <w:rsid w:val="00B16C86"/>
    <w:rsid w:val="00B17086"/>
    <w:rsid w:val="00B24708"/>
    <w:rsid w:val="00B27066"/>
    <w:rsid w:val="00B2786E"/>
    <w:rsid w:val="00B30E00"/>
    <w:rsid w:val="00B362CE"/>
    <w:rsid w:val="00B366FA"/>
    <w:rsid w:val="00B43299"/>
    <w:rsid w:val="00B45D85"/>
    <w:rsid w:val="00B53FC4"/>
    <w:rsid w:val="00B55A4B"/>
    <w:rsid w:val="00B578D9"/>
    <w:rsid w:val="00B60698"/>
    <w:rsid w:val="00B60B4B"/>
    <w:rsid w:val="00B6366E"/>
    <w:rsid w:val="00B6457C"/>
    <w:rsid w:val="00B66AEC"/>
    <w:rsid w:val="00B70458"/>
    <w:rsid w:val="00B71597"/>
    <w:rsid w:val="00B8096B"/>
    <w:rsid w:val="00B81475"/>
    <w:rsid w:val="00B81B44"/>
    <w:rsid w:val="00B81C01"/>
    <w:rsid w:val="00B83182"/>
    <w:rsid w:val="00B83483"/>
    <w:rsid w:val="00B847E1"/>
    <w:rsid w:val="00B84A32"/>
    <w:rsid w:val="00B8726E"/>
    <w:rsid w:val="00B9053B"/>
    <w:rsid w:val="00B90934"/>
    <w:rsid w:val="00B91799"/>
    <w:rsid w:val="00B92A94"/>
    <w:rsid w:val="00B93C44"/>
    <w:rsid w:val="00B93CD6"/>
    <w:rsid w:val="00B94213"/>
    <w:rsid w:val="00B970F7"/>
    <w:rsid w:val="00BA164C"/>
    <w:rsid w:val="00BA181F"/>
    <w:rsid w:val="00BA59C7"/>
    <w:rsid w:val="00BA768F"/>
    <w:rsid w:val="00BB005B"/>
    <w:rsid w:val="00BB1B15"/>
    <w:rsid w:val="00BC3422"/>
    <w:rsid w:val="00BC3C5E"/>
    <w:rsid w:val="00BC528E"/>
    <w:rsid w:val="00BC6691"/>
    <w:rsid w:val="00BD017E"/>
    <w:rsid w:val="00BD13CA"/>
    <w:rsid w:val="00BD4857"/>
    <w:rsid w:val="00BD600A"/>
    <w:rsid w:val="00BD6AA7"/>
    <w:rsid w:val="00BE3552"/>
    <w:rsid w:val="00BE67A7"/>
    <w:rsid w:val="00BF023E"/>
    <w:rsid w:val="00BF17B5"/>
    <w:rsid w:val="00BF4E33"/>
    <w:rsid w:val="00BF6442"/>
    <w:rsid w:val="00C015B9"/>
    <w:rsid w:val="00C022F9"/>
    <w:rsid w:val="00C02E3D"/>
    <w:rsid w:val="00C030D9"/>
    <w:rsid w:val="00C032EA"/>
    <w:rsid w:val="00C04715"/>
    <w:rsid w:val="00C06EB5"/>
    <w:rsid w:val="00C0784F"/>
    <w:rsid w:val="00C10124"/>
    <w:rsid w:val="00C10EBE"/>
    <w:rsid w:val="00C1145F"/>
    <w:rsid w:val="00C138ED"/>
    <w:rsid w:val="00C13B04"/>
    <w:rsid w:val="00C14713"/>
    <w:rsid w:val="00C15E1C"/>
    <w:rsid w:val="00C2026A"/>
    <w:rsid w:val="00C229BF"/>
    <w:rsid w:val="00C2648C"/>
    <w:rsid w:val="00C31F09"/>
    <w:rsid w:val="00C3332D"/>
    <w:rsid w:val="00C33734"/>
    <w:rsid w:val="00C34CC9"/>
    <w:rsid w:val="00C36E87"/>
    <w:rsid w:val="00C41628"/>
    <w:rsid w:val="00C42B7C"/>
    <w:rsid w:val="00C43992"/>
    <w:rsid w:val="00C5149B"/>
    <w:rsid w:val="00C5275F"/>
    <w:rsid w:val="00C53B9C"/>
    <w:rsid w:val="00C54AA8"/>
    <w:rsid w:val="00C55584"/>
    <w:rsid w:val="00C5694F"/>
    <w:rsid w:val="00C56A83"/>
    <w:rsid w:val="00C576D6"/>
    <w:rsid w:val="00C579A9"/>
    <w:rsid w:val="00C57F94"/>
    <w:rsid w:val="00C62436"/>
    <w:rsid w:val="00C637E1"/>
    <w:rsid w:val="00C673B6"/>
    <w:rsid w:val="00C6744A"/>
    <w:rsid w:val="00C70D50"/>
    <w:rsid w:val="00C7140B"/>
    <w:rsid w:val="00C724CE"/>
    <w:rsid w:val="00C728D0"/>
    <w:rsid w:val="00C73EF0"/>
    <w:rsid w:val="00C8031D"/>
    <w:rsid w:val="00C829ED"/>
    <w:rsid w:val="00C860A9"/>
    <w:rsid w:val="00C868F3"/>
    <w:rsid w:val="00C907D7"/>
    <w:rsid w:val="00C9197C"/>
    <w:rsid w:val="00C92338"/>
    <w:rsid w:val="00CA1DC8"/>
    <w:rsid w:val="00CA438F"/>
    <w:rsid w:val="00CA44F4"/>
    <w:rsid w:val="00CA5EDB"/>
    <w:rsid w:val="00CA6DC9"/>
    <w:rsid w:val="00CA7C3A"/>
    <w:rsid w:val="00CB4622"/>
    <w:rsid w:val="00CC04E8"/>
    <w:rsid w:val="00CC2DB2"/>
    <w:rsid w:val="00CC4298"/>
    <w:rsid w:val="00CD0307"/>
    <w:rsid w:val="00CD0574"/>
    <w:rsid w:val="00CD1343"/>
    <w:rsid w:val="00CD1647"/>
    <w:rsid w:val="00CD3614"/>
    <w:rsid w:val="00CD3D1B"/>
    <w:rsid w:val="00CD505C"/>
    <w:rsid w:val="00CD5D78"/>
    <w:rsid w:val="00CD620E"/>
    <w:rsid w:val="00CD65E8"/>
    <w:rsid w:val="00CD696D"/>
    <w:rsid w:val="00CE3578"/>
    <w:rsid w:val="00CE3A58"/>
    <w:rsid w:val="00CE3E68"/>
    <w:rsid w:val="00CE4FA3"/>
    <w:rsid w:val="00CE59B9"/>
    <w:rsid w:val="00CE732C"/>
    <w:rsid w:val="00CF200D"/>
    <w:rsid w:val="00CF2CC8"/>
    <w:rsid w:val="00CF6A0F"/>
    <w:rsid w:val="00CF7DCA"/>
    <w:rsid w:val="00D01396"/>
    <w:rsid w:val="00D0170A"/>
    <w:rsid w:val="00D029A3"/>
    <w:rsid w:val="00D0364F"/>
    <w:rsid w:val="00D13441"/>
    <w:rsid w:val="00D20652"/>
    <w:rsid w:val="00D211E9"/>
    <w:rsid w:val="00D22A6B"/>
    <w:rsid w:val="00D2312F"/>
    <w:rsid w:val="00D2379B"/>
    <w:rsid w:val="00D25C4F"/>
    <w:rsid w:val="00D263FB"/>
    <w:rsid w:val="00D26986"/>
    <w:rsid w:val="00D269C1"/>
    <w:rsid w:val="00D31A3C"/>
    <w:rsid w:val="00D33F98"/>
    <w:rsid w:val="00D35438"/>
    <w:rsid w:val="00D360C9"/>
    <w:rsid w:val="00D414CF"/>
    <w:rsid w:val="00D42315"/>
    <w:rsid w:val="00D43C55"/>
    <w:rsid w:val="00D4404F"/>
    <w:rsid w:val="00D44953"/>
    <w:rsid w:val="00D45626"/>
    <w:rsid w:val="00D45E19"/>
    <w:rsid w:val="00D471D7"/>
    <w:rsid w:val="00D53739"/>
    <w:rsid w:val="00D53EE3"/>
    <w:rsid w:val="00D540C5"/>
    <w:rsid w:val="00D542F3"/>
    <w:rsid w:val="00D54436"/>
    <w:rsid w:val="00D550CD"/>
    <w:rsid w:val="00D5644B"/>
    <w:rsid w:val="00D566FC"/>
    <w:rsid w:val="00D56E25"/>
    <w:rsid w:val="00D57561"/>
    <w:rsid w:val="00D6062B"/>
    <w:rsid w:val="00D6564F"/>
    <w:rsid w:val="00D65BF7"/>
    <w:rsid w:val="00D65D91"/>
    <w:rsid w:val="00D66932"/>
    <w:rsid w:val="00D67B12"/>
    <w:rsid w:val="00D718D7"/>
    <w:rsid w:val="00D75964"/>
    <w:rsid w:val="00D81450"/>
    <w:rsid w:val="00D814B7"/>
    <w:rsid w:val="00D81E69"/>
    <w:rsid w:val="00D837CF"/>
    <w:rsid w:val="00D83A4E"/>
    <w:rsid w:val="00D86C10"/>
    <w:rsid w:val="00D877F7"/>
    <w:rsid w:val="00D90688"/>
    <w:rsid w:val="00D907DD"/>
    <w:rsid w:val="00D90C3C"/>
    <w:rsid w:val="00D9351A"/>
    <w:rsid w:val="00D939EB"/>
    <w:rsid w:val="00D9465E"/>
    <w:rsid w:val="00D9550C"/>
    <w:rsid w:val="00D96F02"/>
    <w:rsid w:val="00D9701E"/>
    <w:rsid w:val="00DA03A0"/>
    <w:rsid w:val="00DA06DE"/>
    <w:rsid w:val="00DA0A07"/>
    <w:rsid w:val="00DA0C96"/>
    <w:rsid w:val="00DA2E7A"/>
    <w:rsid w:val="00DA3AAD"/>
    <w:rsid w:val="00DA3CEE"/>
    <w:rsid w:val="00DA5C59"/>
    <w:rsid w:val="00DA7832"/>
    <w:rsid w:val="00DB04C4"/>
    <w:rsid w:val="00DB0984"/>
    <w:rsid w:val="00DB0C8C"/>
    <w:rsid w:val="00DB1C0D"/>
    <w:rsid w:val="00DB312B"/>
    <w:rsid w:val="00DB4784"/>
    <w:rsid w:val="00DC162D"/>
    <w:rsid w:val="00DC3B86"/>
    <w:rsid w:val="00DC5654"/>
    <w:rsid w:val="00DC658F"/>
    <w:rsid w:val="00DC6894"/>
    <w:rsid w:val="00DD0298"/>
    <w:rsid w:val="00DD220D"/>
    <w:rsid w:val="00DD2D46"/>
    <w:rsid w:val="00DD3201"/>
    <w:rsid w:val="00DD3CBD"/>
    <w:rsid w:val="00DD598D"/>
    <w:rsid w:val="00DD5D1D"/>
    <w:rsid w:val="00DD5EB6"/>
    <w:rsid w:val="00DD608B"/>
    <w:rsid w:val="00DD7730"/>
    <w:rsid w:val="00DE41DE"/>
    <w:rsid w:val="00DE4E38"/>
    <w:rsid w:val="00DE60CC"/>
    <w:rsid w:val="00DE7784"/>
    <w:rsid w:val="00DF172A"/>
    <w:rsid w:val="00DF2010"/>
    <w:rsid w:val="00DF4662"/>
    <w:rsid w:val="00DF4C71"/>
    <w:rsid w:val="00DF5A44"/>
    <w:rsid w:val="00DF5B90"/>
    <w:rsid w:val="00E00157"/>
    <w:rsid w:val="00E02D30"/>
    <w:rsid w:val="00E05093"/>
    <w:rsid w:val="00E07F51"/>
    <w:rsid w:val="00E11FBD"/>
    <w:rsid w:val="00E122DB"/>
    <w:rsid w:val="00E14CF3"/>
    <w:rsid w:val="00E1551F"/>
    <w:rsid w:val="00E16509"/>
    <w:rsid w:val="00E1688B"/>
    <w:rsid w:val="00E17F52"/>
    <w:rsid w:val="00E17FC9"/>
    <w:rsid w:val="00E20142"/>
    <w:rsid w:val="00E26A17"/>
    <w:rsid w:val="00E26B32"/>
    <w:rsid w:val="00E26D4F"/>
    <w:rsid w:val="00E301DA"/>
    <w:rsid w:val="00E30E0A"/>
    <w:rsid w:val="00E31931"/>
    <w:rsid w:val="00E3232B"/>
    <w:rsid w:val="00E330F0"/>
    <w:rsid w:val="00E35666"/>
    <w:rsid w:val="00E35CA9"/>
    <w:rsid w:val="00E407B6"/>
    <w:rsid w:val="00E41EF1"/>
    <w:rsid w:val="00E42942"/>
    <w:rsid w:val="00E454D0"/>
    <w:rsid w:val="00E468A6"/>
    <w:rsid w:val="00E51546"/>
    <w:rsid w:val="00E51E5F"/>
    <w:rsid w:val="00E52C31"/>
    <w:rsid w:val="00E53158"/>
    <w:rsid w:val="00E57486"/>
    <w:rsid w:val="00E613C6"/>
    <w:rsid w:val="00E71BDF"/>
    <w:rsid w:val="00E721A7"/>
    <w:rsid w:val="00E7246A"/>
    <w:rsid w:val="00E81D19"/>
    <w:rsid w:val="00E81E5E"/>
    <w:rsid w:val="00E83CA7"/>
    <w:rsid w:val="00E83F11"/>
    <w:rsid w:val="00E856A7"/>
    <w:rsid w:val="00E87498"/>
    <w:rsid w:val="00E93C8E"/>
    <w:rsid w:val="00E95F0F"/>
    <w:rsid w:val="00EA03A3"/>
    <w:rsid w:val="00EA04AA"/>
    <w:rsid w:val="00EA2643"/>
    <w:rsid w:val="00EA3564"/>
    <w:rsid w:val="00EA3F59"/>
    <w:rsid w:val="00EB0F08"/>
    <w:rsid w:val="00EB2842"/>
    <w:rsid w:val="00EB2CCC"/>
    <w:rsid w:val="00EB588F"/>
    <w:rsid w:val="00EC171D"/>
    <w:rsid w:val="00EC3107"/>
    <w:rsid w:val="00EC4991"/>
    <w:rsid w:val="00ED0431"/>
    <w:rsid w:val="00ED42D3"/>
    <w:rsid w:val="00ED487E"/>
    <w:rsid w:val="00ED6D8D"/>
    <w:rsid w:val="00EE3BBF"/>
    <w:rsid w:val="00EE3E83"/>
    <w:rsid w:val="00EE4B2B"/>
    <w:rsid w:val="00EE7A0D"/>
    <w:rsid w:val="00EF046A"/>
    <w:rsid w:val="00EF0B58"/>
    <w:rsid w:val="00EF6CA8"/>
    <w:rsid w:val="00F016CB"/>
    <w:rsid w:val="00F02CAA"/>
    <w:rsid w:val="00F02FA4"/>
    <w:rsid w:val="00F0657C"/>
    <w:rsid w:val="00F10D1D"/>
    <w:rsid w:val="00F14EB3"/>
    <w:rsid w:val="00F14FDE"/>
    <w:rsid w:val="00F156EE"/>
    <w:rsid w:val="00F17CE1"/>
    <w:rsid w:val="00F2115C"/>
    <w:rsid w:val="00F219E5"/>
    <w:rsid w:val="00F22ABA"/>
    <w:rsid w:val="00F230C0"/>
    <w:rsid w:val="00F23366"/>
    <w:rsid w:val="00F233C4"/>
    <w:rsid w:val="00F23D69"/>
    <w:rsid w:val="00F2704D"/>
    <w:rsid w:val="00F27213"/>
    <w:rsid w:val="00F323E6"/>
    <w:rsid w:val="00F325A3"/>
    <w:rsid w:val="00F36B12"/>
    <w:rsid w:val="00F36D6E"/>
    <w:rsid w:val="00F374AF"/>
    <w:rsid w:val="00F40254"/>
    <w:rsid w:val="00F4045C"/>
    <w:rsid w:val="00F40FCF"/>
    <w:rsid w:val="00F51C65"/>
    <w:rsid w:val="00F53CDC"/>
    <w:rsid w:val="00F5489E"/>
    <w:rsid w:val="00F55AF4"/>
    <w:rsid w:val="00F60F9F"/>
    <w:rsid w:val="00F61E86"/>
    <w:rsid w:val="00F630CB"/>
    <w:rsid w:val="00F64F08"/>
    <w:rsid w:val="00F669D5"/>
    <w:rsid w:val="00F70204"/>
    <w:rsid w:val="00F70A6C"/>
    <w:rsid w:val="00F71C6D"/>
    <w:rsid w:val="00F734F5"/>
    <w:rsid w:val="00F743DE"/>
    <w:rsid w:val="00F74BAD"/>
    <w:rsid w:val="00F804E5"/>
    <w:rsid w:val="00F812DD"/>
    <w:rsid w:val="00F822D4"/>
    <w:rsid w:val="00F84570"/>
    <w:rsid w:val="00F848C1"/>
    <w:rsid w:val="00F84E6B"/>
    <w:rsid w:val="00F855DA"/>
    <w:rsid w:val="00F85DE4"/>
    <w:rsid w:val="00F86AE6"/>
    <w:rsid w:val="00F931EF"/>
    <w:rsid w:val="00F966B1"/>
    <w:rsid w:val="00F96DC6"/>
    <w:rsid w:val="00F97D48"/>
    <w:rsid w:val="00FA0311"/>
    <w:rsid w:val="00FA050D"/>
    <w:rsid w:val="00FA10EB"/>
    <w:rsid w:val="00FA15B1"/>
    <w:rsid w:val="00FA1680"/>
    <w:rsid w:val="00FA2AC4"/>
    <w:rsid w:val="00FA540A"/>
    <w:rsid w:val="00FB1EC9"/>
    <w:rsid w:val="00FB3556"/>
    <w:rsid w:val="00FB46D7"/>
    <w:rsid w:val="00FB50D4"/>
    <w:rsid w:val="00FC34D7"/>
    <w:rsid w:val="00FC42E5"/>
    <w:rsid w:val="00FC5326"/>
    <w:rsid w:val="00FC63BA"/>
    <w:rsid w:val="00FC68B9"/>
    <w:rsid w:val="00FC7B90"/>
    <w:rsid w:val="00FD201C"/>
    <w:rsid w:val="00FD4C33"/>
    <w:rsid w:val="00FD4EFC"/>
    <w:rsid w:val="00FD640F"/>
    <w:rsid w:val="00FD6B4C"/>
    <w:rsid w:val="00FD6C02"/>
    <w:rsid w:val="00FE07D7"/>
    <w:rsid w:val="00FE2D75"/>
    <w:rsid w:val="00FE45F5"/>
    <w:rsid w:val="00FE4B8C"/>
    <w:rsid w:val="00FE7029"/>
    <w:rsid w:val="00FE782F"/>
    <w:rsid w:val="00FF051E"/>
    <w:rsid w:val="00FF05F5"/>
    <w:rsid w:val="00FF0DDF"/>
    <w:rsid w:val="00FF4E99"/>
    <w:rsid w:val="00FF5F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EE0B4D"/>
  <w15:docId w15:val="{E59AE3C9-A9C6-494C-A375-26CC15EA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1"/>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8"/>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spacing w:before="100"/>
      <w:contextualSpacing/>
    </w:pPr>
  </w:style>
  <w:style w:type="paragraph" w:customStyle="1" w:styleId="Listnumindent">
    <w:name w:val="List num indent"/>
    <w:basedOn w:val="Normal"/>
    <w:uiPriority w:val="7"/>
    <w:qFormat/>
    <w:rsid w:val="00EC171D"/>
    <w:pPr>
      <w:spacing w:before="100"/>
    </w:pPr>
  </w:style>
  <w:style w:type="paragraph" w:customStyle="1" w:styleId="Listnum">
    <w:name w:val="List num"/>
    <w:basedOn w:val="Normal"/>
    <w:uiPriority w:val="1"/>
    <w:qFormat/>
    <w:rsid w:val="00FE782F"/>
    <w:pPr>
      <w:contextualSpacing/>
    </w:pPr>
  </w:style>
  <w:style w:type="paragraph" w:customStyle="1" w:styleId="Listnum2">
    <w:name w:val="List num 2"/>
    <w:basedOn w:val="Normal"/>
    <w:uiPriority w:val="1"/>
    <w:qFormat/>
    <w:rsid w:val="00117C6B"/>
    <w:p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7"/>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ListParagraph">
    <w:name w:val="List Paragraph"/>
    <w:basedOn w:val="Normal"/>
    <w:uiPriority w:val="34"/>
    <w:qFormat/>
    <w:rsid w:val="00DD7730"/>
    <w:pPr>
      <w:ind w:left="720"/>
      <w:contextualSpacing/>
    </w:pPr>
  </w:style>
  <w:style w:type="character" w:styleId="CommentReference">
    <w:name w:val="annotation reference"/>
    <w:basedOn w:val="DefaultParagraphFont"/>
    <w:uiPriority w:val="99"/>
    <w:semiHidden/>
    <w:unhideWhenUsed/>
    <w:rsid w:val="00B6457C"/>
    <w:rPr>
      <w:sz w:val="16"/>
      <w:szCs w:val="16"/>
    </w:rPr>
  </w:style>
  <w:style w:type="paragraph" w:styleId="CommentText">
    <w:name w:val="annotation text"/>
    <w:basedOn w:val="Normal"/>
    <w:link w:val="CommentTextChar"/>
    <w:uiPriority w:val="99"/>
    <w:semiHidden/>
    <w:unhideWhenUsed/>
    <w:rsid w:val="00B6457C"/>
    <w:pPr>
      <w:spacing w:line="240" w:lineRule="auto"/>
    </w:pPr>
    <w:rPr>
      <w:sz w:val="20"/>
    </w:rPr>
  </w:style>
  <w:style w:type="character" w:customStyle="1" w:styleId="CommentTextChar">
    <w:name w:val="Comment Text Char"/>
    <w:basedOn w:val="DefaultParagraphFont"/>
    <w:link w:val="CommentText"/>
    <w:uiPriority w:val="99"/>
    <w:semiHidden/>
    <w:rsid w:val="00B6457C"/>
    <w:rPr>
      <w:spacing w:val="2"/>
    </w:rPr>
  </w:style>
  <w:style w:type="paragraph" w:styleId="CommentSubject">
    <w:name w:val="annotation subject"/>
    <w:basedOn w:val="CommentText"/>
    <w:next w:val="CommentText"/>
    <w:link w:val="CommentSubjectChar"/>
    <w:uiPriority w:val="99"/>
    <w:semiHidden/>
    <w:unhideWhenUsed/>
    <w:rsid w:val="00B6457C"/>
    <w:rPr>
      <w:b/>
      <w:bCs/>
    </w:rPr>
  </w:style>
  <w:style w:type="character" w:customStyle="1" w:styleId="CommentSubjectChar">
    <w:name w:val="Comment Subject Char"/>
    <w:basedOn w:val="CommentTextChar"/>
    <w:link w:val="CommentSubject"/>
    <w:uiPriority w:val="99"/>
    <w:semiHidden/>
    <w:rsid w:val="00B6457C"/>
    <w:rPr>
      <w:b/>
      <w:bCs/>
      <w:spacing w:val="2"/>
    </w:rPr>
  </w:style>
  <w:style w:type="character" w:styleId="UnresolvedMention">
    <w:name w:val="Unresolved Mention"/>
    <w:basedOn w:val="DefaultParagraphFont"/>
    <w:uiPriority w:val="99"/>
    <w:unhideWhenUsed/>
    <w:rsid w:val="0044743B"/>
    <w:rPr>
      <w:color w:val="605E5C"/>
      <w:shd w:val="clear" w:color="auto" w:fill="E1DFDD"/>
    </w:rPr>
  </w:style>
  <w:style w:type="character" w:styleId="Mention">
    <w:name w:val="Mention"/>
    <w:basedOn w:val="DefaultParagraphFont"/>
    <w:uiPriority w:val="99"/>
    <w:unhideWhenUsed/>
    <w:rsid w:val="00117B32"/>
    <w:rPr>
      <w:color w:val="2B579A"/>
      <w:shd w:val="clear" w:color="auto" w:fill="E1DFDD"/>
    </w:rPr>
  </w:style>
  <w:style w:type="paragraph" w:styleId="Revision">
    <w:name w:val="Revision"/>
    <w:hidden/>
    <w:uiPriority w:val="99"/>
    <w:semiHidden/>
    <w:rsid w:val="00D13441"/>
    <w:pPr>
      <w:spacing w:after="0" w:line="240" w:lineRule="auto"/>
    </w:pPr>
    <w:rPr>
      <w:spacing w:val="2"/>
      <w:sz w:val="18"/>
    </w:rPr>
  </w:style>
  <w:style w:type="paragraph" w:styleId="FootnoteText">
    <w:name w:val="footnote text"/>
    <w:basedOn w:val="Normal"/>
    <w:link w:val="FootnoteTextChar"/>
    <w:uiPriority w:val="99"/>
    <w:semiHidden/>
    <w:unhideWhenUsed/>
    <w:rsid w:val="0054559B"/>
    <w:pPr>
      <w:spacing w:before="0" w:after="0" w:line="240" w:lineRule="auto"/>
    </w:pPr>
    <w:rPr>
      <w:sz w:val="20"/>
    </w:rPr>
  </w:style>
  <w:style w:type="character" w:customStyle="1" w:styleId="FootnoteTextChar">
    <w:name w:val="Footnote Text Char"/>
    <w:basedOn w:val="DefaultParagraphFont"/>
    <w:link w:val="FootnoteText"/>
    <w:uiPriority w:val="99"/>
    <w:semiHidden/>
    <w:rsid w:val="0054559B"/>
    <w:rPr>
      <w:spacing w:val="2"/>
    </w:rPr>
  </w:style>
  <w:style w:type="character" w:styleId="FootnoteReference">
    <w:name w:val="footnote reference"/>
    <w:basedOn w:val="DefaultParagraphFont"/>
    <w:uiPriority w:val="99"/>
    <w:semiHidden/>
    <w:unhideWhenUsed/>
    <w:rsid w:val="00545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hgprotocol.org/sites/default/files/standards/ghg-protocol-revise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buyingfor.vic.gov.au/environmental-impact-procurement-goods-and-services-procurement-guide"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97aeec6-0273-40f2-ab3e-beee73212332" ContentTypeId="0x0101002517F445A0F35E449C98AAD631F2B0382C"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69</Value>
      <Value>5</Value>
      <Value>4</Value>
      <Value>3</Value>
      <Value>2</Value>
      <Value>1</Value>
      <Value>374</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Climate Change Policy</TermName>
          <TermId xmlns="http://schemas.microsoft.com/office/infopath/2007/PartnerControls">6d1eac2a-5950-435e-b679-5fd9db28e104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Incorporates DTF Accounting Policy May suggestions in track changes</RoutingRuleDescription>
    <p5398241b4794856bc5c301fbb9ab43a xmlns="7fecc04c-1195-40b4-b1d2-c910117809a8">
      <Terms xmlns="http://schemas.microsoft.com/office/infopath/2007/PartnerControls">
        <TermInfo xmlns="http://schemas.microsoft.com/office/infopath/2007/PartnerControls">
          <TermName xmlns="http://schemas.microsoft.com/office/infopath/2007/PartnerControls">Instructions and Guidance Drafts</TermName>
          <TermId xmlns="http://schemas.microsoft.com/office/infopath/2007/PartnerControls">a5987132-c119-4a66-92b6-b73d9cf95e60</TermId>
        </TermInfo>
      </Terms>
    </p5398241b4794856bc5c301fbb9ab43a>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j11a0a8abfff4747908e2aff4cba02a5 xmlns="7fecc04c-1195-40b4-b1d2-c910117809a8">
      <Terms xmlns="http://schemas.microsoft.com/office/infopath/2007/PartnerControls"/>
    </j11a0a8abfff4747908e2aff4cba02a5>
    <_dlc_DocId xmlns="a5f32de4-e402-4188-b034-e71ca7d22e54">DOCID546-1863887199-2289</_dlc_DocId>
    <_dlc_DocIdUrl xmlns="a5f32de4-e402-4188-b034-e71ca7d22e54">
      <Url>https://delwpvicgovau.sharepoint.com/sites/ecm_546/_layouts/15/DocIdRedir.aspx?ID=DOCID546-1863887199-2289</Url>
      <Description>DOCID546-1863887199-2289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Business or Management Plan" ma:contentTypeID="0x0101002517F445A0F35E449C98AAD631F2B0382C0062AAC32401DE02458FD71D038DD2FF1F" ma:contentTypeVersion="10" ma:contentTypeDescription="Includes plans strategies and frameworks at the business level, including financial, risk or workforce planning - DEPI&#10;Also includes Burn Plans Activities that assist the Department in avoiding or reducing the impact of fire This Includes Fuel Reduction Burning. - PROV.  (Burn plans authority PROS 05/09 9.5.0 D - 7 yrs (After Last Action)" ma:contentTypeScope="" ma:versionID="e6380c42e07c0ea4f8e2f7d5c78e6ea4">
  <xsd:schema xmlns:xsd="http://www.w3.org/2001/XMLSchema" xmlns:xs="http://www.w3.org/2001/XMLSchema" xmlns:p="http://schemas.microsoft.com/office/2006/metadata/properties" xmlns:ns1="http://schemas.microsoft.com/sharepoint/v3" xmlns:ns2="a5f32de4-e402-4188-b034-e71ca7d22e54" xmlns:ns3="9fd47c19-1c4a-4d7d-b342-c10cef269344" xmlns:ns4="7fecc04c-1195-40b4-b1d2-c910117809a8" targetNamespace="http://schemas.microsoft.com/office/2006/metadata/properties" ma:root="true" ma:fieldsID="36806080154c93a5d2f69b03e19aeee8" ns1:_="" ns2:_="" ns3:_="" ns4:_="">
    <xsd:import namespace="http://schemas.microsoft.com/sharepoint/v3"/>
    <xsd:import namespace="a5f32de4-e402-4188-b034-e71ca7d22e54"/>
    <xsd:import namespace="9fd47c19-1c4a-4d7d-b342-c10cef269344"/>
    <xsd:import namespace="7fecc04c-1195-40b4-b1d2-c910117809a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4:j11a0a8abfff4747908e2aff4cba02a5" minOccurs="0"/>
                <xsd:element ref="ns4:p5398241b4794856bc5c301fbb9ab4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Climate Change Policy|6d1eac2a-5950-435e-b679-5fd9db28e10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d3d8ad46-f54e-4ed4-8d43-2228879fe1c6}" ma:internalName="TaxCatchAll" ma:showField="CatchAllData" ma:web="3615366d-a5fc-48c6-8d6a-8810589c7d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d3d8ad46-f54e-4ed4-8d43-2228879fe1c6}" ma:internalName="TaxCatchAllLabel" ma:readOnly="true" ma:showField="CatchAllDataLabel" ma:web="3615366d-a5fc-48c6-8d6a-8810589c7d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ecc04c-1195-40b4-b1d2-c910117809a8" elementFormDefault="qualified">
    <xsd:import namespace="http://schemas.microsoft.com/office/2006/documentManagement/types"/>
    <xsd:import namespace="http://schemas.microsoft.com/office/infopath/2007/PartnerControls"/>
    <xsd:element name="j11a0a8abfff4747908e2aff4cba02a5" ma:index="32" nillable="true" ma:taxonomy="true" ma:internalName="j11a0a8abfff4747908e2aff4cba02a5" ma:taxonomyFieldName="Stream" ma:displayName="Stream" ma:default="" ma:fieldId="{311a0a8a-bfff-4747-908e-2aff4cba02a5}" ma:sspId="797aeec6-0273-40f2-ab3e-beee73212332" ma:termSetId="d8437983-a0f9-4676-8ae3-07540f5d4461" ma:anchorId="00000000-0000-0000-0000-000000000000" ma:open="true" ma:isKeyword="false">
      <xsd:complexType>
        <xsd:sequence>
          <xsd:element ref="pc:Terms" minOccurs="0" maxOccurs="1"/>
        </xsd:sequence>
      </xsd:complexType>
    </xsd:element>
    <xsd:element name="p5398241b4794856bc5c301fbb9ab43a" ma:index="34" nillable="true" ma:taxonomy="true" ma:internalName="p5398241b4794856bc5c301fbb9ab43a" ma:taxonomyFieldName="Document_x0020_type" ma:displayName="Document type" ma:default="" ma:fieldId="{95398241-b479-4856-bc5c-301fbb9ab43a}" ma:sspId="797aeec6-0273-40f2-ab3e-beee73212332" ma:termSetId="40b00433-80e8-438e-bbb1-465122cb87f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CFB205-B71F-40C9-8A3B-D724BA8A14EC}">
  <ds:schemaRefs>
    <ds:schemaRef ds:uri="http://schemas.openxmlformats.org/officeDocument/2006/bibliography"/>
  </ds:schemaRefs>
</ds:datastoreItem>
</file>

<file path=customXml/itemProps2.xml><?xml version="1.0" encoding="utf-8"?>
<ds:datastoreItem xmlns:ds="http://schemas.openxmlformats.org/officeDocument/2006/customXml" ds:itemID="{C48A6CDB-F718-4365-A377-65B84CFF3C44}">
  <ds:schemaRefs>
    <ds:schemaRef ds:uri="Microsoft.SharePoint.Taxonomy.ContentTypeSync"/>
  </ds:schemaRefs>
</ds:datastoreItem>
</file>

<file path=customXml/itemProps3.xml><?xml version="1.0" encoding="utf-8"?>
<ds:datastoreItem xmlns:ds="http://schemas.openxmlformats.org/officeDocument/2006/customXml" ds:itemID="{633C65D5-3D4D-4931-95AC-816DE8DD64D2}">
  <ds:schemaRefs>
    <ds:schemaRef ds:uri="http://schemas.microsoft.com/office/2006/metadata/customXsn"/>
  </ds:schemaRefs>
</ds:datastoreItem>
</file>

<file path=customXml/itemProps4.xml><?xml version="1.0" encoding="utf-8"?>
<ds:datastoreItem xmlns:ds="http://schemas.openxmlformats.org/officeDocument/2006/customXml" ds:itemID="{721F56B7-0184-471E-8CAC-313C58AF2965}">
  <ds:schemaRefs>
    <ds:schemaRef ds:uri="http://schemas.microsoft.com/sharepoint/v3/contenttype/forms"/>
  </ds:schemaRefs>
</ds:datastoreItem>
</file>

<file path=customXml/itemProps5.xml><?xml version="1.0" encoding="utf-8"?>
<ds:datastoreItem xmlns:ds="http://schemas.openxmlformats.org/officeDocument/2006/customXml" ds:itemID="{77827AB6-1FE3-40A2-972B-78A64DE873EF}">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7fecc04c-1195-40b4-b1d2-c910117809a8"/>
  </ds:schemaRefs>
</ds:datastoreItem>
</file>

<file path=customXml/itemProps6.xml><?xml version="1.0" encoding="utf-8"?>
<ds:datastoreItem xmlns:ds="http://schemas.openxmlformats.org/officeDocument/2006/customXml" ds:itemID="{00CDE022-314E-4F6B-8A55-85DFA1872E25}">
  <ds:schemaRefs>
    <ds:schemaRef ds:uri="http://schemas.microsoft.com/sharepoint/events"/>
  </ds:schemaRefs>
</ds:datastoreItem>
</file>

<file path=customXml/itemProps7.xml><?xml version="1.0" encoding="utf-8"?>
<ds:datastoreItem xmlns:ds="http://schemas.openxmlformats.org/officeDocument/2006/customXml" ds:itemID="{17EEA5CD-2CE8-4863-85AB-B564D8BF0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fecc04c-1195-40b4-b1d2-c91011780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8D03DB2-B807-46CC-969F-B9AD1901C0E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4480</Words>
  <Characters>25537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FRD 24 - Direction - May 2022</vt:lpstr>
    </vt:vector>
  </TitlesOfParts>
  <Company>Department of Treasury and Finance</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 24 - Direction - May 2022</dc:title>
  <dc:subject/>
  <dc:creator>Thomas McGowan (DTF)</dc:creator>
  <cp:keywords/>
  <dc:description/>
  <cp:lastModifiedBy>Thomas McGowan (DTF)</cp:lastModifiedBy>
  <cp:revision>2</cp:revision>
  <cp:lastPrinted>2016-03-03T04:13:00Z</cp:lastPrinted>
  <dcterms:created xsi:type="dcterms:W3CDTF">2022-06-15T04:15:00Z</dcterms:created>
  <dcterms:modified xsi:type="dcterms:W3CDTF">2022-06-15T04:15:00Z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ontentTypeId">
    <vt:lpwstr>0x0101002517F445A0F35E449C98AAD631F2B0382C0062AAC32401DE02458FD71D038DD2FF1F</vt:lpwstr>
  </property>
  <property fmtid="{D5CDD505-2E9C-101B-9397-08002B2CF9AE}" pid="5" name="Section">
    <vt:lpwstr/>
  </property>
  <property fmtid="{D5CDD505-2E9C-101B-9397-08002B2CF9AE}" pid="6" name="Sub-Section">
    <vt:lpwstr/>
  </property>
  <property fmtid="{D5CDD505-2E9C-101B-9397-08002B2CF9AE}" pid="7" name="Agency">
    <vt:lpwstr>1;#Department of Environment, Land, Water and Planning|607a3f87-1228-4cd9-82a5-076aa8776274</vt:lpwstr>
  </property>
  <property fmtid="{D5CDD505-2E9C-101B-9397-08002B2CF9AE}" pid="8" name="Branch">
    <vt:lpwstr>4;#Climate Change Policy|6d1eac2a-5950-435e-b679-5fd9db28e104</vt:lpwstr>
  </property>
  <property fmtid="{D5CDD505-2E9C-101B-9397-08002B2CF9AE}" pid="9" name="o85941e134754762b9719660a258a6e6">
    <vt:lpwstr/>
  </property>
  <property fmtid="{D5CDD505-2E9C-101B-9397-08002B2CF9AE}" pid="10" name="Reference_x0020_Type">
    <vt:lpwstr/>
  </property>
  <property fmtid="{D5CDD505-2E9C-101B-9397-08002B2CF9AE}" pid="11" name="Location_x0020_Type">
    <vt:lpwstr/>
  </property>
  <property fmtid="{D5CDD505-2E9C-101B-9397-08002B2CF9AE}" pid="12" name="Copyright_x0020_Licence_x0020_Name">
    <vt:lpwstr/>
  </property>
  <property fmtid="{D5CDD505-2E9C-101B-9397-08002B2CF9AE}" pid="13" name="df723ab3fe1c4eb7a0b151674e7ac40d">
    <vt:lpwstr/>
  </property>
  <property fmtid="{D5CDD505-2E9C-101B-9397-08002B2CF9AE}" pid="14" name="Copyright_x0020_License_x0020_Type">
    <vt:lpwstr/>
  </property>
  <property fmtid="{D5CDD505-2E9C-101B-9397-08002B2CF9AE}" pid="15" name="Division">
    <vt:lpwstr>5;#Climate Change|4f53214f-b3d4-401f-ad3c-aff173d590a3</vt:lpwstr>
  </property>
  <property fmtid="{D5CDD505-2E9C-101B-9397-08002B2CF9AE}" pid="16" name="Document type">
    <vt:lpwstr>374;#Instructions and Guidance Drafts|a5987132-c119-4a66-92b6-b73d9cf95e60</vt:lpwstr>
  </property>
  <property fmtid="{D5CDD505-2E9C-101B-9397-08002B2CF9AE}" pid="17" name="Dissemination Limiting Marker">
    <vt:lpwstr>3;#FOUO|955eb6fc-b35a-4808-8aa5-31e514fa3f26</vt:lpwstr>
  </property>
  <property fmtid="{D5CDD505-2E9C-101B-9397-08002B2CF9AE}" pid="18" name="Group1">
    <vt:lpwstr>69;#Environment and Climate Change|b90772f5-2afa-408f-b8b8-93ad6baba774</vt:lpwstr>
  </property>
  <property fmtid="{D5CDD505-2E9C-101B-9397-08002B2CF9AE}" pid="19" name="Security Classification">
    <vt:lpwstr>2;#Unclassified|7fa379f4-4aba-4692-ab80-7d39d3a23cf4</vt:lpwstr>
  </property>
  <property fmtid="{D5CDD505-2E9C-101B-9397-08002B2CF9AE}" pid="20" name="Stream">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Copyright Licence Name">
    <vt:lpwstr/>
  </property>
  <property fmtid="{D5CDD505-2E9C-101B-9397-08002B2CF9AE}" pid="24" name="Location Type">
    <vt:lpwstr/>
  </property>
  <property fmtid="{D5CDD505-2E9C-101B-9397-08002B2CF9AE}" pid="25" name="Reference Type">
    <vt:lpwstr/>
  </property>
  <property fmtid="{D5CDD505-2E9C-101B-9397-08002B2CF9AE}" pid="26" name="Copyright License Type">
    <vt:lpwstr/>
  </property>
  <property fmtid="{D5CDD505-2E9C-101B-9397-08002B2CF9AE}" pid="27" name="MSIP_Label_4257e2ab-f512-40e2-9c9a-c64247360765_Enabled">
    <vt:lpwstr>true</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ContentBits">
    <vt:lpwstr>2</vt:lpwstr>
  </property>
  <property fmtid="{D5CDD505-2E9C-101B-9397-08002B2CF9AE}" pid="32" name="_dlc_DocIdItemGuid">
    <vt:lpwstr>0cc3f0c5-bf63-4fba-80f0-cc1f9f9c6f83</vt:lpwstr>
  </property>
  <property fmtid="{D5CDD505-2E9C-101B-9397-08002B2CF9AE}" pid="33" name="MSIP_Label_4257e2ab-f512-40e2-9c9a-c64247360765_SetDate">
    <vt:lpwstr>2022-05-05T06:05:17Z</vt:lpwstr>
  </property>
  <property fmtid="{D5CDD505-2E9C-101B-9397-08002B2CF9AE}" pid="34" name="MSIP_Label_4257e2ab-f512-40e2-9c9a-c64247360765_ActionId">
    <vt:lpwstr>9bf7cbab-7764-4b4c-b74a-510ecbd116dd</vt:lpwstr>
  </property>
  <property fmtid="{D5CDD505-2E9C-101B-9397-08002B2CF9AE}" pid="35" name="MSIP_Label_7158ebbd-6c5e-441f-bfc9-4eb8c11e3978_Enabled">
    <vt:lpwstr>true</vt:lpwstr>
  </property>
  <property fmtid="{D5CDD505-2E9C-101B-9397-08002B2CF9AE}" pid="36" name="MSIP_Label_7158ebbd-6c5e-441f-bfc9-4eb8c11e3978_SetDate">
    <vt:lpwstr>2022-06-15T04:15:03Z</vt:lpwstr>
  </property>
  <property fmtid="{D5CDD505-2E9C-101B-9397-08002B2CF9AE}" pid="37" name="MSIP_Label_7158ebbd-6c5e-441f-bfc9-4eb8c11e3978_Method">
    <vt:lpwstr>Privileged</vt:lpwstr>
  </property>
  <property fmtid="{D5CDD505-2E9C-101B-9397-08002B2CF9AE}" pid="38" name="MSIP_Label_7158ebbd-6c5e-441f-bfc9-4eb8c11e3978_Name">
    <vt:lpwstr>7158ebbd-6c5e-441f-bfc9-4eb8c11e3978</vt:lpwstr>
  </property>
  <property fmtid="{D5CDD505-2E9C-101B-9397-08002B2CF9AE}" pid="39" name="MSIP_Label_7158ebbd-6c5e-441f-bfc9-4eb8c11e3978_SiteId">
    <vt:lpwstr>722ea0be-3e1c-4b11-ad6f-9401d6856e24</vt:lpwstr>
  </property>
  <property fmtid="{D5CDD505-2E9C-101B-9397-08002B2CF9AE}" pid="40" name="MSIP_Label_7158ebbd-6c5e-441f-bfc9-4eb8c11e3978_ActionId">
    <vt:lpwstr>30a51f6a-7d68-46c3-b1bf-e255b1543409</vt:lpwstr>
  </property>
  <property fmtid="{D5CDD505-2E9C-101B-9397-08002B2CF9AE}" pid="41" name="MSIP_Label_7158ebbd-6c5e-441f-bfc9-4eb8c11e3978_ContentBits">
    <vt:lpwstr>2</vt:lpwstr>
  </property>
</Properties>
</file>