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8904" w:type="dxa"/>
        <w:tblLayout w:type="fixed"/>
        <w:tblLook w:val="0620" w:firstRow="1" w:lastRow="0" w:firstColumn="0" w:lastColumn="0" w:noHBand="1" w:noVBand="1"/>
      </w:tblPr>
      <w:tblGrid>
        <w:gridCol w:w="2217"/>
        <w:gridCol w:w="477"/>
        <w:gridCol w:w="6210"/>
      </w:tblGrid>
      <w:tr w:rsidR="00F41BDB" w:rsidRPr="00231BD3" w14:paraId="212D7BF7" w14:textId="77777777" w:rsidTr="00F41BDB">
        <w:trPr>
          <w:cnfStyle w:val="100000000000" w:firstRow="1" w:lastRow="0" w:firstColumn="0" w:lastColumn="0" w:oddVBand="0" w:evenVBand="0" w:oddHBand="0" w:evenHBand="0" w:firstRowFirstColumn="0" w:firstRowLastColumn="0" w:lastRowFirstColumn="0" w:lastRowLastColumn="0"/>
        </w:trPr>
        <w:tc>
          <w:tcPr>
            <w:tcW w:w="2217" w:type="dxa"/>
          </w:tcPr>
          <w:p w14:paraId="6A4F370D" w14:textId="67998F93" w:rsidR="00F41BDB" w:rsidRPr="00231BD3" w:rsidRDefault="00F41BDB" w:rsidP="00CB6D11">
            <w:pPr>
              <w:pStyle w:val="FRDNumber"/>
            </w:pPr>
            <w:r w:rsidRPr="00231BD3">
              <w:t xml:space="preserve">FRD </w:t>
            </w:r>
            <w:r w:rsidRPr="007F1275">
              <w:t>30</w:t>
            </w:r>
          </w:p>
        </w:tc>
        <w:tc>
          <w:tcPr>
            <w:tcW w:w="477" w:type="dxa"/>
          </w:tcPr>
          <w:p w14:paraId="0A37501D" w14:textId="77777777" w:rsidR="00F41BDB" w:rsidRPr="00231BD3" w:rsidRDefault="00F41BDB"/>
        </w:tc>
        <w:tc>
          <w:tcPr>
            <w:tcW w:w="6210" w:type="dxa"/>
          </w:tcPr>
          <w:p w14:paraId="7E879E05" w14:textId="06452EEA" w:rsidR="00F41BDB" w:rsidRPr="00231BD3" w:rsidRDefault="00F41BDB" w:rsidP="00F94CEE">
            <w:pPr>
              <w:pStyle w:val="FRDHeader"/>
            </w:pPr>
            <w:r w:rsidRPr="00B43172">
              <w:t>Standard requirements for the publica</w:t>
            </w:r>
            <w:r>
              <w:t>tion of annual reports (</w:t>
            </w:r>
            <w:r>
              <w:t>April</w:t>
            </w:r>
            <w:r w:rsidRPr="007F1275">
              <w:t xml:space="preserve"> 2024</w:t>
            </w:r>
            <w:r w:rsidRPr="00B43172">
              <w:t>)</w:t>
            </w:r>
          </w:p>
        </w:tc>
      </w:tr>
      <w:tr w:rsidR="00F41BDB" w:rsidRPr="00E10ADB" w14:paraId="5DAB6C7B" w14:textId="77777777" w:rsidTr="00F41BDB">
        <w:trPr>
          <w:trHeight w:hRule="exact" w:val="120"/>
        </w:trPr>
        <w:tc>
          <w:tcPr>
            <w:tcW w:w="2217" w:type="dxa"/>
          </w:tcPr>
          <w:p w14:paraId="02EB378F" w14:textId="77777777" w:rsidR="00F41BDB" w:rsidRPr="008A601F" w:rsidRDefault="00F41BDB">
            <w:pPr>
              <w:pStyle w:val="Tabletext"/>
            </w:pPr>
          </w:p>
        </w:tc>
        <w:tc>
          <w:tcPr>
            <w:tcW w:w="477" w:type="dxa"/>
          </w:tcPr>
          <w:p w14:paraId="5A39BBE3" w14:textId="77777777" w:rsidR="00F41BDB" w:rsidRPr="008A601F" w:rsidRDefault="00F41BDB"/>
        </w:tc>
        <w:tc>
          <w:tcPr>
            <w:tcW w:w="6210" w:type="dxa"/>
          </w:tcPr>
          <w:p w14:paraId="41C8F396" w14:textId="77777777" w:rsidR="00F41BDB" w:rsidRPr="008A601F" w:rsidRDefault="00F41BDB"/>
        </w:tc>
      </w:tr>
      <w:tr w:rsidR="00F41BDB" w:rsidRPr="005828FE" w14:paraId="5861C3D1" w14:textId="77777777" w:rsidTr="00F41BDB">
        <w:tc>
          <w:tcPr>
            <w:tcW w:w="2217" w:type="dxa"/>
          </w:tcPr>
          <w:p w14:paraId="39EC13BE" w14:textId="77777777" w:rsidR="00F41BDB" w:rsidRPr="005828FE" w:rsidRDefault="00F41BDB" w:rsidP="00382EE1">
            <w:pPr>
              <w:pStyle w:val="Normalgrey"/>
            </w:pPr>
            <w:r w:rsidRPr="005828FE">
              <w:t>Purpose</w:t>
            </w:r>
          </w:p>
        </w:tc>
        <w:tc>
          <w:tcPr>
            <w:tcW w:w="477" w:type="dxa"/>
          </w:tcPr>
          <w:p w14:paraId="0D0B940D" w14:textId="77777777" w:rsidR="00F41BDB" w:rsidRPr="005828FE" w:rsidRDefault="00F41BDB" w:rsidP="00E97708">
            <w:pPr>
              <w:pStyle w:val="Refnum2"/>
            </w:pPr>
          </w:p>
        </w:tc>
        <w:tc>
          <w:tcPr>
            <w:tcW w:w="6210" w:type="dxa"/>
          </w:tcPr>
          <w:p w14:paraId="3A226C7B" w14:textId="6BBD09BE" w:rsidR="00F41BDB" w:rsidRDefault="00F41BDB" w:rsidP="00E97708">
            <w:pPr>
              <w:pStyle w:val="Normalgrey"/>
            </w:pPr>
            <w:r w:rsidRPr="006274D5">
              <w:t xml:space="preserve">To </w:t>
            </w:r>
            <w:r w:rsidRPr="00E97708">
              <w:t>prescribe</w:t>
            </w:r>
            <w:r>
              <w:t>:</w:t>
            </w:r>
          </w:p>
          <w:p w14:paraId="4FC21EDE" w14:textId="4EBFB0AE" w:rsidR="00F41BDB" w:rsidRDefault="00F41BDB" w:rsidP="00D55507">
            <w:pPr>
              <w:pStyle w:val="Bullet1grey"/>
              <w:spacing w:before="60"/>
            </w:pPr>
            <w:r w:rsidRPr="00E97708">
              <w:t>design</w:t>
            </w:r>
            <w:r w:rsidRPr="006274D5">
              <w:t xml:space="preserve"> and print specifications</w:t>
            </w:r>
          </w:p>
          <w:p w14:paraId="62E0C301" w14:textId="4356777D" w:rsidR="00F41BDB" w:rsidRDefault="00F41BDB" w:rsidP="6D7437A6">
            <w:pPr>
              <w:pStyle w:val="Bullet1grey"/>
              <w:spacing w:before="60"/>
            </w:pPr>
            <w:r>
              <w:t xml:space="preserve">source for information on </w:t>
            </w:r>
            <w:r w:rsidRPr="6D7437A6">
              <w:t>tabling instructions</w:t>
            </w:r>
          </w:p>
          <w:p w14:paraId="68E29D5D" w14:textId="41C9F693" w:rsidR="00F41BDB" w:rsidRDefault="00F41BDB" w:rsidP="00D55507">
            <w:pPr>
              <w:pStyle w:val="Bullet1grey"/>
              <w:spacing w:before="60"/>
            </w:pPr>
            <w:r>
              <w:t>accessibility requirements</w:t>
            </w:r>
          </w:p>
          <w:p w14:paraId="15BFB773" w14:textId="77777777" w:rsidR="00F41BDB" w:rsidRDefault="00F41BDB" w:rsidP="00E97708">
            <w:pPr>
              <w:pStyle w:val="Bullet1grey"/>
            </w:pPr>
            <w:r>
              <w:t>specification of monetary amounts to be expressed (for rounding purposes)</w:t>
            </w:r>
          </w:p>
          <w:p w14:paraId="139DD275" w14:textId="4AD7EA65" w:rsidR="00F41BDB" w:rsidRPr="005828FE" w:rsidRDefault="00F41BDB" w:rsidP="00D55507">
            <w:pPr>
              <w:pStyle w:val="Normalgrey"/>
              <w:spacing w:before="100"/>
            </w:pPr>
            <w:r>
              <w:t xml:space="preserve">for </w:t>
            </w:r>
            <w:r>
              <w:t>Victorian Government entity</w:t>
            </w:r>
            <w:r w:rsidRPr="006274D5">
              <w:t xml:space="preserve"> </w:t>
            </w:r>
            <w:r w:rsidRPr="006274D5">
              <w:t>annual reports to ensure consistency, cost minimisation and low environmental impact.</w:t>
            </w:r>
          </w:p>
        </w:tc>
      </w:tr>
      <w:tr w:rsidR="00F41BDB" w:rsidRPr="005828FE" w14:paraId="4221E54E" w14:textId="77777777" w:rsidTr="00F41BDB">
        <w:tc>
          <w:tcPr>
            <w:tcW w:w="2217" w:type="dxa"/>
            <w:shd w:val="clear" w:color="auto" w:fill="F2F2F2" w:themeFill="background1" w:themeFillShade="F2"/>
          </w:tcPr>
          <w:p w14:paraId="2BCC458A" w14:textId="77777777" w:rsidR="00F41BDB" w:rsidRPr="005828FE" w:rsidRDefault="00F41BDB" w:rsidP="00A516DE">
            <w:pPr>
              <w:pStyle w:val="Normalbold"/>
            </w:pPr>
            <w:r w:rsidRPr="005828FE">
              <w:t>Application</w:t>
            </w:r>
          </w:p>
        </w:tc>
        <w:tc>
          <w:tcPr>
            <w:tcW w:w="477" w:type="dxa"/>
            <w:shd w:val="clear" w:color="auto" w:fill="F2F2F2" w:themeFill="background1" w:themeFillShade="F2"/>
          </w:tcPr>
          <w:p w14:paraId="60061E4C" w14:textId="220D461F" w:rsidR="00F41BDB" w:rsidRPr="005828FE" w:rsidRDefault="00F41BDB" w:rsidP="00F41BDB">
            <w:pPr>
              <w:pStyle w:val="Refnum2"/>
              <w:numPr>
                <w:ilvl w:val="0"/>
                <w:numId w:val="0"/>
              </w:numPr>
            </w:pPr>
            <w:r>
              <w:t>2.1</w:t>
            </w:r>
          </w:p>
        </w:tc>
        <w:tc>
          <w:tcPr>
            <w:tcW w:w="6210" w:type="dxa"/>
            <w:shd w:val="clear" w:color="auto" w:fill="F2F2F2" w:themeFill="background1" w:themeFillShade="F2"/>
          </w:tcPr>
          <w:p w14:paraId="152116E3" w14:textId="77777777" w:rsidR="00F41BDB" w:rsidRPr="00E97708" w:rsidRDefault="00F41BDB" w:rsidP="00A516DE">
            <w:pPr>
              <w:pStyle w:val="Normalbold"/>
            </w:pPr>
            <w:r w:rsidRPr="007834A9">
              <w:t xml:space="preserve">Applies to all entities defined as either a public body or a department under section 3 of the </w:t>
            </w:r>
            <w:r w:rsidRPr="007834A9">
              <w:rPr>
                <w:i/>
              </w:rPr>
              <w:t xml:space="preserve">Financial Management Act 1994 </w:t>
            </w:r>
            <w:r w:rsidRPr="007834A9">
              <w:t xml:space="preserve">(FMA). Public entities as defined by section 5 of the </w:t>
            </w:r>
            <w:r w:rsidRPr="007834A9">
              <w:rPr>
                <w:i/>
              </w:rPr>
              <w:t xml:space="preserve">Public Administration Act 2004 </w:t>
            </w:r>
            <w:r w:rsidRPr="007834A9">
              <w:t>are encouraged to apply this FRD.</w:t>
            </w:r>
          </w:p>
        </w:tc>
      </w:tr>
      <w:tr w:rsidR="00F41BDB" w:rsidRPr="005828FE" w14:paraId="61D4FCFF" w14:textId="77777777" w:rsidTr="00F41BDB">
        <w:tc>
          <w:tcPr>
            <w:tcW w:w="2217" w:type="dxa"/>
            <w:shd w:val="clear" w:color="auto" w:fill="F2F2F2" w:themeFill="background1" w:themeFillShade="F2"/>
          </w:tcPr>
          <w:p w14:paraId="583C4B33" w14:textId="77777777" w:rsidR="00F41BDB" w:rsidRPr="005828FE" w:rsidRDefault="00F41BDB" w:rsidP="00A516DE">
            <w:pPr>
              <w:pStyle w:val="Normalbold"/>
            </w:pPr>
            <w:r w:rsidRPr="005828FE">
              <w:t>Operative date</w:t>
            </w:r>
          </w:p>
        </w:tc>
        <w:tc>
          <w:tcPr>
            <w:tcW w:w="477" w:type="dxa"/>
            <w:shd w:val="clear" w:color="auto" w:fill="F2F2F2" w:themeFill="background1" w:themeFillShade="F2"/>
          </w:tcPr>
          <w:p w14:paraId="4B94D5A5" w14:textId="42679095" w:rsidR="00F41BDB" w:rsidRPr="005828FE" w:rsidRDefault="00F41BDB" w:rsidP="00F41BDB">
            <w:pPr>
              <w:pStyle w:val="Refnum2"/>
              <w:numPr>
                <w:ilvl w:val="0"/>
                <w:numId w:val="0"/>
              </w:numPr>
              <w:ind w:left="504" w:hanging="504"/>
            </w:pPr>
            <w:r>
              <w:t>3.1</w:t>
            </w:r>
          </w:p>
        </w:tc>
        <w:tc>
          <w:tcPr>
            <w:tcW w:w="6210" w:type="dxa"/>
            <w:shd w:val="clear" w:color="auto" w:fill="F2F2F2" w:themeFill="background1" w:themeFillShade="F2"/>
          </w:tcPr>
          <w:p w14:paraId="18BD0CBA" w14:textId="04A3B47B" w:rsidR="00F41BDB" w:rsidRPr="0025253D" w:rsidRDefault="00F41BDB" w:rsidP="0025253D">
            <w:pPr>
              <w:rPr>
                <w:b/>
                <w:bCs/>
              </w:rPr>
            </w:pPr>
            <w:r w:rsidRPr="574B72FF">
              <w:rPr>
                <w:b/>
                <w:bCs/>
              </w:rPr>
              <w:t xml:space="preserve">Reporting periods commencing </w:t>
            </w:r>
            <w:r w:rsidR="00F613FD">
              <w:rPr>
                <w:b/>
                <w:bCs/>
              </w:rPr>
              <w:t xml:space="preserve">on or after </w:t>
            </w:r>
            <w:r w:rsidRPr="574B72FF">
              <w:rPr>
                <w:b/>
                <w:bCs/>
              </w:rPr>
              <w:t>1 July 20</w:t>
            </w:r>
            <w:r>
              <w:rPr>
                <w:b/>
                <w:bCs/>
              </w:rPr>
              <w:t>23</w:t>
            </w:r>
            <w:r w:rsidRPr="574B72FF">
              <w:rPr>
                <w:b/>
                <w:bCs/>
              </w:rPr>
              <w:t>.</w:t>
            </w:r>
          </w:p>
        </w:tc>
      </w:tr>
      <w:tr w:rsidR="00F41BDB" w:rsidRPr="005828FE" w14:paraId="4A697EE5" w14:textId="77777777" w:rsidTr="00F41BDB">
        <w:tc>
          <w:tcPr>
            <w:tcW w:w="2217" w:type="dxa"/>
            <w:shd w:val="clear" w:color="auto" w:fill="F2F2F2" w:themeFill="background1" w:themeFillShade="F2"/>
          </w:tcPr>
          <w:p w14:paraId="3A0E018C" w14:textId="77777777" w:rsidR="00F41BDB" w:rsidRPr="005828FE" w:rsidRDefault="00F41BDB">
            <w:pPr>
              <w:pStyle w:val="Normalbold"/>
            </w:pPr>
            <w:r w:rsidRPr="005828FE">
              <w:t>Requirement</w:t>
            </w:r>
            <w:r>
              <w:t>s</w:t>
            </w:r>
          </w:p>
        </w:tc>
        <w:tc>
          <w:tcPr>
            <w:tcW w:w="477" w:type="dxa"/>
            <w:shd w:val="clear" w:color="auto" w:fill="F2F2F2" w:themeFill="background1" w:themeFillShade="F2"/>
          </w:tcPr>
          <w:p w14:paraId="3656B9AB" w14:textId="367084D9" w:rsidR="00F41BDB" w:rsidRPr="005828FE" w:rsidRDefault="00F41BDB" w:rsidP="00F41BDB">
            <w:pPr>
              <w:pStyle w:val="Refnum2"/>
              <w:numPr>
                <w:ilvl w:val="0"/>
                <w:numId w:val="0"/>
              </w:numPr>
              <w:ind w:left="504" w:hanging="504"/>
            </w:pPr>
            <w:r>
              <w:t>4.1</w:t>
            </w:r>
          </w:p>
        </w:tc>
        <w:tc>
          <w:tcPr>
            <w:tcW w:w="6210" w:type="dxa"/>
            <w:shd w:val="clear" w:color="auto" w:fill="F2F2F2" w:themeFill="background1" w:themeFillShade="F2"/>
          </w:tcPr>
          <w:p w14:paraId="2166458B" w14:textId="60B51745" w:rsidR="00F41BDB" w:rsidRPr="00E97708" w:rsidRDefault="00F41BDB">
            <w:pPr>
              <w:pStyle w:val="Normalbold"/>
            </w:pPr>
            <w:r w:rsidRPr="004E4B6F">
              <w:t xml:space="preserve">Annual reports are to be produced in accordance with the </w:t>
            </w:r>
            <w:r>
              <w:t xml:space="preserve">photography, </w:t>
            </w:r>
            <w:r w:rsidRPr="004E4B6F">
              <w:t>design</w:t>
            </w:r>
            <w:r>
              <w:t xml:space="preserve">, content development, </w:t>
            </w:r>
            <w:r w:rsidRPr="004E4B6F">
              <w:t>print</w:t>
            </w:r>
            <w:r>
              <w:t xml:space="preserve">, accessibility and digital first specifications </w:t>
            </w:r>
            <w:r w:rsidRPr="004E4B6F">
              <w:t>detailed in this direction.</w:t>
            </w:r>
          </w:p>
        </w:tc>
      </w:tr>
      <w:tr w:rsidR="00F41BDB" w:rsidRPr="005828FE" w14:paraId="22129BDB" w14:textId="77777777" w:rsidTr="00F41BDB">
        <w:tc>
          <w:tcPr>
            <w:tcW w:w="2217" w:type="dxa"/>
            <w:shd w:val="clear" w:color="auto" w:fill="F2F2F2" w:themeFill="background1" w:themeFillShade="F2"/>
          </w:tcPr>
          <w:p w14:paraId="45FB0818" w14:textId="77777777" w:rsidR="00F41BDB" w:rsidRPr="005828FE" w:rsidRDefault="00F41BDB">
            <w:pPr>
              <w:pStyle w:val="Normalbold"/>
            </w:pPr>
          </w:p>
        </w:tc>
        <w:tc>
          <w:tcPr>
            <w:tcW w:w="477" w:type="dxa"/>
            <w:shd w:val="clear" w:color="auto" w:fill="F2F2F2" w:themeFill="background1" w:themeFillShade="F2"/>
          </w:tcPr>
          <w:p w14:paraId="53128261" w14:textId="19464781" w:rsidR="00F41BDB" w:rsidRPr="005828FE" w:rsidRDefault="00F41BDB" w:rsidP="00F41BDB">
            <w:pPr>
              <w:pStyle w:val="Refnum2"/>
              <w:numPr>
                <w:ilvl w:val="0"/>
                <w:numId w:val="0"/>
              </w:numPr>
              <w:ind w:left="504" w:hanging="504"/>
            </w:pPr>
            <w:r>
              <w:t>4.2</w:t>
            </w:r>
          </w:p>
        </w:tc>
        <w:tc>
          <w:tcPr>
            <w:tcW w:w="6210" w:type="dxa"/>
            <w:shd w:val="clear" w:color="auto" w:fill="F2F2F2" w:themeFill="background1" w:themeFillShade="F2"/>
          </w:tcPr>
          <w:p w14:paraId="7DE897A4" w14:textId="4DE64EC2" w:rsidR="00F41BDB" w:rsidRPr="004E4B6F" w:rsidRDefault="00F41BDB">
            <w:pPr>
              <w:pStyle w:val="Normalbold"/>
            </w:pPr>
            <w:r w:rsidRPr="004E4B6F">
              <w:t xml:space="preserve">Government entities are expected to obtain value for money in procuring services </w:t>
            </w:r>
            <w:r>
              <w:t>relating to annual reports</w:t>
            </w:r>
            <w:r w:rsidRPr="004E4B6F">
              <w:t xml:space="preserve">. </w:t>
            </w:r>
            <w:r>
              <w:t xml:space="preserve">Digital first principles should be applied with printing kept to a minimum. </w:t>
            </w:r>
          </w:p>
        </w:tc>
      </w:tr>
      <w:tr w:rsidR="00F41BDB" w:rsidRPr="005828FE" w14:paraId="14C87A35" w14:textId="77777777" w:rsidTr="00F41BDB">
        <w:tc>
          <w:tcPr>
            <w:tcW w:w="2217" w:type="dxa"/>
            <w:shd w:val="clear" w:color="auto" w:fill="F2F2F2" w:themeFill="background1" w:themeFillShade="F2"/>
          </w:tcPr>
          <w:p w14:paraId="62486C05" w14:textId="77777777" w:rsidR="00F41BDB" w:rsidRPr="005828FE" w:rsidRDefault="00F41BDB">
            <w:pPr>
              <w:pStyle w:val="Normalbold"/>
            </w:pPr>
          </w:p>
        </w:tc>
        <w:tc>
          <w:tcPr>
            <w:tcW w:w="477" w:type="dxa"/>
            <w:shd w:val="clear" w:color="auto" w:fill="F2F2F2" w:themeFill="background1" w:themeFillShade="F2"/>
          </w:tcPr>
          <w:p w14:paraId="4B99056E" w14:textId="12840ED7" w:rsidR="00F41BDB" w:rsidRPr="005828FE" w:rsidRDefault="00F41BDB" w:rsidP="00F41BDB">
            <w:pPr>
              <w:pStyle w:val="Refnum2"/>
              <w:numPr>
                <w:ilvl w:val="0"/>
                <w:numId w:val="0"/>
              </w:numPr>
              <w:ind w:left="504" w:hanging="504"/>
            </w:pPr>
            <w:r>
              <w:t>4.3</w:t>
            </w:r>
          </w:p>
        </w:tc>
        <w:tc>
          <w:tcPr>
            <w:tcW w:w="6210" w:type="dxa"/>
            <w:shd w:val="clear" w:color="auto" w:fill="F2F2F2" w:themeFill="background1" w:themeFillShade="F2"/>
          </w:tcPr>
          <w:p w14:paraId="21D78845" w14:textId="77777777" w:rsidR="00F41BDB" w:rsidRPr="004E4B6F" w:rsidRDefault="00F41BDB">
            <w:pPr>
              <w:pStyle w:val="Normalbold"/>
            </w:pPr>
            <w:r w:rsidRPr="004E4B6F">
              <w:t>Annual reports are reports of the financial and business operations of an entity, produced to comply with legislation and financial reporting directions. They are not marketing documents. Where entities require corporate marketing publications, such documents should be produced in recognition of that primary objective.</w:t>
            </w:r>
          </w:p>
        </w:tc>
      </w:tr>
      <w:tr w:rsidR="00F41BDB" w:rsidRPr="005828FE" w14:paraId="1F391221" w14:textId="77777777" w:rsidTr="00F41BDB">
        <w:tc>
          <w:tcPr>
            <w:tcW w:w="2217" w:type="dxa"/>
            <w:shd w:val="clear" w:color="auto" w:fill="F2F2F2" w:themeFill="background1" w:themeFillShade="F2"/>
          </w:tcPr>
          <w:p w14:paraId="1299C43A" w14:textId="77777777" w:rsidR="00F41BDB" w:rsidRPr="005828FE" w:rsidRDefault="00F41BDB">
            <w:pPr>
              <w:pStyle w:val="Normalbold"/>
            </w:pPr>
          </w:p>
        </w:tc>
        <w:tc>
          <w:tcPr>
            <w:tcW w:w="477" w:type="dxa"/>
            <w:shd w:val="clear" w:color="auto" w:fill="F2F2F2" w:themeFill="background1" w:themeFillShade="F2"/>
          </w:tcPr>
          <w:p w14:paraId="3461D779" w14:textId="367AE437" w:rsidR="00F41BDB" w:rsidRPr="005828FE" w:rsidRDefault="00F41BDB" w:rsidP="00F41BDB">
            <w:pPr>
              <w:pStyle w:val="Refnum2"/>
              <w:numPr>
                <w:ilvl w:val="0"/>
                <w:numId w:val="0"/>
              </w:numPr>
              <w:ind w:left="504" w:hanging="504"/>
            </w:pPr>
            <w:r>
              <w:t>4.4</w:t>
            </w:r>
          </w:p>
        </w:tc>
        <w:tc>
          <w:tcPr>
            <w:tcW w:w="6210" w:type="dxa"/>
            <w:shd w:val="clear" w:color="auto" w:fill="F2F2F2" w:themeFill="background1" w:themeFillShade="F2"/>
          </w:tcPr>
          <w:p w14:paraId="5211328A" w14:textId="404DD3EF" w:rsidR="00F41BDB" w:rsidRPr="004E4B6F" w:rsidRDefault="00F41BDB">
            <w:pPr>
              <w:pStyle w:val="Normalbold"/>
            </w:pPr>
            <w:r w:rsidRPr="004E4B6F">
              <w:t>The content of annual reports should meet the minimum reporting requirements, as prescribed by relevant legislation and Australian accounting standards.</w:t>
            </w:r>
            <w:r>
              <w:t xml:space="preserve"> </w:t>
            </w:r>
          </w:p>
        </w:tc>
      </w:tr>
      <w:tr w:rsidR="00F41BDB" w:rsidRPr="005828FE" w14:paraId="7025A8F4" w14:textId="77777777" w:rsidTr="00F41BDB">
        <w:tc>
          <w:tcPr>
            <w:tcW w:w="2217" w:type="dxa"/>
            <w:shd w:val="clear" w:color="auto" w:fill="F2F2F2" w:themeFill="background1" w:themeFillShade="F2"/>
          </w:tcPr>
          <w:p w14:paraId="3CF2D8B6" w14:textId="77777777" w:rsidR="00F41BDB" w:rsidRPr="005828FE" w:rsidRDefault="00F41BDB">
            <w:pPr>
              <w:pStyle w:val="Normalbold"/>
            </w:pPr>
          </w:p>
        </w:tc>
        <w:tc>
          <w:tcPr>
            <w:tcW w:w="477" w:type="dxa"/>
            <w:shd w:val="clear" w:color="auto" w:fill="F2F2F2" w:themeFill="background1" w:themeFillShade="F2"/>
          </w:tcPr>
          <w:p w14:paraId="1FC39945" w14:textId="2921E77B" w:rsidR="00F41BDB" w:rsidRPr="005828FE" w:rsidRDefault="00F41BDB" w:rsidP="00F41BDB">
            <w:pPr>
              <w:pStyle w:val="Refnum2"/>
              <w:numPr>
                <w:ilvl w:val="0"/>
                <w:numId w:val="0"/>
              </w:numPr>
              <w:ind w:left="504" w:hanging="504"/>
            </w:pPr>
            <w:r>
              <w:t>4.5</w:t>
            </w:r>
          </w:p>
        </w:tc>
        <w:tc>
          <w:tcPr>
            <w:tcW w:w="6210" w:type="dxa"/>
            <w:shd w:val="clear" w:color="auto" w:fill="F2F2F2" w:themeFill="background1" w:themeFillShade="F2"/>
          </w:tcPr>
          <w:p w14:paraId="41DB3F47" w14:textId="77777777" w:rsidR="00F41BDB" w:rsidRPr="004E4B6F" w:rsidRDefault="00F41BDB" w:rsidP="00E97708">
            <w:pPr>
              <w:rPr>
                <w:b/>
              </w:rPr>
            </w:pPr>
            <w:r w:rsidRPr="004E4B6F">
              <w:rPr>
                <w:b/>
              </w:rPr>
              <w:t>The financial statements of the entity must be expressed to the nearest dollar except where the total assets, or revenue, or expenses of the entity are greater than:</w:t>
            </w:r>
          </w:p>
          <w:p w14:paraId="169B319B" w14:textId="122CFEBB" w:rsidR="00F41BDB" w:rsidRPr="00B45A7D" w:rsidRDefault="00F41BDB" w:rsidP="00B45A7D">
            <w:pPr>
              <w:pStyle w:val="Bullet1"/>
              <w:rPr>
                <w:b/>
                <w:bCs/>
              </w:rPr>
            </w:pPr>
            <w:r w:rsidRPr="00B45A7D">
              <w:rPr>
                <w:b/>
                <w:bCs/>
              </w:rPr>
              <w:t>$10 000 000, when the amounts shown in the financial statements may be expressed by reference to the nearest $1 000; or</w:t>
            </w:r>
          </w:p>
          <w:p w14:paraId="35546408" w14:textId="6B6B9728" w:rsidR="00F41BDB" w:rsidRPr="00F41BDB" w:rsidRDefault="00F41BDB" w:rsidP="00F41BDB">
            <w:pPr>
              <w:pStyle w:val="Bullet1"/>
            </w:pPr>
            <w:r w:rsidRPr="00E97708">
              <w:rPr>
                <w:b/>
              </w:rPr>
              <w:t>$1 000 000 000, when the amounts shown in the financial statements may be expressed by referencing to the nearest $100 000.</w:t>
            </w:r>
          </w:p>
          <w:p w14:paraId="072E76F9" w14:textId="712C92E3" w:rsidR="00F41BDB" w:rsidRPr="00D95BDE" w:rsidRDefault="00F41BDB" w:rsidP="00A2482D">
            <w:pPr>
              <w:pStyle w:val="Bullet1"/>
              <w:numPr>
                <w:ilvl w:val="0"/>
                <w:numId w:val="0"/>
              </w:numPr>
              <w:ind w:left="288" w:hanging="288"/>
            </w:pPr>
          </w:p>
        </w:tc>
      </w:tr>
      <w:tr w:rsidR="00F41BDB" w:rsidRPr="005828FE" w14:paraId="7F31D397" w14:textId="77777777" w:rsidTr="00F41BDB">
        <w:tc>
          <w:tcPr>
            <w:tcW w:w="2217" w:type="dxa"/>
          </w:tcPr>
          <w:p w14:paraId="6B5AB5D5" w14:textId="15C82048" w:rsidR="00F41BDB" w:rsidRPr="005828FE" w:rsidRDefault="00F41BDB" w:rsidP="00382EE1">
            <w:pPr>
              <w:pStyle w:val="Normalgrey"/>
            </w:pPr>
            <w:r w:rsidRPr="00DB00F8">
              <w:t>Procedure</w:t>
            </w:r>
          </w:p>
        </w:tc>
        <w:tc>
          <w:tcPr>
            <w:tcW w:w="477" w:type="dxa"/>
          </w:tcPr>
          <w:p w14:paraId="34CE0A41" w14:textId="60FEC3D3" w:rsidR="00F41BDB" w:rsidRPr="005828FE" w:rsidRDefault="00F41BDB" w:rsidP="00F41BDB">
            <w:pPr>
              <w:pStyle w:val="Refnum2"/>
              <w:numPr>
                <w:ilvl w:val="0"/>
                <w:numId w:val="0"/>
              </w:numPr>
              <w:ind w:left="504" w:hanging="504"/>
            </w:pPr>
            <w:r>
              <w:t>5.1</w:t>
            </w:r>
          </w:p>
        </w:tc>
        <w:tc>
          <w:tcPr>
            <w:tcW w:w="6210" w:type="dxa"/>
          </w:tcPr>
          <w:p w14:paraId="74F795F1" w14:textId="77777777" w:rsidR="00F41BDB" w:rsidRPr="00E20142" w:rsidRDefault="00F41BDB" w:rsidP="00E97708">
            <w:pPr>
              <w:pStyle w:val="Normalgreybold"/>
            </w:pPr>
            <w:r>
              <w:t>General</w:t>
            </w:r>
          </w:p>
        </w:tc>
      </w:tr>
      <w:tr w:rsidR="00F41BDB" w:rsidRPr="005828FE" w14:paraId="3A40A859" w14:textId="77777777" w:rsidTr="00F41BDB">
        <w:tc>
          <w:tcPr>
            <w:tcW w:w="2217" w:type="dxa"/>
          </w:tcPr>
          <w:p w14:paraId="62EBF3C5" w14:textId="77777777" w:rsidR="00F41BDB" w:rsidRPr="005828FE" w:rsidRDefault="00F41BDB" w:rsidP="00382EE1">
            <w:pPr>
              <w:pStyle w:val="Normalgrey"/>
            </w:pPr>
          </w:p>
        </w:tc>
        <w:tc>
          <w:tcPr>
            <w:tcW w:w="477" w:type="dxa"/>
          </w:tcPr>
          <w:p w14:paraId="2946DB82" w14:textId="77777777" w:rsidR="00F41BDB" w:rsidRPr="005828FE" w:rsidRDefault="00F41BDB" w:rsidP="00286F9A">
            <w:pPr>
              <w:pStyle w:val="Normalgrey"/>
            </w:pPr>
          </w:p>
        </w:tc>
        <w:tc>
          <w:tcPr>
            <w:tcW w:w="6210" w:type="dxa"/>
          </w:tcPr>
          <w:p w14:paraId="239FDE86" w14:textId="77777777" w:rsidR="00F41BDB" w:rsidRDefault="00F41BDB" w:rsidP="00E97708">
            <w:pPr>
              <w:pStyle w:val="Normalgrey"/>
            </w:pPr>
            <w:r w:rsidRPr="001C0ADA">
              <w:t xml:space="preserve">Annual </w:t>
            </w:r>
            <w:r>
              <w:t>r</w:t>
            </w:r>
            <w:r w:rsidRPr="001C0ADA">
              <w:t xml:space="preserve">eports are to be developed in line with the design, content development, </w:t>
            </w:r>
            <w:proofErr w:type="gramStart"/>
            <w:r w:rsidRPr="001C0ADA">
              <w:t>photography</w:t>
            </w:r>
            <w:proofErr w:type="gramEnd"/>
            <w:r w:rsidRPr="001C0ADA">
              <w:t xml:space="preserve"> and print specifications below, to ensure costs of producing these reports are reasonable and where possible, reduced.</w:t>
            </w:r>
          </w:p>
        </w:tc>
      </w:tr>
      <w:tr w:rsidR="00F41BDB" w:rsidRPr="005828FE" w14:paraId="3FE623FF" w14:textId="77777777" w:rsidTr="00F41BDB">
        <w:tc>
          <w:tcPr>
            <w:tcW w:w="2217" w:type="dxa"/>
          </w:tcPr>
          <w:p w14:paraId="5997CC1D" w14:textId="77777777" w:rsidR="00F41BDB" w:rsidRPr="005828FE" w:rsidRDefault="00F41BDB" w:rsidP="00382EE1">
            <w:pPr>
              <w:pStyle w:val="Normalgrey"/>
            </w:pPr>
          </w:p>
        </w:tc>
        <w:tc>
          <w:tcPr>
            <w:tcW w:w="477" w:type="dxa"/>
          </w:tcPr>
          <w:p w14:paraId="6B699379" w14:textId="77777777" w:rsidR="00F41BDB" w:rsidRPr="005828FE" w:rsidRDefault="00F41BDB" w:rsidP="00286F9A">
            <w:pPr>
              <w:pStyle w:val="Normalgrey"/>
            </w:pPr>
          </w:p>
        </w:tc>
        <w:tc>
          <w:tcPr>
            <w:tcW w:w="6210" w:type="dxa"/>
          </w:tcPr>
          <w:p w14:paraId="2CBFAD67" w14:textId="77777777" w:rsidR="00F41BDB" w:rsidRPr="001C0ADA" w:rsidRDefault="00F41BDB" w:rsidP="00E97708">
            <w:pPr>
              <w:pStyle w:val="Normalgrey"/>
            </w:pPr>
            <w:r w:rsidRPr="001C0ADA">
              <w:t>These guidelines have also been developed to ensure greater consistency in the quality of annual reports across public bodies and departments.</w:t>
            </w:r>
          </w:p>
        </w:tc>
      </w:tr>
      <w:tr w:rsidR="00F41BDB" w:rsidRPr="005828FE" w14:paraId="3746CBCE" w14:textId="77777777" w:rsidTr="00F41BDB">
        <w:tc>
          <w:tcPr>
            <w:tcW w:w="2217" w:type="dxa"/>
          </w:tcPr>
          <w:p w14:paraId="3FE9F23F" w14:textId="77777777" w:rsidR="00F41BDB" w:rsidRPr="005828FE" w:rsidRDefault="00F41BDB" w:rsidP="00382EE1">
            <w:pPr>
              <w:pStyle w:val="Normalgrey"/>
            </w:pPr>
          </w:p>
        </w:tc>
        <w:tc>
          <w:tcPr>
            <w:tcW w:w="477" w:type="dxa"/>
          </w:tcPr>
          <w:p w14:paraId="08CE6F91" w14:textId="712AB605" w:rsidR="00F41BDB" w:rsidRPr="005828FE" w:rsidRDefault="00F41BDB" w:rsidP="00F41BDB">
            <w:pPr>
              <w:pStyle w:val="Refnum2"/>
              <w:numPr>
                <w:ilvl w:val="0"/>
                <w:numId w:val="0"/>
              </w:numPr>
              <w:ind w:left="504" w:hanging="504"/>
            </w:pPr>
            <w:r>
              <w:t>5.2</w:t>
            </w:r>
          </w:p>
        </w:tc>
        <w:tc>
          <w:tcPr>
            <w:tcW w:w="6210" w:type="dxa"/>
          </w:tcPr>
          <w:p w14:paraId="4AC1C6D4" w14:textId="7059A638" w:rsidR="00F41BDB" w:rsidRPr="001C0ADA" w:rsidRDefault="00F41BDB" w:rsidP="00E97708">
            <w:pPr>
              <w:pStyle w:val="Normalgreybold"/>
            </w:pPr>
            <w:r>
              <w:t>Photography</w:t>
            </w:r>
          </w:p>
        </w:tc>
      </w:tr>
      <w:tr w:rsidR="00F41BDB" w:rsidRPr="005828FE" w14:paraId="467E7A24" w14:textId="77777777" w:rsidTr="00F41BDB">
        <w:tc>
          <w:tcPr>
            <w:tcW w:w="2217" w:type="dxa"/>
          </w:tcPr>
          <w:p w14:paraId="61CDCEAD" w14:textId="77777777" w:rsidR="00F41BDB" w:rsidRPr="005828FE" w:rsidRDefault="00F41BDB" w:rsidP="00382EE1">
            <w:pPr>
              <w:pStyle w:val="Normalgrey"/>
            </w:pPr>
          </w:p>
        </w:tc>
        <w:tc>
          <w:tcPr>
            <w:tcW w:w="477" w:type="dxa"/>
          </w:tcPr>
          <w:p w14:paraId="23DE523C" w14:textId="77777777" w:rsidR="00F41BDB" w:rsidRPr="00D94A17" w:rsidRDefault="00F41BDB" w:rsidP="00286F9A">
            <w:pPr>
              <w:pStyle w:val="Normalgrey"/>
            </w:pPr>
          </w:p>
        </w:tc>
        <w:tc>
          <w:tcPr>
            <w:tcW w:w="6210" w:type="dxa"/>
          </w:tcPr>
          <w:p w14:paraId="4E2A734F" w14:textId="77777777" w:rsidR="00F41BDB" w:rsidRPr="00967CEC" w:rsidRDefault="00F41BDB" w:rsidP="00E040DF">
            <w:pPr>
              <w:pStyle w:val="Normalgrey"/>
              <w:rPr>
                <w:rFonts w:cstheme="minorHAnsi"/>
              </w:rPr>
            </w:pPr>
            <w:r w:rsidRPr="00967CEC">
              <w:rPr>
                <w:rFonts w:cstheme="minorHAnsi"/>
              </w:rPr>
              <w:t xml:space="preserve">Photography </w:t>
            </w:r>
            <w:r>
              <w:rPr>
                <w:rFonts w:cstheme="minorHAnsi"/>
              </w:rPr>
              <w:t>should</w:t>
            </w:r>
            <w:r w:rsidRPr="00967CEC">
              <w:rPr>
                <w:rFonts w:cstheme="minorHAnsi"/>
              </w:rPr>
              <w:t xml:space="preserve"> not be commissioned for annual reports. </w:t>
            </w:r>
            <w:r w:rsidRPr="000E0023">
              <w:rPr>
                <w:rStyle w:val="cf01"/>
                <w:rFonts w:asciiTheme="minorHAnsi" w:hAnsiTheme="minorHAnsi" w:cstheme="minorHAnsi"/>
              </w:rPr>
              <w:t>Existing, approved images may be produced in full colour on the cover of an annual report</w:t>
            </w:r>
            <w:r>
              <w:rPr>
                <w:rStyle w:val="cf01"/>
                <w:rFonts w:asciiTheme="minorHAnsi" w:hAnsiTheme="minorHAnsi" w:cstheme="minorHAnsi"/>
              </w:rPr>
              <w:t>.</w:t>
            </w:r>
          </w:p>
          <w:p w14:paraId="1DD3F9A8" w14:textId="1ED543B6" w:rsidR="00F41BDB" w:rsidRDefault="00F41BDB" w:rsidP="00E97708">
            <w:pPr>
              <w:pStyle w:val="Normalgrey"/>
            </w:pPr>
            <w:r>
              <w:t>Internal page photographs and p</w:t>
            </w:r>
            <w:r w:rsidRPr="00D94A17">
              <w:t>hotographs of senior management are not necessary in an annual report. Entities may include approved photos of their Minister(s) and Secretary/CEO/organisation head.</w:t>
            </w:r>
            <w:r>
              <w:t xml:space="preserve"> Where internal images are included, they are to be printed in black and white.</w:t>
            </w:r>
          </w:p>
          <w:p w14:paraId="2BAC0929" w14:textId="52858C63" w:rsidR="00F41BDB" w:rsidRPr="00D94A17" w:rsidRDefault="00F41BDB" w:rsidP="00E97708">
            <w:pPr>
              <w:pStyle w:val="Normalgrey"/>
            </w:pPr>
            <w:r w:rsidRPr="00D94A17">
              <w:t>The standard approval process for the use of photos applies to those used in annual reports. They must be approved for the specific use, talent release forms signed and appropriate to the content (</w:t>
            </w:r>
            <w:proofErr w:type="gramStart"/>
            <w:r w:rsidRPr="00D94A17">
              <w:t>i.e.</w:t>
            </w:r>
            <w:proofErr w:type="gramEnd"/>
            <w:r w:rsidRPr="00D94A17">
              <w:t xml:space="preserve"> </w:t>
            </w:r>
            <w:r>
              <w:t>not a non</w:t>
            </w:r>
            <w:r>
              <w:noBreakHyphen/>
              <w:t>Victorian</w:t>
            </w:r>
            <w:r w:rsidRPr="00D94A17">
              <w:t xml:space="preserve"> stock image).</w:t>
            </w:r>
          </w:p>
        </w:tc>
      </w:tr>
      <w:tr w:rsidR="00F41BDB" w:rsidRPr="005828FE" w14:paraId="0CD0ABA0" w14:textId="77777777" w:rsidTr="00F41BDB">
        <w:tc>
          <w:tcPr>
            <w:tcW w:w="2217" w:type="dxa"/>
          </w:tcPr>
          <w:p w14:paraId="52E56223" w14:textId="77777777" w:rsidR="00F41BDB" w:rsidRPr="005828FE" w:rsidRDefault="00F41BDB" w:rsidP="00382EE1">
            <w:pPr>
              <w:pStyle w:val="Normalgrey"/>
            </w:pPr>
          </w:p>
        </w:tc>
        <w:tc>
          <w:tcPr>
            <w:tcW w:w="477" w:type="dxa"/>
          </w:tcPr>
          <w:p w14:paraId="5043CB0F" w14:textId="64D22F38" w:rsidR="00F41BDB" w:rsidRPr="005828FE" w:rsidRDefault="00F41BDB" w:rsidP="00F41BDB">
            <w:pPr>
              <w:pStyle w:val="Refnum2"/>
              <w:numPr>
                <w:ilvl w:val="0"/>
                <w:numId w:val="0"/>
              </w:numPr>
            </w:pPr>
            <w:r>
              <w:t>5.3</w:t>
            </w:r>
          </w:p>
        </w:tc>
        <w:tc>
          <w:tcPr>
            <w:tcW w:w="6210" w:type="dxa"/>
          </w:tcPr>
          <w:p w14:paraId="6EE2A427" w14:textId="77777777" w:rsidR="00F41BDB" w:rsidRPr="001C0ADA" w:rsidRDefault="00F41BDB" w:rsidP="00E97708">
            <w:pPr>
              <w:pStyle w:val="Normalgrey"/>
            </w:pPr>
            <w:r w:rsidRPr="00964951">
              <w:rPr>
                <w:b/>
              </w:rPr>
              <w:t>Design</w:t>
            </w:r>
          </w:p>
        </w:tc>
      </w:tr>
      <w:tr w:rsidR="00F41BDB" w:rsidRPr="005828FE" w14:paraId="04DFBF6F" w14:textId="77777777" w:rsidTr="00F41BDB">
        <w:tc>
          <w:tcPr>
            <w:tcW w:w="2217" w:type="dxa"/>
          </w:tcPr>
          <w:p w14:paraId="07459315" w14:textId="77777777" w:rsidR="00F41BDB" w:rsidRPr="005828FE" w:rsidRDefault="00F41BDB" w:rsidP="00382EE1">
            <w:pPr>
              <w:pStyle w:val="Normalgrey"/>
            </w:pPr>
          </w:p>
        </w:tc>
        <w:tc>
          <w:tcPr>
            <w:tcW w:w="477" w:type="dxa"/>
          </w:tcPr>
          <w:p w14:paraId="6DFB9E20" w14:textId="77777777" w:rsidR="00F41BDB" w:rsidRPr="00E97708" w:rsidRDefault="00F41BDB" w:rsidP="00E97708">
            <w:pPr>
              <w:pStyle w:val="Normalgrey"/>
            </w:pPr>
          </w:p>
        </w:tc>
        <w:tc>
          <w:tcPr>
            <w:tcW w:w="6210" w:type="dxa"/>
          </w:tcPr>
          <w:p w14:paraId="555C064B" w14:textId="77777777" w:rsidR="00F41BDB" w:rsidRDefault="00F41BDB" w:rsidP="00E97708">
            <w:pPr>
              <w:pStyle w:val="Normalgrey"/>
            </w:pPr>
            <w:r>
              <w:t xml:space="preserve">High end design is strongly discouraged as it is not appropriate for annual reports. </w:t>
            </w:r>
          </w:p>
          <w:p w14:paraId="7AAB7D68" w14:textId="0E5552B2" w:rsidR="00F41BDB" w:rsidRDefault="00F41BDB" w:rsidP="00E97708">
            <w:pPr>
              <w:pStyle w:val="Normalgrey"/>
            </w:pPr>
            <w:r>
              <w:t>Covers may be designed in full colour, however</w:t>
            </w:r>
            <w:r>
              <w:t>,</w:t>
            </w:r>
            <w:r>
              <w:t xml:space="preserve"> internals should be kept to </w:t>
            </w:r>
            <w:r>
              <w:t>one</w:t>
            </w:r>
            <w:r>
              <w:t xml:space="preserve"> colour (black)</w:t>
            </w:r>
            <w:r>
              <w:t>. C</w:t>
            </w:r>
            <w:r>
              <w:t xml:space="preserve">olours may be used where it is essential to enable the readability and legibility of complex charts, graphs, </w:t>
            </w:r>
            <w:proofErr w:type="gramStart"/>
            <w:r>
              <w:t>maps</w:t>
            </w:r>
            <w:proofErr w:type="gramEnd"/>
            <w:r>
              <w:t xml:space="preserve"> or diagrams.</w:t>
            </w:r>
          </w:p>
          <w:p w14:paraId="401AA0EA" w14:textId="7A98CA34" w:rsidR="00F41BDB" w:rsidRPr="001C0ADA" w:rsidRDefault="00F41BDB">
            <w:pPr>
              <w:pStyle w:val="Normalgrey"/>
            </w:pPr>
            <w:r>
              <w:t xml:space="preserve">Whole of government branding guidelines should be applied. </w:t>
            </w:r>
          </w:p>
        </w:tc>
      </w:tr>
      <w:tr w:rsidR="00F41BDB" w:rsidRPr="005828FE" w14:paraId="720C405D" w14:textId="77777777" w:rsidTr="00F41BDB">
        <w:tc>
          <w:tcPr>
            <w:tcW w:w="2217" w:type="dxa"/>
          </w:tcPr>
          <w:p w14:paraId="6AC58ADF" w14:textId="77777777" w:rsidR="00F41BDB" w:rsidRPr="005828FE" w:rsidRDefault="00F41BDB" w:rsidP="00382EE1">
            <w:pPr>
              <w:pStyle w:val="Normalgrey"/>
            </w:pPr>
          </w:p>
        </w:tc>
        <w:tc>
          <w:tcPr>
            <w:tcW w:w="477" w:type="dxa"/>
          </w:tcPr>
          <w:p w14:paraId="376D8CEA" w14:textId="2C760C5D" w:rsidR="00F41BDB" w:rsidRPr="00E97708" w:rsidRDefault="00F41BDB" w:rsidP="00E97708">
            <w:pPr>
              <w:pStyle w:val="Normalgrey"/>
            </w:pPr>
            <w:r>
              <w:t>5.4</w:t>
            </w:r>
          </w:p>
        </w:tc>
        <w:tc>
          <w:tcPr>
            <w:tcW w:w="6210" w:type="dxa"/>
          </w:tcPr>
          <w:p w14:paraId="00C3C940" w14:textId="63E6F62B" w:rsidR="00F41BDB" w:rsidRDefault="00F41BDB" w:rsidP="00E97708">
            <w:pPr>
              <w:pStyle w:val="Normalgrey"/>
            </w:pPr>
            <w:r w:rsidRPr="574B72FF">
              <w:rPr>
                <w:b/>
                <w:bCs/>
              </w:rPr>
              <w:t>Content development</w:t>
            </w:r>
          </w:p>
        </w:tc>
      </w:tr>
      <w:tr w:rsidR="00F41BDB" w:rsidRPr="005828FE" w14:paraId="6957AFDC" w14:textId="77777777" w:rsidTr="00F41BDB">
        <w:tc>
          <w:tcPr>
            <w:tcW w:w="2217" w:type="dxa"/>
          </w:tcPr>
          <w:p w14:paraId="70DF9E56" w14:textId="52354921" w:rsidR="00F41BDB" w:rsidRPr="005828FE" w:rsidRDefault="00F41BDB" w:rsidP="00382EE1">
            <w:pPr>
              <w:pStyle w:val="Normalgrey"/>
            </w:pPr>
            <w:r>
              <w:t xml:space="preserve">                                               </w:t>
            </w:r>
          </w:p>
        </w:tc>
        <w:tc>
          <w:tcPr>
            <w:tcW w:w="477" w:type="dxa"/>
          </w:tcPr>
          <w:p w14:paraId="144A5D23" w14:textId="77777777" w:rsidR="00F41BDB" w:rsidRPr="005828FE" w:rsidRDefault="00F41BDB" w:rsidP="00F41BDB">
            <w:pPr>
              <w:pStyle w:val="Refnum2"/>
              <w:numPr>
                <w:ilvl w:val="0"/>
                <w:numId w:val="0"/>
              </w:numPr>
              <w:ind w:left="504"/>
            </w:pPr>
          </w:p>
        </w:tc>
        <w:tc>
          <w:tcPr>
            <w:tcW w:w="6210" w:type="dxa"/>
          </w:tcPr>
          <w:p w14:paraId="597C8691" w14:textId="509CAE2B" w:rsidR="00F41BDB" w:rsidRDefault="00F41BDB" w:rsidP="00F41BDB">
            <w:pPr>
              <w:pStyle w:val="Normalgrey"/>
            </w:pPr>
            <w:r>
              <w:t xml:space="preserve">The contents of annual reports should </w:t>
            </w:r>
            <w:r>
              <w:t xml:space="preserve">be </w:t>
            </w:r>
            <w:r>
              <w:t xml:space="preserve">easy to read and find, </w:t>
            </w:r>
            <w:proofErr w:type="gramStart"/>
            <w:r>
              <w:t>through the use of</w:t>
            </w:r>
            <w:proofErr w:type="gramEnd"/>
            <w:r>
              <w:t xml:space="preserve"> headings, a table of contents and the disclosure index.</w:t>
            </w:r>
          </w:p>
          <w:p w14:paraId="19433BEC" w14:textId="77777777" w:rsidR="00F41BDB" w:rsidRDefault="00F41BDB" w:rsidP="00F41BDB">
            <w:pPr>
              <w:pStyle w:val="Normalgrey"/>
            </w:pPr>
            <w:r>
              <w:t>Jargon and complex language should be avoided.</w:t>
            </w:r>
          </w:p>
          <w:p w14:paraId="435E9F01" w14:textId="77777777" w:rsidR="00F41BDB" w:rsidRDefault="00F41BDB" w:rsidP="00F41BDB">
            <w:pPr>
              <w:pStyle w:val="Normalgrey"/>
            </w:pPr>
            <w:r>
              <w:t>Case studies or examples can be used to illustrate achievement of outputs, however the detail provided in these examples should be kept to a minimum. If an entity wants to promote an achievement by its organisation an alternative channel such as a website should be used.</w:t>
            </w:r>
          </w:p>
          <w:p w14:paraId="26B72351" w14:textId="6733134E" w:rsidR="00F41BDB" w:rsidRPr="00F41BDB" w:rsidRDefault="00F41BDB" w:rsidP="00F41BDB">
            <w:pPr>
              <w:pStyle w:val="Normalgrey"/>
            </w:pPr>
            <w:r>
              <w:t xml:space="preserve">Where possible, content should be developed, </w:t>
            </w:r>
            <w:proofErr w:type="gramStart"/>
            <w:r>
              <w:t>written</w:t>
            </w:r>
            <w:proofErr w:type="gramEnd"/>
            <w:r>
              <w:t xml:space="preserve"> and edited in house, to reduce the costs of engaging external writers and/or editors. If content is kept to a minimum, to meet basic reporting requirements, the need for an external writer or editor can also be reduced</w:t>
            </w:r>
          </w:p>
        </w:tc>
      </w:tr>
      <w:tr w:rsidR="00F41BDB" w:rsidRPr="005828FE" w14:paraId="26C45C01" w14:textId="77777777" w:rsidTr="00F41BDB">
        <w:tc>
          <w:tcPr>
            <w:tcW w:w="2217" w:type="dxa"/>
          </w:tcPr>
          <w:p w14:paraId="4D07D528" w14:textId="253A7B8D" w:rsidR="00F41BDB" w:rsidRDefault="00F41BDB" w:rsidP="00382EE1">
            <w:pPr>
              <w:pStyle w:val="Normalgrey"/>
            </w:pPr>
            <w:r>
              <w:lastRenderedPageBreak/>
              <w:t xml:space="preserve"> </w:t>
            </w:r>
          </w:p>
        </w:tc>
        <w:tc>
          <w:tcPr>
            <w:tcW w:w="477" w:type="dxa"/>
          </w:tcPr>
          <w:p w14:paraId="408946B5" w14:textId="5255F7EB" w:rsidR="00F41BDB" w:rsidRPr="00F41BDB" w:rsidRDefault="00C31DD8" w:rsidP="007F1275">
            <w:pPr>
              <w:pStyle w:val="Refnum2"/>
              <w:numPr>
                <w:ilvl w:val="0"/>
                <w:numId w:val="0"/>
              </w:numPr>
              <w:ind w:left="504" w:hanging="504"/>
            </w:pPr>
            <w:r>
              <w:t>5.5</w:t>
            </w:r>
          </w:p>
        </w:tc>
        <w:tc>
          <w:tcPr>
            <w:tcW w:w="6210" w:type="dxa"/>
          </w:tcPr>
          <w:p w14:paraId="31E23277" w14:textId="77777777" w:rsidR="00F41BDB" w:rsidRPr="004627D6" w:rsidRDefault="00F41BDB" w:rsidP="00F41BDB">
            <w:pPr>
              <w:pStyle w:val="Normalgrey"/>
            </w:pPr>
            <w:r>
              <w:rPr>
                <w:b/>
                <w:bCs/>
                <w:i/>
                <w:iCs/>
              </w:rPr>
              <w:t>‘</w:t>
            </w:r>
            <w:r w:rsidRPr="007F1275">
              <w:rPr>
                <w:b/>
              </w:rPr>
              <w:t>Digital first’ availability</w:t>
            </w:r>
            <w:r>
              <w:rPr>
                <w:b/>
                <w:bCs/>
                <w:i/>
                <w:iCs/>
              </w:rPr>
              <w:br/>
            </w:r>
            <w:r>
              <w:rPr>
                <w:b/>
                <w:bCs/>
                <w:i/>
                <w:iCs/>
              </w:rPr>
              <w:br/>
            </w:r>
            <w:r>
              <w:t xml:space="preserve">Annual reports must be provided on the relevant department’s website in PDF and accessible Word formats. </w:t>
            </w:r>
            <w:r w:rsidRPr="00CD54A7">
              <w:t xml:space="preserve">The </w:t>
            </w:r>
            <w:r w:rsidRPr="0036475F">
              <w:rPr>
                <w:b/>
              </w:rPr>
              <w:t>number of</w:t>
            </w:r>
            <w:r w:rsidRPr="29BDA64E">
              <w:rPr>
                <w:b/>
                <w:bCs/>
              </w:rPr>
              <w:t xml:space="preserve"> print</w:t>
            </w:r>
            <w:r>
              <w:rPr>
                <w:b/>
                <w:bCs/>
              </w:rPr>
              <w:t>ed</w:t>
            </w:r>
            <w:r w:rsidRPr="0036475F">
              <w:rPr>
                <w:b/>
              </w:rPr>
              <w:t xml:space="preserve"> copies</w:t>
            </w:r>
            <w:r w:rsidRPr="00CD54A7">
              <w:t xml:space="preserve"> should be kept to a minimum</w:t>
            </w:r>
            <w:r>
              <w:t>.</w:t>
            </w:r>
          </w:p>
          <w:p w14:paraId="4DB6C98F" w14:textId="77777777" w:rsidR="00F41BDB" w:rsidRPr="00CD54A7" w:rsidRDefault="00F41BDB" w:rsidP="00F41BDB">
            <w:pPr>
              <w:pStyle w:val="Normalgrey"/>
            </w:pPr>
            <w:r>
              <w:t>Print</w:t>
            </w:r>
            <w:r w:rsidRPr="00CD54A7">
              <w:t xml:space="preserve"> copies </w:t>
            </w:r>
            <w:r>
              <w:t xml:space="preserve">are also no longer required for tabling in </w:t>
            </w:r>
            <w:proofErr w:type="gramStart"/>
            <w:r>
              <w:t>Parliament,</w:t>
            </w:r>
            <w:proofErr w:type="gramEnd"/>
            <w:r>
              <w:t xml:space="preserve"> however, a fixed amount of print copies may still be provided to Parliament. Print copies </w:t>
            </w:r>
            <w:r w:rsidRPr="00CD54A7">
              <w:t>should be produced only for tabling in Parliament</w:t>
            </w:r>
            <w:r>
              <w:t xml:space="preserve"> (if preferred)</w:t>
            </w:r>
            <w:r w:rsidRPr="00CD54A7">
              <w:t xml:space="preserve"> and to provide to stakeholders who are not abl</w:t>
            </w:r>
            <w:r>
              <w:t xml:space="preserve">e to access the report online. </w:t>
            </w:r>
          </w:p>
          <w:p w14:paraId="6D6A6C29" w14:textId="525DB1CF" w:rsidR="00F41BDB" w:rsidRDefault="00F41BDB" w:rsidP="00F41BDB">
            <w:pPr>
              <w:pStyle w:val="Normalgrey"/>
            </w:pPr>
            <w:r>
              <w:t>If you have a mailing list of recipients of the annual report, s</w:t>
            </w:r>
            <w:r w:rsidRPr="00CD54A7">
              <w:t>takeholders should be directed to electronic versions on websites.</w:t>
            </w:r>
            <w:r>
              <w:t xml:space="preserve"> Mailing lists should be reviewed annually. </w:t>
            </w:r>
          </w:p>
        </w:tc>
      </w:tr>
      <w:tr w:rsidR="00F41BDB" w:rsidRPr="005828FE" w14:paraId="5270756B" w14:textId="77777777" w:rsidTr="00F41BDB">
        <w:tc>
          <w:tcPr>
            <w:tcW w:w="2217" w:type="dxa"/>
          </w:tcPr>
          <w:p w14:paraId="3B7B4B86" w14:textId="77777777" w:rsidR="00F41BDB" w:rsidRPr="005828FE" w:rsidRDefault="00F41BDB" w:rsidP="00D55507">
            <w:pPr>
              <w:pStyle w:val="Normalgrey"/>
              <w:keepNext/>
            </w:pPr>
          </w:p>
        </w:tc>
        <w:tc>
          <w:tcPr>
            <w:tcW w:w="477" w:type="dxa"/>
          </w:tcPr>
          <w:p w14:paraId="2B05B43B" w14:textId="77777777" w:rsidR="00F41BDB" w:rsidRDefault="00F41BDB" w:rsidP="00F41BDB">
            <w:pPr>
              <w:pStyle w:val="Refnum2"/>
              <w:numPr>
                <w:ilvl w:val="0"/>
                <w:numId w:val="0"/>
              </w:numPr>
              <w:ind w:left="504" w:hanging="504"/>
            </w:pPr>
            <w:r>
              <w:t>5.6</w:t>
            </w:r>
          </w:p>
          <w:p w14:paraId="020B82C1" w14:textId="77777777" w:rsidR="00F41BDB" w:rsidRDefault="00F41BDB" w:rsidP="00F41BDB">
            <w:pPr>
              <w:pStyle w:val="Refnum2"/>
              <w:numPr>
                <w:ilvl w:val="0"/>
                <w:numId w:val="0"/>
              </w:numPr>
              <w:ind w:left="504" w:hanging="504"/>
            </w:pPr>
          </w:p>
          <w:p w14:paraId="585C670C" w14:textId="77777777" w:rsidR="00F41BDB" w:rsidRDefault="00F41BDB" w:rsidP="00F41BDB">
            <w:pPr>
              <w:pStyle w:val="Refnum2"/>
              <w:numPr>
                <w:ilvl w:val="0"/>
                <w:numId w:val="0"/>
              </w:numPr>
              <w:ind w:left="504" w:hanging="504"/>
            </w:pPr>
          </w:p>
          <w:p w14:paraId="2706A611" w14:textId="77777777" w:rsidR="00F41BDB" w:rsidRDefault="00F41BDB" w:rsidP="00F41BDB">
            <w:pPr>
              <w:pStyle w:val="Refnum2"/>
              <w:numPr>
                <w:ilvl w:val="0"/>
                <w:numId w:val="0"/>
              </w:numPr>
              <w:ind w:left="504" w:hanging="504"/>
            </w:pPr>
          </w:p>
          <w:p w14:paraId="3CB414C4" w14:textId="77777777" w:rsidR="00F41BDB" w:rsidRDefault="00F41BDB" w:rsidP="00F41BDB">
            <w:pPr>
              <w:pStyle w:val="Refnum2"/>
              <w:numPr>
                <w:ilvl w:val="0"/>
                <w:numId w:val="0"/>
              </w:numPr>
              <w:ind w:left="504" w:hanging="504"/>
            </w:pPr>
          </w:p>
          <w:p w14:paraId="4C76F277" w14:textId="77777777" w:rsidR="00F41BDB" w:rsidRDefault="00F41BDB" w:rsidP="00F41BDB">
            <w:pPr>
              <w:pStyle w:val="Refnum2"/>
              <w:numPr>
                <w:ilvl w:val="0"/>
                <w:numId w:val="0"/>
              </w:numPr>
              <w:ind w:left="504" w:hanging="504"/>
            </w:pPr>
          </w:p>
          <w:p w14:paraId="26537AF4" w14:textId="77777777" w:rsidR="00F41BDB" w:rsidRDefault="00F41BDB" w:rsidP="00F41BDB">
            <w:pPr>
              <w:pStyle w:val="Refnum2"/>
              <w:numPr>
                <w:ilvl w:val="0"/>
                <w:numId w:val="0"/>
              </w:numPr>
              <w:ind w:left="504" w:hanging="504"/>
            </w:pPr>
          </w:p>
          <w:p w14:paraId="0D2A0034" w14:textId="77777777" w:rsidR="00F41BDB" w:rsidRDefault="00F41BDB" w:rsidP="00F41BDB">
            <w:pPr>
              <w:pStyle w:val="Refnum2"/>
              <w:numPr>
                <w:ilvl w:val="0"/>
                <w:numId w:val="0"/>
              </w:numPr>
              <w:ind w:left="504" w:hanging="504"/>
            </w:pPr>
          </w:p>
          <w:p w14:paraId="78919221" w14:textId="77777777" w:rsidR="00F41BDB" w:rsidRDefault="00F41BDB" w:rsidP="00F41BDB">
            <w:pPr>
              <w:pStyle w:val="Refnum2"/>
              <w:numPr>
                <w:ilvl w:val="0"/>
                <w:numId w:val="0"/>
              </w:numPr>
              <w:ind w:left="504" w:hanging="504"/>
            </w:pPr>
          </w:p>
          <w:p w14:paraId="5630AD66" w14:textId="0FAD727A" w:rsidR="00F41BDB" w:rsidRPr="005828FE" w:rsidRDefault="00F41BDB" w:rsidP="00F41BDB">
            <w:pPr>
              <w:pStyle w:val="Refnum2"/>
              <w:numPr>
                <w:ilvl w:val="0"/>
                <w:numId w:val="0"/>
              </w:numPr>
              <w:ind w:left="504" w:hanging="504"/>
            </w:pPr>
            <w:r>
              <w:t>5.7</w:t>
            </w:r>
          </w:p>
        </w:tc>
        <w:tc>
          <w:tcPr>
            <w:tcW w:w="6210" w:type="dxa"/>
          </w:tcPr>
          <w:p w14:paraId="07DC9BEC" w14:textId="5F4A5A46" w:rsidR="00F41BDB" w:rsidRPr="007F1275" w:rsidRDefault="00F41BDB" w:rsidP="00C20A01">
            <w:pPr>
              <w:pStyle w:val="Normalgrey"/>
              <w:rPr>
                <w:b/>
              </w:rPr>
            </w:pPr>
            <w:r w:rsidRPr="007F1275">
              <w:rPr>
                <w:b/>
              </w:rPr>
              <w:t>Accessibility</w:t>
            </w:r>
          </w:p>
          <w:p w14:paraId="4627007A" w14:textId="77777777" w:rsidR="00F41BDB" w:rsidRDefault="00F41BDB" w:rsidP="00C20A01">
            <w:pPr>
              <w:pStyle w:val="Normalgrey"/>
            </w:pPr>
            <w:r w:rsidRPr="00925262">
              <w:t xml:space="preserve">The Victorian Government is committed to open and inclusive communication principles, including providing accessible digital content and services to all Australians regardless of disability, culture, or environment. </w:t>
            </w:r>
            <w:r>
              <w:br/>
            </w:r>
            <w:r>
              <w:br/>
            </w:r>
            <w:r w:rsidRPr="00925262">
              <w:t xml:space="preserve">All Victorian Government online content must comply with WCAG 2.1 Accessibility standards (Level AA). The Victorian Government's </w:t>
            </w:r>
            <w:r>
              <w:t>‘</w:t>
            </w:r>
            <w:r w:rsidRPr="00925262">
              <w:t>Accessibility guidelines for government communications</w:t>
            </w:r>
            <w:r>
              <w:t>’</w:t>
            </w:r>
            <w:r w:rsidRPr="00925262">
              <w:t xml:space="preserve"> should be followed when preparing annual reports. The guidelines provide information on accessibility statements and options for alternative formats, creating accessible print documents and communicating effectively and inclusively with various disability groups.</w:t>
            </w:r>
          </w:p>
          <w:p w14:paraId="6FDCE237" w14:textId="5B0B66C4" w:rsidR="00F41BDB" w:rsidRDefault="00F41BDB" w:rsidP="00E97708">
            <w:pPr>
              <w:pStyle w:val="Normalgrey"/>
            </w:pPr>
            <w:r w:rsidRPr="00964951">
              <w:rPr>
                <w:b/>
              </w:rPr>
              <w:t>Print</w:t>
            </w:r>
          </w:p>
        </w:tc>
      </w:tr>
      <w:tr w:rsidR="00F41BDB" w:rsidRPr="005828FE" w14:paraId="5E12B575" w14:textId="77777777" w:rsidTr="00F41BDB">
        <w:tc>
          <w:tcPr>
            <w:tcW w:w="2217" w:type="dxa"/>
          </w:tcPr>
          <w:p w14:paraId="61829076" w14:textId="77777777" w:rsidR="00F41BDB" w:rsidRPr="005828FE" w:rsidRDefault="00F41BDB" w:rsidP="00382EE1">
            <w:pPr>
              <w:pStyle w:val="Normalgrey"/>
            </w:pPr>
          </w:p>
        </w:tc>
        <w:tc>
          <w:tcPr>
            <w:tcW w:w="477" w:type="dxa"/>
          </w:tcPr>
          <w:p w14:paraId="17AD93B2" w14:textId="77777777" w:rsidR="00F41BDB" w:rsidRPr="005828FE" w:rsidRDefault="00F41BDB" w:rsidP="00E97708">
            <w:pPr>
              <w:pStyle w:val="Normalgrey"/>
            </w:pPr>
          </w:p>
        </w:tc>
        <w:tc>
          <w:tcPr>
            <w:tcW w:w="6210" w:type="dxa"/>
          </w:tcPr>
          <w:p w14:paraId="6C87B928" w14:textId="1CC40512" w:rsidR="00F41BDB" w:rsidRPr="008331E1" w:rsidRDefault="00F41BDB" w:rsidP="006B3AD5">
            <w:pPr>
              <w:pStyle w:val="Normalgrey"/>
              <w:rPr>
                <w:b/>
                <w:i/>
              </w:rPr>
            </w:pPr>
            <w:r w:rsidRPr="008331E1">
              <w:rPr>
                <w:b/>
                <w:i/>
              </w:rPr>
              <w:t>Number of pages</w:t>
            </w:r>
          </w:p>
          <w:p w14:paraId="4B11B111" w14:textId="66518F45" w:rsidR="00F41BDB" w:rsidRPr="00964951" w:rsidRDefault="00F41BDB" w:rsidP="009C766B">
            <w:pPr>
              <w:pStyle w:val="Normalgrey"/>
              <w:rPr>
                <w:b/>
                <w:bCs/>
              </w:rPr>
            </w:pPr>
            <w:r w:rsidRPr="00CD54A7">
              <w:t xml:space="preserve">The </w:t>
            </w:r>
            <w:r w:rsidRPr="0036475F">
              <w:rPr>
                <w:b/>
              </w:rPr>
              <w:t>number of pages</w:t>
            </w:r>
            <w:r w:rsidRPr="00CD54A7">
              <w:t xml:space="preserve"> in annual reports should be kept to a minimum, within the context of supplying all information required to meet financial reporting legislative requirements</w:t>
            </w:r>
            <w:r>
              <w:t xml:space="preserve">. </w:t>
            </w:r>
            <w:r w:rsidRPr="00CD54A7">
              <w:t>This requirement should also be balanced with maintaining good design principles of readability and clean, clear layout.</w:t>
            </w:r>
          </w:p>
        </w:tc>
      </w:tr>
      <w:tr w:rsidR="00F41BDB" w:rsidRPr="005828FE" w14:paraId="5FAF1C74" w14:textId="77777777" w:rsidTr="00F41BDB">
        <w:tc>
          <w:tcPr>
            <w:tcW w:w="2217" w:type="dxa"/>
          </w:tcPr>
          <w:p w14:paraId="0DE4B5B7" w14:textId="77777777" w:rsidR="00F41BDB" w:rsidRPr="005828FE" w:rsidRDefault="00F41BDB" w:rsidP="00382EE1">
            <w:pPr>
              <w:pStyle w:val="Normalgrey"/>
            </w:pPr>
          </w:p>
        </w:tc>
        <w:tc>
          <w:tcPr>
            <w:tcW w:w="477" w:type="dxa"/>
          </w:tcPr>
          <w:p w14:paraId="2DBF0D7D" w14:textId="77777777" w:rsidR="00F41BDB" w:rsidRPr="005828FE" w:rsidRDefault="00F41BDB" w:rsidP="00E97708">
            <w:pPr>
              <w:pStyle w:val="Normalgrey"/>
            </w:pPr>
          </w:p>
        </w:tc>
        <w:tc>
          <w:tcPr>
            <w:tcW w:w="6210" w:type="dxa"/>
          </w:tcPr>
          <w:p w14:paraId="350B9B31" w14:textId="77777777" w:rsidR="00F41BDB" w:rsidRDefault="00F41BDB" w:rsidP="005757F3">
            <w:pPr>
              <w:pStyle w:val="Normalgrey"/>
              <w:rPr>
                <w:b/>
                <w:i/>
              </w:rPr>
            </w:pPr>
            <w:r w:rsidRPr="008331E1">
              <w:rPr>
                <w:b/>
                <w:i/>
              </w:rPr>
              <w:t>Standard sizes</w:t>
            </w:r>
          </w:p>
          <w:p w14:paraId="0557EA89" w14:textId="6B05F3E4" w:rsidR="00F41BDB" w:rsidRPr="005757F3" w:rsidRDefault="00F41BDB">
            <w:pPr>
              <w:pStyle w:val="Normalgrey"/>
              <w:rPr>
                <w:i/>
              </w:rPr>
            </w:pPr>
            <w:r>
              <w:t>Printed copies of a</w:t>
            </w:r>
            <w:r w:rsidRPr="00CD54A7">
              <w:t xml:space="preserve">nnual reports must be produced with a finished size of </w:t>
            </w:r>
            <w:r w:rsidRPr="574B72FF">
              <w:rPr>
                <w:b/>
                <w:bCs/>
              </w:rPr>
              <w:t>A4</w:t>
            </w:r>
            <w:r w:rsidRPr="00CD54A7">
              <w:t xml:space="preserve"> (297mm x 210mm), in </w:t>
            </w:r>
            <w:r w:rsidRPr="574B72FF">
              <w:rPr>
                <w:b/>
                <w:bCs/>
              </w:rPr>
              <w:t>portrait</w:t>
            </w:r>
            <w:r w:rsidRPr="00CD54A7">
              <w:t xml:space="preserve"> format</w:t>
            </w:r>
            <w:r>
              <w:t xml:space="preserve">. Individual pages may have a landscape orientation if it facilitates the proper understanding of information such as tables, charts, graphs, </w:t>
            </w:r>
            <w:proofErr w:type="gramStart"/>
            <w:r>
              <w:t>maps</w:t>
            </w:r>
            <w:proofErr w:type="gramEnd"/>
            <w:r>
              <w:t xml:space="preserve"> or diagrams that would otherwise be difficult to read. </w:t>
            </w:r>
            <w:r w:rsidRPr="00CD54A7">
              <w:t>Non</w:t>
            </w:r>
            <w:r>
              <w:noBreakHyphen/>
            </w:r>
            <w:r w:rsidRPr="00CD54A7">
              <w:t>standard sizes are not permitted.</w:t>
            </w:r>
            <w:r>
              <w:t xml:space="preserve"> </w:t>
            </w:r>
          </w:p>
        </w:tc>
      </w:tr>
      <w:tr w:rsidR="00F41BDB" w:rsidRPr="005828FE" w14:paraId="24BB0613" w14:textId="77777777" w:rsidTr="00F41BDB">
        <w:tc>
          <w:tcPr>
            <w:tcW w:w="2217" w:type="dxa"/>
          </w:tcPr>
          <w:p w14:paraId="19219836" w14:textId="77777777" w:rsidR="00F41BDB" w:rsidRPr="005828FE" w:rsidRDefault="00F41BDB" w:rsidP="00382EE1">
            <w:pPr>
              <w:pStyle w:val="Normalgrey"/>
            </w:pPr>
          </w:p>
        </w:tc>
        <w:tc>
          <w:tcPr>
            <w:tcW w:w="477" w:type="dxa"/>
          </w:tcPr>
          <w:p w14:paraId="7194DBDC" w14:textId="7BE0FA84" w:rsidR="00F41BDB" w:rsidRPr="005828FE" w:rsidRDefault="00F41BDB" w:rsidP="00E97708">
            <w:pPr>
              <w:pStyle w:val="Normalgrey"/>
            </w:pPr>
          </w:p>
        </w:tc>
        <w:tc>
          <w:tcPr>
            <w:tcW w:w="6210" w:type="dxa"/>
          </w:tcPr>
          <w:p w14:paraId="0BBE0AA0" w14:textId="77777777" w:rsidR="00F41BDB" w:rsidRPr="008331E1" w:rsidRDefault="00F41BDB" w:rsidP="005757F3">
            <w:pPr>
              <w:pStyle w:val="Normalgrey"/>
              <w:rPr>
                <w:b/>
                <w:i/>
              </w:rPr>
            </w:pPr>
            <w:r w:rsidRPr="008331E1">
              <w:rPr>
                <w:b/>
                <w:i/>
              </w:rPr>
              <w:t>Stock selection</w:t>
            </w:r>
          </w:p>
          <w:p w14:paraId="10A69667" w14:textId="77777777" w:rsidR="00F41BDB" w:rsidRDefault="00F41BDB" w:rsidP="005757F3">
            <w:pPr>
              <w:pStyle w:val="Normalgrey"/>
            </w:pPr>
            <w:r>
              <w:t>Environmentally suitable paper stocks must be selected for covers and internal pages as per existing government policy.</w:t>
            </w:r>
          </w:p>
          <w:p w14:paraId="1E69248E" w14:textId="1EF95A24" w:rsidR="00F41BDB" w:rsidRPr="009E0FA6" w:rsidRDefault="00F41BDB" w:rsidP="005757F3">
            <w:pPr>
              <w:pStyle w:val="Normalgrey"/>
              <w:rPr>
                <w:strike/>
              </w:rPr>
            </w:pPr>
            <w:r>
              <w:t xml:space="preserve">Uncoated stocks are </w:t>
            </w:r>
            <w:r w:rsidRPr="0036475F">
              <w:rPr>
                <w:b/>
              </w:rPr>
              <w:t xml:space="preserve">preferable </w:t>
            </w:r>
            <w:r>
              <w:t xml:space="preserve">and </w:t>
            </w:r>
            <w:r w:rsidRPr="0036475F">
              <w:rPr>
                <w:b/>
              </w:rPr>
              <w:t>highly encouraged</w:t>
            </w:r>
            <w:r>
              <w:t xml:space="preserve">, for covers and internal pages of annual reports. </w:t>
            </w:r>
          </w:p>
          <w:p w14:paraId="1C89F693" w14:textId="6F864174" w:rsidR="00F41BDB" w:rsidRDefault="00F41BDB" w:rsidP="00D12E29">
            <w:pPr>
              <w:pStyle w:val="Bulletindent"/>
            </w:pPr>
            <w:r w:rsidRPr="0036475F">
              <w:rPr>
                <w:b/>
              </w:rPr>
              <w:t>110gsm</w:t>
            </w:r>
            <w:r>
              <w:t xml:space="preserve"> </w:t>
            </w:r>
            <w:r w:rsidRPr="0036475F">
              <w:rPr>
                <w:b/>
              </w:rPr>
              <w:t>to 140gsm</w:t>
            </w:r>
            <w:r>
              <w:t xml:space="preserve"> is preferable for internal pages of an annual report. </w:t>
            </w:r>
          </w:p>
          <w:p w14:paraId="521B8EBA" w14:textId="3E86BBFF" w:rsidR="00F41BDB" w:rsidRDefault="00F41BDB">
            <w:pPr>
              <w:pStyle w:val="Bulletindent"/>
            </w:pPr>
            <w:r w:rsidRPr="0036475F">
              <w:rPr>
                <w:b/>
              </w:rPr>
              <w:t xml:space="preserve">250gsm to </w:t>
            </w:r>
            <w:r>
              <w:rPr>
                <w:b/>
              </w:rPr>
              <w:t>300</w:t>
            </w:r>
            <w:r w:rsidRPr="0036475F">
              <w:rPr>
                <w:b/>
              </w:rPr>
              <w:t>gsm</w:t>
            </w:r>
            <w:r>
              <w:t xml:space="preserve"> is preferable for covers of an annual report. </w:t>
            </w:r>
          </w:p>
          <w:p w14:paraId="665683B3" w14:textId="30C334FB" w:rsidR="00F41BDB" w:rsidRPr="005757F3" w:rsidRDefault="00F41BDB" w:rsidP="006A1542">
            <w:pPr>
              <w:pStyle w:val="Bulletindent"/>
              <w:numPr>
                <w:ilvl w:val="0"/>
                <w:numId w:val="0"/>
              </w:numPr>
              <w:rPr>
                <w:i/>
              </w:rPr>
            </w:pPr>
          </w:p>
        </w:tc>
      </w:tr>
      <w:tr w:rsidR="00F41BDB" w:rsidRPr="005828FE" w14:paraId="4AF8FA70" w14:textId="77777777" w:rsidTr="00F41BDB">
        <w:tc>
          <w:tcPr>
            <w:tcW w:w="2217" w:type="dxa"/>
          </w:tcPr>
          <w:p w14:paraId="769D0D3C" w14:textId="77777777" w:rsidR="00F41BDB" w:rsidRPr="005828FE" w:rsidRDefault="00F41BDB" w:rsidP="00382EE1">
            <w:pPr>
              <w:pStyle w:val="Normalgrey"/>
            </w:pPr>
          </w:p>
        </w:tc>
        <w:tc>
          <w:tcPr>
            <w:tcW w:w="477" w:type="dxa"/>
          </w:tcPr>
          <w:p w14:paraId="1231BE67" w14:textId="77777777" w:rsidR="00F41BDB" w:rsidRPr="005828FE" w:rsidRDefault="00F41BDB" w:rsidP="00E97708">
            <w:pPr>
              <w:pStyle w:val="Normalgrey"/>
            </w:pPr>
          </w:p>
        </w:tc>
        <w:tc>
          <w:tcPr>
            <w:tcW w:w="6210" w:type="dxa"/>
          </w:tcPr>
          <w:p w14:paraId="1A68952F" w14:textId="77777777" w:rsidR="00F41BDB" w:rsidRPr="00964951" w:rsidRDefault="00F41BDB" w:rsidP="005757F3">
            <w:pPr>
              <w:pStyle w:val="Normalgrey"/>
              <w:rPr>
                <w:b/>
                <w:i/>
              </w:rPr>
            </w:pPr>
            <w:r w:rsidRPr="00964951">
              <w:rPr>
                <w:b/>
                <w:i/>
              </w:rPr>
              <w:t>Finishing</w:t>
            </w:r>
          </w:p>
          <w:p w14:paraId="6F059C86" w14:textId="42CFF68E" w:rsidR="00F41BDB" w:rsidRPr="00D94A17" w:rsidRDefault="00F41BDB" w:rsidP="005404B9">
            <w:pPr>
              <w:pStyle w:val="Normalgrey"/>
            </w:pPr>
            <w:r w:rsidRPr="00D94A17">
              <w:t xml:space="preserve">Perfect binding is required for annual reports. </w:t>
            </w:r>
          </w:p>
          <w:p w14:paraId="5471E37E" w14:textId="3AC729B8" w:rsidR="00F41BDB" w:rsidRPr="00D94A17" w:rsidRDefault="00F41BDB" w:rsidP="005757F3">
            <w:pPr>
              <w:pStyle w:val="Normalgrey"/>
            </w:pPr>
            <w:r w:rsidRPr="00D94A17">
              <w:t xml:space="preserve">Coatings or varnishes are not to be applied to cover or internal stocks. </w:t>
            </w:r>
          </w:p>
          <w:p w14:paraId="4B3B1FA8" w14:textId="0079B6B5" w:rsidR="00F41BDB" w:rsidRDefault="00F41BDB" w:rsidP="005757F3">
            <w:pPr>
              <w:pStyle w:val="Normalgrey"/>
            </w:pPr>
            <w:r w:rsidRPr="00D94A17">
              <w:t xml:space="preserve">Finishing elements such as </w:t>
            </w:r>
            <w:r>
              <w:t>s</w:t>
            </w:r>
            <w:r w:rsidRPr="00D94A17">
              <w:t xml:space="preserve">pot varnish, </w:t>
            </w:r>
            <w:r>
              <w:t>d</w:t>
            </w:r>
            <w:r w:rsidRPr="00D94A17">
              <w:t xml:space="preserve">ie cutting or </w:t>
            </w:r>
            <w:r>
              <w:t>e</w:t>
            </w:r>
            <w:r w:rsidRPr="00D94A17">
              <w:t>mbossing must not be used.</w:t>
            </w:r>
            <w:r>
              <w:t xml:space="preserve"> </w:t>
            </w:r>
          </w:p>
          <w:p w14:paraId="270590A0" w14:textId="7BDFB7BB" w:rsidR="00F41BDB" w:rsidRPr="005757F3" w:rsidRDefault="00F41BDB" w:rsidP="005757F3">
            <w:pPr>
              <w:pStyle w:val="Normalgrey"/>
              <w:rPr>
                <w:i/>
              </w:rPr>
            </w:pPr>
            <w:r>
              <w:t>Additional packaging, such as plastic folders or boxes</w:t>
            </w:r>
            <w:r>
              <w:t>,</w:t>
            </w:r>
            <w:r>
              <w:t xml:space="preserve"> is also not to be used</w:t>
            </w:r>
            <w:r w:rsidRPr="00964951">
              <w:t>.</w:t>
            </w:r>
          </w:p>
        </w:tc>
      </w:tr>
      <w:tr w:rsidR="00F41BDB" w:rsidRPr="005828FE" w14:paraId="201ED376" w14:textId="77777777" w:rsidTr="00F41BDB">
        <w:trPr>
          <w:trHeight w:val="635"/>
        </w:trPr>
        <w:tc>
          <w:tcPr>
            <w:tcW w:w="2217" w:type="dxa"/>
          </w:tcPr>
          <w:p w14:paraId="32E1BFAF" w14:textId="77777777" w:rsidR="00F41BDB" w:rsidRPr="005828FE" w:rsidRDefault="00F41BDB" w:rsidP="00382EE1">
            <w:pPr>
              <w:pStyle w:val="Normalgrey"/>
            </w:pPr>
            <w:r>
              <w:t>Definitions</w:t>
            </w:r>
          </w:p>
        </w:tc>
        <w:tc>
          <w:tcPr>
            <w:tcW w:w="477" w:type="dxa"/>
          </w:tcPr>
          <w:p w14:paraId="20AE87D3" w14:textId="77777777" w:rsidR="00F41BDB" w:rsidRDefault="00F41BDB" w:rsidP="00F41BDB">
            <w:pPr>
              <w:pStyle w:val="Refnum2"/>
              <w:numPr>
                <w:ilvl w:val="0"/>
                <w:numId w:val="0"/>
              </w:numPr>
              <w:ind w:left="504" w:hanging="504"/>
            </w:pPr>
            <w:r>
              <w:t>6.1</w:t>
            </w:r>
          </w:p>
          <w:p w14:paraId="30D7AA69" w14:textId="00EA3D36" w:rsidR="00F41BDB" w:rsidRPr="005828FE" w:rsidRDefault="00F41BDB" w:rsidP="00F41BDB">
            <w:pPr>
              <w:pStyle w:val="Refnum2"/>
              <w:numPr>
                <w:ilvl w:val="0"/>
                <w:numId w:val="0"/>
              </w:numPr>
            </w:pPr>
          </w:p>
        </w:tc>
        <w:tc>
          <w:tcPr>
            <w:tcW w:w="6210" w:type="dxa"/>
          </w:tcPr>
          <w:p w14:paraId="4DB879B2" w14:textId="3C790B08" w:rsidR="00F41BDB" w:rsidRPr="00D55507" w:rsidRDefault="00F41BDB" w:rsidP="004D2864">
            <w:pPr>
              <w:pStyle w:val="Normalgrey"/>
            </w:pPr>
            <w:r w:rsidRPr="000A2695">
              <w:rPr>
                <w:b/>
              </w:rPr>
              <w:t>Bleeds</w:t>
            </w:r>
            <w:r>
              <w:rPr>
                <w:b/>
              </w:rPr>
              <w:t xml:space="preserve"> </w:t>
            </w:r>
            <w:r w:rsidRPr="00865C9A">
              <w:t>–</w:t>
            </w:r>
            <w:r>
              <w:rPr>
                <w:b/>
              </w:rPr>
              <w:t xml:space="preserve"> </w:t>
            </w:r>
            <w:r w:rsidRPr="001815AF">
              <w:t>printing that extends to the edge of a sheet or page after trimming</w:t>
            </w:r>
            <w:r>
              <w:t>.</w:t>
            </w:r>
          </w:p>
        </w:tc>
      </w:tr>
      <w:tr w:rsidR="00F41BDB" w:rsidRPr="005828FE" w14:paraId="5A74201B" w14:textId="77777777" w:rsidTr="00F41BDB">
        <w:tc>
          <w:tcPr>
            <w:tcW w:w="2217" w:type="dxa"/>
          </w:tcPr>
          <w:p w14:paraId="6CF68F1A" w14:textId="77777777" w:rsidR="00F41BDB" w:rsidRDefault="00F41BDB" w:rsidP="00382EE1">
            <w:pPr>
              <w:pStyle w:val="Normalgrey"/>
            </w:pPr>
          </w:p>
        </w:tc>
        <w:tc>
          <w:tcPr>
            <w:tcW w:w="477" w:type="dxa"/>
          </w:tcPr>
          <w:p w14:paraId="49DCB9B4" w14:textId="458E338F" w:rsidR="00F41BDB" w:rsidRDefault="00F41BDB" w:rsidP="00F41BDB">
            <w:pPr>
              <w:pStyle w:val="Refnum2"/>
              <w:numPr>
                <w:ilvl w:val="0"/>
                <w:numId w:val="0"/>
              </w:numPr>
            </w:pPr>
            <w:r>
              <w:t>6.2</w:t>
            </w:r>
          </w:p>
        </w:tc>
        <w:tc>
          <w:tcPr>
            <w:tcW w:w="6210" w:type="dxa"/>
          </w:tcPr>
          <w:p w14:paraId="33CCFF8A" w14:textId="74334ED9" w:rsidR="00F41BDB" w:rsidRPr="00F41BDB" w:rsidRDefault="00F41BDB" w:rsidP="004C40FC">
            <w:pPr>
              <w:pStyle w:val="Normalgrey"/>
            </w:pPr>
            <w:r w:rsidRPr="000A2695">
              <w:rPr>
                <w:b/>
              </w:rPr>
              <w:t>Die cutting</w:t>
            </w:r>
            <w:r>
              <w:t xml:space="preserve"> – </w:t>
            </w:r>
            <w:r w:rsidRPr="001815AF">
              <w:t xml:space="preserve">process of cutting irregular shapes in paper using a die, or shaped cutting tool. </w:t>
            </w:r>
          </w:p>
        </w:tc>
      </w:tr>
      <w:tr w:rsidR="00F41BDB" w:rsidRPr="005828FE" w14:paraId="10855FA4" w14:textId="77777777" w:rsidTr="00F41BDB">
        <w:tc>
          <w:tcPr>
            <w:tcW w:w="2217" w:type="dxa"/>
          </w:tcPr>
          <w:p w14:paraId="02355EAE" w14:textId="77777777" w:rsidR="00F41BDB" w:rsidRDefault="00F41BDB" w:rsidP="00382EE1">
            <w:pPr>
              <w:pStyle w:val="Normalgrey"/>
            </w:pPr>
          </w:p>
        </w:tc>
        <w:tc>
          <w:tcPr>
            <w:tcW w:w="477" w:type="dxa"/>
          </w:tcPr>
          <w:p w14:paraId="547DDF46" w14:textId="5DC2BAAE" w:rsidR="00F41BDB" w:rsidRDefault="00F41BDB" w:rsidP="00F41BDB">
            <w:pPr>
              <w:pStyle w:val="Refnum2"/>
              <w:numPr>
                <w:ilvl w:val="0"/>
                <w:numId w:val="0"/>
              </w:numPr>
              <w:ind w:left="504" w:hanging="504"/>
            </w:pPr>
            <w:r>
              <w:t>6.3</w:t>
            </w:r>
          </w:p>
        </w:tc>
        <w:tc>
          <w:tcPr>
            <w:tcW w:w="6210" w:type="dxa"/>
          </w:tcPr>
          <w:p w14:paraId="7BEB64C2" w14:textId="027B930F" w:rsidR="00F41BDB" w:rsidRPr="000A2695" w:rsidRDefault="00F41BDB" w:rsidP="004C40FC">
            <w:pPr>
              <w:pStyle w:val="Normalgrey"/>
              <w:rPr>
                <w:b/>
              </w:rPr>
            </w:pPr>
            <w:r w:rsidRPr="006A1542">
              <w:rPr>
                <w:b/>
                <w:bCs/>
              </w:rPr>
              <w:t>Digital first</w:t>
            </w:r>
            <w:r>
              <w:t xml:space="preserve"> – information being made available online in an accessible digital format in preference to print copies.   </w:t>
            </w:r>
          </w:p>
        </w:tc>
      </w:tr>
      <w:tr w:rsidR="00F41BDB" w:rsidRPr="005828FE" w14:paraId="40037B34" w14:textId="77777777" w:rsidTr="00F41BDB">
        <w:tc>
          <w:tcPr>
            <w:tcW w:w="2217" w:type="dxa"/>
          </w:tcPr>
          <w:p w14:paraId="7196D064" w14:textId="77777777" w:rsidR="00F41BDB" w:rsidRDefault="00F41BDB" w:rsidP="00382EE1">
            <w:pPr>
              <w:pStyle w:val="Normalgrey"/>
            </w:pPr>
          </w:p>
        </w:tc>
        <w:tc>
          <w:tcPr>
            <w:tcW w:w="477" w:type="dxa"/>
          </w:tcPr>
          <w:p w14:paraId="6D072C0D" w14:textId="599459AF" w:rsidR="00F41BDB" w:rsidRPr="005828FE" w:rsidRDefault="00F41BDB" w:rsidP="004C40FC">
            <w:pPr>
              <w:pStyle w:val="Refnum2"/>
              <w:numPr>
                <w:ilvl w:val="0"/>
                <w:numId w:val="0"/>
              </w:numPr>
            </w:pPr>
            <w:r>
              <w:t>6.4</w:t>
            </w:r>
          </w:p>
        </w:tc>
        <w:tc>
          <w:tcPr>
            <w:tcW w:w="6210" w:type="dxa"/>
          </w:tcPr>
          <w:p w14:paraId="78E445A0" w14:textId="77777777" w:rsidR="00F41BDB" w:rsidRPr="00547B23" w:rsidRDefault="00F41BDB" w:rsidP="00D55507">
            <w:pPr>
              <w:pStyle w:val="Normalgrey"/>
            </w:pPr>
            <w:r w:rsidRPr="000A2695">
              <w:rPr>
                <w:b/>
              </w:rPr>
              <w:t>Embossing</w:t>
            </w:r>
            <w:r>
              <w:t xml:space="preserve"> – </w:t>
            </w:r>
            <w:r w:rsidRPr="001815AF">
              <w:t xml:space="preserve">process of </w:t>
            </w:r>
            <w:r>
              <w:t>creating raised</w:t>
            </w:r>
            <w:r w:rsidRPr="001815AF">
              <w:t xml:space="preserve"> </w:t>
            </w:r>
            <w:r>
              <w:t>images and</w:t>
            </w:r>
            <w:r w:rsidRPr="001815AF">
              <w:t xml:space="preserve"> designs </w:t>
            </w:r>
            <w:r>
              <w:t>in</w:t>
            </w:r>
            <w:r w:rsidRPr="001815AF">
              <w:t xml:space="preserve"> pape</w:t>
            </w:r>
            <w:r>
              <w:t>r and other materials</w:t>
            </w:r>
            <w:r w:rsidRPr="001815AF">
              <w:t>.</w:t>
            </w:r>
          </w:p>
        </w:tc>
      </w:tr>
      <w:tr w:rsidR="00F41BDB" w:rsidRPr="005828FE" w14:paraId="01154D2D" w14:textId="77777777" w:rsidTr="00F41BDB">
        <w:tc>
          <w:tcPr>
            <w:tcW w:w="2217" w:type="dxa"/>
          </w:tcPr>
          <w:p w14:paraId="48A21919" w14:textId="77777777" w:rsidR="00F41BDB" w:rsidRDefault="00F41BDB" w:rsidP="00382EE1">
            <w:pPr>
              <w:pStyle w:val="Normalgrey"/>
            </w:pPr>
          </w:p>
        </w:tc>
        <w:tc>
          <w:tcPr>
            <w:tcW w:w="477" w:type="dxa"/>
          </w:tcPr>
          <w:p w14:paraId="238601FE" w14:textId="56E9EB9D" w:rsidR="00F41BDB" w:rsidRPr="005828FE" w:rsidRDefault="00F41BDB" w:rsidP="00D55507">
            <w:pPr>
              <w:pStyle w:val="Normalgrey"/>
            </w:pPr>
            <w:r>
              <w:t>6.5</w:t>
            </w:r>
          </w:p>
        </w:tc>
        <w:tc>
          <w:tcPr>
            <w:tcW w:w="6210" w:type="dxa"/>
          </w:tcPr>
          <w:p w14:paraId="14DFBCC2" w14:textId="4235AB23" w:rsidR="00F41BDB" w:rsidRPr="00F41BDB" w:rsidRDefault="00F41BDB" w:rsidP="004D2864">
            <w:pPr>
              <w:pStyle w:val="Normalgrey"/>
            </w:pPr>
            <w:r w:rsidRPr="000A2695">
              <w:rPr>
                <w:b/>
              </w:rPr>
              <w:t>Environmentally sustainable paper stocks</w:t>
            </w:r>
            <w:r>
              <w:rPr>
                <w:b/>
              </w:rPr>
              <w:t xml:space="preserve"> – </w:t>
            </w:r>
            <w:r w:rsidRPr="001815AF">
              <w:t xml:space="preserve">paper </w:t>
            </w:r>
            <w:r>
              <w:t>stocks that are either certified by the Forest Stewardship Council (FSC) or Program for the Endorsement of Forest Certification (PEFC)</w:t>
            </w:r>
            <w:r w:rsidRPr="001815AF">
              <w:t>.</w:t>
            </w:r>
          </w:p>
        </w:tc>
      </w:tr>
      <w:tr w:rsidR="00F41BDB" w:rsidRPr="005828FE" w14:paraId="50A2058A" w14:textId="77777777" w:rsidTr="00F41BDB">
        <w:tc>
          <w:tcPr>
            <w:tcW w:w="2217" w:type="dxa"/>
          </w:tcPr>
          <w:p w14:paraId="22B2DBEC" w14:textId="77777777" w:rsidR="00F41BDB" w:rsidRDefault="00F41BDB" w:rsidP="00382EE1">
            <w:pPr>
              <w:pStyle w:val="Normalgrey"/>
            </w:pPr>
          </w:p>
        </w:tc>
        <w:tc>
          <w:tcPr>
            <w:tcW w:w="477" w:type="dxa"/>
          </w:tcPr>
          <w:p w14:paraId="42ABA6E1" w14:textId="26BBA73D" w:rsidR="00F41BDB" w:rsidRDefault="000C7B7F" w:rsidP="00D55507">
            <w:pPr>
              <w:pStyle w:val="Normalgrey"/>
            </w:pPr>
            <w:r>
              <w:t>6.6</w:t>
            </w:r>
          </w:p>
        </w:tc>
        <w:tc>
          <w:tcPr>
            <w:tcW w:w="6210" w:type="dxa"/>
          </w:tcPr>
          <w:p w14:paraId="4E2DDDC7" w14:textId="1821CD63" w:rsidR="00F41BDB" w:rsidRPr="00F41BDB" w:rsidRDefault="00F41BDB" w:rsidP="00D55507">
            <w:pPr>
              <w:pStyle w:val="Normalgrey"/>
            </w:pPr>
            <w:r>
              <w:rPr>
                <w:b/>
              </w:rPr>
              <w:t>Grams per square metre (g</w:t>
            </w:r>
            <w:r w:rsidRPr="000A2695">
              <w:rPr>
                <w:b/>
              </w:rPr>
              <w:t>sm</w:t>
            </w:r>
            <w:r>
              <w:rPr>
                <w:b/>
              </w:rPr>
              <w:t>)</w:t>
            </w:r>
            <w:r>
              <w:t xml:space="preserve"> – </w:t>
            </w:r>
            <w:r w:rsidRPr="001815AF">
              <w:t xml:space="preserve">A method of indicating the substance of paper or board (whatever the size of the paper/board or number of sheets in the package) </w:t>
            </w:r>
            <w:proofErr w:type="gramStart"/>
            <w:r w:rsidRPr="001815AF">
              <w:t>on the basis of</w:t>
            </w:r>
            <w:proofErr w:type="gramEnd"/>
            <w:r w:rsidRPr="001815AF">
              <w:t xml:space="preserve"> weight in grams per square metre.</w:t>
            </w:r>
          </w:p>
        </w:tc>
      </w:tr>
      <w:tr w:rsidR="00F41BDB" w:rsidRPr="005828FE" w14:paraId="195BD783" w14:textId="77777777" w:rsidTr="00F41BDB">
        <w:tc>
          <w:tcPr>
            <w:tcW w:w="2217" w:type="dxa"/>
          </w:tcPr>
          <w:p w14:paraId="07CEA4D3" w14:textId="77777777" w:rsidR="00F41BDB" w:rsidRDefault="00F41BDB" w:rsidP="00382EE1">
            <w:pPr>
              <w:pStyle w:val="Normalgrey"/>
            </w:pPr>
          </w:p>
        </w:tc>
        <w:tc>
          <w:tcPr>
            <w:tcW w:w="477" w:type="dxa"/>
          </w:tcPr>
          <w:p w14:paraId="711A18B5" w14:textId="77777777" w:rsidR="00F41BDB" w:rsidRDefault="000C7B7F" w:rsidP="00D55507">
            <w:pPr>
              <w:pStyle w:val="Normalgrey"/>
            </w:pPr>
            <w:r>
              <w:t>6.7</w:t>
            </w:r>
          </w:p>
          <w:p w14:paraId="1D95D5DF" w14:textId="5325F54E" w:rsidR="000C7B7F" w:rsidRPr="000C7B7F" w:rsidRDefault="000C7B7F" w:rsidP="000C7B7F"/>
        </w:tc>
        <w:tc>
          <w:tcPr>
            <w:tcW w:w="6210" w:type="dxa"/>
          </w:tcPr>
          <w:p w14:paraId="183A8DBA" w14:textId="5CB0FDA9" w:rsidR="00F41BDB" w:rsidRPr="00F41BDB" w:rsidRDefault="00F41BDB" w:rsidP="00D55507">
            <w:pPr>
              <w:pStyle w:val="Normalgrey"/>
            </w:pPr>
            <w:r>
              <w:rPr>
                <w:b/>
              </w:rPr>
              <w:t>Perfect binding</w:t>
            </w:r>
            <w:r>
              <w:t xml:space="preserve"> – the application of adhesive to the spine-gathered pages which, when dry, keeps them securely bound. The drying process is quick and is completed within a few hours.</w:t>
            </w:r>
          </w:p>
        </w:tc>
      </w:tr>
      <w:tr w:rsidR="000C7B7F" w:rsidRPr="005828FE" w14:paraId="0841BC48" w14:textId="77777777" w:rsidTr="00F41BDB">
        <w:tc>
          <w:tcPr>
            <w:tcW w:w="2217" w:type="dxa"/>
          </w:tcPr>
          <w:p w14:paraId="72337840" w14:textId="77777777" w:rsidR="000C7B7F" w:rsidRDefault="000C7B7F" w:rsidP="00382EE1">
            <w:pPr>
              <w:pStyle w:val="Normalgrey"/>
            </w:pPr>
          </w:p>
        </w:tc>
        <w:tc>
          <w:tcPr>
            <w:tcW w:w="477" w:type="dxa"/>
          </w:tcPr>
          <w:p w14:paraId="3B992A6F" w14:textId="35F632AC" w:rsidR="000C7B7F" w:rsidRDefault="000C7B7F" w:rsidP="00D55507">
            <w:pPr>
              <w:pStyle w:val="Normalgrey"/>
            </w:pPr>
            <w:r>
              <w:t>6.8</w:t>
            </w:r>
          </w:p>
        </w:tc>
        <w:tc>
          <w:tcPr>
            <w:tcW w:w="6210" w:type="dxa"/>
          </w:tcPr>
          <w:p w14:paraId="7DFDAF79" w14:textId="211409E8" w:rsidR="00DE660B" w:rsidRPr="00154A51" w:rsidRDefault="000C7B7F" w:rsidP="00F41BDB">
            <w:pPr>
              <w:pStyle w:val="Normalgrey"/>
            </w:pPr>
            <w:r w:rsidRPr="000A2695">
              <w:rPr>
                <w:b/>
              </w:rPr>
              <w:t>Portrait</w:t>
            </w:r>
            <w:r>
              <w:t xml:space="preserve"> – a vertical orientation of the paper in which the page is taller than it is wide.</w:t>
            </w:r>
          </w:p>
        </w:tc>
      </w:tr>
      <w:tr w:rsidR="00F41BDB" w:rsidRPr="005828FE" w14:paraId="34A2EB84" w14:textId="77777777" w:rsidTr="00F41BDB">
        <w:tc>
          <w:tcPr>
            <w:tcW w:w="2217" w:type="dxa"/>
          </w:tcPr>
          <w:p w14:paraId="2D766626" w14:textId="77777777" w:rsidR="00F41BDB" w:rsidRDefault="00F41BDB" w:rsidP="00382EE1">
            <w:pPr>
              <w:pStyle w:val="Normalgrey"/>
            </w:pPr>
          </w:p>
        </w:tc>
        <w:tc>
          <w:tcPr>
            <w:tcW w:w="477" w:type="dxa"/>
          </w:tcPr>
          <w:p w14:paraId="32398F4E" w14:textId="183A2555" w:rsidR="00F41BDB" w:rsidRDefault="000C7B7F" w:rsidP="00D55507">
            <w:pPr>
              <w:pStyle w:val="Normalgrey"/>
            </w:pPr>
            <w:r>
              <w:t>6.9</w:t>
            </w:r>
          </w:p>
        </w:tc>
        <w:tc>
          <w:tcPr>
            <w:tcW w:w="6210" w:type="dxa"/>
          </w:tcPr>
          <w:p w14:paraId="653B7275" w14:textId="06FD1305" w:rsidR="00F41BDB" w:rsidRPr="000C7B7F" w:rsidRDefault="00F41BDB" w:rsidP="00F41BDB">
            <w:pPr>
              <w:pStyle w:val="Normalgrey"/>
            </w:pPr>
            <w:r w:rsidRPr="000A2695">
              <w:rPr>
                <w:b/>
              </w:rPr>
              <w:t>Spot varnish</w:t>
            </w:r>
            <w:r>
              <w:t xml:space="preserve"> – </w:t>
            </w:r>
            <w:r w:rsidRPr="001815AF">
              <w:t xml:space="preserve">varnish applied to </w:t>
            </w:r>
            <w:proofErr w:type="gramStart"/>
            <w:r w:rsidRPr="001815AF">
              <w:t>particular sections</w:t>
            </w:r>
            <w:proofErr w:type="gramEnd"/>
            <w:r w:rsidRPr="001815AF">
              <w:t xml:space="preserve"> of a page to highlight a particular image, graphic or wor</w:t>
            </w:r>
            <w:r w:rsidR="000C7B7F">
              <w:t>d.</w:t>
            </w:r>
          </w:p>
        </w:tc>
      </w:tr>
      <w:tr w:rsidR="000C7B7F" w:rsidRPr="005828FE" w14:paraId="55FEB30B" w14:textId="77777777" w:rsidTr="00F41BDB">
        <w:tc>
          <w:tcPr>
            <w:tcW w:w="2217" w:type="dxa"/>
          </w:tcPr>
          <w:p w14:paraId="28E40DFC" w14:textId="77777777" w:rsidR="000C7B7F" w:rsidRDefault="000C7B7F" w:rsidP="00382EE1">
            <w:pPr>
              <w:pStyle w:val="Normalgrey"/>
            </w:pPr>
          </w:p>
        </w:tc>
        <w:tc>
          <w:tcPr>
            <w:tcW w:w="477" w:type="dxa"/>
          </w:tcPr>
          <w:p w14:paraId="4FF939FD" w14:textId="12041830" w:rsidR="000C7B7F" w:rsidRDefault="000C7B7F" w:rsidP="00D55507">
            <w:pPr>
              <w:pStyle w:val="Normalgrey"/>
            </w:pPr>
            <w:r>
              <w:t>6.10</w:t>
            </w:r>
          </w:p>
        </w:tc>
        <w:tc>
          <w:tcPr>
            <w:tcW w:w="6210" w:type="dxa"/>
          </w:tcPr>
          <w:p w14:paraId="273276A7" w14:textId="0915D262" w:rsidR="000C7B7F" w:rsidRPr="000A2695" w:rsidRDefault="000C7B7F" w:rsidP="00F41BDB">
            <w:pPr>
              <w:pStyle w:val="Normalgrey"/>
              <w:rPr>
                <w:b/>
              </w:rPr>
            </w:pPr>
            <w:r w:rsidRPr="00F41BDB">
              <w:rPr>
                <w:b/>
              </w:rPr>
              <w:t xml:space="preserve">Uncoated stock – </w:t>
            </w:r>
            <w:r w:rsidRPr="00F41BDB">
              <w:rPr>
                <w:bCs/>
              </w:rPr>
              <w:t>does not have a coating and is absorbent and soft in appearance. Most of the high percentage recycled papers are uncoated</w:t>
            </w:r>
            <w:r w:rsidR="00DE660B">
              <w:rPr>
                <w:bCs/>
              </w:rPr>
              <w:t xml:space="preserve">. </w:t>
            </w:r>
          </w:p>
        </w:tc>
      </w:tr>
      <w:tr w:rsidR="00F41BDB" w:rsidRPr="005828FE" w14:paraId="67C2E4EA" w14:textId="77777777" w:rsidTr="00F41BDB">
        <w:tc>
          <w:tcPr>
            <w:tcW w:w="2217" w:type="dxa"/>
          </w:tcPr>
          <w:p w14:paraId="02430CCB" w14:textId="77777777" w:rsidR="00F41BDB" w:rsidRDefault="00F41BDB" w:rsidP="00382EE1">
            <w:pPr>
              <w:pStyle w:val="Normalgrey"/>
            </w:pPr>
          </w:p>
        </w:tc>
        <w:tc>
          <w:tcPr>
            <w:tcW w:w="477" w:type="dxa"/>
          </w:tcPr>
          <w:p w14:paraId="614E6677" w14:textId="0A18B049" w:rsidR="00F41BDB" w:rsidRDefault="000C7B7F" w:rsidP="00D55507">
            <w:pPr>
              <w:pStyle w:val="Normalgrey"/>
            </w:pPr>
            <w:r>
              <w:t>6.11</w:t>
            </w:r>
          </w:p>
        </w:tc>
        <w:tc>
          <w:tcPr>
            <w:tcW w:w="6210" w:type="dxa"/>
          </w:tcPr>
          <w:p w14:paraId="17BDCF35" w14:textId="1D526460" w:rsidR="00F41BDB" w:rsidRPr="000A2695" w:rsidRDefault="00F41BDB" w:rsidP="00F41BDB">
            <w:pPr>
              <w:pStyle w:val="Normalgrey"/>
              <w:rPr>
                <w:b/>
              </w:rPr>
            </w:pPr>
            <w:r w:rsidRPr="00F41BDB">
              <w:rPr>
                <w:b/>
              </w:rPr>
              <w:t xml:space="preserve">Varnishing – </w:t>
            </w:r>
            <w:r w:rsidRPr="00F41BDB">
              <w:rPr>
                <w:bCs/>
              </w:rPr>
              <w:t xml:space="preserve">to apply oil, synthetic, spirit, </w:t>
            </w:r>
            <w:proofErr w:type="gramStart"/>
            <w:r w:rsidRPr="00F41BDB">
              <w:rPr>
                <w:bCs/>
              </w:rPr>
              <w:t>cellulose</w:t>
            </w:r>
            <w:proofErr w:type="gramEnd"/>
            <w:r w:rsidRPr="00F41BDB">
              <w:rPr>
                <w:bCs/>
              </w:rPr>
              <w:t xml:space="preserve"> or water varnish to printed matter by hand or machine to enhance its appearance or increase its durability</w:t>
            </w:r>
          </w:p>
        </w:tc>
      </w:tr>
      <w:tr w:rsidR="00F41BDB" w:rsidRPr="005828FE" w14:paraId="66593790" w14:textId="77777777" w:rsidTr="00F41BDB">
        <w:tc>
          <w:tcPr>
            <w:tcW w:w="2217" w:type="dxa"/>
          </w:tcPr>
          <w:p w14:paraId="500842D0" w14:textId="77777777" w:rsidR="00F41BDB" w:rsidRPr="005828FE" w:rsidRDefault="00F41BDB" w:rsidP="00382EE1">
            <w:pPr>
              <w:pStyle w:val="Normalgrey"/>
            </w:pPr>
            <w:r w:rsidRPr="005828FE">
              <w:t>Relevant pronouncements</w:t>
            </w:r>
          </w:p>
        </w:tc>
        <w:tc>
          <w:tcPr>
            <w:tcW w:w="477" w:type="dxa"/>
          </w:tcPr>
          <w:p w14:paraId="4566F55D" w14:textId="77777777" w:rsidR="00F41BDB" w:rsidRPr="005828FE" w:rsidRDefault="00F41BDB" w:rsidP="00C401F5">
            <w:pPr>
              <w:pStyle w:val="Refnum2"/>
              <w:numPr>
                <w:ilvl w:val="0"/>
                <w:numId w:val="0"/>
              </w:numPr>
            </w:pPr>
            <w:r>
              <w:t>7.1</w:t>
            </w:r>
          </w:p>
        </w:tc>
        <w:tc>
          <w:tcPr>
            <w:tcW w:w="6210" w:type="dxa"/>
          </w:tcPr>
          <w:p w14:paraId="64674E6F" w14:textId="35CB2D04" w:rsidR="00F41BDB" w:rsidRPr="005828FE" w:rsidRDefault="00F41BDB">
            <w:pPr>
              <w:pStyle w:val="Normalgrey"/>
            </w:pPr>
            <w:r w:rsidRPr="001815AF">
              <w:t>All financial reporting directions relating to the content of annual reports (</w:t>
            </w:r>
            <w:proofErr w:type="gramStart"/>
            <w:r w:rsidRPr="001815AF">
              <w:t>e.g.</w:t>
            </w:r>
            <w:proofErr w:type="gramEnd"/>
            <w:r w:rsidRPr="001815AF">
              <w:t xml:space="preserve"> FRD22</w:t>
            </w:r>
            <w:r>
              <w:t xml:space="preserve"> and</w:t>
            </w:r>
            <w:r w:rsidRPr="001815AF">
              <w:t xml:space="preserve"> FRD29) are impacted by this FRD</w:t>
            </w:r>
            <w:r>
              <w:t>.</w:t>
            </w:r>
            <w:r w:rsidRPr="001815AF">
              <w:t xml:space="preserve"> </w:t>
            </w:r>
          </w:p>
        </w:tc>
      </w:tr>
      <w:tr w:rsidR="00F41BDB" w:rsidRPr="005828FE" w14:paraId="25705B9E" w14:textId="77777777" w:rsidTr="00F41BDB">
        <w:tc>
          <w:tcPr>
            <w:tcW w:w="2217" w:type="dxa"/>
          </w:tcPr>
          <w:p w14:paraId="5B08B5D1" w14:textId="77777777" w:rsidR="00F41BDB" w:rsidRPr="005828FE" w:rsidRDefault="00F41BDB" w:rsidP="00382EE1">
            <w:pPr>
              <w:pStyle w:val="Normalgrey"/>
            </w:pPr>
          </w:p>
        </w:tc>
        <w:tc>
          <w:tcPr>
            <w:tcW w:w="477" w:type="dxa"/>
          </w:tcPr>
          <w:p w14:paraId="33FEB448" w14:textId="77777777" w:rsidR="00F41BDB" w:rsidRPr="005828FE" w:rsidRDefault="00F41BDB" w:rsidP="00C401F5">
            <w:pPr>
              <w:pStyle w:val="Refnum2"/>
              <w:numPr>
                <w:ilvl w:val="0"/>
                <w:numId w:val="0"/>
              </w:numPr>
            </w:pPr>
            <w:r>
              <w:t>7.2</w:t>
            </w:r>
          </w:p>
        </w:tc>
        <w:tc>
          <w:tcPr>
            <w:tcW w:w="6210" w:type="dxa"/>
          </w:tcPr>
          <w:p w14:paraId="6F70D70A" w14:textId="10A497E6" w:rsidR="00F41BDB" w:rsidRPr="001815AF" w:rsidRDefault="00F41BDB" w:rsidP="006655EA">
            <w:pPr>
              <w:pStyle w:val="Normalgrey"/>
            </w:pPr>
            <w:r w:rsidRPr="001815AF">
              <w:t xml:space="preserve">Reference to this FRD is made in the </w:t>
            </w:r>
            <w:r w:rsidRPr="00547B23">
              <w:rPr>
                <w:i/>
              </w:rPr>
              <w:t>Model Report for Victorian Government Departments</w:t>
            </w:r>
            <w:r w:rsidRPr="001815AF">
              <w:t xml:space="preserve">, in both the introductory chapter and </w:t>
            </w:r>
            <w:r>
              <w:t>the Model Report of Operations.</w:t>
            </w:r>
          </w:p>
        </w:tc>
      </w:tr>
      <w:tr w:rsidR="00F41BDB" w:rsidRPr="005828FE" w14:paraId="5D1F17B2" w14:textId="77777777" w:rsidTr="00F41BDB">
        <w:tc>
          <w:tcPr>
            <w:tcW w:w="2217" w:type="dxa"/>
          </w:tcPr>
          <w:p w14:paraId="2E0A6F91" w14:textId="77777777" w:rsidR="00F41BDB" w:rsidRPr="005828FE" w:rsidRDefault="00F41BDB" w:rsidP="00382EE1">
            <w:pPr>
              <w:pStyle w:val="Normalgrey"/>
            </w:pPr>
            <w:r w:rsidRPr="005828FE">
              <w:t>Background</w:t>
            </w:r>
          </w:p>
        </w:tc>
        <w:tc>
          <w:tcPr>
            <w:tcW w:w="477" w:type="dxa"/>
          </w:tcPr>
          <w:p w14:paraId="110C7173" w14:textId="77777777" w:rsidR="00F41BDB" w:rsidRPr="005828FE" w:rsidRDefault="00F41BDB" w:rsidP="00C401F5">
            <w:pPr>
              <w:pStyle w:val="Refnum2"/>
              <w:numPr>
                <w:ilvl w:val="0"/>
                <w:numId w:val="0"/>
              </w:numPr>
            </w:pPr>
            <w:r>
              <w:t>8.1</w:t>
            </w:r>
          </w:p>
        </w:tc>
        <w:tc>
          <w:tcPr>
            <w:tcW w:w="6210" w:type="dxa"/>
          </w:tcPr>
          <w:p w14:paraId="60E0A049" w14:textId="77777777" w:rsidR="00F41BDB" w:rsidRPr="005828FE" w:rsidRDefault="00F41BDB">
            <w:pPr>
              <w:pStyle w:val="Normalgrey"/>
            </w:pPr>
            <w:r w:rsidRPr="003B67BB">
              <w:t xml:space="preserve">Victorian </w:t>
            </w:r>
            <w:r>
              <w:t>g</w:t>
            </w:r>
            <w:r w:rsidRPr="003B67BB">
              <w:t xml:space="preserve">overnment entities produce annual reports </w:t>
            </w:r>
            <w:r>
              <w:t>that</w:t>
            </w:r>
            <w:r w:rsidRPr="003B67BB">
              <w:t xml:space="preserve"> are presented to Parliament each year. The Government has a desire to ensure that these reports are consistent, appropriate and adhere to reporting directions and legislation.</w:t>
            </w:r>
          </w:p>
        </w:tc>
      </w:tr>
      <w:tr w:rsidR="00F41BDB" w:rsidRPr="005828FE" w14:paraId="3945ACC0" w14:textId="77777777" w:rsidTr="00F41BDB">
        <w:tc>
          <w:tcPr>
            <w:tcW w:w="2217" w:type="dxa"/>
          </w:tcPr>
          <w:p w14:paraId="4B1F511A" w14:textId="77777777" w:rsidR="00F41BDB" w:rsidRPr="005828FE" w:rsidRDefault="00F41BDB" w:rsidP="00382EE1">
            <w:pPr>
              <w:pStyle w:val="Normalgrey"/>
            </w:pPr>
          </w:p>
        </w:tc>
        <w:tc>
          <w:tcPr>
            <w:tcW w:w="477" w:type="dxa"/>
          </w:tcPr>
          <w:p w14:paraId="1294EA91" w14:textId="77777777" w:rsidR="00F41BDB" w:rsidRPr="005828FE" w:rsidRDefault="00F41BDB" w:rsidP="00C401F5">
            <w:pPr>
              <w:pStyle w:val="Refnum2"/>
              <w:numPr>
                <w:ilvl w:val="0"/>
                <w:numId w:val="0"/>
              </w:numPr>
            </w:pPr>
            <w:r>
              <w:t>8.2</w:t>
            </w:r>
          </w:p>
        </w:tc>
        <w:tc>
          <w:tcPr>
            <w:tcW w:w="6210" w:type="dxa"/>
          </w:tcPr>
          <w:p w14:paraId="709F8C11" w14:textId="77777777" w:rsidR="00F41BDB" w:rsidRDefault="00F41BDB" w:rsidP="00D55507">
            <w:pPr>
              <w:pStyle w:val="Normalgrey"/>
            </w:pPr>
            <w:r>
              <w:t xml:space="preserve">This FRD was </w:t>
            </w:r>
            <w:r w:rsidRPr="00D55507">
              <w:t>first</w:t>
            </w:r>
            <w:r>
              <w:t xml:space="preserve"> issued in March 2010. It was revised in:</w:t>
            </w:r>
          </w:p>
          <w:p w14:paraId="4E761D17" w14:textId="77777777" w:rsidR="00F41BDB" w:rsidRDefault="00F41BDB" w:rsidP="00D55507">
            <w:pPr>
              <w:pStyle w:val="Bullet1grey"/>
              <w:numPr>
                <w:ilvl w:val="0"/>
                <w:numId w:val="1"/>
              </w:numPr>
            </w:pPr>
            <w:r>
              <w:t>March 2011 to amend the print specifications in relation to the preferred paper stock.</w:t>
            </w:r>
          </w:p>
          <w:p w14:paraId="51C9688B" w14:textId="77777777" w:rsidR="00F41BDB" w:rsidRDefault="00F41BDB" w:rsidP="00D55507">
            <w:pPr>
              <w:pStyle w:val="Bullet1grey"/>
              <w:numPr>
                <w:ilvl w:val="0"/>
                <w:numId w:val="1"/>
              </w:numPr>
            </w:pPr>
            <w:r>
              <w:t xml:space="preserve">April 2015 to update the print specifications in relation to the use of colour, reflecting that digital printing now uses four colours as a standard. There is no expected change in the cost or process whether one or four colours are used. The revised FRD also reflects the relocation of requirements from Standing Direction 4.2(d) to this FRD in relation to rounding when presenting financial statements. </w:t>
            </w:r>
          </w:p>
          <w:p w14:paraId="3822784E" w14:textId="77777777" w:rsidR="00F41BDB" w:rsidRDefault="00F41BDB" w:rsidP="00D55507">
            <w:pPr>
              <w:pStyle w:val="Bullet1grey"/>
            </w:pPr>
            <w:r w:rsidRPr="0032434F">
              <w:t>January 2016 to update the print specifications to allow entities to present individual pages in the annual r</w:t>
            </w:r>
            <w:r>
              <w:t xml:space="preserve">eport in a landscape format, to </w:t>
            </w:r>
            <w:r w:rsidRPr="0032434F">
              <w:t xml:space="preserve">improve the readability and understanding of information, such as tables, </w:t>
            </w:r>
            <w:proofErr w:type="gramStart"/>
            <w:r w:rsidRPr="0032434F">
              <w:t>charts</w:t>
            </w:r>
            <w:proofErr w:type="gramEnd"/>
            <w:r w:rsidRPr="0032434F">
              <w:t xml:space="preserve"> and graphs. The definitions for embossing and portrait have also been updated.</w:t>
            </w:r>
          </w:p>
          <w:p w14:paraId="56FF7ED7" w14:textId="640125EA" w:rsidR="00F41BDB" w:rsidRDefault="00F41BDB">
            <w:pPr>
              <w:pStyle w:val="Bullet1grey"/>
            </w:pPr>
            <w:r>
              <w:t>May</w:t>
            </w:r>
            <w:r w:rsidRPr="00773D31">
              <w:t xml:space="preserve"> 2017 to update the design specifications to refer to whole of Victorian Government </w:t>
            </w:r>
            <w:proofErr w:type="gramStart"/>
            <w:r w:rsidRPr="00773D31">
              <w:t>branding, and</w:t>
            </w:r>
            <w:proofErr w:type="gramEnd"/>
            <w:r w:rsidRPr="00773D31">
              <w:t xml:space="preserve"> update the print specifications to include PUR binding as an option under finishing. The definitions for PUR and perfect binding have been </w:t>
            </w:r>
            <w:proofErr w:type="gramStart"/>
            <w:r w:rsidRPr="00773D31">
              <w:t>included, and</w:t>
            </w:r>
            <w:proofErr w:type="gramEnd"/>
            <w:r w:rsidRPr="00773D31">
              <w:t xml:space="preserve"> updated for environmentally sustainable paper stocks. Appendix 1 design and print specifications has been removed to ensure only mandatory requirements are reflected in the FRD and to remove any duplication of information</w:t>
            </w:r>
            <w:r>
              <w:t>.</w:t>
            </w:r>
          </w:p>
          <w:p w14:paraId="1ED54E16" w14:textId="738085FD" w:rsidR="00FB3667" w:rsidRDefault="00FB3667" w:rsidP="00FB3667">
            <w:pPr>
              <w:pStyle w:val="Bullet1grey"/>
            </w:pPr>
            <w:r w:rsidRPr="00FB3667">
              <w:t>September 2019 to provide clarification of the recyclability of coated stock.</w:t>
            </w:r>
          </w:p>
          <w:p w14:paraId="0F11F1AF" w14:textId="57707007" w:rsidR="00F41BDB" w:rsidRPr="00274DFA" w:rsidRDefault="00F41BDB">
            <w:pPr>
              <w:pStyle w:val="Bullet1grey"/>
            </w:pPr>
            <w:r>
              <w:t xml:space="preserve">April 2024 to update printing requirements, digital first principles, online </w:t>
            </w:r>
            <w:proofErr w:type="gramStart"/>
            <w:r>
              <w:t>availability</w:t>
            </w:r>
            <w:proofErr w:type="gramEnd"/>
            <w:r>
              <w:t xml:space="preserve"> and accessibility compliance. </w:t>
            </w:r>
          </w:p>
        </w:tc>
      </w:tr>
    </w:tbl>
    <w:p w14:paraId="5023141B" w14:textId="77777777" w:rsidR="00FE782F" w:rsidRDefault="00FE782F" w:rsidP="00FE782F"/>
    <w:p w14:paraId="1F3B1409" w14:textId="77777777" w:rsidR="008C63EE" w:rsidRDefault="008C63EE"/>
    <w:sectPr w:rsidR="008C63EE" w:rsidSect="005828FE">
      <w:headerReference w:type="even" r:id="rId12"/>
      <w:headerReference w:type="default" r:id="rId13"/>
      <w:footerReference w:type="even" r:id="rId14"/>
      <w:footerReference w:type="default" r:id="rId15"/>
      <w:headerReference w:type="first" r:id="rId16"/>
      <w:footerReference w:type="first" r:id="rId17"/>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B0FD" w14:textId="77777777" w:rsidR="00002473" w:rsidRDefault="00002473" w:rsidP="002D711A">
      <w:pPr>
        <w:spacing w:after="0" w:line="240" w:lineRule="auto"/>
      </w:pPr>
      <w:r>
        <w:separator/>
      </w:r>
    </w:p>
    <w:p w14:paraId="0EFDD52C" w14:textId="77777777" w:rsidR="00002473" w:rsidRDefault="00002473"/>
  </w:endnote>
  <w:endnote w:type="continuationSeparator" w:id="0">
    <w:p w14:paraId="63AAC9BA" w14:textId="77777777" w:rsidR="00002473" w:rsidRDefault="00002473" w:rsidP="002D711A">
      <w:pPr>
        <w:spacing w:after="0" w:line="240" w:lineRule="auto"/>
      </w:pPr>
      <w:r>
        <w:continuationSeparator/>
      </w:r>
    </w:p>
    <w:p w14:paraId="2A09E2AD" w14:textId="77777777" w:rsidR="00002473" w:rsidRDefault="00002473"/>
  </w:endnote>
  <w:endnote w:type="continuationNotice" w:id="1">
    <w:p w14:paraId="2385C566" w14:textId="77777777" w:rsidR="00002473" w:rsidRDefault="000024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DE22" w14:textId="3432B521" w:rsidR="00014213" w:rsidRPr="00014213" w:rsidRDefault="00421A29" w:rsidP="00C022F9">
    <w:pPr>
      <w:pStyle w:val="Footer"/>
    </w:pPr>
    <w:r>
      <mc:AlternateContent>
        <mc:Choice Requires="wps">
          <w:drawing>
            <wp:anchor distT="0" distB="0" distL="0" distR="0" simplePos="0" relativeHeight="251658242" behindDoc="0" locked="0" layoutInCell="1" allowOverlap="1" wp14:anchorId="185B7800" wp14:editId="12947449">
              <wp:simplePos x="635" y="635"/>
              <wp:positionH relativeFrom="page">
                <wp:align>left</wp:align>
              </wp:positionH>
              <wp:positionV relativeFrom="page">
                <wp:align>bottom</wp:align>
              </wp:positionV>
              <wp:extent cx="443865" cy="443865"/>
              <wp:effectExtent l="0" t="0" r="317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9835F" w14:textId="0A91B333" w:rsidR="00421A29" w:rsidRPr="00421A29" w:rsidRDefault="00421A29" w:rsidP="00421A29">
                          <w:pPr>
                            <w:spacing w:after="0"/>
                            <w:rPr>
                              <w:rFonts w:ascii="Calibri" w:eastAsia="Calibri" w:hAnsi="Calibri" w:cs="Calibri"/>
                              <w:noProof/>
                              <w:color w:val="000000"/>
                              <w:sz w:val="22"/>
                              <w:szCs w:val="22"/>
                            </w:rPr>
                          </w:pPr>
                          <w:r w:rsidRPr="00421A29">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5B780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3D9835F" w14:textId="0A91B333" w:rsidR="00421A29" w:rsidRPr="00421A29" w:rsidRDefault="00421A29" w:rsidP="00421A29">
                    <w:pPr>
                      <w:spacing w:after="0"/>
                      <w:rPr>
                        <w:rFonts w:ascii="Calibri" w:eastAsia="Calibri" w:hAnsi="Calibri" w:cs="Calibri"/>
                        <w:noProof/>
                        <w:color w:val="000000"/>
                        <w:sz w:val="22"/>
                        <w:szCs w:val="22"/>
                      </w:rPr>
                    </w:pPr>
                    <w:r w:rsidRPr="00421A29">
                      <w:rPr>
                        <w:rFonts w:ascii="Calibri" w:eastAsia="Calibri" w:hAnsi="Calibri" w:cs="Calibri"/>
                        <w:noProof/>
                        <w:color w:val="000000"/>
                        <w:sz w:val="22"/>
                        <w:szCs w:val="22"/>
                      </w:rPr>
                      <w:t>OFFICIAL</w:t>
                    </w:r>
                  </w:p>
                </w:txbxContent>
              </v:textbox>
              <w10:wrap anchorx="page" anchory="page"/>
            </v:shape>
          </w:pict>
        </mc:Fallback>
      </mc:AlternateContent>
    </w:r>
    <w:r w:rsidR="00014213">
      <w:drawing>
        <wp:anchor distT="0" distB="0" distL="114300" distR="114300" simplePos="0" relativeHeight="251658240" behindDoc="0" locked="0" layoutInCell="1" allowOverlap="1" wp14:anchorId="781514E2" wp14:editId="5BCF199C">
          <wp:simplePos x="0" y="0"/>
          <wp:positionH relativeFrom="column">
            <wp:posOffset>4240861</wp:posOffset>
          </wp:positionH>
          <wp:positionV relativeFrom="page">
            <wp:posOffset>9493250</wp:posOffset>
          </wp:positionV>
          <wp:extent cx="1956435" cy="582930"/>
          <wp:effectExtent l="0" t="0" r="571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6E1831B3"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33535A9C" w:rsidR="00A516DE" w:rsidRDefault="00421A29" w:rsidP="00A516DE">
    <w:pPr>
      <w:pStyle w:val="Spacer"/>
    </w:pPr>
    <w:r>
      <w:rPr>
        <w:noProof/>
      </w:rPr>
      <mc:AlternateContent>
        <mc:Choice Requires="wps">
          <w:drawing>
            <wp:anchor distT="0" distB="0" distL="0" distR="0" simplePos="0" relativeHeight="251658243" behindDoc="0" locked="0" layoutInCell="1" allowOverlap="1" wp14:anchorId="1FC7D835" wp14:editId="7AEB4AA2">
              <wp:simplePos x="635" y="635"/>
              <wp:positionH relativeFrom="page">
                <wp:align>left</wp:align>
              </wp:positionH>
              <wp:positionV relativeFrom="page">
                <wp:align>bottom</wp:align>
              </wp:positionV>
              <wp:extent cx="443865" cy="443865"/>
              <wp:effectExtent l="0" t="0" r="317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B4B36" w14:textId="18511DA7" w:rsidR="00421A29" w:rsidRPr="00421A29" w:rsidRDefault="00421A29" w:rsidP="00421A29">
                          <w:pPr>
                            <w:spacing w:after="0"/>
                            <w:rPr>
                              <w:rFonts w:ascii="Calibri" w:eastAsia="Calibri" w:hAnsi="Calibri" w:cs="Calibri"/>
                              <w:noProof/>
                              <w:color w:val="000000"/>
                              <w:sz w:val="22"/>
                              <w:szCs w:val="22"/>
                            </w:rPr>
                          </w:pPr>
                          <w:r w:rsidRPr="00421A29">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C7D835"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C0B4B36" w14:textId="18511DA7" w:rsidR="00421A29" w:rsidRPr="00421A29" w:rsidRDefault="00421A29" w:rsidP="00421A29">
                    <w:pPr>
                      <w:spacing w:after="0"/>
                      <w:rPr>
                        <w:rFonts w:ascii="Calibri" w:eastAsia="Calibri" w:hAnsi="Calibri" w:cs="Calibri"/>
                        <w:noProof/>
                        <w:color w:val="000000"/>
                        <w:sz w:val="22"/>
                        <w:szCs w:val="22"/>
                      </w:rPr>
                    </w:pPr>
                    <w:r w:rsidRPr="00421A29">
                      <w:rPr>
                        <w:rFonts w:ascii="Calibri" w:eastAsia="Calibri" w:hAnsi="Calibri" w:cs="Calibri"/>
                        <w:noProof/>
                        <w:color w:val="000000"/>
                        <w:sz w:val="22"/>
                        <w:szCs w:val="22"/>
                      </w:rPr>
                      <w:t>OFFICIAL</w:t>
                    </w:r>
                  </w:p>
                </w:txbxContent>
              </v:textbox>
              <w10:wrap anchorx="page" anchory="page"/>
            </v:shape>
          </w:pict>
        </mc:Fallback>
      </mc:AlternateContent>
    </w:r>
  </w:p>
  <w:p w14:paraId="73701558" w14:textId="16C60261"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263F46">
      <w:rPr>
        <w:b/>
      </w:rPr>
      <w:t>FRD 30</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263F46">
      <w:t>Standard requirements for the publication of annual reports (April 2024)</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F94CEE">
      <w:rPr>
        <w:rStyle w:val="PageNumber"/>
        <w:color w:val="auto"/>
      </w:rPr>
      <w:t>6</w:t>
    </w:r>
    <w:r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D64E" w14:textId="1F2EB83F" w:rsidR="00421A29" w:rsidRDefault="00421A29">
    <w:pPr>
      <w:pStyle w:val="Footer"/>
    </w:pPr>
    <w:r>
      <mc:AlternateContent>
        <mc:Choice Requires="wps">
          <w:drawing>
            <wp:anchor distT="0" distB="0" distL="0" distR="0" simplePos="0" relativeHeight="251658241" behindDoc="0" locked="0" layoutInCell="1" allowOverlap="1" wp14:anchorId="5E5F0E0B" wp14:editId="4D61FAEA">
              <wp:simplePos x="635" y="635"/>
              <wp:positionH relativeFrom="page">
                <wp:align>left</wp:align>
              </wp:positionH>
              <wp:positionV relativeFrom="page">
                <wp:align>bottom</wp:align>
              </wp:positionV>
              <wp:extent cx="443865" cy="443865"/>
              <wp:effectExtent l="0" t="0" r="317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1C158" w14:textId="71D32C93" w:rsidR="00421A29" w:rsidRPr="00421A29" w:rsidRDefault="00421A29" w:rsidP="00421A29">
                          <w:pPr>
                            <w:spacing w:after="0"/>
                            <w:rPr>
                              <w:rFonts w:ascii="Calibri" w:eastAsia="Calibri" w:hAnsi="Calibri" w:cs="Calibri"/>
                              <w:noProof/>
                              <w:color w:val="000000"/>
                              <w:sz w:val="22"/>
                              <w:szCs w:val="22"/>
                            </w:rPr>
                          </w:pPr>
                          <w:r w:rsidRPr="00421A29">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5F0E0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A31C158" w14:textId="71D32C93" w:rsidR="00421A29" w:rsidRPr="00421A29" w:rsidRDefault="00421A29" w:rsidP="00421A29">
                    <w:pPr>
                      <w:spacing w:after="0"/>
                      <w:rPr>
                        <w:rFonts w:ascii="Calibri" w:eastAsia="Calibri" w:hAnsi="Calibri" w:cs="Calibri"/>
                        <w:noProof/>
                        <w:color w:val="000000"/>
                        <w:sz w:val="22"/>
                        <w:szCs w:val="22"/>
                      </w:rPr>
                    </w:pPr>
                    <w:r w:rsidRPr="00421A29">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28B6" w14:textId="77777777" w:rsidR="00002473" w:rsidRDefault="00002473" w:rsidP="002D711A">
      <w:pPr>
        <w:spacing w:after="0" w:line="240" w:lineRule="auto"/>
      </w:pPr>
      <w:r>
        <w:separator/>
      </w:r>
    </w:p>
    <w:p w14:paraId="23EDD61D" w14:textId="77777777" w:rsidR="00002473" w:rsidRDefault="00002473"/>
  </w:footnote>
  <w:footnote w:type="continuationSeparator" w:id="0">
    <w:p w14:paraId="72A9F9C1" w14:textId="77777777" w:rsidR="00002473" w:rsidRDefault="00002473" w:rsidP="002D711A">
      <w:pPr>
        <w:spacing w:after="0" w:line="240" w:lineRule="auto"/>
      </w:pPr>
      <w:r>
        <w:continuationSeparator/>
      </w:r>
    </w:p>
    <w:p w14:paraId="7DDF5254" w14:textId="77777777" w:rsidR="00002473" w:rsidRDefault="00002473"/>
  </w:footnote>
  <w:footnote w:type="continuationNotice" w:id="1">
    <w:p w14:paraId="1E7FE849" w14:textId="77777777" w:rsidR="00002473" w:rsidRDefault="000024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525B" w14:textId="77777777" w:rsidR="0064615F" w:rsidRDefault="00646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1D2A" w14:textId="77777777" w:rsidR="0041689E" w:rsidRPr="0041689E" w:rsidRDefault="005828FE" w:rsidP="005828FE">
    <w:pPr>
      <w:pStyle w:val="Header"/>
      <w:tabs>
        <w:tab w:val="clear" w:pos="9026"/>
      </w:tabs>
      <w:ind w:right="-694"/>
      <w:jc w:val="right"/>
    </w:pPr>
    <w:r>
      <w:rPr>
        <w:noProof/>
      </w:rPr>
      <w:drawing>
        <wp:inline distT="0" distB="0" distL="0" distR="0" wp14:anchorId="0A5B9A6F" wp14:editId="774047F2">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31126E5D" w14:textId="77777777" w:rsidR="0057703D" w:rsidRDefault="005770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B02D" w14:textId="77777777" w:rsidR="0064615F" w:rsidRDefault="00646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866"/>
    <w:multiLevelType w:val="hybridMultilevel"/>
    <w:tmpl w:val="892AA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CE1D9F"/>
    <w:multiLevelType w:val="hybridMultilevel"/>
    <w:tmpl w:val="39E8D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7B69A0"/>
    <w:multiLevelType w:val="hybridMultilevel"/>
    <w:tmpl w:val="D6F6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C0124D7"/>
    <w:multiLevelType w:val="multilevel"/>
    <w:tmpl w:val="5642778C"/>
    <w:lvl w:ilvl="0">
      <w:start w:val="1"/>
      <w:numFmt w:val="decimal"/>
      <w:pStyle w:val="Refnum1"/>
      <w:suff w:val="nothing"/>
      <w:lvlText w:val="%1."/>
      <w:lvlJc w:val="left"/>
      <w:pPr>
        <w:ind w:left="142"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vanish w:val="0"/>
        <w:color w:val="F2F2F2" w:themeColor="background1" w:themeShade="F2"/>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769233083">
    <w:abstractNumId w:val="4"/>
  </w:num>
  <w:num w:numId="2" w16cid:durableId="1289311517">
    <w:abstractNumId w:val="4"/>
  </w:num>
  <w:num w:numId="3" w16cid:durableId="881095206">
    <w:abstractNumId w:val="4"/>
  </w:num>
  <w:num w:numId="4" w16cid:durableId="39325723">
    <w:abstractNumId w:val="8"/>
  </w:num>
  <w:num w:numId="5" w16cid:durableId="513693566">
    <w:abstractNumId w:val="4"/>
  </w:num>
  <w:num w:numId="6" w16cid:durableId="396054155">
    <w:abstractNumId w:val="4"/>
  </w:num>
  <w:num w:numId="7" w16cid:durableId="161553577">
    <w:abstractNumId w:val="4"/>
  </w:num>
  <w:num w:numId="8" w16cid:durableId="1263756418">
    <w:abstractNumId w:val="4"/>
  </w:num>
  <w:num w:numId="9" w16cid:durableId="484511583">
    <w:abstractNumId w:val="8"/>
  </w:num>
  <w:num w:numId="10" w16cid:durableId="1252471999">
    <w:abstractNumId w:val="8"/>
  </w:num>
  <w:num w:numId="11" w16cid:durableId="1183474798">
    <w:abstractNumId w:val="8"/>
  </w:num>
  <w:num w:numId="12" w16cid:durableId="244609551">
    <w:abstractNumId w:val="8"/>
  </w:num>
  <w:num w:numId="13" w16cid:durableId="1276672996">
    <w:abstractNumId w:val="8"/>
  </w:num>
  <w:num w:numId="14" w16cid:durableId="1685473032">
    <w:abstractNumId w:val="8"/>
  </w:num>
  <w:num w:numId="15" w16cid:durableId="448938931">
    <w:abstractNumId w:val="8"/>
  </w:num>
  <w:num w:numId="16" w16cid:durableId="1264217681">
    <w:abstractNumId w:val="8"/>
  </w:num>
  <w:num w:numId="17" w16cid:durableId="2242607">
    <w:abstractNumId w:val="1"/>
  </w:num>
  <w:num w:numId="18" w16cid:durableId="70200619">
    <w:abstractNumId w:val="1"/>
  </w:num>
  <w:num w:numId="19" w16cid:durableId="1570841308">
    <w:abstractNumId w:val="5"/>
  </w:num>
  <w:num w:numId="20" w16cid:durableId="1745570897">
    <w:abstractNumId w:val="7"/>
  </w:num>
  <w:num w:numId="21" w16cid:durableId="1614819665">
    <w:abstractNumId w:val="7"/>
  </w:num>
  <w:num w:numId="22" w16cid:durableId="2136289876">
    <w:abstractNumId w:val="6"/>
  </w:num>
  <w:num w:numId="23" w16cid:durableId="1747219521">
    <w:abstractNumId w:val="6"/>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678040225">
    <w:abstractNumId w:val="6"/>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16cid:durableId="1818184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9526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4672507">
    <w:abstractNumId w:val="3"/>
  </w:num>
  <w:num w:numId="28" w16cid:durableId="813989240">
    <w:abstractNumId w:val="2"/>
  </w:num>
  <w:num w:numId="29" w16cid:durableId="30809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08"/>
    <w:rsid w:val="0000037B"/>
    <w:rsid w:val="000006DD"/>
    <w:rsid w:val="0000176A"/>
    <w:rsid w:val="00002473"/>
    <w:rsid w:val="000033A4"/>
    <w:rsid w:val="000038D1"/>
    <w:rsid w:val="00006242"/>
    <w:rsid w:val="000109AE"/>
    <w:rsid w:val="00012F6F"/>
    <w:rsid w:val="00013DB9"/>
    <w:rsid w:val="00014213"/>
    <w:rsid w:val="0001480A"/>
    <w:rsid w:val="00014B55"/>
    <w:rsid w:val="00014BEF"/>
    <w:rsid w:val="00015B50"/>
    <w:rsid w:val="00017575"/>
    <w:rsid w:val="00020E3E"/>
    <w:rsid w:val="00023421"/>
    <w:rsid w:val="0002394D"/>
    <w:rsid w:val="00023BF3"/>
    <w:rsid w:val="00026811"/>
    <w:rsid w:val="000274BE"/>
    <w:rsid w:val="00033322"/>
    <w:rsid w:val="00034362"/>
    <w:rsid w:val="000344E1"/>
    <w:rsid w:val="00034AD6"/>
    <w:rsid w:val="00040833"/>
    <w:rsid w:val="00042005"/>
    <w:rsid w:val="000427AC"/>
    <w:rsid w:val="00042CD6"/>
    <w:rsid w:val="00042D41"/>
    <w:rsid w:val="0004309D"/>
    <w:rsid w:val="0004356D"/>
    <w:rsid w:val="00045296"/>
    <w:rsid w:val="000462E6"/>
    <w:rsid w:val="0005399D"/>
    <w:rsid w:val="00054355"/>
    <w:rsid w:val="00054408"/>
    <w:rsid w:val="00054C05"/>
    <w:rsid w:val="00054D7F"/>
    <w:rsid w:val="0005503F"/>
    <w:rsid w:val="0005522B"/>
    <w:rsid w:val="000621C8"/>
    <w:rsid w:val="00064338"/>
    <w:rsid w:val="00065660"/>
    <w:rsid w:val="00066FE7"/>
    <w:rsid w:val="000701D7"/>
    <w:rsid w:val="00071A91"/>
    <w:rsid w:val="0007568D"/>
    <w:rsid w:val="00075C12"/>
    <w:rsid w:val="00075E6C"/>
    <w:rsid w:val="00075E78"/>
    <w:rsid w:val="000768E5"/>
    <w:rsid w:val="00076A7D"/>
    <w:rsid w:val="00077B09"/>
    <w:rsid w:val="00077DBB"/>
    <w:rsid w:val="00080DFF"/>
    <w:rsid w:val="000839A0"/>
    <w:rsid w:val="00084CB6"/>
    <w:rsid w:val="00087F1A"/>
    <w:rsid w:val="00091E0D"/>
    <w:rsid w:val="0009361A"/>
    <w:rsid w:val="000943FF"/>
    <w:rsid w:val="00094924"/>
    <w:rsid w:val="00094B2B"/>
    <w:rsid w:val="00096256"/>
    <w:rsid w:val="000964DC"/>
    <w:rsid w:val="0009666B"/>
    <w:rsid w:val="000975A1"/>
    <w:rsid w:val="000976C6"/>
    <w:rsid w:val="000A1D8D"/>
    <w:rsid w:val="000A5823"/>
    <w:rsid w:val="000B04FC"/>
    <w:rsid w:val="000B0FC5"/>
    <w:rsid w:val="000B1902"/>
    <w:rsid w:val="000B1F7A"/>
    <w:rsid w:val="000B27DF"/>
    <w:rsid w:val="000B29AD"/>
    <w:rsid w:val="000B2A1E"/>
    <w:rsid w:val="000B46AC"/>
    <w:rsid w:val="000B4C48"/>
    <w:rsid w:val="000B7006"/>
    <w:rsid w:val="000C09F2"/>
    <w:rsid w:val="000C0BE7"/>
    <w:rsid w:val="000C0E2F"/>
    <w:rsid w:val="000C1E1E"/>
    <w:rsid w:val="000C2269"/>
    <w:rsid w:val="000C2FF0"/>
    <w:rsid w:val="000C324D"/>
    <w:rsid w:val="000C373D"/>
    <w:rsid w:val="000C59A1"/>
    <w:rsid w:val="000C5A34"/>
    <w:rsid w:val="000C6372"/>
    <w:rsid w:val="000C7A85"/>
    <w:rsid w:val="000C7B7F"/>
    <w:rsid w:val="000C7F70"/>
    <w:rsid w:val="000D03A7"/>
    <w:rsid w:val="000D1064"/>
    <w:rsid w:val="000D175F"/>
    <w:rsid w:val="000D26FD"/>
    <w:rsid w:val="000D2C4A"/>
    <w:rsid w:val="000D523C"/>
    <w:rsid w:val="000D71D6"/>
    <w:rsid w:val="000D7D2E"/>
    <w:rsid w:val="000E057E"/>
    <w:rsid w:val="000E06C4"/>
    <w:rsid w:val="000E086B"/>
    <w:rsid w:val="000E1411"/>
    <w:rsid w:val="000E1CEE"/>
    <w:rsid w:val="000E392D"/>
    <w:rsid w:val="000E420F"/>
    <w:rsid w:val="000F07D0"/>
    <w:rsid w:val="000F2EC6"/>
    <w:rsid w:val="000F33A7"/>
    <w:rsid w:val="000F4288"/>
    <w:rsid w:val="000F7165"/>
    <w:rsid w:val="00100E75"/>
    <w:rsid w:val="00101460"/>
    <w:rsid w:val="001019F5"/>
    <w:rsid w:val="00102379"/>
    <w:rsid w:val="001023C2"/>
    <w:rsid w:val="00103308"/>
    <w:rsid w:val="001060F6"/>
    <w:rsid w:val="001064A4"/>
    <w:rsid w:val="001065D6"/>
    <w:rsid w:val="00106E44"/>
    <w:rsid w:val="001107EA"/>
    <w:rsid w:val="001115D0"/>
    <w:rsid w:val="00111DF6"/>
    <w:rsid w:val="00113551"/>
    <w:rsid w:val="001155AE"/>
    <w:rsid w:val="00115EE0"/>
    <w:rsid w:val="00116BB2"/>
    <w:rsid w:val="00117C6B"/>
    <w:rsid w:val="00117C89"/>
    <w:rsid w:val="00117E13"/>
    <w:rsid w:val="00121252"/>
    <w:rsid w:val="001216E6"/>
    <w:rsid w:val="00122DE5"/>
    <w:rsid w:val="00124609"/>
    <w:rsid w:val="00124C44"/>
    <w:rsid w:val="001254CE"/>
    <w:rsid w:val="00127524"/>
    <w:rsid w:val="001302DE"/>
    <w:rsid w:val="00131E9D"/>
    <w:rsid w:val="00132396"/>
    <w:rsid w:val="00132D83"/>
    <w:rsid w:val="00134CEA"/>
    <w:rsid w:val="00140FA9"/>
    <w:rsid w:val="001422CC"/>
    <w:rsid w:val="00144667"/>
    <w:rsid w:val="00144A11"/>
    <w:rsid w:val="00146665"/>
    <w:rsid w:val="00147C64"/>
    <w:rsid w:val="001531A9"/>
    <w:rsid w:val="001547E5"/>
    <w:rsid w:val="00154A51"/>
    <w:rsid w:val="00154FDB"/>
    <w:rsid w:val="00155F24"/>
    <w:rsid w:val="00156DBD"/>
    <w:rsid w:val="00156DF8"/>
    <w:rsid w:val="0015782A"/>
    <w:rsid w:val="001617B6"/>
    <w:rsid w:val="00162EC7"/>
    <w:rsid w:val="00164B47"/>
    <w:rsid w:val="00165E66"/>
    <w:rsid w:val="001673E8"/>
    <w:rsid w:val="00167A9B"/>
    <w:rsid w:val="0017019B"/>
    <w:rsid w:val="001706C0"/>
    <w:rsid w:val="00170CA0"/>
    <w:rsid w:val="00172E15"/>
    <w:rsid w:val="00172E73"/>
    <w:rsid w:val="00174B14"/>
    <w:rsid w:val="00175CBA"/>
    <w:rsid w:val="00175D09"/>
    <w:rsid w:val="00177763"/>
    <w:rsid w:val="0018247C"/>
    <w:rsid w:val="00184571"/>
    <w:rsid w:val="00185C96"/>
    <w:rsid w:val="0018790D"/>
    <w:rsid w:val="0019018F"/>
    <w:rsid w:val="00191487"/>
    <w:rsid w:val="00191D0A"/>
    <w:rsid w:val="00193986"/>
    <w:rsid w:val="00193C72"/>
    <w:rsid w:val="001943F2"/>
    <w:rsid w:val="00195F7B"/>
    <w:rsid w:val="001964CD"/>
    <w:rsid w:val="001976E4"/>
    <w:rsid w:val="00197F4C"/>
    <w:rsid w:val="001A05F4"/>
    <w:rsid w:val="001A1088"/>
    <w:rsid w:val="001A3A54"/>
    <w:rsid w:val="001A4322"/>
    <w:rsid w:val="001A671E"/>
    <w:rsid w:val="001A7720"/>
    <w:rsid w:val="001B2670"/>
    <w:rsid w:val="001B7D19"/>
    <w:rsid w:val="001C14C9"/>
    <w:rsid w:val="001C35DC"/>
    <w:rsid w:val="001C36CA"/>
    <w:rsid w:val="001C6B44"/>
    <w:rsid w:val="001C6B71"/>
    <w:rsid w:val="001C7BAE"/>
    <w:rsid w:val="001D07AC"/>
    <w:rsid w:val="001D0E65"/>
    <w:rsid w:val="001D39A9"/>
    <w:rsid w:val="001D5C78"/>
    <w:rsid w:val="001D6409"/>
    <w:rsid w:val="001D6C12"/>
    <w:rsid w:val="001E2695"/>
    <w:rsid w:val="001E31FA"/>
    <w:rsid w:val="001E3835"/>
    <w:rsid w:val="001E4D7D"/>
    <w:rsid w:val="001E64F6"/>
    <w:rsid w:val="001E6FEA"/>
    <w:rsid w:val="001E79A6"/>
    <w:rsid w:val="001F1F94"/>
    <w:rsid w:val="001F205C"/>
    <w:rsid w:val="001F2769"/>
    <w:rsid w:val="001F2E2E"/>
    <w:rsid w:val="001F2E46"/>
    <w:rsid w:val="001F3284"/>
    <w:rsid w:val="001F3733"/>
    <w:rsid w:val="001F4669"/>
    <w:rsid w:val="001F5223"/>
    <w:rsid w:val="001F5B86"/>
    <w:rsid w:val="002001BC"/>
    <w:rsid w:val="00202FA3"/>
    <w:rsid w:val="00203710"/>
    <w:rsid w:val="002037C7"/>
    <w:rsid w:val="002047C6"/>
    <w:rsid w:val="00204CB9"/>
    <w:rsid w:val="00205D60"/>
    <w:rsid w:val="00207CD0"/>
    <w:rsid w:val="00211B88"/>
    <w:rsid w:val="00215F7C"/>
    <w:rsid w:val="00216A8C"/>
    <w:rsid w:val="002203A5"/>
    <w:rsid w:val="0022239C"/>
    <w:rsid w:val="00222BEB"/>
    <w:rsid w:val="002246EC"/>
    <w:rsid w:val="00225E60"/>
    <w:rsid w:val="00227934"/>
    <w:rsid w:val="00227D55"/>
    <w:rsid w:val="00231118"/>
    <w:rsid w:val="002315EA"/>
    <w:rsid w:val="00231BD3"/>
    <w:rsid w:val="0023202C"/>
    <w:rsid w:val="00232DFC"/>
    <w:rsid w:val="00236203"/>
    <w:rsid w:val="00237337"/>
    <w:rsid w:val="0023762A"/>
    <w:rsid w:val="002418C5"/>
    <w:rsid w:val="0024197C"/>
    <w:rsid w:val="00242FEA"/>
    <w:rsid w:val="00245043"/>
    <w:rsid w:val="002469C1"/>
    <w:rsid w:val="0025008F"/>
    <w:rsid w:val="00251645"/>
    <w:rsid w:val="0025253D"/>
    <w:rsid w:val="0025301C"/>
    <w:rsid w:val="00256518"/>
    <w:rsid w:val="00257760"/>
    <w:rsid w:val="002600FB"/>
    <w:rsid w:val="002626C6"/>
    <w:rsid w:val="00263F46"/>
    <w:rsid w:val="0026550C"/>
    <w:rsid w:val="00267174"/>
    <w:rsid w:val="00267A09"/>
    <w:rsid w:val="00270B29"/>
    <w:rsid w:val="00270C0E"/>
    <w:rsid w:val="00272103"/>
    <w:rsid w:val="00273F7D"/>
    <w:rsid w:val="0027484C"/>
    <w:rsid w:val="00274DFA"/>
    <w:rsid w:val="002752C5"/>
    <w:rsid w:val="00276118"/>
    <w:rsid w:val="00277A25"/>
    <w:rsid w:val="00280C87"/>
    <w:rsid w:val="00283179"/>
    <w:rsid w:val="00286F9A"/>
    <w:rsid w:val="00292D36"/>
    <w:rsid w:val="0029525D"/>
    <w:rsid w:val="00295AEE"/>
    <w:rsid w:val="002966A9"/>
    <w:rsid w:val="00297281"/>
    <w:rsid w:val="002A1895"/>
    <w:rsid w:val="002A4004"/>
    <w:rsid w:val="002A4AD1"/>
    <w:rsid w:val="002A6528"/>
    <w:rsid w:val="002A68D8"/>
    <w:rsid w:val="002A7440"/>
    <w:rsid w:val="002A79B8"/>
    <w:rsid w:val="002B00E7"/>
    <w:rsid w:val="002B61B0"/>
    <w:rsid w:val="002B68E8"/>
    <w:rsid w:val="002C0E19"/>
    <w:rsid w:val="002C1BE3"/>
    <w:rsid w:val="002C22C7"/>
    <w:rsid w:val="002C437C"/>
    <w:rsid w:val="002C4CDD"/>
    <w:rsid w:val="002C54E0"/>
    <w:rsid w:val="002C6889"/>
    <w:rsid w:val="002C76AB"/>
    <w:rsid w:val="002C77F2"/>
    <w:rsid w:val="002D2A9E"/>
    <w:rsid w:val="002D341B"/>
    <w:rsid w:val="002D5A5C"/>
    <w:rsid w:val="002D711A"/>
    <w:rsid w:val="002D7317"/>
    <w:rsid w:val="002D7336"/>
    <w:rsid w:val="002E10C2"/>
    <w:rsid w:val="002E269B"/>
    <w:rsid w:val="002E3396"/>
    <w:rsid w:val="002E7031"/>
    <w:rsid w:val="002E726D"/>
    <w:rsid w:val="002F0596"/>
    <w:rsid w:val="002F06E1"/>
    <w:rsid w:val="002F11C4"/>
    <w:rsid w:val="002F143E"/>
    <w:rsid w:val="002F27C7"/>
    <w:rsid w:val="002F3C04"/>
    <w:rsid w:val="002F45D9"/>
    <w:rsid w:val="002F54BA"/>
    <w:rsid w:val="002F5E7D"/>
    <w:rsid w:val="0030159C"/>
    <w:rsid w:val="00303022"/>
    <w:rsid w:val="00304A3E"/>
    <w:rsid w:val="00305289"/>
    <w:rsid w:val="00305E59"/>
    <w:rsid w:val="00310C06"/>
    <w:rsid w:val="00310CB6"/>
    <w:rsid w:val="0031149C"/>
    <w:rsid w:val="00311C0F"/>
    <w:rsid w:val="00312280"/>
    <w:rsid w:val="00312541"/>
    <w:rsid w:val="00312FB5"/>
    <w:rsid w:val="00313318"/>
    <w:rsid w:val="00314242"/>
    <w:rsid w:val="00321AC8"/>
    <w:rsid w:val="003225E4"/>
    <w:rsid w:val="00322788"/>
    <w:rsid w:val="00322B24"/>
    <w:rsid w:val="003256A2"/>
    <w:rsid w:val="0032728D"/>
    <w:rsid w:val="003277D6"/>
    <w:rsid w:val="0032794E"/>
    <w:rsid w:val="00333D52"/>
    <w:rsid w:val="00334688"/>
    <w:rsid w:val="00335DCE"/>
    <w:rsid w:val="003373D8"/>
    <w:rsid w:val="00337C34"/>
    <w:rsid w:val="0034238B"/>
    <w:rsid w:val="00345334"/>
    <w:rsid w:val="003466FD"/>
    <w:rsid w:val="003508A3"/>
    <w:rsid w:val="00351815"/>
    <w:rsid w:val="00352DE9"/>
    <w:rsid w:val="003537AF"/>
    <w:rsid w:val="00355146"/>
    <w:rsid w:val="0035690C"/>
    <w:rsid w:val="00356FDB"/>
    <w:rsid w:val="0035799B"/>
    <w:rsid w:val="00361426"/>
    <w:rsid w:val="00365ADF"/>
    <w:rsid w:val="0037131A"/>
    <w:rsid w:val="0037192D"/>
    <w:rsid w:val="00371C5D"/>
    <w:rsid w:val="0037464B"/>
    <w:rsid w:val="003746A4"/>
    <w:rsid w:val="00374CAB"/>
    <w:rsid w:val="00374F5D"/>
    <w:rsid w:val="00376161"/>
    <w:rsid w:val="0037616C"/>
    <w:rsid w:val="00377095"/>
    <w:rsid w:val="00380743"/>
    <w:rsid w:val="0038229D"/>
    <w:rsid w:val="00382EE1"/>
    <w:rsid w:val="00383339"/>
    <w:rsid w:val="00383B84"/>
    <w:rsid w:val="00384D50"/>
    <w:rsid w:val="003852B8"/>
    <w:rsid w:val="00385422"/>
    <w:rsid w:val="00385660"/>
    <w:rsid w:val="003857DA"/>
    <w:rsid w:val="00385948"/>
    <w:rsid w:val="00386645"/>
    <w:rsid w:val="0038771C"/>
    <w:rsid w:val="003917A9"/>
    <w:rsid w:val="0039405B"/>
    <w:rsid w:val="003952CB"/>
    <w:rsid w:val="00396781"/>
    <w:rsid w:val="00396DE4"/>
    <w:rsid w:val="003978E5"/>
    <w:rsid w:val="003A1C92"/>
    <w:rsid w:val="003A220F"/>
    <w:rsid w:val="003A2741"/>
    <w:rsid w:val="003A3BAC"/>
    <w:rsid w:val="003A541A"/>
    <w:rsid w:val="003A6359"/>
    <w:rsid w:val="003A6923"/>
    <w:rsid w:val="003A7EB7"/>
    <w:rsid w:val="003B0BE8"/>
    <w:rsid w:val="003B0E64"/>
    <w:rsid w:val="003B1F7D"/>
    <w:rsid w:val="003B2223"/>
    <w:rsid w:val="003B23C5"/>
    <w:rsid w:val="003B32BD"/>
    <w:rsid w:val="003B3CE1"/>
    <w:rsid w:val="003C078D"/>
    <w:rsid w:val="003C08CC"/>
    <w:rsid w:val="003C2C67"/>
    <w:rsid w:val="003C55FB"/>
    <w:rsid w:val="003C5854"/>
    <w:rsid w:val="003C5BA4"/>
    <w:rsid w:val="003C74BD"/>
    <w:rsid w:val="003D0531"/>
    <w:rsid w:val="003D1860"/>
    <w:rsid w:val="003D1F1A"/>
    <w:rsid w:val="003D2181"/>
    <w:rsid w:val="003D3B7E"/>
    <w:rsid w:val="003D5426"/>
    <w:rsid w:val="003D76E8"/>
    <w:rsid w:val="003E1736"/>
    <w:rsid w:val="003E3070"/>
    <w:rsid w:val="003E339B"/>
    <w:rsid w:val="003E3E26"/>
    <w:rsid w:val="003E5482"/>
    <w:rsid w:val="003E648D"/>
    <w:rsid w:val="003E742A"/>
    <w:rsid w:val="003F0639"/>
    <w:rsid w:val="003F0CCC"/>
    <w:rsid w:val="003F1295"/>
    <w:rsid w:val="003F2281"/>
    <w:rsid w:val="003F3034"/>
    <w:rsid w:val="003F390C"/>
    <w:rsid w:val="003F76FC"/>
    <w:rsid w:val="003F7EC8"/>
    <w:rsid w:val="004002EB"/>
    <w:rsid w:val="004047DB"/>
    <w:rsid w:val="00405764"/>
    <w:rsid w:val="00412017"/>
    <w:rsid w:val="00412696"/>
    <w:rsid w:val="004126F5"/>
    <w:rsid w:val="00413344"/>
    <w:rsid w:val="0041435F"/>
    <w:rsid w:val="0041688D"/>
    <w:rsid w:val="0041689E"/>
    <w:rsid w:val="0041713E"/>
    <w:rsid w:val="00417AB2"/>
    <w:rsid w:val="00417CFC"/>
    <w:rsid w:val="00421A29"/>
    <w:rsid w:val="00421F2E"/>
    <w:rsid w:val="004236C8"/>
    <w:rsid w:val="00423DB6"/>
    <w:rsid w:val="00425C92"/>
    <w:rsid w:val="00425F83"/>
    <w:rsid w:val="00426FEA"/>
    <w:rsid w:val="00427681"/>
    <w:rsid w:val="004316A7"/>
    <w:rsid w:val="00431997"/>
    <w:rsid w:val="00433DB7"/>
    <w:rsid w:val="00435131"/>
    <w:rsid w:val="00437EF7"/>
    <w:rsid w:val="00440492"/>
    <w:rsid w:val="00440AC5"/>
    <w:rsid w:val="004411A1"/>
    <w:rsid w:val="00442A59"/>
    <w:rsid w:val="0044395F"/>
    <w:rsid w:val="004451FE"/>
    <w:rsid w:val="0044571E"/>
    <w:rsid w:val="004465C5"/>
    <w:rsid w:val="004472CC"/>
    <w:rsid w:val="00447882"/>
    <w:rsid w:val="00450879"/>
    <w:rsid w:val="00450EFC"/>
    <w:rsid w:val="0045100E"/>
    <w:rsid w:val="00451B32"/>
    <w:rsid w:val="00451DC7"/>
    <w:rsid w:val="004521A1"/>
    <w:rsid w:val="00453750"/>
    <w:rsid w:val="00453BC8"/>
    <w:rsid w:val="00453C64"/>
    <w:rsid w:val="00455217"/>
    <w:rsid w:val="00456941"/>
    <w:rsid w:val="004569CC"/>
    <w:rsid w:val="00461041"/>
    <w:rsid w:val="00461C71"/>
    <w:rsid w:val="004627D6"/>
    <w:rsid w:val="00462A8D"/>
    <w:rsid w:val="00463A9E"/>
    <w:rsid w:val="00464F7E"/>
    <w:rsid w:val="0046697B"/>
    <w:rsid w:val="004702EA"/>
    <w:rsid w:val="004703AB"/>
    <w:rsid w:val="00470827"/>
    <w:rsid w:val="004732F0"/>
    <w:rsid w:val="00474853"/>
    <w:rsid w:val="00474F74"/>
    <w:rsid w:val="00475865"/>
    <w:rsid w:val="004763F4"/>
    <w:rsid w:val="00476511"/>
    <w:rsid w:val="00477A2D"/>
    <w:rsid w:val="00480361"/>
    <w:rsid w:val="004814A5"/>
    <w:rsid w:val="00481702"/>
    <w:rsid w:val="00482D02"/>
    <w:rsid w:val="00485B06"/>
    <w:rsid w:val="00490177"/>
    <w:rsid w:val="004924E4"/>
    <w:rsid w:val="004948F8"/>
    <w:rsid w:val="00496660"/>
    <w:rsid w:val="004A167B"/>
    <w:rsid w:val="004A23D9"/>
    <w:rsid w:val="004A2FD5"/>
    <w:rsid w:val="004A48F8"/>
    <w:rsid w:val="004A54B3"/>
    <w:rsid w:val="004A6E6F"/>
    <w:rsid w:val="004A7519"/>
    <w:rsid w:val="004B20D4"/>
    <w:rsid w:val="004B2DE3"/>
    <w:rsid w:val="004B3689"/>
    <w:rsid w:val="004B3C28"/>
    <w:rsid w:val="004B4EA6"/>
    <w:rsid w:val="004B50E7"/>
    <w:rsid w:val="004B7D00"/>
    <w:rsid w:val="004C3971"/>
    <w:rsid w:val="004C40FC"/>
    <w:rsid w:val="004C43D8"/>
    <w:rsid w:val="004C794A"/>
    <w:rsid w:val="004D1221"/>
    <w:rsid w:val="004D1302"/>
    <w:rsid w:val="004D1835"/>
    <w:rsid w:val="004D193A"/>
    <w:rsid w:val="004D2864"/>
    <w:rsid w:val="004D2BE8"/>
    <w:rsid w:val="004D3518"/>
    <w:rsid w:val="004D3C18"/>
    <w:rsid w:val="004D3CBB"/>
    <w:rsid w:val="004D5383"/>
    <w:rsid w:val="004D62D6"/>
    <w:rsid w:val="004D71D7"/>
    <w:rsid w:val="004D772C"/>
    <w:rsid w:val="004E1E6B"/>
    <w:rsid w:val="004E212B"/>
    <w:rsid w:val="004E5171"/>
    <w:rsid w:val="004E6DBA"/>
    <w:rsid w:val="004F163E"/>
    <w:rsid w:val="004F4385"/>
    <w:rsid w:val="004F6445"/>
    <w:rsid w:val="004F754C"/>
    <w:rsid w:val="00502116"/>
    <w:rsid w:val="00502BB7"/>
    <w:rsid w:val="005037CF"/>
    <w:rsid w:val="005074A9"/>
    <w:rsid w:val="005076E1"/>
    <w:rsid w:val="0051139F"/>
    <w:rsid w:val="00511626"/>
    <w:rsid w:val="0051287F"/>
    <w:rsid w:val="00512A84"/>
    <w:rsid w:val="005161A1"/>
    <w:rsid w:val="00517739"/>
    <w:rsid w:val="00523711"/>
    <w:rsid w:val="00526F5E"/>
    <w:rsid w:val="00527824"/>
    <w:rsid w:val="0053121A"/>
    <w:rsid w:val="005312D5"/>
    <w:rsid w:val="005320B8"/>
    <w:rsid w:val="0053416C"/>
    <w:rsid w:val="005355E0"/>
    <w:rsid w:val="0053638D"/>
    <w:rsid w:val="00536E3E"/>
    <w:rsid w:val="005404B9"/>
    <w:rsid w:val="005416E1"/>
    <w:rsid w:val="00541A4C"/>
    <w:rsid w:val="00541C2F"/>
    <w:rsid w:val="00542210"/>
    <w:rsid w:val="005434C2"/>
    <w:rsid w:val="005440B9"/>
    <w:rsid w:val="005469B7"/>
    <w:rsid w:val="00547B23"/>
    <w:rsid w:val="00547C03"/>
    <w:rsid w:val="00551FC1"/>
    <w:rsid w:val="00554086"/>
    <w:rsid w:val="00556612"/>
    <w:rsid w:val="00557C1A"/>
    <w:rsid w:val="00561576"/>
    <w:rsid w:val="00561C2A"/>
    <w:rsid w:val="00563527"/>
    <w:rsid w:val="00563738"/>
    <w:rsid w:val="00565BBC"/>
    <w:rsid w:val="00565CF3"/>
    <w:rsid w:val="00566976"/>
    <w:rsid w:val="0057146A"/>
    <w:rsid w:val="00572B39"/>
    <w:rsid w:val="005757F3"/>
    <w:rsid w:val="0057703D"/>
    <w:rsid w:val="005778BF"/>
    <w:rsid w:val="00577BC5"/>
    <w:rsid w:val="00577E3E"/>
    <w:rsid w:val="00580980"/>
    <w:rsid w:val="0058124E"/>
    <w:rsid w:val="005827F6"/>
    <w:rsid w:val="005828FE"/>
    <w:rsid w:val="00582920"/>
    <w:rsid w:val="0058324C"/>
    <w:rsid w:val="005835E0"/>
    <w:rsid w:val="00583E9A"/>
    <w:rsid w:val="00584A58"/>
    <w:rsid w:val="00585B6E"/>
    <w:rsid w:val="00586B8E"/>
    <w:rsid w:val="005870FB"/>
    <w:rsid w:val="005871E1"/>
    <w:rsid w:val="005875A3"/>
    <w:rsid w:val="00587771"/>
    <w:rsid w:val="00587F25"/>
    <w:rsid w:val="00590F23"/>
    <w:rsid w:val="00591B71"/>
    <w:rsid w:val="00592084"/>
    <w:rsid w:val="005922DE"/>
    <w:rsid w:val="00593890"/>
    <w:rsid w:val="00595DB2"/>
    <w:rsid w:val="005965D9"/>
    <w:rsid w:val="00596852"/>
    <w:rsid w:val="00596B61"/>
    <w:rsid w:val="00597F33"/>
    <w:rsid w:val="005A0E83"/>
    <w:rsid w:val="005A2CC8"/>
    <w:rsid w:val="005A3416"/>
    <w:rsid w:val="005A507E"/>
    <w:rsid w:val="005A61FD"/>
    <w:rsid w:val="005B10EA"/>
    <w:rsid w:val="005B1A94"/>
    <w:rsid w:val="005B27FE"/>
    <w:rsid w:val="005B4637"/>
    <w:rsid w:val="005B7E36"/>
    <w:rsid w:val="005C0693"/>
    <w:rsid w:val="005C0D15"/>
    <w:rsid w:val="005C1A8F"/>
    <w:rsid w:val="005C271F"/>
    <w:rsid w:val="005C3E6D"/>
    <w:rsid w:val="005C492E"/>
    <w:rsid w:val="005C57E5"/>
    <w:rsid w:val="005C7510"/>
    <w:rsid w:val="005D1AC4"/>
    <w:rsid w:val="005D1BF2"/>
    <w:rsid w:val="005D4EFC"/>
    <w:rsid w:val="005D51F0"/>
    <w:rsid w:val="005D691B"/>
    <w:rsid w:val="005E118A"/>
    <w:rsid w:val="005E73DC"/>
    <w:rsid w:val="005F2C91"/>
    <w:rsid w:val="005F39DD"/>
    <w:rsid w:val="005F61DF"/>
    <w:rsid w:val="005F681F"/>
    <w:rsid w:val="005F693C"/>
    <w:rsid w:val="005F7387"/>
    <w:rsid w:val="00600530"/>
    <w:rsid w:val="0060160D"/>
    <w:rsid w:val="00601C87"/>
    <w:rsid w:val="006023F9"/>
    <w:rsid w:val="00604738"/>
    <w:rsid w:val="006051DC"/>
    <w:rsid w:val="00606DA9"/>
    <w:rsid w:val="00607B03"/>
    <w:rsid w:val="006104B9"/>
    <w:rsid w:val="00610559"/>
    <w:rsid w:val="0061267C"/>
    <w:rsid w:val="00614F99"/>
    <w:rsid w:val="00617AC8"/>
    <w:rsid w:val="00620C25"/>
    <w:rsid w:val="00623F7A"/>
    <w:rsid w:val="00624C1D"/>
    <w:rsid w:val="00625D63"/>
    <w:rsid w:val="00625DB5"/>
    <w:rsid w:val="00625E07"/>
    <w:rsid w:val="00631B7A"/>
    <w:rsid w:val="006332F6"/>
    <w:rsid w:val="0063516C"/>
    <w:rsid w:val="00635241"/>
    <w:rsid w:val="00635632"/>
    <w:rsid w:val="0063599A"/>
    <w:rsid w:val="006361DF"/>
    <w:rsid w:val="006372D8"/>
    <w:rsid w:val="006378E9"/>
    <w:rsid w:val="00641ECA"/>
    <w:rsid w:val="00643001"/>
    <w:rsid w:val="0064615F"/>
    <w:rsid w:val="006461AE"/>
    <w:rsid w:val="00650125"/>
    <w:rsid w:val="00650715"/>
    <w:rsid w:val="00651997"/>
    <w:rsid w:val="006519F6"/>
    <w:rsid w:val="00651D81"/>
    <w:rsid w:val="00652625"/>
    <w:rsid w:val="00652782"/>
    <w:rsid w:val="006534B2"/>
    <w:rsid w:val="00654E78"/>
    <w:rsid w:val="0065615D"/>
    <w:rsid w:val="00656497"/>
    <w:rsid w:val="00657011"/>
    <w:rsid w:val="00657D33"/>
    <w:rsid w:val="00660021"/>
    <w:rsid w:val="0066216F"/>
    <w:rsid w:val="0066265C"/>
    <w:rsid w:val="006650B5"/>
    <w:rsid w:val="006651B1"/>
    <w:rsid w:val="0066548F"/>
    <w:rsid w:val="006655EA"/>
    <w:rsid w:val="00665778"/>
    <w:rsid w:val="00666C86"/>
    <w:rsid w:val="00670439"/>
    <w:rsid w:val="0067134E"/>
    <w:rsid w:val="00672CA9"/>
    <w:rsid w:val="00674125"/>
    <w:rsid w:val="00674DE7"/>
    <w:rsid w:val="00675B55"/>
    <w:rsid w:val="00683342"/>
    <w:rsid w:val="00683C06"/>
    <w:rsid w:val="00684B34"/>
    <w:rsid w:val="00684EDC"/>
    <w:rsid w:val="00685DC1"/>
    <w:rsid w:val="00687302"/>
    <w:rsid w:val="00687AE9"/>
    <w:rsid w:val="00692198"/>
    <w:rsid w:val="006926E2"/>
    <w:rsid w:val="00693799"/>
    <w:rsid w:val="0069381E"/>
    <w:rsid w:val="00695217"/>
    <w:rsid w:val="00696271"/>
    <w:rsid w:val="00696B9A"/>
    <w:rsid w:val="006972D3"/>
    <w:rsid w:val="0069732E"/>
    <w:rsid w:val="00697541"/>
    <w:rsid w:val="00697E58"/>
    <w:rsid w:val="006A0993"/>
    <w:rsid w:val="006A1542"/>
    <w:rsid w:val="006A249A"/>
    <w:rsid w:val="006A24C9"/>
    <w:rsid w:val="006A3B5E"/>
    <w:rsid w:val="006A41FF"/>
    <w:rsid w:val="006A5B34"/>
    <w:rsid w:val="006A5F5B"/>
    <w:rsid w:val="006A6BCF"/>
    <w:rsid w:val="006A773C"/>
    <w:rsid w:val="006B0380"/>
    <w:rsid w:val="006B0A07"/>
    <w:rsid w:val="006B2873"/>
    <w:rsid w:val="006B3AD5"/>
    <w:rsid w:val="006B5B83"/>
    <w:rsid w:val="006B604D"/>
    <w:rsid w:val="006B7796"/>
    <w:rsid w:val="006B7F15"/>
    <w:rsid w:val="006C03CA"/>
    <w:rsid w:val="006C0D05"/>
    <w:rsid w:val="006C15DA"/>
    <w:rsid w:val="006C18F9"/>
    <w:rsid w:val="006C1BE4"/>
    <w:rsid w:val="006C46F4"/>
    <w:rsid w:val="006C6F84"/>
    <w:rsid w:val="006C75E8"/>
    <w:rsid w:val="006C76C5"/>
    <w:rsid w:val="006C77A9"/>
    <w:rsid w:val="006C78FB"/>
    <w:rsid w:val="006D0C61"/>
    <w:rsid w:val="006D29CB"/>
    <w:rsid w:val="006D3A90"/>
    <w:rsid w:val="006D3CE1"/>
    <w:rsid w:val="006D417F"/>
    <w:rsid w:val="006D66F9"/>
    <w:rsid w:val="006D7E85"/>
    <w:rsid w:val="006E0FA4"/>
    <w:rsid w:val="006E2B38"/>
    <w:rsid w:val="006E37D3"/>
    <w:rsid w:val="006E7149"/>
    <w:rsid w:val="006E7249"/>
    <w:rsid w:val="006E75A9"/>
    <w:rsid w:val="006F127B"/>
    <w:rsid w:val="006F37A0"/>
    <w:rsid w:val="006F4334"/>
    <w:rsid w:val="006F65A4"/>
    <w:rsid w:val="006F6693"/>
    <w:rsid w:val="006F66BF"/>
    <w:rsid w:val="006F6C8F"/>
    <w:rsid w:val="006F71AD"/>
    <w:rsid w:val="006F757C"/>
    <w:rsid w:val="006F7D1A"/>
    <w:rsid w:val="0070117D"/>
    <w:rsid w:val="00702EB8"/>
    <w:rsid w:val="00703452"/>
    <w:rsid w:val="00703D34"/>
    <w:rsid w:val="00704207"/>
    <w:rsid w:val="0070537E"/>
    <w:rsid w:val="00705DDB"/>
    <w:rsid w:val="00706339"/>
    <w:rsid w:val="00707FE8"/>
    <w:rsid w:val="0071070B"/>
    <w:rsid w:val="007113C2"/>
    <w:rsid w:val="0071148A"/>
    <w:rsid w:val="0071241B"/>
    <w:rsid w:val="0071515D"/>
    <w:rsid w:val="00715A6D"/>
    <w:rsid w:val="00716394"/>
    <w:rsid w:val="0071702B"/>
    <w:rsid w:val="00717EBA"/>
    <w:rsid w:val="00723486"/>
    <w:rsid w:val="0072477B"/>
    <w:rsid w:val="00724962"/>
    <w:rsid w:val="00724A0F"/>
    <w:rsid w:val="00724C7D"/>
    <w:rsid w:val="007258DC"/>
    <w:rsid w:val="00726030"/>
    <w:rsid w:val="00726C14"/>
    <w:rsid w:val="00727451"/>
    <w:rsid w:val="0072766B"/>
    <w:rsid w:val="007303E7"/>
    <w:rsid w:val="00732162"/>
    <w:rsid w:val="0073271E"/>
    <w:rsid w:val="00733026"/>
    <w:rsid w:val="00733548"/>
    <w:rsid w:val="00735A96"/>
    <w:rsid w:val="00735B12"/>
    <w:rsid w:val="00736732"/>
    <w:rsid w:val="00737495"/>
    <w:rsid w:val="007402C5"/>
    <w:rsid w:val="00740302"/>
    <w:rsid w:val="00740487"/>
    <w:rsid w:val="00742739"/>
    <w:rsid w:val="0074281E"/>
    <w:rsid w:val="00743AD1"/>
    <w:rsid w:val="007447C8"/>
    <w:rsid w:val="00744E23"/>
    <w:rsid w:val="00745174"/>
    <w:rsid w:val="007461B6"/>
    <w:rsid w:val="0074681C"/>
    <w:rsid w:val="007504CE"/>
    <w:rsid w:val="00750678"/>
    <w:rsid w:val="00750CBE"/>
    <w:rsid w:val="007512C4"/>
    <w:rsid w:val="007515CF"/>
    <w:rsid w:val="0075173B"/>
    <w:rsid w:val="00751ACA"/>
    <w:rsid w:val="00751F64"/>
    <w:rsid w:val="00752FC6"/>
    <w:rsid w:val="00753D34"/>
    <w:rsid w:val="007550A7"/>
    <w:rsid w:val="007566E7"/>
    <w:rsid w:val="00760C16"/>
    <w:rsid w:val="0076213D"/>
    <w:rsid w:val="007627C6"/>
    <w:rsid w:val="00762C53"/>
    <w:rsid w:val="007667E3"/>
    <w:rsid w:val="00766B5A"/>
    <w:rsid w:val="00767BD3"/>
    <w:rsid w:val="00770470"/>
    <w:rsid w:val="00771237"/>
    <w:rsid w:val="00773D31"/>
    <w:rsid w:val="00774598"/>
    <w:rsid w:val="00775906"/>
    <w:rsid w:val="00775C4A"/>
    <w:rsid w:val="00776260"/>
    <w:rsid w:val="00777237"/>
    <w:rsid w:val="00777D9B"/>
    <w:rsid w:val="0078278A"/>
    <w:rsid w:val="00783449"/>
    <w:rsid w:val="007834F2"/>
    <w:rsid w:val="00783717"/>
    <w:rsid w:val="007837CE"/>
    <w:rsid w:val="00784C55"/>
    <w:rsid w:val="007858BD"/>
    <w:rsid w:val="00785FC1"/>
    <w:rsid w:val="0078635B"/>
    <w:rsid w:val="007901EE"/>
    <w:rsid w:val="00790445"/>
    <w:rsid w:val="00791020"/>
    <w:rsid w:val="00792172"/>
    <w:rsid w:val="00792475"/>
    <w:rsid w:val="0079663A"/>
    <w:rsid w:val="007A0AFC"/>
    <w:rsid w:val="007A216D"/>
    <w:rsid w:val="007A34B1"/>
    <w:rsid w:val="007A4D89"/>
    <w:rsid w:val="007A5F82"/>
    <w:rsid w:val="007B1512"/>
    <w:rsid w:val="007B1E3E"/>
    <w:rsid w:val="007B3F43"/>
    <w:rsid w:val="007B6F3B"/>
    <w:rsid w:val="007C0EF8"/>
    <w:rsid w:val="007C3AE3"/>
    <w:rsid w:val="007C5532"/>
    <w:rsid w:val="007C6043"/>
    <w:rsid w:val="007C6C32"/>
    <w:rsid w:val="007C6D09"/>
    <w:rsid w:val="007C7DDB"/>
    <w:rsid w:val="007D4072"/>
    <w:rsid w:val="007D40A2"/>
    <w:rsid w:val="007D577E"/>
    <w:rsid w:val="007E0D01"/>
    <w:rsid w:val="007E12BB"/>
    <w:rsid w:val="007E57AB"/>
    <w:rsid w:val="007E5D8F"/>
    <w:rsid w:val="007E6302"/>
    <w:rsid w:val="007E63B5"/>
    <w:rsid w:val="007E713C"/>
    <w:rsid w:val="007F0737"/>
    <w:rsid w:val="007F0816"/>
    <w:rsid w:val="007F1275"/>
    <w:rsid w:val="007F1A4C"/>
    <w:rsid w:val="007F35E4"/>
    <w:rsid w:val="007F38F4"/>
    <w:rsid w:val="007F3A97"/>
    <w:rsid w:val="007F5A9F"/>
    <w:rsid w:val="00800DD1"/>
    <w:rsid w:val="008022C3"/>
    <w:rsid w:val="00802F8E"/>
    <w:rsid w:val="008041E6"/>
    <w:rsid w:val="008043A8"/>
    <w:rsid w:val="00804FA7"/>
    <w:rsid w:val="008065D2"/>
    <w:rsid w:val="008078B9"/>
    <w:rsid w:val="0081046D"/>
    <w:rsid w:val="00812127"/>
    <w:rsid w:val="008133B3"/>
    <w:rsid w:val="0081474A"/>
    <w:rsid w:val="00814A51"/>
    <w:rsid w:val="00820A24"/>
    <w:rsid w:val="0082194C"/>
    <w:rsid w:val="00822042"/>
    <w:rsid w:val="008220C4"/>
    <w:rsid w:val="008222FF"/>
    <w:rsid w:val="008228FD"/>
    <w:rsid w:val="008241FF"/>
    <w:rsid w:val="00824D06"/>
    <w:rsid w:val="00824F89"/>
    <w:rsid w:val="00826460"/>
    <w:rsid w:val="008315A1"/>
    <w:rsid w:val="00831EC9"/>
    <w:rsid w:val="0083215A"/>
    <w:rsid w:val="008374AD"/>
    <w:rsid w:val="00837E89"/>
    <w:rsid w:val="00840479"/>
    <w:rsid w:val="00840506"/>
    <w:rsid w:val="008406E7"/>
    <w:rsid w:val="0084076B"/>
    <w:rsid w:val="00840C72"/>
    <w:rsid w:val="0084102D"/>
    <w:rsid w:val="008411E9"/>
    <w:rsid w:val="00841ADE"/>
    <w:rsid w:val="00841E7F"/>
    <w:rsid w:val="0084200F"/>
    <w:rsid w:val="00843B2C"/>
    <w:rsid w:val="00843DEC"/>
    <w:rsid w:val="008448E8"/>
    <w:rsid w:val="00845577"/>
    <w:rsid w:val="00845AEE"/>
    <w:rsid w:val="00846330"/>
    <w:rsid w:val="00850B4C"/>
    <w:rsid w:val="00852A78"/>
    <w:rsid w:val="0085359B"/>
    <w:rsid w:val="00855A61"/>
    <w:rsid w:val="00857E00"/>
    <w:rsid w:val="008602E2"/>
    <w:rsid w:val="008605F8"/>
    <w:rsid w:val="00860E62"/>
    <w:rsid w:val="00862B75"/>
    <w:rsid w:val="00863669"/>
    <w:rsid w:val="00863A98"/>
    <w:rsid w:val="00863F21"/>
    <w:rsid w:val="00864FBA"/>
    <w:rsid w:val="00866376"/>
    <w:rsid w:val="008671B4"/>
    <w:rsid w:val="008671DF"/>
    <w:rsid w:val="008703A3"/>
    <w:rsid w:val="00870CD0"/>
    <w:rsid w:val="00870F6A"/>
    <w:rsid w:val="008716DD"/>
    <w:rsid w:val="00871EC2"/>
    <w:rsid w:val="008735F5"/>
    <w:rsid w:val="00875386"/>
    <w:rsid w:val="00876F82"/>
    <w:rsid w:val="008823AC"/>
    <w:rsid w:val="008836F0"/>
    <w:rsid w:val="00884A99"/>
    <w:rsid w:val="008855D6"/>
    <w:rsid w:val="00886A51"/>
    <w:rsid w:val="00886B91"/>
    <w:rsid w:val="00891335"/>
    <w:rsid w:val="00891E6A"/>
    <w:rsid w:val="008939A7"/>
    <w:rsid w:val="00894470"/>
    <w:rsid w:val="0089745A"/>
    <w:rsid w:val="008A124F"/>
    <w:rsid w:val="008A3066"/>
    <w:rsid w:val="008A3181"/>
    <w:rsid w:val="008A4900"/>
    <w:rsid w:val="008A6965"/>
    <w:rsid w:val="008B2A17"/>
    <w:rsid w:val="008B57BC"/>
    <w:rsid w:val="008B5EF5"/>
    <w:rsid w:val="008B6882"/>
    <w:rsid w:val="008B75E4"/>
    <w:rsid w:val="008B7FE3"/>
    <w:rsid w:val="008C1ADD"/>
    <w:rsid w:val="008C1C5B"/>
    <w:rsid w:val="008C1FA1"/>
    <w:rsid w:val="008C28F5"/>
    <w:rsid w:val="008C52E4"/>
    <w:rsid w:val="008C63EE"/>
    <w:rsid w:val="008D0281"/>
    <w:rsid w:val="008D02DF"/>
    <w:rsid w:val="008D2044"/>
    <w:rsid w:val="008D3583"/>
    <w:rsid w:val="008D4701"/>
    <w:rsid w:val="008D52CC"/>
    <w:rsid w:val="008D59D9"/>
    <w:rsid w:val="008D5E1C"/>
    <w:rsid w:val="008D5E3A"/>
    <w:rsid w:val="008D7698"/>
    <w:rsid w:val="008D76FA"/>
    <w:rsid w:val="008E1998"/>
    <w:rsid w:val="008E1BE7"/>
    <w:rsid w:val="008E3C4E"/>
    <w:rsid w:val="008E5C57"/>
    <w:rsid w:val="008E5C94"/>
    <w:rsid w:val="008E5D44"/>
    <w:rsid w:val="008E6F79"/>
    <w:rsid w:val="008E7004"/>
    <w:rsid w:val="008F14BD"/>
    <w:rsid w:val="008F29FF"/>
    <w:rsid w:val="008F2FC6"/>
    <w:rsid w:val="008F6D45"/>
    <w:rsid w:val="008F7317"/>
    <w:rsid w:val="00900776"/>
    <w:rsid w:val="00900997"/>
    <w:rsid w:val="009011F3"/>
    <w:rsid w:val="00901574"/>
    <w:rsid w:val="00902618"/>
    <w:rsid w:val="00902928"/>
    <w:rsid w:val="009065AA"/>
    <w:rsid w:val="00910698"/>
    <w:rsid w:val="00910C0A"/>
    <w:rsid w:val="009136E4"/>
    <w:rsid w:val="00921B72"/>
    <w:rsid w:val="00923B05"/>
    <w:rsid w:val="00924825"/>
    <w:rsid w:val="009250DA"/>
    <w:rsid w:val="00925262"/>
    <w:rsid w:val="009252DD"/>
    <w:rsid w:val="0092563E"/>
    <w:rsid w:val="009271D0"/>
    <w:rsid w:val="009275A5"/>
    <w:rsid w:val="00930744"/>
    <w:rsid w:val="0093084B"/>
    <w:rsid w:val="00930995"/>
    <w:rsid w:val="00931435"/>
    <w:rsid w:val="009317D9"/>
    <w:rsid w:val="009334E7"/>
    <w:rsid w:val="00934D4C"/>
    <w:rsid w:val="0094087E"/>
    <w:rsid w:val="009429C9"/>
    <w:rsid w:val="00942CF8"/>
    <w:rsid w:val="00944D4A"/>
    <w:rsid w:val="00945DAA"/>
    <w:rsid w:val="00947A3E"/>
    <w:rsid w:val="00951202"/>
    <w:rsid w:val="00952BD2"/>
    <w:rsid w:val="00955566"/>
    <w:rsid w:val="00956E46"/>
    <w:rsid w:val="00957221"/>
    <w:rsid w:val="009578CD"/>
    <w:rsid w:val="00962BE9"/>
    <w:rsid w:val="00963C94"/>
    <w:rsid w:val="00964E86"/>
    <w:rsid w:val="00967CEC"/>
    <w:rsid w:val="00971D32"/>
    <w:rsid w:val="009723C0"/>
    <w:rsid w:val="00974BD4"/>
    <w:rsid w:val="00981E61"/>
    <w:rsid w:val="00983458"/>
    <w:rsid w:val="009834C0"/>
    <w:rsid w:val="00983800"/>
    <w:rsid w:val="00985470"/>
    <w:rsid w:val="00985E60"/>
    <w:rsid w:val="00986251"/>
    <w:rsid w:val="00986322"/>
    <w:rsid w:val="00986AAC"/>
    <w:rsid w:val="00990182"/>
    <w:rsid w:val="0099093E"/>
    <w:rsid w:val="00991913"/>
    <w:rsid w:val="00991D22"/>
    <w:rsid w:val="0099266C"/>
    <w:rsid w:val="00992731"/>
    <w:rsid w:val="0099490F"/>
    <w:rsid w:val="0099734B"/>
    <w:rsid w:val="0099744E"/>
    <w:rsid w:val="0099788B"/>
    <w:rsid w:val="009A077E"/>
    <w:rsid w:val="009A09A3"/>
    <w:rsid w:val="009A1DA2"/>
    <w:rsid w:val="009A27EB"/>
    <w:rsid w:val="009A3704"/>
    <w:rsid w:val="009A4739"/>
    <w:rsid w:val="009A51AA"/>
    <w:rsid w:val="009A5CA7"/>
    <w:rsid w:val="009A674F"/>
    <w:rsid w:val="009B1326"/>
    <w:rsid w:val="009B199C"/>
    <w:rsid w:val="009B368A"/>
    <w:rsid w:val="009B37E1"/>
    <w:rsid w:val="009B54C8"/>
    <w:rsid w:val="009B5B17"/>
    <w:rsid w:val="009B61F1"/>
    <w:rsid w:val="009B62E0"/>
    <w:rsid w:val="009B6EEA"/>
    <w:rsid w:val="009B7579"/>
    <w:rsid w:val="009C0348"/>
    <w:rsid w:val="009C0A4E"/>
    <w:rsid w:val="009C2FB2"/>
    <w:rsid w:val="009C3D88"/>
    <w:rsid w:val="009C503D"/>
    <w:rsid w:val="009C7587"/>
    <w:rsid w:val="009C766B"/>
    <w:rsid w:val="009D145D"/>
    <w:rsid w:val="009D2429"/>
    <w:rsid w:val="009D3E27"/>
    <w:rsid w:val="009D483B"/>
    <w:rsid w:val="009D6445"/>
    <w:rsid w:val="009D6E19"/>
    <w:rsid w:val="009D7ACF"/>
    <w:rsid w:val="009D7F54"/>
    <w:rsid w:val="009E0369"/>
    <w:rsid w:val="009E0AF0"/>
    <w:rsid w:val="009E0FA6"/>
    <w:rsid w:val="009E26AA"/>
    <w:rsid w:val="009E28FB"/>
    <w:rsid w:val="009E3436"/>
    <w:rsid w:val="009E3858"/>
    <w:rsid w:val="009E3AEB"/>
    <w:rsid w:val="009E3BE2"/>
    <w:rsid w:val="009E4997"/>
    <w:rsid w:val="009E59F3"/>
    <w:rsid w:val="009E67F7"/>
    <w:rsid w:val="009E6AB3"/>
    <w:rsid w:val="009E70DD"/>
    <w:rsid w:val="009E7AE3"/>
    <w:rsid w:val="009F2090"/>
    <w:rsid w:val="009F2ED9"/>
    <w:rsid w:val="009F3231"/>
    <w:rsid w:val="009F3EE3"/>
    <w:rsid w:val="009F3FAC"/>
    <w:rsid w:val="009F572A"/>
    <w:rsid w:val="009F5C58"/>
    <w:rsid w:val="00A00293"/>
    <w:rsid w:val="00A008D2"/>
    <w:rsid w:val="00A00EF4"/>
    <w:rsid w:val="00A0199F"/>
    <w:rsid w:val="00A023A0"/>
    <w:rsid w:val="00A03F5F"/>
    <w:rsid w:val="00A1080D"/>
    <w:rsid w:val="00A125D5"/>
    <w:rsid w:val="00A13715"/>
    <w:rsid w:val="00A137D1"/>
    <w:rsid w:val="00A1562B"/>
    <w:rsid w:val="00A15989"/>
    <w:rsid w:val="00A1658C"/>
    <w:rsid w:val="00A170F4"/>
    <w:rsid w:val="00A203F9"/>
    <w:rsid w:val="00A2373C"/>
    <w:rsid w:val="00A23AB3"/>
    <w:rsid w:val="00A23FE8"/>
    <w:rsid w:val="00A2482D"/>
    <w:rsid w:val="00A24E68"/>
    <w:rsid w:val="00A2559E"/>
    <w:rsid w:val="00A25FD9"/>
    <w:rsid w:val="00A31A88"/>
    <w:rsid w:val="00A338F6"/>
    <w:rsid w:val="00A33A6F"/>
    <w:rsid w:val="00A345DC"/>
    <w:rsid w:val="00A3504A"/>
    <w:rsid w:val="00A35A25"/>
    <w:rsid w:val="00A414C5"/>
    <w:rsid w:val="00A41B60"/>
    <w:rsid w:val="00A43204"/>
    <w:rsid w:val="00A44260"/>
    <w:rsid w:val="00A46BA8"/>
    <w:rsid w:val="00A47634"/>
    <w:rsid w:val="00A47BDA"/>
    <w:rsid w:val="00A5009C"/>
    <w:rsid w:val="00A5040E"/>
    <w:rsid w:val="00A51686"/>
    <w:rsid w:val="00A516DE"/>
    <w:rsid w:val="00A54E1F"/>
    <w:rsid w:val="00A55026"/>
    <w:rsid w:val="00A572B9"/>
    <w:rsid w:val="00A57FD9"/>
    <w:rsid w:val="00A612FE"/>
    <w:rsid w:val="00A61FFC"/>
    <w:rsid w:val="00A6398D"/>
    <w:rsid w:val="00A64D91"/>
    <w:rsid w:val="00A64DA5"/>
    <w:rsid w:val="00A65101"/>
    <w:rsid w:val="00A659B6"/>
    <w:rsid w:val="00A65A0A"/>
    <w:rsid w:val="00A66905"/>
    <w:rsid w:val="00A7059C"/>
    <w:rsid w:val="00A710ED"/>
    <w:rsid w:val="00A717E7"/>
    <w:rsid w:val="00A736BE"/>
    <w:rsid w:val="00A74220"/>
    <w:rsid w:val="00A74A9F"/>
    <w:rsid w:val="00A7501A"/>
    <w:rsid w:val="00A75255"/>
    <w:rsid w:val="00A76440"/>
    <w:rsid w:val="00A76EFC"/>
    <w:rsid w:val="00A81047"/>
    <w:rsid w:val="00A8286C"/>
    <w:rsid w:val="00A8437F"/>
    <w:rsid w:val="00A84E80"/>
    <w:rsid w:val="00A856D0"/>
    <w:rsid w:val="00A8596C"/>
    <w:rsid w:val="00A85DFD"/>
    <w:rsid w:val="00A91664"/>
    <w:rsid w:val="00A9230E"/>
    <w:rsid w:val="00A92F53"/>
    <w:rsid w:val="00A93117"/>
    <w:rsid w:val="00A94CD1"/>
    <w:rsid w:val="00AA174E"/>
    <w:rsid w:val="00AA1C06"/>
    <w:rsid w:val="00AA26B8"/>
    <w:rsid w:val="00AA3E71"/>
    <w:rsid w:val="00AA406B"/>
    <w:rsid w:val="00AA4D53"/>
    <w:rsid w:val="00AA5193"/>
    <w:rsid w:val="00AA608C"/>
    <w:rsid w:val="00AB1D9A"/>
    <w:rsid w:val="00AB3FE2"/>
    <w:rsid w:val="00AB4190"/>
    <w:rsid w:val="00AB498A"/>
    <w:rsid w:val="00AC0845"/>
    <w:rsid w:val="00AC11CF"/>
    <w:rsid w:val="00AC2660"/>
    <w:rsid w:val="00AC2996"/>
    <w:rsid w:val="00AC4B9D"/>
    <w:rsid w:val="00AC6686"/>
    <w:rsid w:val="00AD18B1"/>
    <w:rsid w:val="00AD1D72"/>
    <w:rsid w:val="00AD3322"/>
    <w:rsid w:val="00AD5A09"/>
    <w:rsid w:val="00AD5E16"/>
    <w:rsid w:val="00AD7E4E"/>
    <w:rsid w:val="00AE0174"/>
    <w:rsid w:val="00AE0F16"/>
    <w:rsid w:val="00AE1732"/>
    <w:rsid w:val="00AE183F"/>
    <w:rsid w:val="00AE241C"/>
    <w:rsid w:val="00AE2676"/>
    <w:rsid w:val="00AE2E98"/>
    <w:rsid w:val="00AE3C2D"/>
    <w:rsid w:val="00AE3CA2"/>
    <w:rsid w:val="00AE5551"/>
    <w:rsid w:val="00AF0299"/>
    <w:rsid w:val="00AF1BDE"/>
    <w:rsid w:val="00AF2F67"/>
    <w:rsid w:val="00AF3D3E"/>
    <w:rsid w:val="00AF3D47"/>
    <w:rsid w:val="00AF48A0"/>
    <w:rsid w:val="00AF4CB8"/>
    <w:rsid w:val="00AF4CD9"/>
    <w:rsid w:val="00AF4D58"/>
    <w:rsid w:val="00AF5ECC"/>
    <w:rsid w:val="00AF60DF"/>
    <w:rsid w:val="00AF6666"/>
    <w:rsid w:val="00AF770E"/>
    <w:rsid w:val="00AF776F"/>
    <w:rsid w:val="00B00180"/>
    <w:rsid w:val="00B10154"/>
    <w:rsid w:val="00B11BB9"/>
    <w:rsid w:val="00B12BEF"/>
    <w:rsid w:val="00B14252"/>
    <w:rsid w:val="00B14EDF"/>
    <w:rsid w:val="00B15699"/>
    <w:rsid w:val="00B16662"/>
    <w:rsid w:val="00B16907"/>
    <w:rsid w:val="00B16C17"/>
    <w:rsid w:val="00B20E05"/>
    <w:rsid w:val="00B23C15"/>
    <w:rsid w:val="00B30005"/>
    <w:rsid w:val="00B31C70"/>
    <w:rsid w:val="00B369EF"/>
    <w:rsid w:val="00B37138"/>
    <w:rsid w:val="00B4147D"/>
    <w:rsid w:val="00B41EEF"/>
    <w:rsid w:val="00B42058"/>
    <w:rsid w:val="00B43568"/>
    <w:rsid w:val="00B447CB"/>
    <w:rsid w:val="00B453FA"/>
    <w:rsid w:val="00B45A7D"/>
    <w:rsid w:val="00B45E8D"/>
    <w:rsid w:val="00B45F5F"/>
    <w:rsid w:val="00B46E76"/>
    <w:rsid w:val="00B5015A"/>
    <w:rsid w:val="00B51085"/>
    <w:rsid w:val="00B51457"/>
    <w:rsid w:val="00B5222A"/>
    <w:rsid w:val="00B5285F"/>
    <w:rsid w:val="00B53728"/>
    <w:rsid w:val="00B56371"/>
    <w:rsid w:val="00B56FA7"/>
    <w:rsid w:val="00B605B7"/>
    <w:rsid w:val="00B623A7"/>
    <w:rsid w:val="00B6366E"/>
    <w:rsid w:val="00B63B68"/>
    <w:rsid w:val="00B6682B"/>
    <w:rsid w:val="00B6761F"/>
    <w:rsid w:val="00B67D6C"/>
    <w:rsid w:val="00B70CD7"/>
    <w:rsid w:val="00B717CF"/>
    <w:rsid w:val="00B72000"/>
    <w:rsid w:val="00B72473"/>
    <w:rsid w:val="00B739FA"/>
    <w:rsid w:val="00B756C1"/>
    <w:rsid w:val="00B7664B"/>
    <w:rsid w:val="00B7744D"/>
    <w:rsid w:val="00B8037E"/>
    <w:rsid w:val="00B81B44"/>
    <w:rsid w:val="00B81B7A"/>
    <w:rsid w:val="00B84417"/>
    <w:rsid w:val="00B85F2F"/>
    <w:rsid w:val="00B9053B"/>
    <w:rsid w:val="00B911DD"/>
    <w:rsid w:val="00B91AAF"/>
    <w:rsid w:val="00B91C4B"/>
    <w:rsid w:val="00B92263"/>
    <w:rsid w:val="00B92891"/>
    <w:rsid w:val="00B93270"/>
    <w:rsid w:val="00B93C44"/>
    <w:rsid w:val="00B93EA5"/>
    <w:rsid w:val="00B95C92"/>
    <w:rsid w:val="00B970E4"/>
    <w:rsid w:val="00BA02EE"/>
    <w:rsid w:val="00BA0AC0"/>
    <w:rsid w:val="00BA659F"/>
    <w:rsid w:val="00BB1AA7"/>
    <w:rsid w:val="00BB205E"/>
    <w:rsid w:val="00BB48F7"/>
    <w:rsid w:val="00BB4917"/>
    <w:rsid w:val="00BB4A59"/>
    <w:rsid w:val="00BB4F0A"/>
    <w:rsid w:val="00BB544E"/>
    <w:rsid w:val="00BB5935"/>
    <w:rsid w:val="00BB7426"/>
    <w:rsid w:val="00BC3422"/>
    <w:rsid w:val="00BC3436"/>
    <w:rsid w:val="00BC34A3"/>
    <w:rsid w:val="00BC3E62"/>
    <w:rsid w:val="00BC510F"/>
    <w:rsid w:val="00BC5529"/>
    <w:rsid w:val="00BC5E1B"/>
    <w:rsid w:val="00BC6691"/>
    <w:rsid w:val="00BC695A"/>
    <w:rsid w:val="00BC6CF7"/>
    <w:rsid w:val="00BC7E46"/>
    <w:rsid w:val="00BD703B"/>
    <w:rsid w:val="00BE1847"/>
    <w:rsid w:val="00BE4E10"/>
    <w:rsid w:val="00BE5705"/>
    <w:rsid w:val="00BE5AF9"/>
    <w:rsid w:val="00BE73F6"/>
    <w:rsid w:val="00BE7628"/>
    <w:rsid w:val="00BF3C4F"/>
    <w:rsid w:val="00C013DA"/>
    <w:rsid w:val="00C015B9"/>
    <w:rsid w:val="00C022D0"/>
    <w:rsid w:val="00C022F9"/>
    <w:rsid w:val="00C032EA"/>
    <w:rsid w:val="00C04715"/>
    <w:rsid w:val="00C06EB5"/>
    <w:rsid w:val="00C10219"/>
    <w:rsid w:val="00C11306"/>
    <w:rsid w:val="00C113DC"/>
    <w:rsid w:val="00C1145F"/>
    <w:rsid w:val="00C121CE"/>
    <w:rsid w:val="00C12668"/>
    <w:rsid w:val="00C14840"/>
    <w:rsid w:val="00C1673F"/>
    <w:rsid w:val="00C2098C"/>
    <w:rsid w:val="00C20A01"/>
    <w:rsid w:val="00C22F85"/>
    <w:rsid w:val="00C2489A"/>
    <w:rsid w:val="00C27612"/>
    <w:rsid w:val="00C27EF2"/>
    <w:rsid w:val="00C31DD8"/>
    <w:rsid w:val="00C331C1"/>
    <w:rsid w:val="00C343C0"/>
    <w:rsid w:val="00C353F7"/>
    <w:rsid w:val="00C37237"/>
    <w:rsid w:val="00C401F5"/>
    <w:rsid w:val="00C403C4"/>
    <w:rsid w:val="00C4046F"/>
    <w:rsid w:val="00C421BD"/>
    <w:rsid w:val="00C47AEC"/>
    <w:rsid w:val="00C520E7"/>
    <w:rsid w:val="00C525C1"/>
    <w:rsid w:val="00C552D7"/>
    <w:rsid w:val="00C603AE"/>
    <w:rsid w:val="00C637E1"/>
    <w:rsid w:val="00C701E4"/>
    <w:rsid w:val="00C70723"/>
    <w:rsid w:val="00C70D50"/>
    <w:rsid w:val="00C712BD"/>
    <w:rsid w:val="00C73E4B"/>
    <w:rsid w:val="00C766A4"/>
    <w:rsid w:val="00C773E6"/>
    <w:rsid w:val="00C775EE"/>
    <w:rsid w:val="00C77E0D"/>
    <w:rsid w:val="00C83559"/>
    <w:rsid w:val="00C83E33"/>
    <w:rsid w:val="00C842F7"/>
    <w:rsid w:val="00C8588A"/>
    <w:rsid w:val="00C858CE"/>
    <w:rsid w:val="00C85EC5"/>
    <w:rsid w:val="00C86A47"/>
    <w:rsid w:val="00C8709F"/>
    <w:rsid w:val="00C87277"/>
    <w:rsid w:val="00C907D7"/>
    <w:rsid w:val="00C9111F"/>
    <w:rsid w:val="00C92105"/>
    <w:rsid w:val="00C92338"/>
    <w:rsid w:val="00C92968"/>
    <w:rsid w:val="00C9623C"/>
    <w:rsid w:val="00C96EC5"/>
    <w:rsid w:val="00CA0632"/>
    <w:rsid w:val="00CA0AD4"/>
    <w:rsid w:val="00CA1DC8"/>
    <w:rsid w:val="00CA21AC"/>
    <w:rsid w:val="00CA2D63"/>
    <w:rsid w:val="00CA39B2"/>
    <w:rsid w:val="00CA66D9"/>
    <w:rsid w:val="00CA7C3A"/>
    <w:rsid w:val="00CB01F0"/>
    <w:rsid w:val="00CB0CBC"/>
    <w:rsid w:val="00CB12E7"/>
    <w:rsid w:val="00CB20EA"/>
    <w:rsid w:val="00CB3B04"/>
    <w:rsid w:val="00CB4622"/>
    <w:rsid w:val="00CB46D2"/>
    <w:rsid w:val="00CB56F5"/>
    <w:rsid w:val="00CB67AA"/>
    <w:rsid w:val="00CB6D11"/>
    <w:rsid w:val="00CB7B76"/>
    <w:rsid w:val="00CC1599"/>
    <w:rsid w:val="00CC18F1"/>
    <w:rsid w:val="00CC1FE2"/>
    <w:rsid w:val="00CC23EC"/>
    <w:rsid w:val="00CC2DB2"/>
    <w:rsid w:val="00CC37D4"/>
    <w:rsid w:val="00CC3FEA"/>
    <w:rsid w:val="00CC569B"/>
    <w:rsid w:val="00CC5EED"/>
    <w:rsid w:val="00CD0307"/>
    <w:rsid w:val="00CD09E9"/>
    <w:rsid w:val="00CD1647"/>
    <w:rsid w:val="00CD1D71"/>
    <w:rsid w:val="00CD2ECD"/>
    <w:rsid w:val="00CD3D1B"/>
    <w:rsid w:val="00CD4940"/>
    <w:rsid w:val="00CD4A86"/>
    <w:rsid w:val="00CD6FA6"/>
    <w:rsid w:val="00CD77B8"/>
    <w:rsid w:val="00CD7A94"/>
    <w:rsid w:val="00CD7DB6"/>
    <w:rsid w:val="00CE0510"/>
    <w:rsid w:val="00CE0AE7"/>
    <w:rsid w:val="00CE2641"/>
    <w:rsid w:val="00CE3856"/>
    <w:rsid w:val="00CE38C7"/>
    <w:rsid w:val="00CE7159"/>
    <w:rsid w:val="00CF01C0"/>
    <w:rsid w:val="00CF2CB7"/>
    <w:rsid w:val="00CF480E"/>
    <w:rsid w:val="00CF5F78"/>
    <w:rsid w:val="00CF6581"/>
    <w:rsid w:val="00CF7DCA"/>
    <w:rsid w:val="00D00D73"/>
    <w:rsid w:val="00D025B7"/>
    <w:rsid w:val="00D02644"/>
    <w:rsid w:val="00D0364F"/>
    <w:rsid w:val="00D060DE"/>
    <w:rsid w:val="00D06560"/>
    <w:rsid w:val="00D10E12"/>
    <w:rsid w:val="00D12E29"/>
    <w:rsid w:val="00D12E7A"/>
    <w:rsid w:val="00D153C5"/>
    <w:rsid w:val="00D15B80"/>
    <w:rsid w:val="00D15D91"/>
    <w:rsid w:val="00D15FDE"/>
    <w:rsid w:val="00D16EB1"/>
    <w:rsid w:val="00D211E9"/>
    <w:rsid w:val="00D216B9"/>
    <w:rsid w:val="00D2312F"/>
    <w:rsid w:val="00D2364D"/>
    <w:rsid w:val="00D24C53"/>
    <w:rsid w:val="00D269C1"/>
    <w:rsid w:val="00D30A1E"/>
    <w:rsid w:val="00D36846"/>
    <w:rsid w:val="00D371B5"/>
    <w:rsid w:val="00D37D0E"/>
    <w:rsid w:val="00D412C5"/>
    <w:rsid w:val="00D41BBF"/>
    <w:rsid w:val="00D44953"/>
    <w:rsid w:val="00D449A6"/>
    <w:rsid w:val="00D45E19"/>
    <w:rsid w:val="00D46387"/>
    <w:rsid w:val="00D47E50"/>
    <w:rsid w:val="00D50DF3"/>
    <w:rsid w:val="00D52887"/>
    <w:rsid w:val="00D538D1"/>
    <w:rsid w:val="00D53E48"/>
    <w:rsid w:val="00D542F3"/>
    <w:rsid w:val="00D55507"/>
    <w:rsid w:val="00D5644B"/>
    <w:rsid w:val="00D56E25"/>
    <w:rsid w:val="00D60823"/>
    <w:rsid w:val="00D60FDA"/>
    <w:rsid w:val="00D611C9"/>
    <w:rsid w:val="00D62774"/>
    <w:rsid w:val="00D639C2"/>
    <w:rsid w:val="00D63FAA"/>
    <w:rsid w:val="00D6411B"/>
    <w:rsid w:val="00D64D89"/>
    <w:rsid w:val="00D70642"/>
    <w:rsid w:val="00D71639"/>
    <w:rsid w:val="00D718D7"/>
    <w:rsid w:val="00D74F71"/>
    <w:rsid w:val="00D810F0"/>
    <w:rsid w:val="00D814B7"/>
    <w:rsid w:val="00D833A7"/>
    <w:rsid w:val="00D84851"/>
    <w:rsid w:val="00D84F2B"/>
    <w:rsid w:val="00D856B4"/>
    <w:rsid w:val="00D865CB"/>
    <w:rsid w:val="00D868EA"/>
    <w:rsid w:val="00D87A70"/>
    <w:rsid w:val="00D90688"/>
    <w:rsid w:val="00D912D9"/>
    <w:rsid w:val="00D921B6"/>
    <w:rsid w:val="00D94A17"/>
    <w:rsid w:val="00D94CEF"/>
    <w:rsid w:val="00D95BDE"/>
    <w:rsid w:val="00D961DF"/>
    <w:rsid w:val="00D96F70"/>
    <w:rsid w:val="00D97AA2"/>
    <w:rsid w:val="00DA3AAD"/>
    <w:rsid w:val="00DA63D2"/>
    <w:rsid w:val="00DA7832"/>
    <w:rsid w:val="00DA79B2"/>
    <w:rsid w:val="00DB0A6D"/>
    <w:rsid w:val="00DB2169"/>
    <w:rsid w:val="00DB2CD7"/>
    <w:rsid w:val="00DB30CC"/>
    <w:rsid w:val="00DB312B"/>
    <w:rsid w:val="00DB50C9"/>
    <w:rsid w:val="00DB6D90"/>
    <w:rsid w:val="00DB70CE"/>
    <w:rsid w:val="00DC282E"/>
    <w:rsid w:val="00DC3AF5"/>
    <w:rsid w:val="00DC5654"/>
    <w:rsid w:val="00DC600A"/>
    <w:rsid w:val="00DC658F"/>
    <w:rsid w:val="00DD01AA"/>
    <w:rsid w:val="00DD0E03"/>
    <w:rsid w:val="00DD20BD"/>
    <w:rsid w:val="00DD4007"/>
    <w:rsid w:val="00DD491F"/>
    <w:rsid w:val="00DD5572"/>
    <w:rsid w:val="00DD5EB6"/>
    <w:rsid w:val="00DD726B"/>
    <w:rsid w:val="00DE3299"/>
    <w:rsid w:val="00DE4605"/>
    <w:rsid w:val="00DE4954"/>
    <w:rsid w:val="00DE60CC"/>
    <w:rsid w:val="00DE61B9"/>
    <w:rsid w:val="00DE660B"/>
    <w:rsid w:val="00DF1797"/>
    <w:rsid w:val="00DF1D75"/>
    <w:rsid w:val="00DF31B1"/>
    <w:rsid w:val="00DF44DB"/>
    <w:rsid w:val="00DF47B8"/>
    <w:rsid w:val="00DF6DA4"/>
    <w:rsid w:val="00E003DC"/>
    <w:rsid w:val="00E012A9"/>
    <w:rsid w:val="00E0194A"/>
    <w:rsid w:val="00E019B0"/>
    <w:rsid w:val="00E02769"/>
    <w:rsid w:val="00E02F6D"/>
    <w:rsid w:val="00E03413"/>
    <w:rsid w:val="00E0363E"/>
    <w:rsid w:val="00E040DF"/>
    <w:rsid w:val="00E05A3E"/>
    <w:rsid w:val="00E06476"/>
    <w:rsid w:val="00E06EA7"/>
    <w:rsid w:val="00E115BA"/>
    <w:rsid w:val="00E1211C"/>
    <w:rsid w:val="00E122DB"/>
    <w:rsid w:val="00E12358"/>
    <w:rsid w:val="00E13630"/>
    <w:rsid w:val="00E1416A"/>
    <w:rsid w:val="00E1551F"/>
    <w:rsid w:val="00E15BE8"/>
    <w:rsid w:val="00E16863"/>
    <w:rsid w:val="00E168E6"/>
    <w:rsid w:val="00E20142"/>
    <w:rsid w:val="00E2032D"/>
    <w:rsid w:val="00E21C44"/>
    <w:rsid w:val="00E22C52"/>
    <w:rsid w:val="00E23A0B"/>
    <w:rsid w:val="00E26B32"/>
    <w:rsid w:val="00E30E0A"/>
    <w:rsid w:val="00E3232B"/>
    <w:rsid w:val="00E33022"/>
    <w:rsid w:val="00E33CDF"/>
    <w:rsid w:val="00E33E6B"/>
    <w:rsid w:val="00E36208"/>
    <w:rsid w:val="00E3642C"/>
    <w:rsid w:val="00E3651F"/>
    <w:rsid w:val="00E36D0E"/>
    <w:rsid w:val="00E37343"/>
    <w:rsid w:val="00E373F2"/>
    <w:rsid w:val="00E3771C"/>
    <w:rsid w:val="00E40549"/>
    <w:rsid w:val="00E407B6"/>
    <w:rsid w:val="00E4094E"/>
    <w:rsid w:val="00E41378"/>
    <w:rsid w:val="00E41EF1"/>
    <w:rsid w:val="00E42942"/>
    <w:rsid w:val="00E45F4D"/>
    <w:rsid w:val="00E463AE"/>
    <w:rsid w:val="00E468A6"/>
    <w:rsid w:val="00E47907"/>
    <w:rsid w:val="00E47E9E"/>
    <w:rsid w:val="00E51F5C"/>
    <w:rsid w:val="00E525BC"/>
    <w:rsid w:val="00E53DDE"/>
    <w:rsid w:val="00E551C8"/>
    <w:rsid w:val="00E57739"/>
    <w:rsid w:val="00E619FD"/>
    <w:rsid w:val="00E62518"/>
    <w:rsid w:val="00E664A9"/>
    <w:rsid w:val="00E67088"/>
    <w:rsid w:val="00E71BDF"/>
    <w:rsid w:val="00E71CA7"/>
    <w:rsid w:val="00E74016"/>
    <w:rsid w:val="00E7475B"/>
    <w:rsid w:val="00E7537A"/>
    <w:rsid w:val="00E75B2E"/>
    <w:rsid w:val="00E82AD0"/>
    <w:rsid w:val="00E83CA7"/>
    <w:rsid w:val="00E8797F"/>
    <w:rsid w:val="00E9218A"/>
    <w:rsid w:val="00E94C5F"/>
    <w:rsid w:val="00E954EC"/>
    <w:rsid w:val="00E958B3"/>
    <w:rsid w:val="00E97708"/>
    <w:rsid w:val="00EA0282"/>
    <w:rsid w:val="00EA03A3"/>
    <w:rsid w:val="00EA125E"/>
    <w:rsid w:val="00EA252E"/>
    <w:rsid w:val="00EA2DC4"/>
    <w:rsid w:val="00EA3A62"/>
    <w:rsid w:val="00EA47F8"/>
    <w:rsid w:val="00EA556C"/>
    <w:rsid w:val="00EA6125"/>
    <w:rsid w:val="00EA6196"/>
    <w:rsid w:val="00EA62C3"/>
    <w:rsid w:val="00EB22E8"/>
    <w:rsid w:val="00EB37B6"/>
    <w:rsid w:val="00EC171D"/>
    <w:rsid w:val="00EC1C35"/>
    <w:rsid w:val="00EC3CE4"/>
    <w:rsid w:val="00EC4F0E"/>
    <w:rsid w:val="00EC5370"/>
    <w:rsid w:val="00EC611A"/>
    <w:rsid w:val="00ED097B"/>
    <w:rsid w:val="00ED435E"/>
    <w:rsid w:val="00ED487E"/>
    <w:rsid w:val="00ED61E1"/>
    <w:rsid w:val="00EE2E69"/>
    <w:rsid w:val="00EE434D"/>
    <w:rsid w:val="00EE4D8E"/>
    <w:rsid w:val="00EE5D19"/>
    <w:rsid w:val="00EE72FF"/>
    <w:rsid w:val="00EE7A0D"/>
    <w:rsid w:val="00EF0BD2"/>
    <w:rsid w:val="00EF1D57"/>
    <w:rsid w:val="00EF26F4"/>
    <w:rsid w:val="00EF29C8"/>
    <w:rsid w:val="00EF2B8D"/>
    <w:rsid w:val="00EF2EB7"/>
    <w:rsid w:val="00EF4A64"/>
    <w:rsid w:val="00EF4BB6"/>
    <w:rsid w:val="00EF5A61"/>
    <w:rsid w:val="00F0223C"/>
    <w:rsid w:val="00F03148"/>
    <w:rsid w:val="00F034D7"/>
    <w:rsid w:val="00F041AC"/>
    <w:rsid w:val="00F07AF6"/>
    <w:rsid w:val="00F10CEF"/>
    <w:rsid w:val="00F1278F"/>
    <w:rsid w:val="00F16A5E"/>
    <w:rsid w:val="00F16DCA"/>
    <w:rsid w:val="00F16F62"/>
    <w:rsid w:val="00F17CE1"/>
    <w:rsid w:val="00F2115C"/>
    <w:rsid w:val="00F2152D"/>
    <w:rsid w:val="00F22ABA"/>
    <w:rsid w:val="00F23366"/>
    <w:rsid w:val="00F239A6"/>
    <w:rsid w:val="00F24101"/>
    <w:rsid w:val="00F27F0F"/>
    <w:rsid w:val="00F30A5B"/>
    <w:rsid w:val="00F30F37"/>
    <w:rsid w:val="00F314A7"/>
    <w:rsid w:val="00F32CEC"/>
    <w:rsid w:val="00F3301A"/>
    <w:rsid w:val="00F362F3"/>
    <w:rsid w:val="00F36365"/>
    <w:rsid w:val="00F36B12"/>
    <w:rsid w:val="00F376CA"/>
    <w:rsid w:val="00F40F8D"/>
    <w:rsid w:val="00F4153A"/>
    <w:rsid w:val="00F41BDB"/>
    <w:rsid w:val="00F45460"/>
    <w:rsid w:val="00F456F6"/>
    <w:rsid w:val="00F46F25"/>
    <w:rsid w:val="00F4764E"/>
    <w:rsid w:val="00F47D0D"/>
    <w:rsid w:val="00F5106E"/>
    <w:rsid w:val="00F51221"/>
    <w:rsid w:val="00F535A9"/>
    <w:rsid w:val="00F55AF4"/>
    <w:rsid w:val="00F55D61"/>
    <w:rsid w:val="00F56EDD"/>
    <w:rsid w:val="00F573D4"/>
    <w:rsid w:val="00F57B88"/>
    <w:rsid w:val="00F60F9F"/>
    <w:rsid w:val="00F611F7"/>
    <w:rsid w:val="00F613FD"/>
    <w:rsid w:val="00F6181F"/>
    <w:rsid w:val="00F6331B"/>
    <w:rsid w:val="00F64240"/>
    <w:rsid w:val="00F64931"/>
    <w:rsid w:val="00F64F08"/>
    <w:rsid w:val="00F653E4"/>
    <w:rsid w:val="00F65E26"/>
    <w:rsid w:val="00F67885"/>
    <w:rsid w:val="00F734F5"/>
    <w:rsid w:val="00F73C91"/>
    <w:rsid w:val="00F73EA2"/>
    <w:rsid w:val="00F75B2F"/>
    <w:rsid w:val="00F816F4"/>
    <w:rsid w:val="00F826D6"/>
    <w:rsid w:val="00F82CA1"/>
    <w:rsid w:val="00F90A33"/>
    <w:rsid w:val="00F91EE0"/>
    <w:rsid w:val="00F9267C"/>
    <w:rsid w:val="00F93E1E"/>
    <w:rsid w:val="00F94CEE"/>
    <w:rsid w:val="00F966B1"/>
    <w:rsid w:val="00F97996"/>
    <w:rsid w:val="00F97D48"/>
    <w:rsid w:val="00FA0311"/>
    <w:rsid w:val="00FA1680"/>
    <w:rsid w:val="00FA2F97"/>
    <w:rsid w:val="00FA46D8"/>
    <w:rsid w:val="00FA4CCA"/>
    <w:rsid w:val="00FA52F8"/>
    <w:rsid w:val="00FA717E"/>
    <w:rsid w:val="00FB1D4A"/>
    <w:rsid w:val="00FB1EC9"/>
    <w:rsid w:val="00FB23A0"/>
    <w:rsid w:val="00FB3667"/>
    <w:rsid w:val="00FB6545"/>
    <w:rsid w:val="00FC1830"/>
    <w:rsid w:val="00FC3257"/>
    <w:rsid w:val="00FC42E5"/>
    <w:rsid w:val="00FC4E3C"/>
    <w:rsid w:val="00FC50E6"/>
    <w:rsid w:val="00FC75DB"/>
    <w:rsid w:val="00FD0241"/>
    <w:rsid w:val="00FD1D19"/>
    <w:rsid w:val="00FD294F"/>
    <w:rsid w:val="00FD2992"/>
    <w:rsid w:val="00FD2AB7"/>
    <w:rsid w:val="00FD45A3"/>
    <w:rsid w:val="00FD4D29"/>
    <w:rsid w:val="00FD640E"/>
    <w:rsid w:val="00FD640F"/>
    <w:rsid w:val="00FD6666"/>
    <w:rsid w:val="00FD6B4C"/>
    <w:rsid w:val="00FE06F5"/>
    <w:rsid w:val="00FE30DD"/>
    <w:rsid w:val="00FE4363"/>
    <w:rsid w:val="00FE4A38"/>
    <w:rsid w:val="00FE7001"/>
    <w:rsid w:val="00FE782F"/>
    <w:rsid w:val="00FF051E"/>
    <w:rsid w:val="00FF22B3"/>
    <w:rsid w:val="00FF4E99"/>
    <w:rsid w:val="00FF6A47"/>
    <w:rsid w:val="00FF7D08"/>
    <w:rsid w:val="02478963"/>
    <w:rsid w:val="080D7AAD"/>
    <w:rsid w:val="0BFF718F"/>
    <w:rsid w:val="0E54A814"/>
    <w:rsid w:val="14C0A586"/>
    <w:rsid w:val="21C9C830"/>
    <w:rsid w:val="23D8EED1"/>
    <w:rsid w:val="246AFC0B"/>
    <w:rsid w:val="24745C12"/>
    <w:rsid w:val="273FEDB3"/>
    <w:rsid w:val="27D775C7"/>
    <w:rsid w:val="29BDA64E"/>
    <w:rsid w:val="3B2FE638"/>
    <w:rsid w:val="3D1163CA"/>
    <w:rsid w:val="3D124EE4"/>
    <w:rsid w:val="3FF1FBFC"/>
    <w:rsid w:val="449003BC"/>
    <w:rsid w:val="476894A6"/>
    <w:rsid w:val="49B454BD"/>
    <w:rsid w:val="4B410960"/>
    <w:rsid w:val="4D59F91A"/>
    <w:rsid w:val="538FE344"/>
    <w:rsid w:val="574B72FF"/>
    <w:rsid w:val="5AA2F34C"/>
    <w:rsid w:val="5B6FDEE0"/>
    <w:rsid w:val="63D2E87F"/>
    <w:rsid w:val="65659D6A"/>
    <w:rsid w:val="670F92F6"/>
    <w:rsid w:val="685FA347"/>
    <w:rsid w:val="6C9A86E3"/>
    <w:rsid w:val="6D7437A6"/>
    <w:rsid w:val="6E078681"/>
    <w:rsid w:val="6E365744"/>
    <w:rsid w:val="6EBC80DE"/>
    <w:rsid w:val="72EFE6ED"/>
    <w:rsid w:val="73010CF0"/>
    <w:rsid w:val="7620B8F6"/>
    <w:rsid w:val="76D244AD"/>
    <w:rsid w:val="77BC8957"/>
    <w:rsid w:val="782374A7"/>
    <w:rsid w:val="7B20800C"/>
    <w:rsid w:val="7BF61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1D734"/>
  <w15:docId w15:val="{9ECA062D-66F2-428F-B86F-C9469F4D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4" w:qFormat="1"/>
    <w:lsdException w:name="footnote text" w:semiHidden="1"/>
    <w:lsdException w:name="annotation text" w:semiHidden="1"/>
    <w:lsdException w:name="footer" w:uiPriority="24"/>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D55507"/>
    <w:pPr>
      <w:spacing w:line="252" w:lineRule="auto"/>
      <w:ind w:left="576"/>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ind w:left="0"/>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styleId="CommentText">
    <w:name w:val="annotation text"/>
    <w:basedOn w:val="Normal"/>
    <w:link w:val="CommentTextChar"/>
    <w:uiPriority w:val="99"/>
    <w:semiHidden/>
    <w:pPr>
      <w:spacing w:line="240" w:lineRule="auto"/>
    </w:pPr>
    <w:rPr>
      <w:sz w:val="20"/>
    </w:rPr>
  </w:style>
  <w:style w:type="character" w:customStyle="1" w:styleId="CommentTextChar">
    <w:name w:val="Comment Text Char"/>
    <w:basedOn w:val="DefaultParagraphFont"/>
    <w:link w:val="CommentText"/>
    <w:uiPriority w:val="99"/>
    <w:semiHidden/>
    <w:rPr>
      <w:spacing w:val="2"/>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sid w:val="00EF29C8"/>
    <w:rPr>
      <w:b/>
      <w:bCs/>
    </w:rPr>
  </w:style>
  <w:style w:type="character" w:customStyle="1" w:styleId="CommentSubjectChar">
    <w:name w:val="Comment Subject Char"/>
    <w:basedOn w:val="CommentTextChar"/>
    <w:link w:val="CommentSubject"/>
    <w:uiPriority w:val="99"/>
    <w:semiHidden/>
    <w:rsid w:val="00EF29C8"/>
    <w:rPr>
      <w:b/>
      <w:bCs/>
      <w:spacing w:val="2"/>
    </w:rPr>
  </w:style>
  <w:style w:type="paragraph" w:styleId="Revision">
    <w:name w:val="Revision"/>
    <w:hidden/>
    <w:uiPriority w:val="99"/>
    <w:semiHidden/>
    <w:rsid w:val="008228FD"/>
    <w:pPr>
      <w:spacing w:after="0" w:line="240" w:lineRule="auto"/>
    </w:pPr>
    <w:rPr>
      <w:spacing w:val="2"/>
      <w:sz w:val="18"/>
    </w:rPr>
  </w:style>
  <w:style w:type="character" w:styleId="UnresolvedMention">
    <w:name w:val="Unresolved Mention"/>
    <w:basedOn w:val="DefaultParagraphFont"/>
    <w:uiPriority w:val="99"/>
    <w:semiHidden/>
    <w:unhideWhenUsed/>
    <w:rsid w:val="00417CFC"/>
    <w:rPr>
      <w:color w:val="605E5C"/>
      <w:shd w:val="clear" w:color="auto" w:fill="E1DFDD"/>
    </w:rPr>
  </w:style>
  <w:style w:type="character" w:customStyle="1" w:styleId="cf01">
    <w:name w:val="cf01"/>
    <w:basedOn w:val="DefaultParagraphFont"/>
    <w:rsid w:val="00967CEC"/>
    <w:rPr>
      <w:rFonts w:ascii="Segoe UI" w:hAnsi="Segoe UI" w:cs="Segoe UI" w:hint="default"/>
      <w:sz w:val="18"/>
      <w:szCs w:val="18"/>
    </w:rPr>
  </w:style>
  <w:style w:type="character" w:styleId="Mention">
    <w:name w:val="Mention"/>
    <w:basedOn w:val="DefaultParagraphFont"/>
    <w:uiPriority w:val="99"/>
    <w:unhideWhenUsed/>
    <w:rsid w:val="001F27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CF92764E84DE428C70C11C9D37D7D8" ma:contentTypeVersion="18" ma:contentTypeDescription="Create a new document." ma:contentTypeScope="" ma:versionID="962a03ffe95cbdebeb9087062f4488d1">
  <xsd:schema xmlns:xsd="http://www.w3.org/2001/XMLSchema" xmlns:xs="http://www.w3.org/2001/XMLSchema" xmlns:p="http://schemas.microsoft.com/office/2006/metadata/properties" xmlns:ns2="be29ea77-7e85-4cd4-a58c-0b29b5a1c0ff" xmlns:ns3="15b0d6e9-e99b-40a9-aaa3-9b8d7d95b219" targetNamespace="http://schemas.microsoft.com/office/2006/metadata/properties" ma:root="true" ma:fieldsID="67cdcf78f5ac24ce30a194365cbbd8d0" ns2:_="" ns3:_="">
    <xsd:import namespace="be29ea77-7e85-4cd4-a58c-0b29b5a1c0ff"/>
    <xsd:import namespace="15b0d6e9-e99b-40a9-aaa3-9b8d7d95b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DocumentTyp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9ea77-7e85-4cd4-a58c-0b29b5a1c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ocumentType" ma:index="19" nillable="true" ma:displayName="Document Type" ma:format="Dropdown" ma:internalName="DocumentType">
      <xsd:simpleType>
        <xsd:restriction base="dms:Choice">
          <xsd:enumeration value="Correspondence"/>
          <xsd:enumeration value="Working"/>
          <xsd:enumeration value="Choice 3"/>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29ea77-7e85-4cd4-a58c-0b29b5a1c0ff">
      <Terms xmlns="http://schemas.microsoft.com/office/infopath/2007/PartnerControls"/>
    </lcf76f155ced4ddcb4097134ff3c332f>
    <DocumentType xmlns="be29ea77-7e85-4cd4-a58c-0b29b5a1c0ff" xsi:nil="true"/>
    <TaxCatchAll xmlns="15b0d6e9-e99b-40a9-aaa3-9b8d7d95b219" xsi:nil="true"/>
    <SharedWithUsers xmlns="15b0d6e9-e99b-40a9-aaa3-9b8d7d95b219">
      <UserInfo>
        <DisplayName>Paul Bowerman (DTF)</DisplayName>
        <AccountId>410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916104C-A99A-4B95-ABE0-43A949F78CA4}">
  <ds:schemaRefs>
    <ds:schemaRef ds:uri="http://schemas.openxmlformats.org/officeDocument/2006/bibliography"/>
  </ds:schemaRefs>
</ds:datastoreItem>
</file>

<file path=customXml/itemProps2.xml><?xml version="1.0" encoding="utf-8"?>
<ds:datastoreItem xmlns:ds="http://schemas.openxmlformats.org/officeDocument/2006/customXml" ds:itemID="{B52C8C3A-9B64-43F1-A6BB-90CF072B4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9ea77-7e85-4cd4-a58c-0b29b5a1c0ff"/>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F97E0-66FA-474E-B7D5-9156CD5514B4}">
  <ds:schemaRefs>
    <ds:schemaRef ds:uri="be29ea77-7e85-4cd4-a58c-0b29b5a1c0ff"/>
    <ds:schemaRef ds:uri="http://schemas.microsoft.com/office/2006/documentManagement/types"/>
    <ds:schemaRef ds:uri="http://schemas.microsoft.com/office/2006/metadata/properties"/>
    <ds:schemaRef ds:uri="15b0d6e9-e99b-40a9-aaa3-9b8d7d95b219"/>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0CCC5D7-F9EA-4706-B6D2-21CAEA5690DC}">
  <ds:schemaRefs>
    <ds:schemaRef ds:uri="http://schemas.microsoft.com/sharepoint/v3/contenttype/forms"/>
  </ds:schemaRefs>
</ds:datastoreItem>
</file>

<file path=customXml/itemProps5.xml><?xml version="1.0" encoding="utf-8"?>
<ds:datastoreItem xmlns:ds="http://schemas.openxmlformats.org/officeDocument/2006/customXml" ds:itemID="{1D95B634-AF65-4419-A5A0-B0084C098D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105</TotalTime>
  <Pages>5</Pages>
  <Words>1620</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10689</CharactersWithSpaces>
  <SharedDoc>false</SharedDoc>
  <HLinks>
    <vt:vector size="6" baseType="variant">
      <vt:variant>
        <vt:i4>5832756</vt:i4>
      </vt:variant>
      <vt:variant>
        <vt:i4>0</vt:i4>
      </vt:variant>
      <vt:variant>
        <vt:i4>0</vt:i4>
      </vt:variant>
      <vt:variant>
        <vt:i4>5</vt:i4>
      </vt:variant>
      <vt:variant>
        <vt:lpwstr>mailto:gaby.chapman@dtf.vic.gov.au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dc:creator>
  <cp:keywords/>
  <cp:lastModifiedBy>Ryan Arthur (DTF)</cp:lastModifiedBy>
  <cp:revision>36</cp:revision>
  <cp:lastPrinted>2017-04-08T20:04:00Z</cp:lastPrinted>
  <dcterms:created xsi:type="dcterms:W3CDTF">2024-03-25T00:49:00Z</dcterms:created>
  <dcterms:modified xsi:type="dcterms:W3CDTF">2024-04-17T05:26:00Z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ContentTypeId">
    <vt:lpwstr>0x0101003FCF92764E84DE428C70C11C9D37D7D8</vt:lpwstr>
  </property>
  <property fmtid="{D5CDD505-2E9C-101B-9397-08002B2CF9AE}" pid="5" name="ClassificationContentMarkingFooterShapeIds">
    <vt:lpwstr>1,2,5</vt:lpwstr>
  </property>
  <property fmtid="{D5CDD505-2E9C-101B-9397-08002B2CF9AE}" pid="6" name="ClassificationContentMarkingFooterFontProps">
    <vt:lpwstr>#000000,11,Calibri</vt:lpwstr>
  </property>
  <property fmtid="{D5CDD505-2E9C-101B-9397-08002B2CF9AE}" pid="7" name="ClassificationContentMarkingFooterText">
    <vt:lpwstr>OFFICIAL</vt:lpwstr>
  </property>
  <property fmtid="{D5CDD505-2E9C-101B-9397-08002B2CF9AE}" pid="8" name="MSIP_Label_7158ebbd-6c5e-441f-bfc9-4eb8c11e3978_Enabled">
    <vt:lpwstr>true</vt:lpwstr>
  </property>
  <property fmtid="{D5CDD505-2E9C-101B-9397-08002B2CF9AE}" pid="9" name="MSIP_Label_7158ebbd-6c5e-441f-bfc9-4eb8c11e3978_SetDate">
    <vt:lpwstr>2024-01-08T22:44:16Z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899e25a1-3a1e-4c55-a558-3bcacf2a7352</vt:lpwstr>
  </property>
  <property fmtid="{D5CDD505-2E9C-101B-9397-08002B2CF9AE}" pid="14" name="MSIP_Label_7158ebbd-6c5e-441f-bfc9-4eb8c11e3978_ContentBits">
    <vt:lpwstr>2</vt:lpwstr>
  </property>
  <property fmtid="{D5CDD505-2E9C-101B-9397-08002B2CF9AE}" pid="15" name="MediaServiceImageTags">
    <vt:lpwstr/>
  </property>
  <property fmtid="{D5CDD505-2E9C-101B-9397-08002B2CF9AE}" pid="16" name="GrammarlyDocumentId">
    <vt:lpwstr>305768d05d168498678d7236c253c7c2a56e1da82717f4eed6b5453f3a67c579</vt:lpwstr>
  </property>
</Properties>
</file>