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DTFtexttable"/>
        <w:tblW w:w="9223" w:type="dxa"/>
        <w:tblLayout w:type="fixed"/>
        <w:tblLook w:val="04A0" w:firstRow="1" w:lastRow="0" w:firstColumn="1" w:lastColumn="0" w:noHBand="0" w:noVBand="1"/>
      </w:tblPr>
      <w:tblGrid>
        <w:gridCol w:w="2293"/>
        <w:gridCol w:w="270"/>
        <w:gridCol w:w="540"/>
        <w:gridCol w:w="6120"/>
      </w:tblGrid>
      <w:tr w:rsidR="00493B55" w:rsidRPr="003C5E9F" w14:paraId="107BD61A" w14:textId="77777777" w:rsidTr="00D759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93" w:type="dxa"/>
          </w:tcPr>
          <w:p w14:paraId="38619A62" w14:textId="482D36A1" w:rsidR="00845688" w:rsidRPr="003C5E9F" w:rsidRDefault="00845688" w:rsidP="00E0736F">
            <w:pPr>
              <w:pStyle w:val="FRDNumber"/>
            </w:pPr>
            <w:r w:rsidRPr="002E50A4">
              <w:t>FRD</w:t>
            </w:r>
            <w:r w:rsidRPr="003C5E9F">
              <w:t xml:space="preserve"> </w:t>
            </w:r>
            <w:r w:rsidR="00E0736F">
              <w:t>106</w:t>
            </w:r>
          </w:p>
        </w:tc>
        <w:tc>
          <w:tcPr>
            <w:tcW w:w="270" w:type="dxa"/>
          </w:tcPr>
          <w:p w14:paraId="136C730D" w14:textId="77777777" w:rsidR="00845688" w:rsidRPr="00E43EFA" w:rsidRDefault="00845688" w:rsidP="00DE779D">
            <w:pPr>
              <w:cnfStyle w:val="100000000000" w:firstRow="1" w:lastRow="0" w:firstColumn="0" w:lastColumn="0" w:oddVBand="0" w:evenVBand="0" w:oddHBand="0" w:evenHBand="0" w:firstRowFirstColumn="0" w:firstRowLastColumn="0" w:lastRowFirstColumn="0" w:lastRowLastColumn="0"/>
            </w:pPr>
          </w:p>
        </w:tc>
        <w:tc>
          <w:tcPr>
            <w:tcW w:w="540" w:type="dxa"/>
          </w:tcPr>
          <w:p w14:paraId="42867E35" w14:textId="77777777" w:rsidR="00845688" w:rsidRPr="00E43EFA" w:rsidRDefault="00845688" w:rsidP="00DE779D">
            <w:pPr>
              <w:cnfStyle w:val="100000000000" w:firstRow="1" w:lastRow="0" w:firstColumn="0" w:lastColumn="0" w:oddVBand="0" w:evenVBand="0" w:oddHBand="0" w:evenHBand="0" w:firstRowFirstColumn="0" w:firstRowLastColumn="0" w:lastRowFirstColumn="0" w:lastRowLastColumn="0"/>
            </w:pPr>
          </w:p>
        </w:tc>
        <w:tc>
          <w:tcPr>
            <w:tcW w:w="6120" w:type="dxa"/>
          </w:tcPr>
          <w:p w14:paraId="3CA491D8" w14:textId="4B8B99FB" w:rsidR="00845688" w:rsidRPr="002E50A4" w:rsidRDefault="00BE2BB2" w:rsidP="00332C13">
            <w:pPr>
              <w:pStyle w:val="FRDHeader"/>
              <w:cnfStyle w:val="100000000000" w:firstRow="1" w:lastRow="0" w:firstColumn="0" w:lastColumn="0" w:oddVBand="0" w:evenVBand="0" w:oddHBand="0" w:evenHBand="0" w:firstRowFirstColumn="0" w:firstRowLastColumn="0" w:lastRowFirstColumn="0" w:lastRowLastColumn="0"/>
            </w:pPr>
            <w:r w:rsidRPr="00BE2BB2">
              <w:t xml:space="preserve">Impairment of </w:t>
            </w:r>
            <w:r w:rsidR="00237673" w:rsidRPr="00BE2BB2">
              <w:t>a</w:t>
            </w:r>
            <w:r w:rsidRPr="00BE2BB2">
              <w:t>ssets</w:t>
            </w:r>
            <w:r w:rsidR="004B54E0">
              <w:t xml:space="preserve"> (</w:t>
            </w:r>
            <w:r w:rsidR="0049632C">
              <w:t>April</w:t>
            </w:r>
            <w:r w:rsidR="0055585B">
              <w:t xml:space="preserve"> </w:t>
            </w:r>
            <w:r w:rsidR="00E0736F">
              <w:t>20</w:t>
            </w:r>
            <w:r w:rsidR="0049632C">
              <w:t>22</w:t>
            </w:r>
            <w:r w:rsidR="004B54E0">
              <w:t>)</w:t>
            </w:r>
          </w:p>
        </w:tc>
      </w:tr>
      <w:tr w:rsidR="00493B55" w:rsidRPr="00E10ADB" w14:paraId="7A9FE8C8" w14:textId="77777777" w:rsidTr="00D759FB">
        <w:trPr>
          <w:cnfStyle w:val="000000100000" w:firstRow="0" w:lastRow="0" w:firstColumn="0" w:lastColumn="0" w:oddVBand="0" w:evenVBand="0" w:oddHBand="1" w:evenHBand="0" w:firstRowFirstColumn="0" w:firstRowLastColumn="0" w:lastRowFirstColumn="0" w:lastRowLastColumn="0"/>
          <w:trHeight w:hRule="exact" w:val="120"/>
        </w:trPr>
        <w:tc>
          <w:tcPr>
            <w:cnfStyle w:val="001000000000" w:firstRow="0" w:lastRow="0" w:firstColumn="1" w:lastColumn="0" w:oddVBand="0" w:evenVBand="0" w:oddHBand="0" w:evenHBand="0" w:firstRowFirstColumn="0" w:firstRowLastColumn="0" w:lastRowFirstColumn="0" w:lastRowLastColumn="0"/>
            <w:tcW w:w="2293" w:type="dxa"/>
          </w:tcPr>
          <w:p w14:paraId="79D1539F" w14:textId="77777777" w:rsidR="00845688" w:rsidRPr="008A601F" w:rsidRDefault="00845688" w:rsidP="00DE779D">
            <w:pPr>
              <w:pStyle w:val="Tabletext"/>
            </w:pPr>
          </w:p>
        </w:tc>
        <w:tc>
          <w:tcPr>
            <w:tcW w:w="270" w:type="dxa"/>
          </w:tcPr>
          <w:p w14:paraId="6E81F318" w14:textId="77777777" w:rsidR="00845688" w:rsidRPr="008A601F" w:rsidRDefault="00845688" w:rsidP="00DE779D">
            <w:pPr>
              <w:cnfStyle w:val="000000100000" w:firstRow="0" w:lastRow="0" w:firstColumn="0" w:lastColumn="0" w:oddVBand="0" w:evenVBand="0" w:oddHBand="1" w:evenHBand="0" w:firstRowFirstColumn="0" w:firstRowLastColumn="0" w:lastRowFirstColumn="0" w:lastRowLastColumn="0"/>
            </w:pPr>
          </w:p>
        </w:tc>
        <w:tc>
          <w:tcPr>
            <w:tcW w:w="540" w:type="dxa"/>
          </w:tcPr>
          <w:p w14:paraId="0A57D523" w14:textId="77777777" w:rsidR="00845688" w:rsidRPr="008A601F" w:rsidRDefault="00845688" w:rsidP="00DE779D">
            <w:pPr>
              <w:cnfStyle w:val="000000100000" w:firstRow="0" w:lastRow="0" w:firstColumn="0" w:lastColumn="0" w:oddVBand="0" w:evenVBand="0" w:oddHBand="1" w:evenHBand="0" w:firstRowFirstColumn="0" w:firstRowLastColumn="0" w:lastRowFirstColumn="0" w:lastRowLastColumn="0"/>
            </w:pPr>
          </w:p>
        </w:tc>
        <w:tc>
          <w:tcPr>
            <w:tcW w:w="6120" w:type="dxa"/>
          </w:tcPr>
          <w:p w14:paraId="6698451A" w14:textId="77777777" w:rsidR="00845688" w:rsidRPr="008A601F" w:rsidRDefault="00845688" w:rsidP="00DE779D">
            <w:pPr>
              <w:cnfStyle w:val="000000100000" w:firstRow="0" w:lastRow="0" w:firstColumn="0" w:lastColumn="0" w:oddVBand="0" w:evenVBand="0" w:oddHBand="1" w:evenHBand="0" w:firstRowFirstColumn="0" w:firstRowLastColumn="0" w:lastRowFirstColumn="0" w:lastRowLastColumn="0"/>
            </w:pPr>
          </w:p>
        </w:tc>
      </w:tr>
      <w:tr w:rsidR="00493B55" w:rsidRPr="00E10ADB" w14:paraId="58CF2B32" w14:textId="77777777" w:rsidTr="00D759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63B247E6" w14:textId="77777777" w:rsidR="00845688" w:rsidRPr="008A601F" w:rsidRDefault="00845688" w:rsidP="00A81365">
            <w:pPr>
              <w:pStyle w:val="Normalgrey"/>
            </w:pPr>
            <w:r w:rsidRPr="008A601F">
              <w:t>Purpose</w:t>
            </w:r>
          </w:p>
        </w:tc>
        <w:tc>
          <w:tcPr>
            <w:tcW w:w="270" w:type="dxa"/>
          </w:tcPr>
          <w:p w14:paraId="497D3D83" w14:textId="77777777" w:rsidR="00845688" w:rsidRPr="00D42502" w:rsidRDefault="00845688" w:rsidP="00F5082F">
            <w:pPr>
              <w:pStyle w:val="Refnum1"/>
              <w:cnfStyle w:val="000000010000" w:firstRow="0" w:lastRow="0" w:firstColumn="0" w:lastColumn="0" w:oddVBand="0" w:evenVBand="0" w:oddHBand="0" w:evenHBand="1" w:firstRowFirstColumn="0" w:firstRowLastColumn="0" w:lastRowFirstColumn="0" w:lastRowLastColumn="0"/>
            </w:pPr>
          </w:p>
        </w:tc>
        <w:tc>
          <w:tcPr>
            <w:tcW w:w="540" w:type="dxa"/>
          </w:tcPr>
          <w:p w14:paraId="64ADA733" w14:textId="77777777" w:rsidR="00845688" w:rsidRPr="00D42502" w:rsidRDefault="00845688" w:rsidP="00F5082F">
            <w:pPr>
              <w:pStyle w:val="Refnum2"/>
              <w:cnfStyle w:val="000000010000" w:firstRow="0" w:lastRow="0" w:firstColumn="0" w:lastColumn="0" w:oddVBand="0" w:evenVBand="0" w:oddHBand="0" w:evenHBand="1" w:firstRowFirstColumn="0" w:firstRowLastColumn="0" w:lastRowFirstColumn="0" w:lastRowLastColumn="0"/>
            </w:pPr>
          </w:p>
        </w:tc>
        <w:tc>
          <w:tcPr>
            <w:tcW w:w="6120" w:type="dxa"/>
          </w:tcPr>
          <w:p w14:paraId="74F43CD8" w14:textId="77777777" w:rsidR="00845688" w:rsidRPr="00E43EFA" w:rsidRDefault="00BE2BB2" w:rsidP="00F5082F">
            <w:pPr>
              <w:pStyle w:val="Normalgrey"/>
              <w:cnfStyle w:val="000000010000" w:firstRow="0" w:lastRow="0" w:firstColumn="0" w:lastColumn="0" w:oddVBand="0" w:evenVBand="0" w:oddHBand="0" w:evenHBand="1" w:firstRowFirstColumn="0" w:firstRowLastColumn="0" w:lastRowFirstColumn="0" w:lastRowLastColumn="0"/>
            </w:pPr>
            <w:r w:rsidRPr="00BE2BB2">
              <w:t>To require all entities to document asset impairment assessments and to prescribe requirements for determining</w:t>
            </w:r>
            <w:r w:rsidRPr="00D42502">
              <w:t xml:space="preserve"> </w:t>
            </w:r>
            <w:r w:rsidR="00713B8C">
              <w:t>‘</w:t>
            </w:r>
            <w:r w:rsidRPr="00D42502">
              <w:rPr>
                <w:iCs/>
              </w:rPr>
              <w:t>value in use</w:t>
            </w:r>
            <w:r w:rsidR="00713B8C">
              <w:rPr>
                <w:iCs/>
              </w:rPr>
              <w:t>’</w:t>
            </w:r>
            <w:r w:rsidRPr="00D42502">
              <w:t xml:space="preserve"> for assets of </w:t>
            </w:r>
            <w:r w:rsidR="00713B8C">
              <w:t>‘</w:t>
            </w:r>
            <w:r w:rsidRPr="00D42502">
              <w:rPr>
                <w:iCs/>
              </w:rPr>
              <w:t>not-for-profit</w:t>
            </w:r>
            <w:r w:rsidR="00713B8C">
              <w:rPr>
                <w:iCs/>
              </w:rPr>
              <w:t>’</w:t>
            </w:r>
            <w:r w:rsidRPr="00D42502">
              <w:rPr>
                <w:iCs/>
              </w:rPr>
              <w:t xml:space="preserve"> entities</w:t>
            </w:r>
            <w:r w:rsidRPr="00D42502">
              <w:t>.</w:t>
            </w:r>
          </w:p>
        </w:tc>
      </w:tr>
      <w:tr w:rsidR="00493B55" w:rsidRPr="00E10ADB" w14:paraId="6D724952" w14:textId="77777777" w:rsidTr="00D75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1EB8F967" w14:textId="77777777" w:rsidR="00845688" w:rsidRPr="00D7297E" w:rsidRDefault="00845688" w:rsidP="00A81365">
            <w:pPr>
              <w:pStyle w:val="Normalbold"/>
            </w:pPr>
            <w:r w:rsidRPr="00D7297E">
              <w:t>Application</w:t>
            </w:r>
          </w:p>
        </w:tc>
        <w:tc>
          <w:tcPr>
            <w:tcW w:w="270" w:type="dxa"/>
            <w:shd w:val="clear" w:color="auto" w:fill="F2F2F2" w:themeFill="background1" w:themeFillShade="F2"/>
          </w:tcPr>
          <w:p w14:paraId="3944AEE6" w14:textId="77777777" w:rsidR="00845688" w:rsidRPr="00D7297E" w:rsidRDefault="00845688" w:rsidP="00F5082F">
            <w:pPr>
              <w:pStyle w:val="Refnum1grey"/>
              <w:cnfStyle w:val="000000100000" w:firstRow="0" w:lastRow="0" w:firstColumn="0" w:lastColumn="0" w:oddVBand="0" w:evenVBand="0" w:oddHBand="1" w:evenHBand="0" w:firstRowFirstColumn="0" w:firstRowLastColumn="0" w:lastRowFirstColumn="0" w:lastRowLastColumn="0"/>
              <w:rPr>
                <w:b/>
              </w:rPr>
            </w:pPr>
          </w:p>
        </w:tc>
        <w:tc>
          <w:tcPr>
            <w:tcW w:w="540" w:type="dxa"/>
            <w:shd w:val="clear" w:color="auto" w:fill="F2F2F2" w:themeFill="background1" w:themeFillShade="F2"/>
          </w:tcPr>
          <w:p w14:paraId="1AF6762A" w14:textId="77777777" w:rsidR="00845688" w:rsidRPr="00D7297E" w:rsidRDefault="00845688" w:rsidP="00F5082F">
            <w:pPr>
              <w:pStyle w:val="Refnum2"/>
              <w:cnfStyle w:val="000000100000" w:firstRow="0" w:lastRow="0" w:firstColumn="0" w:lastColumn="0" w:oddVBand="0" w:evenVBand="0" w:oddHBand="1" w:evenHBand="0" w:firstRowFirstColumn="0" w:firstRowLastColumn="0" w:lastRowFirstColumn="0" w:lastRowLastColumn="0"/>
              <w:rPr>
                <w:b/>
              </w:rPr>
            </w:pPr>
          </w:p>
        </w:tc>
        <w:tc>
          <w:tcPr>
            <w:tcW w:w="6120" w:type="dxa"/>
            <w:shd w:val="clear" w:color="auto" w:fill="F2F2F2" w:themeFill="background1" w:themeFillShade="F2"/>
          </w:tcPr>
          <w:p w14:paraId="7C1FDD1B" w14:textId="77777777" w:rsidR="00845688" w:rsidRPr="00BE2BB2" w:rsidRDefault="00BE2BB2" w:rsidP="00F5082F">
            <w:pPr>
              <w:pStyle w:val="Normalbold"/>
              <w:cnfStyle w:val="000000100000" w:firstRow="0" w:lastRow="0" w:firstColumn="0" w:lastColumn="0" w:oddVBand="0" w:evenVBand="0" w:oddHBand="1" w:evenHBand="0" w:firstRowFirstColumn="0" w:firstRowLastColumn="0" w:lastRowFirstColumn="0" w:lastRowLastColumn="0"/>
            </w:pPr>
            <w:r w:rsidRPr="00BE2BB2">
              <w:t xml:space="preserve">Applies to all entities defined as either a public body or a department under section 3 of the </w:t>
            </w:r>
            <w:r w:rsidRPr="00BE2BB2">
              <w:rPr>
                <w:i/>
                <w:iCs/>
              </w:rPr>
              <w:t>Financial Management Act</w:t>
            </w:r>
            <w:r w:rsidRPr="00BE2BB2">
              <w:t xml:space="preserve"> </w:t>
            </w:r>
            <w:r w:rsidRPr="00BE2BB2">
              <w:rPr>
                <w:i/>
                <w:iCs/>
              </w:rPr>
              <w:t>1994</w:t>
            </w:r>
            <w:r w:rsidRPr="00BE2BB2">
              <w:t>.  Application by State owned corporations is encouraged.</w:t>
            </w:r>
          </w:p>
        </w:tc>
      </w:tr>
      <w:tr w:rsidR="00B014F0" w:rsidRPr="00E10ADB" w14:paraId="1D4EFEC5" w14:textId="77777777" w:rsidTr="00D759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5473BA03" w14:textId="77777777" w:rsidR="00B014F0" w:rsidRPr="00D7297E" w:rsidRDefault="00B014F0" w:rsidP="00A81365">
            <w:pPr>
              <w:pStyle w:val="Normalbold"/>
            </w:pPr>
            <w:r w:rsidRPr="00D7297E">
              <w:t>Operative date</w:t>
            </w:r>
          </w:p>
        </w:tc>
        <w:tc>
          <w:tcPr>
            <w:tcW w:w="270" w:type="dxa"/>
            <w:shd w:val="clear" w:color="auto" w:fill="F2F2F2" w:themeFill="background1" w:themeFillShade="F2"/>
          </w:tcPr>
          <w:p w14:paraId="76B3DC3A" w14:textId="77777777" w:rsidR="00B014F0" w:rsidRPr="00D7297E" w:rsidRDefault="00B014F0" w:rsidP="00F5082F">
            <w:pPr>
              <w:pStyle w:val="Refnum1grey"/>
              <w:cnfStyle w:val="000000010000" w:firstRow="0" w:lastRow="0" w:firstColumn="0" w:lastColumn="0" w:oddVBand="0" w:evenVBand="0" w:oddHBand="0" w:evenHBand="1" w:firstRowFirstColumn="0" w:firstRowLastColumn="0" w:lastRowFirstColumn="0" w:lastRowLastColumn="0"/>
              <w:rPr>
                <w:b/>
              </w:rPr>
            </w:pPr>
          </w:p>
        </w:tc>
        <w:tc>
          <w:tcPr>
            <w:tcW w:w="540" w:type="dxa"/>
            <w:shd w:val="clear" w:color="auto" w:fill="F2F2F2" w:themeFill="background1" w:themeFillShade="F2"/>
          </w:tcPr>
          <w:p w14:paraId="6D14A6C9" w14:textId="77777777" w:rsidR="00B014F0" w:rsidRPr="00D7297E" w:rsidRDefault="00B014F0" w:rsidP="00F5082F">
            <w:pPr>
              <w:pStyle w:val="Refnum2"/>
              <w:cnfStyle w:val="000000010000" w:firstRow="0" w:lastRow="0" w:firstColumn="0" w:lastColumn="0" w:oddVBand="0" w:evenVBand="0" w:oddHBand="0" w:evenHBand="1" w:firstRowFirstColumn="0" w:firstRowLastColumn="0" w:lastRowFirstColumn="0" w:lastRowLastColumn="0"/>
              <w:rPr>
                <w:b/>
              </w:rPr>
            </w:pPr>
          </w:p>
        </w:tc>
        <w:tc>
          <w:tcPr>
            <w:tcW w:w="6120" w:type="dxa"/>
            <w:shd w:val="clear" w:color="auto" w:fill="F2F2F2" w:themeFill="background1" w:themeFillShade="F2"/>
          </w:tcPr>
          <w:p w14:paraId="4C4F67D4" w14:textId="77777777" w:rsidR="00366FD4" w:rsidRPr="00366FD4" w:rsidRDefault="00B014F0" w:rsidP="00AD5BB2">
            <w:pPr>
              <w:pStyle w:val="Normalbold"/>
              <w:cnfStyle w:val="000000010000" w:firstRow="0" w:lastRow="0" w:firstColumn="0" w:lastColumn="0" w:oddVBand="0" w:evenVBand="0" w:oddHBand="0" w:evenHBand="1" w:firstRowFirstColumn="0" w:firstRowLastColumn="0" w:lastRowFirstColumn="0" w:lastRowLastColumn="0"/>
            </w:pPr>
            <w:r w:rsidRPr="00BE2BB2">
              <w:t xml:space="preserve">Annual reporting periods commencing on or after </w:t>
            </w:r>
            <w:r w:rsidR="00A5613C">
              <w:t xml:space="preserve">1 July </w:t>
            </w:r>
            <w:r w:rsidR="00AD5BB2">
              <w:t>2017</w:t>
            </w:r>
            <w:r w:rsidRPr="00BE2BB2">
              <w:t>.</w:t>
            </w:r>
          </w:p>
        </w:tc>
      </w:tr>
      <w:tr w:rsidR="00366FD4" w:rsidRPr="00E10ADB" w14:paraId="6BC6A47C" w14:textId="77777777" w:rsidTr="00D75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7A907B5E" w14:textId="77777777" w:rsidR="00366FD4" w:rsidRPr="00D7297E" w:rsidRDefault="00366FD4" w:rsidP="00A81365">
            <w:pPr>
              <w:pStyle w:val="Normalgrey"/>
              <w:rPr>
                <w:b/>
              </w:rPr>
            </w:pPr>
          </w:p>
        </w:tc>
        <w:tc>
          <w:tcPr>
            <w:tcW w:w="270" w:type="dxa"/>
            <w:shd w:val="clear" w:color="auto" w:fill="F2F2F2" w:themeFill="background1" w:themeFillShade="F2"/>
          </w:tcPr>
          <w:p w14:paraId="13D9C102" w14:textId="77777777" w:rsidR="00366FD4" w:rsidRPr="00D7297E" w:rsidRDefault="00366FD4" w:rsidP="00F5082F">
            <w:pPr>
              <w:cnfStyle w:val="000000100000" w:firstRow="0" w:lastRow="0" w:firstColumn="0" w:lastColumn="0" w:oddVBand="0" w:evenVBand="0" w:oddHBand="1" w:evenHBand="0" w:firstRowFirstColumn="0" w:firstRowLastColumn="0" w:lastRowFirstColumn="0" w:lastRowLastColumn="0"/>
              <w:rPr>
                <w:b/>
              </w:rPr>
            </w:pPr>
          </w:p>
        </w:tc>
        <w:tc>
          <w:tcPr>
            <w:tcW w:w="540" w:type="dxa"/>
            <w:shd w:val="clear" w:color="auto" w:fill="F2F2F2" w:themeFill="background1" w:themeFillShade="F2"/>
          </w:tcPr>
          <w:p w14:paraId="23CE26F2" w14:textId="77777777" w:rsidR="00366FD4" w:rsidRPr="00D7297E" w:rsidRDefault="00366FD4" w:rsidP="00F5082F">
            <w:pPr>
              <w:pStyle w:val="Refnum2"/>
              <w:cnfStyle w:val="000000100000" w:firstRow="0" w:lastRow="0" w:firstColumn="0" w:lastColumn="0" w:oddVBand="0" w:evenVBand="0" w:oddHBand="1" w:evenHBand="0" w:firstRowFirstColumn="0" w:firstRowLastColumn="0" w:lastRowFirstColumn="0" w:lastRowLastColumn="0"/>
              <w:rPr>
                <w:b/>
              </w:rPr>
            </w:pPr>
          </w:p>
        </w:tc>
        <w:tc>
          <w:tcPr>
            <w:tcW w:w="6120" w:type="dxa"/>
            <w:shd w:val="clear" w:color="auto" w:fill="F2F2F2" w:themeFill="background1" w:themeFillShade="F2"/>
          </w:tcPr>
          <w:p w14:paraId="36B8D4C0" w14:textId="1EDBA048" w:rsidR="00D759FB" w:rsidRPr="00BE2BB2" w:rsidRDefault="00D759FB" w:rsidP="00AD5BB2">
            <w:pPr>
              <w:pStyle w:val="Normalbold"/>
              <w:cnfStyle w:val="000000100000" w:firstRow="0" w:lastRow="0" w:firstColumn="0" w:lastColumn="0" w:oddVBand="0" w:evenVBand="0" w:oddHBand="1" w:evenHBand="0" w:firstRowFirstColumn="0" w:firstRowLastColumn="0" w:lastRowFirstColumn="0" w:lastRowLastColumn="0"/>
            </w:pPr>
            <w:r>
              <w:t xml:space="preserve">FRD 106B </w:t>
            </w:r>
            <w:r>
              <w:rPr>
                <w:i/>
                <w:iCs/>
              </w:rPr>
              <w:t xml:space="preserve">Impairment of assets </w:t>
            </w:r>
            <w:r>
              <w:t xml:space="preserve">is renamed to FRD 106 </w:t>
            </w:r>
            <w:r>
              <w:rPr>
                <w:i/>
                <w:iCs/>
              </w:rPr>
              <w:t>Impairment of assets</w:t>
            </w:r>
            <w:r w:rsidRPr="00D53CCF">
              <w:t xml:space="preserve"> effective 1 April 2022</w:t>
            </w:r>
            <w:r>
              <w:rPr>
                <w:i/>
                <w:iCs/>
              </w:rPr>
              <w:t>.</w:t>
            </w:r>
          </w:p>
        </w:tc>
      </w:tr>
      <w:tr w:rsidR="00B014F0" w:rsidRPr="00E10ADB" w14:paraId="776A0F14" w14:textId="77777777" w:rsidTr="00D759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3EA127FA" w14:textId="77777777" w:rsidR="00B014F0" w:rsidRPr="00D7297E" w:rsidRDefault="00B014F0" w:rsidP="00A81365">
            <w:pPr>
              <w:pStyle w:val="Normalbold"/>
            </w:pPr>
            <w:r w:rsidRPr="00D7297E">
              <w:t>Requirements</w:t>
            </w:r>
          </w:p>
        </w:tc>
        <w:tc>
          <w:tcPr>
            <w:tcW w:w="270" w:type="dxa"/>
            <w:shd w:val="clear" w:color="auto" w:fill="F2F2F2" w:themeFill="background1" w:themeFillShade="F2"/>
          </w:tcPr>
          <w:p w14:paraId="47877045" w14:textId="77777777" w:rsidR="00B014F0" w:rsidRPr="00D7297E" w:rsidRDefault="00B014F0" w:rsidP="00F5082F">
            <w:pPr>
              <w:pStyle w:val="Refnum1grey"/>
              <w:cnfStyle w:val="000000010000" w:firstRow="0" w:lastRow="0" w:firstColumn="0" w:lastColumn="0" w:oddVBand="0" w:evenVBand="0" w:oddHBand="0" w:evenHBand="1" w:firstRowFirstColumn="0" w:firstRowLastColumn="0" w:lastRowFirstColumn="0" w:lastRowLastColumn="0"/>
              <w:rPr>
                <w:b/>
              </w:rPr>
            </w:pPr>
          </w:p>
        </w:tc>
        <w:tc>
          <w:tcPr>
            <w:tcW w:w="540" w:type="dxa"/>
            <w:shd w:val="clear" w:color="auto" w:fill="F2F2F2" w:themeFill="background1" w:themeFillShade="F2"/>
          </w:tcPr>
          <w:p w14:paraId="31EAE7BA" w14:textId="77777777" w:rsidR="00B014F0" w:rsidRPr="00D7297E" w:rsidRDefault="00B014F0" w:rsidP="00F5082F">
            <w:pPr>
              <w:pStyle w:val="Refnum2"/>
              <w:cnfStyle w:val="000000010000" w:firstRow="0" w:lastRow="0" w:firstColumn="0" w:lastColumn="0" w:oddVBand="0" w:evenVBand="0" w:oddHBand="0" w:evenHBand="1" w:firstRowFirstColumn="0" w:firstRowLastColumn="0" w:lastRowFirstColumn="0" w:lastRowLastColumn="0"/>
              <w:rPr>
                <w:b/>
              </w:rPr>
            </w:pPr>
          </w:p>
        </w:tc>
        <w:tc>
          <w:tcPr>
            <w:tcW w:w="6120" w:type="dxa"/>
            <w:shd w:val="clear" w:color="auto" w:fill="F2F2F2" w:themeFill="background1" w:themeFillShade="F2"/>
          </w:tcPr>
          <w:p w14:paraId="1BC88A30" w14:textId="77777777" w:rsidR="00B014F0" w:rsidRPr="00BE2BB2" w:rsidRDefault="00B014F0" w:rsidP="00F5082F">
            <w:pPr>
              <w:pStyle w:val="Normalbold"/>
              <w:cnfStyle w:val="000000010000" w:firstRow="0" w:lastRow="0" w:firstColumn="0" w:lastColumn="0" w:oddVBand="0" w:evenVBand="0" w:oddHBand="0" w:evenHBand="1" w:firstRowFirstColumn="0" w:firstRowLastColumn="0" w:lastRowFirstColumn="0" w:lastRowLastColumn="0"/>
            </w:pPr>
            <w:r w:rsidRPr="00BE2BB2">
              <w:t xml:space="preserve">An entity </w:t>
            </w:r>
            <w:r w:rsidR="00CA4110">
              <w:t>shall</w:t>
            </w:r>
            <w:r w:rsidRPr="00BE2BB2">
              <w:t xml:space="preserve"> document the performance and conclusion of its asset impairment assessment.  </w:t>
            </w:r>
          </w:p>
        </w:tc>
      </w:tr>
      <w:tr w:rsidR="00B014F0" w:rsidRPr="00E10ADB" w14:paraId="3B7B00A5" w14:textId="77777777" w:rsidTr="00D75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3AD16295" w14:textId="77777777" w:rsidR="00B014F0" w:rsidRPr="00D7297E" w:rsidRDefault="00B014F0" w:rsidP="00A81365">
            <w:pPr>
              <w:pStyle w:val="Normalgrey"/>
              <w:rPr>
                <w:b/>
              </w:rPr>
            </w:pPr>
          </w:p>
        </w:tc>
        <w:tc>
          <w:tcPr>
            <w:tcW w:w="270" w:type="dxa"/>
            <w:shd w:val="clear" w:color="auto" w:fill="F2F2F2" w:themeFill="background1" w:themeFillShade="F2"/>
          </w:tcPr>
          <w:p w14:paraId="0DBFD2C3" w14:textId="77777777" w:rsidR="00B014F0" w:rsidRPr="00D7297E" w:rsidRDefault="00B014F0" w:rsidP="00F5082F">
            <w:pPr>
              <w:cnfStyle w:val="000000100000" w:firstRow="0" w:lastRow="0" w:firstColumn="0" w:lastColumn="0" w:oddVBand="0" w:evenVBand="0" w:oddHBand="1" w:evenHBand="0" w:firstRowFirstColumn="0" w:firstRowLastColumn="0" w:lastRowFirstColumn="0" w:lastRowLastColumn="0"/>
              <w:rPr>
                <w:b/>
              </w:rPr>
            </w:pPr>
          </w:p>
        </w:tc>
        <w:tc>
          <w:tcPr>
            <w:tcW w:w="540" w:type="dxa"/>
            <w:shd w:val="clear" w:color="auto" w:fill="F2F2F2" w:themeFill="background1" w:themeFillShade="F2"/>
          </w:tcPr>
          <w:p w14:paraId="13053425" w14:textId="77777777" w:rsidR="00B014F0" w:rsidRPr="00D7297E" w:rsidRDefault="00B014F0" w:rsidP="00F5082F">
            <w:pPr>
              <w:pStyle w:val="Refnum2"/>
              <w:cnfStyle w:val="000000100000" w:firstRow="0" w:lastRow="0" w:firstColumn="0" w:lastColumn="0" w:oddVBand="0" w:evenVBand="0" w:oddHBand="1" w:evenHBand="0" w:firstRowFirstColumn="0" w:firstRowLastColumn="0" w:lastRowFirstColumn="0" w:lastRowLastColumn="0"/>
              <w:rPr>
                <w:b/>
              </w:rPr>
            </w:pPr>
          </w:p>
        </w:tc>
        <w:tc>
          <w:tcPr>
            <w:tcW w:w="6120" w:type="dxa"/>
            <w:shd w:val="clear" w:color="auto" w:fill="F2F2F2" w:themeFill="background1" w:themeFillShade="F2"/>
          </w:tcPr>
          <w:p w14:paraId="49AE36D9" w14:textId="77777777" w:rsidR="00B014F0" w:rsidRPr="00BE2BB2" w:rsidRDefault="00B014F0" w:rsidP="00F5082F">
            <w:pPr>
              <w:pStyle w:val="Normalbold"/>
              <w:cnfStyle w:val="000000100000" w:firstRow="0" w:lastRow="0" w:firstColumn="0" w:lastColumn="0" w:oddVBand="0" w:evenVBand="0" w:oddHBand="1" w:evenHBand="0" w:firstRowFirstColumn="0" w:firstRowLastColumn="0" w:lastRowFirstColumn="0" w:lastRowLastColumn="0"/>
            </w:pPr>
            <w:r w:rsidRPr="00BE2BB2">
              <w:t>When performing asset impairment tests, for not-for-profit entities, it is deemed that the future economic benefits arising from the use of an asset will be replaced if the entity concerned is deprived of its use, unless a documented specific decision to the contrary exists.</w:t>
            </w:r>
          </w:p>
        </w:tc>
      </w:tr>
      <w:tr w:rsidR="00B014F0" w:rsidRPr="00E10ADB" w14:paraId="193A2827" w14:textId="77777777" w:rsidTr="00D759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78D47D4C" w14:textId="77777777" w:rsidR="00B014F0" w:rsidRPr="00F5082F" w:rsidRDefault="00B014F0" w:rsidP="00A81365">
            <w:pPr>
              <w:pStyle w:val="Normalgrey"/>
            </w:pPr>
            <w:r w:rsidRPr="00E2009B">
              <w:t>Definitions</w:t>
            </w:r>
          </w:p>
        </w:tc>
        <w:tc>
          <w:tcPr>
            <w:tcW w:w="270" w:type="dxa"/>
          </w:tcPr>
          <w:p w14:paraId="0AD7D821" w14:textId="77777777" w:rsidR="00B014F0" w:rsidRPr="00D42502" w:rsidRDefault="00B014F0" w:rsidP="00F5082F">
            <w:pPr>
              <w:pStyle w:val="Refnum1"/>
              <w:cnfStyle w:val="000000010000" w:firstRow="0" w:lastRow="0" w:firstColumn="0" w:lastColumn="0" w:oddVBand="0" w:evenVBand="0" w:oddHBand="0" w:evenHBand="1" w:firstRowFirstColumn="0" w:firstRowLastColumn="0" w:lastRowFirstColumn="0" w:lastRowLastColumn="0"/>
            </w:pPr>
          </w:p>
        </w:tc>
        <w:tc>
          <w:tcPr>
            <w:tcW w:w="540" w:type="dxa"/>
          </w:tcPr>
          <w:p w14:paraId="158B25DC" w14:textId="77777777" w:rsidR="00B014F0" w:rsidRPr="00D42502" w:rsidRDefault="00B014F0" w:rsidP="00F5082F">
            <w:pPr>
              <w:pStyle w:val="Refnum2"/>
              <w:cnfStyle w:val="000000010000" w:firstRow="0" w:lastRow="0" w:firstColumn="0" w:lastColumn="0" w:oddVBand="0" w:evenVBand="0" w:oddHBand="0" w:evenHBand="1" w:firstRowFirstColumn="0" w:firstRowLastColumn="0" w:lastRowFirstColumn="0" w:lastRowLastColumn="0"/>
            </w:pPr>
          </w:p>
        </w:tc>
        <w:tc>
          <w:tcPr>
            <w:tcW w:w="6120" w:type="dxa"/>
          </w:tcPr>
          <w:p w14:paraId="1638216C" w14:textId="6AA0BC33" w:rsidR="00B014F0" w:rsidRPr="00BE2BB2" w:rsidRDefault="00B014F0" w:rsidP="00F5082F">
            <w:pPr>
              <w:pStyle w:val="Normalgrey"/>
              <w:cnfStyle w:val="000000010000" w:firstRow="0" w:lastRow="0" w:firstColumn="0" w:lastColumn="0" w:oddVBand="0" w:evenVBand="0" w:oddHBand="0" w:evenHBand="1" w:firstRowFirstColumn="0" w:firstRowLastColumn="0" w:lastRowFirstColumn="0" w:lastRowLastColumn="0"/>
            </w:pPr>
            <w:r w:rsidRPr="00BE2BB2">
              <w:t>Refer to paragraph 6</w:t>
            </w:r>
            <w:r w:rsidR="00332C13">
              <w:t xml:space="preserve"> </w:t>
            </w:r>
            <w:r w:rsidRPr="00BE2BB2">
              <w:t>of AASB 136</w:t>
            </w:r>
            <w:r w:rsidR="00555706">
              <w:t xml:space="preserve">, </w:t>
            </w:r>
            <w:r w:rsidR="00112DE0">
              <w:t>Appendix A of AASB 13</w:t>
            </w:r>
            <w:r w:rsidR="00555706">
              <w:t xml:space="preserve"> and paragraph 30 and 31 of AASB 116 </w:t>
            </w:r>
            <w:r w:rsidRPr="00BE2BB2">
              <w:t>for the following definitions:</w:t>
            </w:r>
          </w:p>
          <w:p w14:paraId="0266DE11" w14:textId="77777777" w:rsidR="00B014F0" w:rsidRPr="00D759FB" w:rsidRDefault="00B014F0" w:rsidP="00D759FB">
            <w:pPr>
              <w:pStyle w:val="Bullet1grey"/>
              <w:cnfStyle w:val="000000010000" w:firstRow="0" w:lastRow="0" w:firstColumn="0" w:lastColumn="0" w:oddVBand="0" w:evenVBand="0" w:oddHBand="0" w:evenHBand="1" w:firstRowFirstColumn="0" w:firstRowLastColumn="0" w:lastRowFirstColumn="0" w:lastRowLastColumn="0"/>
            </w:pPr>
            <w:r w:rsidRPr="00D759FB">
              <w:t>Carrying amount;</w:t>
            </w:r>
          </w:p>
          <w:p w14:paraId="3F61DDA2" w14:textId="77777777" w:rsidR="00B014F0" w:rsidRPr="00D759FB" w:rsidRDefault="00B014F0" w:rsidP="00D759FB">
            <w:pPr>
              <w:pStyle w:val="Bullet1grey"/>
              <w:cnfStyle w:val="000000010000" w:firstRow="0" w:lastRow="0" w:firstColumn="0" w:lastColumn="0" w:oddVBand="0" w:evenVBand="0" w:oddHBand="0" w:evenHBand="1" w:firstRowFirstColumn="0" w:firstRowLastColumn="0" w:lastRowFirstColumn="0" w:lastRowLastColumn="0"/>
            </w:pPr>
            <w:r w:rsidRPr="00D759FB">
              <w:t>Cash-generating unit;</w:t>
            </w:r>
          </w:p>
          <w:p w14:paraId="2880772F" w14:textId="77777777" w:rsidR="00112DE0" w:rsidRPr="00D759FB" w:rsidRDefault="00112DE0" w:rsidP="00D759FB">
            <w:pPr>
              <w:pStyle w:val="Bullet1grey"/>
              <w:cnfStyle w:val="000000010000" w:firstRow="0" w:lastRow="0" w:firstColumn="0" w:lastColumn="0" w:oddVBand="0" w:evenVBand="0" w:oddHBand="0" w:evenHBand="1" w:firstRowFirstColumn="0" w:firstRowLastColumn="0" w:lastRowFirstColumn="0" w:lastRowLastColumn="0"/>
            </w:pPr>
            <w:r w:rsidRPr="00D759FB">
              <w:t>Current replacement cost;</w:t>
            </w:r>
          </w:p>
          <w:p w14:paraId="6368FCB2" w14:textId="77777777" w:rsidR="00B014F0" w:rsidRPr="00D759FB" w:rsidRDefault="00B014F0" w:rsidP="00D759FB">
            <w:pPr>
              <w:pStyle w:val="Bullet1grey"/>
              <w:cnfStyle w:val="000000010000" w:firstRow="0" w:lastRow="0" w:firstColumn="0" w:lastColumn="0" w:oddVBand="0" w:evenVBand="0" w:oddHBand="0" w:evenHBand="1" w:firstRowFirstColumn="0" w:firstRowLastColumn="0" w:lastRowFirstColumn="0" w:lastRowLastColumn="0"/>
            </w:pPr>
            <w:r w:rsidRPr="00D759FB">
              <w:t>Fair value;</w:t>
            </w:r>
          </w:p>
          <w:p w14:paraId="4DB32276" w14:textId="77777777" w:rsidR="00B014F0" w:rsidRPr="00D759FB" w:rsidRDefault="00B014F0" w:rsidP="00D759FB">
            <w:pPr>
              <w:pStyle w:val="Bullet1grey"/>
              <w:cnfStyle w:val="000000010000" w:firstRow="0" w:lastRow="0" w:firstColumn="0" w:lastColumn="0" w:oddVBand="0" w:evenVBand="0" w:oddHBand="0" w:evenHBand="1" w:firstRowFirstColumn="0" w:firstRowLastColumn="0" w:lastRowFirstColumn="0" w:lastRowLastColumn="0"/>
            </w:pPr>
            <w:r w:rsidRPr="00D759FB">
              <w:t>Impairment loss;</w:t>
            </w:r>
          </w:p>
          <w:p w14:paraId="6C3DF4FD" w14:textId="77777777" w:rsidR="00B014F0" w:rsidRPr="00D759FB" w:rsidRDefault="00B014F0" w:rsidP="00D759FB">
            <w:pPr>
              <w:pStyle w:val="Bullet1grey"/>
              <w:cnfStyle w:val="000000010000" w:firstRow="0" w:lastRow="0" w:firstColumn="0" w:lastColumn="0" w:oddVBand="0" w:evenVBand="0" w:oddHBand="0" w:evenHBand="1" w:firstRowFirstColumn="0" w:firstRowLastColumn="0" w:lastRowFirstColumn="0" w:lastRowLastColumn="0"/>
            </w:pPr>
            <w:r w:rsidRPr="00D759FB">
              <w:t>Not-for-profit entity;</w:t>
            </w:r>
          </w:p>
          <w:p w14:paraId="1FEC6BDF" w14:textId="77777777" w:rsidR="00B014F0" w:rsidRPr="00D759FB" w:rsidRDefault="00B014F0" w:rsidP="00D759FB">
            <w:pPr>
              <w:pStyle w:val="Bullet1grey"/>
              <w:cnfStyle w:val="000000010000" w:firstRow="0" w:lastRow="0" w:firstColumn="0" w:lastColumn="0" w:oddVBand="0" w:evenVBand="0" w:oddHBand="0" w:evenHBand="1" w:firstRowFirstColumn="0" w:firstRowLastColumn="0" w:lastRowFirstColumn="0" w:lastRowLastColumn="0"/>
            </w:pPr>
            <w:r w:rsidRPr="00D759FB">
              <w:t>Recoverable amount;</w:t>
            </w:r>
          </w:p>
          <w:p w14:paraId="4BF31B75" w14:textId="77777777" w:rsidR="00555706" w:rsidRPr="00D759FB" w:rsidRDefault="00B014F0" w:rsidP="00D759FB">
            <w:pPr>
              <w:pStyle w:val="Bullet1grey"/>
              <w:cnfStyle w:val="000000010000" w:firstRow="0" w:lastRow="0" w:firstColumn="0" w:lastColumn="0" w:oddVBand="0" w:evenVBand="0" w:oddHBand="0" w:evenHBand="1" w:firstRowFirstColumn="0" w:firstRowLastColumn="0" w:lastRowFirstColumn="0" w:lastRowLastColumn="0"/>
            </w:pPr>
            <w:r w:rsidRPr="00D759FB">
              <w:t>Value in use</w:t>
            </w:r>
            <w:r w:rsidR="00555706" w:rsidRPr="00D759FB">
              <w:t>;</w:t>
            </w:r>
          </w:p>
          <w:p w14:paraId="4871425A" w14:textId="77777777" w:rsidR="0097341D" w:rsidRPr="00D759FB" w:rsidRDefault="0097341D" w:rsidP="00D759FB">
            <w:pPr>
              <w:pStyle w:val="Bullet1grey"/>
              <w:cnfStyle w:val="000000010000" w:firstRow="0" w:lastRow="0" w:firstColumn="0" w:lastColumn="0" w:oddVBand="0" w:evenVBand="0" w:oddHBand="0" w:evenHBand="1" w:firstRowFirstColumn="0" w:firstRowLastColumn="0" w:lastRowFirstColumn="0" w:lastRowLastColumn="0"/>
            </w:pPr>
            <w:r w:rsidRPr="00D759FB">
              <w:t>Cost m</w:t>
            </w:r>
            <w:r w:rsidR="00555706" w:rsidRPr="00D759FB">
              <w:t>odel</w:t>
            </w:r>
            <w:r w:rsidRPr="00D759FB">
              <w:t>; and</w:t>
            </w:r>
          </w:p>
          <w:p w14:paraId="3C0B5149" w14:textId="77777777" w:rsidR="00B014F0" w:rsidRPr="00822CF3" w:rsidRDefault="0097341D" w:rsidP="00D759FB">
            <w:pPr>
              <w:pStyle w:val="Bullet1grey"/>
              <w:cnfStyle w:val="000000010000" w:firstRow="0" w:lastRow="0" w:firstColumn="0" w:lastColumn="0" w:oddVBand="0" w:evenVBand="0" w:oddHBand="0" w:evenHBand="1" w:firstRowFirstColumn="0" w:firstRowLastColumn="0" w:lastRowFirstColumn="0" w:lastRowLastColumn="0"/>
            </w:pPr>
            <w:r w:rsidRPr="00D759FB">
              <w:t>Revaluation model.</w:t>
            </w:r>
          </w:p>
        </w:tc>
      </w:tr>
      <w:tr w:rsidR="00B014F0" w:rsidRPr="00E10ADB" w14:paraId="04F8BF67" w14:textId="77777777" w:rsidTr="00D75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68D4D0DF" w14:textId="3230EDBB" w:rsidR="00B014F0" w:rsidRPr="00E2009B" w:rsidRDefault="00D759FB" w:rsidP="00A81365">
            <w:pPr>
              <w:pStyle w:val="Normalgrey"/>
            </w:pPr>
            <w:r w:rsidRPr="00E2009B">
              <w:t>Guidance</w:t>
            </w:r>
          </w:p>
        </w:tc>
        <w:tc>
          <w:tcPr>
            <w:tcW w:w="270" w:type="dxa"/>
          </w:tcPr>
          <w:p w14:paraId="475DFC90" w14:textId="77777777" w:rsidR="00B014F0" w:rsidRPr="00521483" w:rsidRDefault="00B014F0" w:rsidP="00F5082F">
            <w:pPr>
              <w:cnfStyle w:val="000000100000" w:firstRow="0" w:lastRow="0" w:firstColumn="0" w:lastColumn="0" w:oddVBand="0" w:evenVBand="0" w:oddHBand="1" w:evenHBand="0" w:firstRowFirstColumn="0" w:firstRowLastColumn="0" w:lastRowFirstColumn="0" w:lastRowLastColumn="0"/>
            </w:pPr>
          </w:p>
        </w:tc>
        <w:tc>
          <w:tcPr>
            <w:tcW w:w="540" w:type="dxa"/>
          </w:tcPr>
          <w:p w14:paraId="7BCE47B8" w14:textId="77777777" w:rsidR="00D759FB" w:rsidRPr="00D759FB" w:rsidRDefault="00D759FB" w:rsidP="00D759FB">
            <w:pPr>
              <w:pStyle w:val="ListParagraph"/>
              <w:numPr>
                <w:ilvl w:val="0"/>
                <w:numId w:val="20"/>
              </w:numPr>
              <w:contextualSpacing w:val="0"/>
              <w:cnfStyle w:val="000000100000" w:firstRow="0" w:lastRow="0" w:firstColumn="0" w:lastColumn="0" w:oddVBand="0" w:evenVBand="0" w:oddHBand="1" w:evenHBand="0" w:firstRowFirstColumn="0" w:firstRowLastColumn="0" w:lastRowFirstColumn="0" w:lastRowLastColumn="0"/>
              <w:rPr>
                <w:rFonts w:eastAsia="Calibri" w:cs="Times New Roman"/>
                <w:vanish/>
                <w:color w:val="595959" w:themeColor="text1" w:themeTint="A6"/>
                <w:spacing w:val="0"/>
                <w:szCs w:val="21"/>
                <w:lang w:eastAsia="en-US"/>
              </w:rPr>
            </w:pPr>
          </w:p>
          <w:p w14:paraId="4AE2A332" w14:textId="77777777" w:rsidR="00D759FB" w:rsidRPr="00D759FB" w:rsidRDefault="00D759FB" w:rsidP="00D759FB">
            <w:pPr>
              <w:pStyle w:val="ListParagraph"/>
              <w:numPr>
                <w:ilvl w:val="1"/>
                <w:numId w:val="20"/>
              </w:numPr>
              <w:contextualSpacing w:val="0"/>
              <w:cnfStyle w:val="000000100000" w:firstRow="0" w:lastRow="0" w:firstColumn="0" w:lastColumn="0" w:oddVBand="0" w:evenVBand="0" w:oddHBand="1" w:evenHBand="0" w:firstRowFirstColumn="0" w:firstRowLastColumn="0" w:lastRowFirstColumn="0" w:lastRowLastColumn="0"/>
              <w:rPr>
                <w:vanish/>
                <w:color w:val="595959" w:themeColor="text1" w:themeTint="A6"/>
              </w:rPr>
            </w:pPr>
          </w:p>
          <w:p w14:paraId="7BAEFC52" w14:textId="1972242D" w:rsidR="00B014F0" w:rsidRPr="00D759FB" w:rsidRDefault="00B014F0" w:rsidP="00D759FB">
            <w:pPr>
              <w:pStyle w:val="Refnum2"/>
              <w:spacing w:line="264" w:lineRule="auto"/>
              <w:cnfStyle w:val="000000100000" w:firstRow="0" w:lastRow="0" w:firstColumn="0" w:lastColumn="0" w:oddVBand="0" w:evenVBand="0" w:oddHBand="1" w:evenHBand="0" w:firstRowFirstColumn="0" w:firstRowLastColumn="0" w:lastRowFirstColumn="0" w:lastRowLastColumn="0"/>
              <w:rPr>
                <w:color w:val="595959" w:themeColor="text1" w:themeTint="A6"/>
              </w:rPr>
            </w:pPr>
          </w:p>
        </w:tc>
        <w:tc>
          <w:tcPr>
            <w:tcW w:w="6120" w:type="dxa"/>
          </w:tcPr>
          <w:p w14:paraId="5B7668FC" w14:textId="59B446B0" w:rsidR="00D759FB" w:rsidRDefault="00D759FB" w:rsidP="00F5082F">
            <w:pPr>
              <w:pStyle w:val="Normalgrey"/>
              <w:cnfStyle w:val="000000100000" w:firstRow="0" w:lastRow="0" w:firstColumn="0" w:lastColumn="0" w:oddVBand="0" w:evenVBand="0" w:oddHBand="1" w:evenHBand="0" w:firstRowFirstColumn="0" w:firstRowLastColumn="0" w:lastRowFirstColumn="0" w:lastRowLastColumn="0"/>
            </w:pPr>
            <w:r w:rsidRPr="00D42502">
              <w:rPr>
                <w:b/>
              </w:rPr>
              <w:t>Impairment Indicators</w:t>
            </w:r>
          </w:p>
          <w:p w14:paraId="0312D818" w14:textId="74EDA240" w:rsidR="00B014F0" w:rsidRDefault="00B014F0" w:rsidP="00F5082F">
            <w:pPr>
              <w:pStyle w:val="Normalgrey"/>
              <w:cnfStyle w:val="000000100000" w:firstRow="0" w:lastRow="0" w:firstColumn="0" w:lastColumn="0" w:oddVBand="0" w:evenVBand="0" w:oddHBand="1" w:evenHBand="0" w:firstRowFirstColumn="0" w:firstRowLastColumn="0" w:lastRowFirstColumn="0" w:lastRowLastColumn="0"/>
            </w:pPr>
            <w:r>
              <w:t>Paragraph 12 of AASB 136 outlines the minimum indicators to be considered in assessing whether there is any indication that an asset may be impaired.</w:t>
            </w:r>
          </w:p>
        </w:tc>
      </w:tr>
      <w:tr w:rsidR="00B014F0" w:rsidRPr="00E10ADB" w14:paraId="14E9D1CD" w14:textId="77777777" w:rsidTr="00D759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55D38C1D" w14:textId="77777777" w:rsidR="00B014F0" w:rsidRPr="00E2009B" w:rsidRDefault="00B014F0" w:rsidP="00A81365">
            <w:pPr>
              <w:pStyle w:val="Normalgrey"/>
            </w:pPr>
          </w:p>
        </w:tc>
        <w:tc>
          <w:tcPr>
            <w:tcW w:w="270" w:type="dxa"/>
          </w:tcPr>
          <w:p w14:paraId="2FB32020" w14:textId="77777777" w:rsidR="00B014F0" w:rsidRPr="00521483" w:rsidRDefault="00B014F0" w:rsidP="00F5082F">
            <w:pPr>
              <w:cnfStyle w:val="000000010000" w:firstRow="0" w:lastRow="0" w:firstColumn="0" w:lastColumn="0" w:oddVBand="0" w:evenVBand="0" w:oddHBand="0" w:evenHBand="1" w:firstRowFirstColumn="0" w:firstRowLastColumn="0" w:lastRowFirstColumn="0" w:lastRowLastColumn="0"/>
            </w:pPr>
          </w:p>
        </w:tc>
        <w:tc>
          <w:tcPr>
            <w:tcW w:w="540" w:type="dxa"/>
          </w:tcPr>
          <w:p w14:paraId="05E42FE3" w14:textId="77777777" w:rsidR="00B014F0" w:rsidRPr="00D42502" w:rsidRDefault="00B014F0" w:rsidP="00D42502">
            <w:pPr>
              <w:pStyle w:val="Refnum2"/>
              <w:cnfStyle w:val="000000010000" w:firstRow="0" w:lastRow="0" w:firstColumn="0" w:lastColumn="0" w:oddVBand="0" w:evenVBand="0" w:oddHBand="0" w:evenHBand="1" w:firstRowFirstColumn="0" w:firstRowLastColumn="0" w:lastRowFirstColumn="0" w:lastRowLastColumn="0"/>
              <w:rPr>
                <w:color w:val="595959" w:themeColor="text1" w:themeTint="A6"/>
              </w:rPr>
            </w:pPr>
          </w:p>
        </w:tc>
        <w:tc>
          <w:tcPr>
            <w:tcW w:w="6120" w:type="dxa"/>
          </w:tcPr>
          <w:p w14:paraId="1E0DDD27" w14:textId="77777777" w:rsidR="00B014F0" w:rsidRDefault="00B014F0" w:rsidP="00F5082F">
            <w:pPr>
              <w:pStyle w:val="Normalgrey"/>
              <w:cnfStyle w:val="000000010000" w:firstRow="0" w:lastRow="0" w:firstColumn="0" w:lastColumn="0" w:oddVBand="0" w:evenVBand="0" w:oddHBand="0" w:evenHBand="1" w:firstRowFirstColumn="0" w:firstRowLastColumn="0" w:lastRowFirstColumn="0" w:lastRowLastColumn="0"/>
            </w:pPr>
            <w:r>
              <w:t>Paragraphs 12(c) and (d) are not relevant for non-cash-generating assets of not-for-profit entities.</w:t>
            </w:r>
          </w:p>
        </w:tc>
      </w:tr>
      <w:tr w:rsidR="00B014F0" w:rsidRPr="00E10ADB" w14:paraId="1FF70F64" w14:textId="77777777" w:rsidTr="00D75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69225487" w14:textId="77777777" w:rsidR="00B014F0" w:rsidRPr="00E2009B" w:rsidRDefault="00B014F0" w:rsidP="00A81365">
            <w:pPr>
              <w:pStyle w:val="Normalgrey"/>
            </w:pPr>
          </w:p>
        </w:tc>
        <w:tc>
          <w:tcPr>
            <w:tcW w:w="270" w:type="dxa"/>
          </w:tcPr>
          <w:p w14:paraId="65119B94" w14:textId="77777777" w:rsidR="00B014F0" w:rsidRPr="00521483" w:rsidRDefault="00B014F0" w:rsidP="00F5082F">
            <w:pPr>
              <w:cnfStyle w:val="000000100000" w:firstRow="0" w:lastRow="0" w:firstColumn="0" w:lastColumn="0" w:oddVBand="0" w:evenVBand="0" w:oddHBand="1" w:evenHBand="0" w:firstRowFirstColumn="0" w:firstRowLastColumn="0" w:lastRowFirstColumn="0" w:lastRowLastColumn="0"/>
            </w:pPr>
          </w:p>
        </w:tc>
        <w:tc>
          <w:tcPr>
            <w:tcW w:w="540" w:type="dxa"/>
          </w:tcPr>
          <w:p w14:paraId="6F8A631D" w14:textId="77777777" w:rsidR="00B014F0" w:rsidRPr="00D42502" w:rsidRDefault="00B014F0" w:rsidP="00D42502">
            <w:pPr>
              <w:pStyle w:val="Refnum2"/>
              <w:cnfStyle w:val="000000100000" w:firstRow="0" w:lastRow="0" w:firstColumn="0" w:lastColumn="0" w:oddVBand="0" w:evenVBand="0" w:oddHBand="1" w:evenHBand="0" w:firstRowFirstColumn="0" w:firstRowLastColumn="0" w:lastRowFirstColumn="0" w:lastRowLastColumn="0"/>
              <w:rPr>
                <w:color w:val="595959" w:themeColor="text1" w:themeTint="A6"/>
              </w:rPr>
            </w:pPr>
          </w:p>
        </w:tc>
        <w:tc>
          <w:tcPr>
            <w:tcW w:w="6120" w:type="dxa"/>
          </w:tcPr>
          <w:p w14:paraId="2B095462" w14:textId="77777777" w:rsidR="00B014F0" w:rsidRDefault="00B014F0" w:rsidP="00F5082F">
            <w:pPr>
              <w:pStyle w:val="Normalgrey"/>
              <w:cnfStyle w:val="000000100000" w:firstRow="0" w:lastRow="0" w:firstColumn="0" w:lastColumn="0" w:oddVBand="0" w:evenVBand="0" w:oddHBand="1" w:evenHBand="0" w:firstRowFirstColumn="0" w:firstRowLastColumn="0" w:lastRowFirstColumn="0" w:lastRowLastColumn="0"/>
            </w:pPr>
            <w:r>
              <w:t xml:space="preserve">In addition to the indicators outlined in AASB 136, entities </w:t>
            </w:r>
            <w:r w:rsidR="00D05E3F">
              <w:t>shall</w:t>
            </w:r>
            <w:r>
              <w:t xml:space="preserve"> also consider ‘changes to government policies or decisions that have an adverse impact on the entity’s ability to benefit from the future economic benefits of an asset’ as a minimum impairment indicator.</w:t>
            </w:r>
          </w:p>
        </w:tc>
      </w:tr>
      <w:tr w:rsidR="00B014F0" w:rsidRPr="00E10ADB" w14:paraId="38091B58" w14:textId="77777777" w:rsidTr="00D759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0DAFAC4D" w14:textId="77777777" w:rsidR="00B014F0" w:rsidRPr="00E2009B" w:rsidRDefault="00B014F0" w:rsidP="00A81365">
            <w:pPr>
              <w:pStyle w:val="Normalgrey"/>
            </w:pPr>
          </w:p>
        </w:tc>
        <w:tc>
          <w:tcPr>
            <w:tcW w:w="270" w:type="dxa"/>
          </w:tcPr>
          <w:p w14:paraId="2771B6AE" w14:textId="77777777" w:rsidR="00B014F0" w:rsidRPr="00521483" w:rsidRDefault="00B014F0" w:rsidP="00F5082F">
            <w:pPr>
              <w:cnfStyle w:val="000000010000" w:firstRow="0" w:lastRow="0" w:firstColumn="0" w:lastColumn="0" w:oddVBand="0" w:evenVBand="0" w:oddHBand="0" w:evenHBand="1" w:firstRowFirstColumn="0" w:firstRowLastColumn="0" w:lastRowFirstColumn="0" w:lastRowLastColumn="0"/>
            </w:pPr>
          </w:p>
        </w:tc>
        <w:tc>
          <w:tcPr>
            <w:tcW w:w="540" w:type="dxa"/>
          </w:tcPr>
          <w:p w14:paraId="5079E73C" w14:textId="77777777" w:rsidR="00B014F0" w:rsidRPr="00A81365" w:rsidRDefault="00B014F0" w:rsidP="00A81365">
            <w:pPr>
              <w:pStyle w:val="Refnum2"/>
              <w:cnfStyle w:val="000000010000" w:firstRow="0" w:lastRow="0" w:firstColumn="0" w:lastColumn="0" w:oddVBand="0" w:evenVBand="0" w:oddHBand="0" w:evenHBand="1" w:firstRowFirstColumn="0" w:firstRowLastColumn="0" w:lastRowFirstColumn="0" w:lastRowLastColumn="0"/>
            </w:pPr>
          </w:p>
        </w:tc>
        <w:tc>
          <w:tcPr>
            <w:tcW w:w="6120" w:type="dxa"/>
          </w:tcPr>
          <w:p w14:paraId="45CD3264" w14:textId="77777777" w:rsidR="00D759FB" w:rsidRDefault="00D759FB" w:rsidP="00F5082F">
            <w:pPr>
              <w:pStyle w:val="Normalgrey"/>
              <w:cnfStyle w:val="000000010000" w:firstRow="0" w:lastRow="0" w:firstColumn="0" w:lastColumn="0" w:oddVBand="0" w:evenVBand="0" w:oddHBand="0" w:evenHBand="1" w:firstRowFirstColumn="0" w:firstRowLastColumn="0" w:lastRowFirstColumn="0" w:lastRowLastColumn="0"/>
              <w:rPr>
                <w:b/>
              </w:rPr>
            </w:pPr>
            <w:r w:rsidRPr="00D42502">
              <w:rPr>
                <w:b/>
              </w:rPr>
              <w:t>Cash-generating unit</w:t>
            </w:r>
          </w:p>
          <w:p w14:paraId="6FA8C136" w14:textId="54290C64" w:rsidR="00B014F0" w:rsidRDefault="00B014F0" w:rsidP="00F5082F">
            <w:pPr>
              <w:pStyle w:val="Normalgrey"/>
              <w:cnfStyle w:val="000000010000" w:firstRow="0" w:lastRow="0" w:firstColumn="0" w:lastColumn="0" w:oddVBand="0" w:evenVBand="0" w:oddHBand="0" w:evenHBand="1" w:firstRowFirstColumn="0" w:firstRowLastColumn="0" w:lastRowFirstColumn="0" w:lastRowLastColumn="0"/>
            </w:pPr>
            <w:r w:rsidRPr="00EA3452">
              <w:t xml:space="preserve">Paragraphs 66 to 73 of AASB 136 and Illustrative Example 1 that accompanies AASB 136 provides guidance on the identification of a </w:t>
            </w:r>
            <w:r>
              <w:t>‘</w:t>
            </w:r>
            <w:r w:rsidRPr="00B014F0">
              <w:rPr>
                <w:iCs/>
              </w:rPr>
              <w:t>cash</w:t>
            </w:r>
            <w:r w:rsidRPr="00B014F0">
              <w:rPr>
                <w:iCs/>
              </w:rPr>
              <w:noBreakHyphen/>
              <w:t>generating unit</w:t>
            </w:r>
            <w:r>
              <w:rPr>
                <w:iCs/>
              </w:rPr>
              <w:t>’</w:t>
            </w:r>
            <w:r>
              <w:t xml:space="preserve"> (CGU</w:t>
            </w:r>
            <w:r w:rsidRPr="00EA3452">
              <w:t xml:space="preserve">).  Department of Treasury and Finance’s summary on the concept of a CGU is provided below, however, entities </w:t>
            </w:r>
            <w:r w:rsidR="00D05E3F">
              <w:t>shall</w:t>
            </w:r>
            <w:r w:rsidRPr="00EA3452">
              <w:t xml:space="preserve"> note that a CGU </w:t>
            </w:r>
            <w:r w:rsidR="00CA4110">
              <w:t>shall</w:t>
            </w:r>
            <w:r w:rsidRPr="00EA3452">
              <w:t xml:space="preserve"> be identified in accordance with the requirements of AASB 136.</w:t>
            </w:r>
          </w:p>
        </w:tc>
      </w:tr>
      <w:tr w:rsidR="00B014F0" w:rsidRPr="00E10ADB" w14:paraId="18380E9A" w14:textId="77777777" w:rsidTr="00D75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506ADA02" w14:textId="77777777" w:rsidR="00B014F0" w:rsidRPr="00E2009B" w:rsidRDefault="00B014F0" w:rsidP="00A81365">
            <w:pPr>
              <w:pStyle w:val="Normalgrey"/>
            </w:pPr>
          </w:p>
        </w:tc>
        <w:tc>
          <w:tcPr>
            <w:tcW w:w="270" w:type="dxa"/>
          </w:tcPr>
          <w:p w14:paraId="2E3A4CCE" w14:textId="77777777" w:rsidR="00B014F0" w:rsidRPr="00521483" w:rsidRDefault="00B014F0" w:rsidP="00F5082F">
            <w:pPr>
              <w:cnfStyle w:val="000000100000" w:firstRow="0" w:lastRow="0" w:firstColumn="0" w:lastColumn="0" w:oddVBand="0" w:evenVBand="0" w:oddHBand="1" w:evenHBand="0" w:firstRowFirstColumn="0" w:firstRowLastColumn="0" w:lastRowFirstColumn="0" w:lastRowLastColumn="0"/>
            </w:pPr>
          </w:p>
        </w:tc>
        <w:tc>
          <w:tcPr>
            <w:tcW w:w="540" w:type="dxa"/>
          </w:tcPr>
          <w:p w14:paraId="0DA138A8" w14:textId="77777777" w:rsidR="00B014F0" w:rsidRPr="00D42502" w:rsidRDefault="00B014F0" w:rsidP="00F5082F">
            <w:pPr>
              <w:pStyle w:val="Refnum2"/>
              <w:cnfStyle w:val="000000100000" w:firstRow="0" w:lastRow="0" w:firstColumn="0" w:lastColumn="0" w:oddVBand="0" w:evenVBand="0" w:oddHBand="1" w:evenHBand="0" w:firstRowFirstColumn="0" w:firstRowLastColumn="0" w:lastRowFirstColumn="0" w:lastRowLastColumn="0"/>
            </w:pPr>
          </w:p>
        </w:tc>
        <w:tc>
          <w:tcPr>
            <w:tcW w:w="6120" w:type="dxa"/>
          </w:tcPr>
          <w:p w14:paraId="7D0732E2" w14:textId="77777777" w:rsidR="00B014F0" w:rsidRDefault="00B014F0" w:rsidP="00F5082F">
            <w:pPr>
              <w:pStyle w:val="Normalgrey"/>
              <w:cnfStyle w:val="000000100000" w:firstRow="0" w:lastRow="0" w:firstColumn="0" w:lastColumn="0" w:oddVBand="0" w:evenVBand="0" w:oddHBand="1" w:evenHBand="0" w:firstRowFirstColumn="0" w:firstRowLastColumn="0" w:lastRowFirstColumn="0" w:lastRowLastColumn="0"/>
            </w:pPr>
            <w:r w:rsidRPr="00EA3452">
              <w:t xml:space="preserve">The determination of a CGU is a matter of fact and </w:t>
            </w:r>
            <w:r w:rsidR="00CA4110">
              <w:t>shall</w:t>
            </w:r>
            <w:r w:rsidRPr="00EA3452">
              <w:t xml:space="preserve"> represent the lowest level of aggregation of assets that generate largely independent cash inflows.  It </w:t>
            </w:r>
            <w:r w:rsidR="00D05E3F">
              <w:t>shall</w:t>
            </w:r>
            <w:r w:rsidRPr="00EA3452">
              <w:t xml:space="preserve"> be noted that definition of a </w:t>
            </w:r>
            <w:r w:rsidR="00A5613C">
              <w:t>CGU</w:t>
            </w:r>
            <w:r w:rsidRPr="00EA3452">
              <w:t xml:space="preserve"> is focused on the identification of assets or group of assets that generate cash inflows, rather than net cash inflows.</w:t>
            </w:r>
          </w:p>
        </w:tc>
      </w:tr>
      <w:tr w:rsidR="00B014F0" w:rsidRPr="00E10ADB" w14:paraId="0EF2E16C" w14:textId="77777777" w:rsidTr="00D759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3994DF38" w14:textId="77777777" w:rsidR="00B014F0" w:rsidRPr="00E2009B" w:rsidRDefault="00B014F0" w:rsidP="00A81365">
            <w:pPr>
              <w:pStyle w:val="Normalgrey"/>
            </w:pPr>
          </w:p>
        </w:tc>
        <w:tc>
          <w:tcPr>
            <w:tcW w:w="270" w:type="dxa"/>
          </w:tcPr>
          <w:p w14:paraId="1F4446CE" w14:textId="77777777" w:rsidR="00B014F0" w:rsidRPr="00521483" w:rsidRDefault="00B014F0" w:rsidP="00F5082F">
            <w:pPr>
              <w:cnfStyle w:val="000000010000" w:firstRow="0" w:lastRow="0" w:firstColumn="0" w:lastColumn="0" w:oddVBand="0" w:evenVBand="0" w:oddHBand="0" w:evenHBand="1" w:firstRowFirstColumn="0" w:firstRowLastColumn="0" w:lastRowFirstColumn="0" w:lastRowLastColumn="0"/>
            </w:pPr>
          </w:p>
        </w:tc>
        <w:tc>
          <w:tcPr>
            <w:tcW w:w="540" w:type="dxa"/>
          </w:tcPr>
          <w:p w14:paraId="195D100D" w14:textId="77777777" w:rsidR="00B014F0" w:rsidRPr="00D42502" w:rsidRDefault="00B014F0" w:rsidP="00D42502">
            <w:pPr>
              <w:pStyle w:val="Refnum2"/>
              <w:cnfStyle w:val="000000010000" w:firstRow="0" w:lastRow="0" w:firstColumn="0" w:lastColumn="0" w:oddVBand="0" w:evenVBand="0" w:oddHBand="0" w:evenHBand="1" w:firstRowFirstColumn="0" w:firstRowLastColumn="0" w:lastRowFirstColumn="0" w:lastRowLastColumn="0"/>
              <w:rPr>
                <w:color w:val="595959" w:themeColor="text1" w:themeTint="A6"/>
              </w:rPr>
            </w:pPr>
          </w:p>
        </w:tc>
        <w:tc>
          <w:tcPr>
            <w:tcW w:w="6120" w:type="dxa"/>
          </w:tcPr>
          <w:p w14:paraId="223D7394" w14:textId="77777777" w:rsidR="00B014F0" w:rsidRPr="00EA3452" w:rsidRDefault="00B014F0" w:rsidP="00F5082F">
            <w:pPr>
              <w:pStyle w:val="Normalgrey"/>
              <w:cnfStyle w:val="000000010000" w:firstRow="0" w:lastRow="0" w:firstColumn="0" w:lastColumn="0" w:oddVBand="0" w:evenVBand="0" w:oddHBand="0" w:evenHBand="1" w:firstRowFirstColumn="0" w:firstRowLastColumn="0" w:lastRowFirstColumn="0" w:lastRowLastColumn="0"/>
            </w:pPr>
            <w:r w:rsidRPr="00EA3452">
              <w:t>Some factors relevant in identifying a CGU are:</w:t>
            </w:r>
          </w:p>
          <w:p w14:paraId="2A87B8BA" w14:textId="77777777" w:rsidR="00B014F0" w:rsidRPr="00D759FB" w:rsidRDefault="00A5613C" w:rsidP="00D759FB">
            <w:pPr>
              <w:pStyle w:val="Listnumgrey"/>
              <w:cnfStyle w:val="000000010000" w:firstRow="0" w:lastRow="0" w:firstColumn="0" w:lastColumn="0" w:oddVBand="0" w:evenVBand="0" w:oddHBand="0" w:evenHBand="1" w:firstRowFirstColumn="0" w:firstRowLastColumn="0" w:lastRowFirstColumn="0" w:lastRowLastColumn="0"/>
            </w:pPr>
            <w:r>
              <w:t>h</w:t>
            </w:r>
            <w:r w:rsidR="00B014F0" w:rsidRPr="00EA3452">
              <w:t xml:space="preserve">ow </w:t>
            </w:r>
            <w:r w:rsidR="00B014F0" w:rsidRPr="00D759FB">
              <w:t>management monitors the entity’s operations (such as by product lines, businesses, individual locations, districts or regional areas).</w:t>
            </w:r>
          </w:p>
          <w:p w14:paraId="33C687BF" w14:textId="77777777" w:rsidR="00B014F0" w:rsidRPr="00D759FB" w:rsidRDefault="00A5613C" w:rsidP="00D759FB">
            <w:pPr>
              <w:pStyle w:val="Listnumgrey"/>
              <w:cnfStyle w:val="000000010000" w:firstRow="0" w:lastRow="0" w:firstColumn="0" w:lastColumn="0" w:oddVBand="0" w:evenVBand="0" w:oddHBand="0" w:evenHBand="1" w:firstRowFirstColumn="0" w:firstRowLastColumn="0" w:lastRowFirstColumn="0" w:lastRowLastColumn="0"/>
            </w:pPr>
            <w:r w:rsidRPr="00D759FB">
              <w:t>h</w:t>
            </w:r>
            <w:r w:rsidR="00B014F0" w:rsidRPr="00D759FB">
              <w:t>ow management makes decisions about continuing or disposing of the entity’s assets and operations.  Where assets and operations are inter</w:t>
            </w:r>
            <w:r w:rsidR="00B014F0" w:rsidRPr="00D759FB">
              <w:noBreakHyphen/>
              <w:t>dependent to the extent that each asset or operation cannot operate independently, or cannot be disposed of without materially impacting other assets, it is likely that a CGU would be identified at a higher level</w:t>
            </w:r>
            <w:r w:rsidRPr="00D759FB">
              <w:t>; and</w:t>
            </w:r>
          </w:p>
          <w:p w14:paraId="62526B7F" w14:textId="77777777" w:rsidR="00B014F0" w:rsidRDefault="00A5613C" w:rsidP="00D759FB">
            <w:pPr>
              <w:pStyle w:val="Listnumgrey"/>
              <w:cnfStyle w:val="000000010000" w:firstRow="0" w:lastRow="0" w:firstColumn="0" w:lastColumn="0" w:oddVBand="0" w:evenVBand="0" w:oddHBand="0" w:evenHBand="1" w:firstRowFirstColumn="0" w:firstRowLastColumn="0" w:lastRowFirstColumn="0" w:lastRowLastColumn="0"/>
            </w:pPr>
            <w:r w:rsidRPr="00D759FB">
              <w:t>w</w:t>
            </w:r>
            <w:r w:rsidR="00B014F0" w:rsidRPr="00D759FB">
              <w:t>hether an active market exists for the outputs produced by an asset or group of assets.  If an active market exists for the outputs produced by an asset or group of assets, even if some or all of the output is used internally, that asset or group of assets shall be identified as a CGU.</w:t>
            </w:r>
          </w:p>
        </w:tc>
      </w:tr>
      <w:tr w:rsidR="00B014F0" w:rsidRPr="00E10ADB" w14:paraId="03AB4B0A" w14:textId="77777777" w:rsidTr="00D75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064E038B" w14:textId="77777777" w:rsidR="00B014F0" w:rsidRPr="00E2009B" w:rsidRDefault="00B014F0" w:rsidP="00A81365">
            <w:pPr>
              <w:pStyle w:val="Normalgrey"/>
            </w:pPr>
          </w:p>
        </w:tc>
        <w:tc>
          <w:tcPr>
            <w:tcW w:w="270" w:type="dxa"/>
          </w:tcPr>
          <w:p w14:paraId="79EAA39D" w14:textId="77777777" w:rsidR="00B014F0" w:rsidRPr="00521483" w:rsidRDefault="00B014F0" w:rsidP="00F5082F">
            <w:pPr>
              <w:cnfStyle w:val="000000100000" w:firstRow="0" w:lastRow="0" w:firstColumn="0" w:lastColumn="0" w:oddVBand="0" w:evenVBand="0" w:oddHBand="1" w:evenHBand="0" w:firstRowFirstColumn="0" w:firstRowLastColumn="0" w:lastRowFirstColumn="0" w:lastRowLastColumn="0"/>
            </w:pPr>
          </w:p>
        </w:tc>
        <w:tc>
          <w:tcPr>
            <w:tcW w:w="540" w:type="dxa"/>
          </w:tcPr>
          <w:p w14:paraId="3993C01D" w14:textId="77777777" w:rsidR="00B014F0" w:rsidRPr="00D42502" w:rsidRDefault="00B014F0" w:rsidP="00D42502">
            <w:pPr>
              <w:pStyle w:val="Refnum2"/>
              <w:cnfStyle w:val="000000100000" w:firstRow="0" w:lastRow="0" w:firstColumn="0" w:lastColumn="0" w:oddVBand="0" w:evenVBand="0" w:oddHBand="1" w:evenHBand="0" w:firstRowFirstColumn="0" w:firstRowLastColumn="0" w:lastRowFirstColumn="0" w:lastRowLastColumn="0"/>
              <w:rPr>
                <w:color w:val="595959" w:themeColor="text1" w:themeTint="A6"/>
              </w:rPr>
            </w:pPr>
          </w:p>
        </w:tc>
        <w:tc>
          <w:tcPr>
            <w:tcW w:w="6120" w:type="dxa"/>
          </w:tcPr>
          <w:p w14:paraId="56FFD355" w14:textId="77777777" w:rsidR="00D759FB" w:rsidRDefault="00D759FB" w:rsidP="00F5082F">
            <w:pPr>
              <w:pStyle w:val="Normalgrey"/>
              <w:cnfStyle w:val="000000100000" w:firstRow="0" w:lastRow="0" w:firstColumn="0" w:lastColumn="0" w:oddVBand="0" w:evenVBand="0" w:oddHBand="1" w:evenHBand="0" w:firstRowFirstColumn="0" w:firstRowLastColumn="0" w:lastRowFirstColumn="0" w:lastRowLastColumn="0"/>
              <w:rPr>
                <w:b/>
              </w:rPr>
            </w:pPr>
            <w:r w:rsidRPr="00D42502">
              <w:rPr>
                <w:b/>
              </w:rPr>
              <w:t>Recoverable amount:</w:t>
            </w:r>
          </w:p>
          <w:p w14:paraId="743DD899" w14:textId="54763C9A" w:rsidR="00B014F0" w:rsidRDefault="00B014F0" w:rsidP="00F5082F">
            <w:pPr>
              <w:pStyle w:val="Normalgrey"/>
              <w:cnfStyle w:val="000000100000" w:firstRow="0" w:lastRow="0" w:firstColumn="0" w:lastColumn="0" w:oddVBand="0" w:evenVBand="0" w:oddHBand="1" w:evenHBand="0" w:firstRowFirstColumn="0" w:firstRowLastColumn="0" w:lastRowFirstColumn="0" w:lastRowLastColumn="0"/>
            </w:pPr>
            <w:r w:rsidRPr="001944A9">
              <w:t>The ‘</w:t>
            </w:r>
            <w:r w:rsidRPr="001944A9">
              <w:rPr>
                <w:iCs/>
              </w:rPr>
              <w:t>recoverable amount’</w:t>
            </w:r>
            <w:r w:rsidRPr="001944A9">
              <w:t xml:space="preserve"> of an asset is defined as the higher of an asset’s, or CGU’s, </w:t>
            </w:r>
            <w:r w:rsidR="00A5613C" w:rsidRPr="001944A9">
              <w:t>‘</w:t>
            </w:r>
            <w:r w:rsidRPr="001944A9">
              <w:t>value in use</w:t>
            </w:r>
            <w:r w:rsidR="00A5613C" w:rsidRPr="001944A9">
              <w:t>’</w:t>
            </w:r>
            <w:r w:rsidRPr="001944A9">
              <w:t xml:space="preserve"> and ‘</w:t>
            </w:r>
            <w:r w:rsidRPr="001944A9">
              <w:rPr>
                <w:iCs/>
              </w:rPr>
              <w:t>fair value less costs to sell’</w:t>
            </w:r>
            <w:r w:rsidRPr="001944A9">
              <w:t>.</w:t>
            </w:r>
          </w:p>
        </w:tc>
      </w:tr>
      <w:tr w:rsidR="00B014F0" w:rsidRPr="00E10ADB" w14:paraId="700D2D39" w14:textId="77777777" w:rsidTr="00D759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5D6A7002" w14:textId="77777777" w:rsidR="00B014F0" w:rsidRPr="00E2009B" w:rsidRDefault="00B014F0" w:rsidP="00A81365">
            <w:pPr>
              <w:pStyle w:val="Normalgrey"/>
            </w:pPr>
          </w:p>
        </w:tc>
        <w:tc>
          <w:tcPr>
            <w:tcW w:w="270" w:type="dxa"/>
          </w:tcPr>
          <w:p w14:paraId="5757F177" w14:textId="77777777" w:rsidR="00B014F0" w:rsidRPr="00521483" w:rsidRDefault="00B014F0" w:rsidP="00F5082F">
            <w:pPr>
              <w:cnfStyle w:val="000000010000" w:firstRow="0" w:lastRow="0" w:firstColumn="0" w:lastColumn="0" w:oddVBand="0" w:evenVBand="0" w:oddHBand="0" w:evenHBand="1" w:firstRowFirstColumn="0" w:firstRowLastColumn="0" w:lastRowFirstColumn="0" w:lastRowLastColumn="0"/>
            </w:pPr>
          </w:p>
        </w:tc>
        <w:tc>
          <w:tcPr>
            <w:tcW w:w="540" w:type="dxa"/>
          </w:tcPr>
          <w:p w14:paraId="63D73BEB" w14:textId="77777777" w:rsidR="00B014F0" w:rsidRPr="00D42502" w:rsidRDefault="00B014F0" w:rsidP="00D42502">
            <w:pPr>
              <w:pStyle w:val="Refnum2"/>
              <w:cnfStyle w:val="000000010000" w:firstRow="0" w:lastRow="0" w:firstColumn="0" w:lastColumn="0" w:oddVBand="0" w:evenVBand="0" w:oddHBand="0" w:evenHBand="1" w:firstRowFirstColumn="0" w:firstRowLastColumn="0" w:lastRowFirstColumn="0" w:lastRowLastColumn="0"/>
              <w:rPr>
                <w:color w:val="595959" w:themeColor="text1" w:themeTint="A6"/>
              </w:rPr>
            </w:pPr>
          </w:p>
        </w:tc>
        <w:tc>
          <w:tcPr>
            <w:tcW w:w="6120" w:type="dxa"/>
          </w:tcPr>
          <w:p w14:paraId="53229078" w14:textId="77777777" w:rsidR="00B014F0" w:rsidRPr="001944A9" w:rsidRDefault="00B014F0" w:rsidP="00F5082F">
            <w:pPr>
              <w:pStyle w:val="Normalgrey"/>
              <w:cnfStyle w:val="000000010000" w:firstRow="0" w:lastRow="0" w:firstColumn="0" w:lastColumn="0" w:oddVBand="0" w:evenVBand="0" w:oddHBand="0" w:evenHBand="1" w:firstRowFirstColumn="0" w:firstRowLastColumn="0" w:lastRowFirstColumn="0" w:lastRowLastColumn="0"/>
            </w:pPr>
            <w:r w:rsidRPr="001944A9">
              <w:t>It may not be necessary to determine both the value in use and fair value less costs to sell of an asset.  There is no impairment loss if either measure is greater than the asset’s ‘</w:t>
            </w:r>
            <w:r w:rsidRPr="001944A9">
              <w:rPr>
                <w:iCs/>
              </w:rPr>
              <w:t>carrying amount’</w:t>
            </w:r>
            <w:r w:rsidRPr="001944A9">
              <w:t>.</w:t>
            </w:r>
          </w:p>
        </w:tc>
      </w:tr>
      <w:tr w:rsidR="00B014F0" w:rsidRPr="00E10ADB" w14:paraId="273C4654" w14:textId="77777777" w:rsidTr="00D75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448CD78C" w14:textId="77777777" w:rsidR="00B014F0" w:rsidRPr="00E2009B" w:rsidRDefault="00B014F0" w:rsidP="00A81365">
            <w:pPr>
              <w:pStyle w:val="Normalgrey"/>
            </w:pPr>
          </w:p>
        </w:tc>
        <w:tc>
          <w:tcPr>
            <w:tcW w:w="270" w:type="dxa"/>
          </w:tcPr>
          <w:p w14:paraId="6A35E8CE" w14:textId="77777777" w:rsidR="00B014F0" w:rsidRPr="00521483" w:rsidRDefault="00B014F0" w:rsidP="00F5082F">
            <w:pPr>
              <w:cnfStyle w:val="000000100000" w:firstRow="0" w:lastRow="0" w:firstColumn="0" w:lastColumn="0" w:oddVBand="0" w:evenVBand="0" w:oddHBand="1" w:evenHBand="0" w:firstRowFirstColumn="0" w:firstRowLastColumn="0" w:lastRowFirstColumn="0" w:lastRowLastColumn="0"/>
            </w:pPr>
          </w:p>
        </w:tc>
        <w:tc>
          <w:tcPr>
            <w:tcW w:w="540" w:type="dxa"/>
          </w:tcPr>
          <w:p w14:paraId="31310399" w14:textId="77777777" w:rsidR="00B014F0" w:rsidRPr="00D42502" w:rsidRDefault="00B014F0" w:rsidP="00D42502">
            <w:pPr>
              <w:pStyle w:val="Refnum2"/>
              <w:cnfStyle w:val="000000100000" w:firstRow="0" w:lastRow="0" w:firstColumn="0" w:lastColumn="0" w:oddVBand="0" w:evenVBand="0" w:oddHBand="1" w:evenHBand="0" w:firstRowFirstColumn="0" w:firstRowLastColumn="0" w:lastRowFirstColumn="0" w:lastRowLastColumn="0"/>
              <w:rPr>
                <w:color w:val="595959" w:themeColor="text1" w:themeTint="A6"/>
              </w:rPr>
            </w:pPr>
          </w:p>
        </w:tc>
        <w:tc>
          <w:tcPr>
            <w:tcW w:w="6120" w:type="dxa"/>
          </w:tcPr>
          <w:p w14:paraId="4063D97A" w14:textId="77777777" w:rsidR="000137A1" w:rsidRDefault="000137A1" w:rsidP="000137A1">
            <w:pPr>
              <w:pStyle w:val="Normalgrey"/>
              <w:cnfStyle w:val="000000100000" w:firstRow="0" w:lastRow="0" w:firstColumn="0" w:lastColumn="0" w:oddVBand="0" w:evenVBand="0" w:oddHBand="1" w:evenHBand="0" w:firstRowFirstColumn="0" w:firstRowLastColumn="0" w:lastRowFirstColumn="0" w:lastRowLastColumn="0"/>
            </w:pPr>
            <w:r>
              <w:t xml:space="preserve">For </w:t>
            </w:r>
            <w:r w:rsidRPr="000137A1">
              <w:t>not-for-profit entities</w:t>
            </w:r>
            <w:r>
              <w:t>,</w:t>
            </w:r>
            <w:r w:rsidRPr="000137A1">
              <w:t xml:space="preserve"> assets that are not held primarily for their ability to generate net cash inflows are typically specialised assets held for continuing use of their service capacity. Given that these assets are rarely sold, their cost of disposal is typically negligible. The recoverable amount of such assets is expected to be ma</w:t>
            </w:r>
            <w:r>
              <w:t>terially the same as fair value</w:t>
            </w:r>
            <w:r w:rsidR="00F718C5">
              <w:t>.</w:t>
            </w:r>
            <w:r>
              <w:t xml:space="preserve"> As a result:</w:t>
            </w:r>
          </w:p>
          <w:p w14:paraId="519AEF71" w14:textId="77777777" w:rsidR="00555706" w:rsidRDefault="000137A1" w:rsidP="000137A1">
            <w:pPr>
              <w:pStyle w:val="Bullet1grey"/>
              <w:contextualSpacing w:val="0"/>
              <w:cnfStyle w:val="000000100000" w:firstRow="0" w:lastRow="0" w:firstColumn="0" w:lastColumn="0" w:oddVBand="0" w:evenVBand="0" w:oddHBand="1" w:evenHBand="0" w:firstRowFirstColumn="0" w:firstRowLastColumn="0" w:lastRowFirstColumn="0" w:lastRowLastColumn="0"/>
            </w:pPr>
            <w:r>
              <w:t xml:space="preserve">assets </w:t>
            </w:r>
            <w:r w:rsidR="00BE7995">
              <w:t>regularly revalued to their fair value under the revaluation model</w:t>
            </w:r>
            <w:r w:rsidR="00247CAA">
              <w:t xml:space="preserve"> do not need to be tested </w:t>
            </w:r>
            <w:r w:rsidR="00555706">
              <w:t>for impairment; and</w:t>
            </w:r>
          </w:p>
          <w:p w14:paraId="3FE09EE3" w14:textId="77777777" w:rsidR="001E1513" w:rsidRDefault="002617B3" w:rsidP="000137A1">
            <w:pPr>
              <w:pStyle w:val="Bullet1grey"/>
              <w:contextualSpacing w:val="0"/>
              <w:cnfStyle w:val="000000100000" w:firstRow="0" w:lastRow="0" w:firstColumn="0" w:lastColumn="0" w:oddVBand="0" w:evenVBand="0" w:oddHBand="1" w:evenHBand="0" w:firstRowFirstColumn="0" w:firstRowLastColumn="0" w:lastRowFirstColumn="0" w:lastRowLastColumn="0"/>
            </w:pPr>
            <w:r>
              <w:t xml:space="preserve">assets </w:t>
            </w:r>
            <w:r w:rsidR="00555706">
              <w:t xml:space="preserve">accounted for under </w:t>
            </w:r>
            <w:r>
              <w:t xml:space="preserve">the </w:t>
            </w:r>
            <w:r w:rsidR="00555706">
              <w:t xml:space="preserve">cost model </w:t>
            </w:r>
            <w:r w:rsidR="00106755">
              <w:t>are subject to</w:t>
            </w:r>
            <w:r w:rsidR="00F718C5">
              <w:t xml:space="preserve"> an</w:t>
            </w:r>
            <w:r w:rsidR="00106755">
              <w:t xml:space="preserve"> impairment</w:t>
            </w:r>
            <w:r w:rsidR="00F718C5">
              <w:t xml:space="preserve"> assessment</w:t>
            </w:r>
            <w:r w:rsidR="00106755">
              <w:t>.</w:t>
            </w:r>
            <w:r>
              <w:t xml:space="preserve"> </w:t>
            </w:r>
          </w:p>
        </w:tc>
      </w:tr>
      <w:tr w:rsidR="00D759FB" w:rsidRPr="00E10ADB" w14:paraId="1729EA83" w14:textId="77777777" w:rsidTr="00D759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4E62D284" w14:textId="77777777" w:rsidR="00D759FB" w:rsidRPr="00E2009B" w:rsidRDefault="00D759FB" w:rsidP="00D759FB">
            <w:pPr>
              <w:pStyle w:val="Normalgrey"/>
            </w:pPr>
            <w:r w:rsidRPr="00E2009B">
              <w:lastRenderedPageBreak/>
              <w:t xml:space="preserve">Relevant </w:t>
            </w:r>
            <w:r>
              <w:t>p</w:t>
            </w:r>
            <w:r w:rsidRPr="00E2009B">
              <w:t>ronouncements</w:t>
            </w:r>
          </w:p>
        </w:tc>
        <w:tc>
          <w:tcPr>
            <w:tcW w:w="270" w:type="dxa"/>
          </w:tcPr>
          <w:p w14:paraId="4032EF2A" w14:textId="77777777" w:rsidR="00D759FB" w:rsidRPr="00521483" w:rsidRDefault="00D759FB" w:rsidP="00D759FB">
            <w:pPr>
              <w:cnfStyle w:val="000000010000" w:firstRow="0" w:lastRow="0" w:firstColumn="0" w:lastColumn="0" w:oddVBand="0" w:evenVBand="0" w:oddHBand="0" w:evenHBand="1" w:firstRowFirstColumn="0" w:firstRowLastColumn="0" w:lastRowFirstColumn="0" w:lastRowLastColumn="0"/>
            </w:pPr>
          </w:p>
        </w:tc>
        <w:tc>
          <w:tcPr>
            <w:tcW w:w="540" w:type="dxa"/>
          </w:tcPr>
          <w:p w14:paraId="7D0DF698" w14:textId="4A4193D3" w:rsidR="00D759FB" w:rsidRPr="00E2009B" w:rsidRDefault="00D759FB" w:rsidP="00D759FB">
            <w:pPr>
              <w:cnfStyle w:val="000000010000" w:firstRow="0" w:lastRow="0" w:firstColumn="0" w:lastColumn="0" w:oddVBand="0" w:evenVBand="0" w:oddHBand="0" w:evenHBand="1" w:firstRowFirstColumn="0" w:firstRowLastColumn="0" w:lastRowFirstColumn="0" w:lastRowLastColumn="0"/>
            </w:pPr>
            <w:r>
              <w:t>7.1</w:t>
            </w:r>
          </w:p>
        </w:tc>
        <w:tc>
          <w:tcPr>
            <w:tcW w:w="6120" w:type="dxa"/>
          </w:tcPr>
          <w:p w14:paraId="1BBA2B58" w14:textId="3360ECC2" w:rsidR="00D759FB" w:rsidRDefault="00D759FB" w:rsidP="00D759FB">
            <w:pPr>
              <w:pStyle w:val="Bullet1grey"/>
              <w:contextualSpacing w:val="0"/>
              <w:cnfStyle w:val="000000010000" w:firstRow="0" w:lastRow="0" w:firstColumn="0" w:lastColumn="0" w:oddVBand="0" w:evenVBand="0" w:oddHBand="0" w:evenHBand="1" w:firstRowFirstColumn="0" w:firstRowLastColumn="0" w:lastRowFirstColumn="0" w:lastRowLastColumn="0"/>
            </w:pPr>
            <w:r w:rsidRPr="00A81365">
              <w:t>AASB</w:t>
            </w:r>
            <w:r>
              <w:t xml:space="preserve"> 101 </w:t>
            </w:r>
            <w:r w:rsidRPr="003338D1">
              <w:rPr>
                <w:i/>
              </w:rPr>
              <w:t>Presentation of Financial Statements</w:t>
            </w:r>
            <w:r>
              <w:t xml:space="preserve"> </w:t>
            </w:r>
          </w:p>
          <w:p w14:paraId="501D87D7" w14:textId="2867AE76" w:rsidR="00D759FB" w:rsidRDefault="00D759FB" w:rsidP="00D759FB">
            <w:pPr>
              <w:pStyle w:val="Bullet1grey"/>
              <w:spacing w:after="160"/>
              <w:cnfStyle w:val="000000010000" w:firstRow="0" w:lastRow="0" w:firstColumn="0" w:lastColumn="0" w:oddVBand="0" w:evenVBand="0" w:oddHBand="0" w:evenHBand="1" w:firstRowFirstColumn="0" w:firstRowLastColumn="0" w:lastRowFirstColumn="0" w:lastRowLastColumn="0"/>
            </w:pPr>
            <w:r>
              <w:t xml:space="preserve">AASB 136 </w:t>
            </w:r>
            <w:r>
              <w:rPr>
                <w:i/>
                <w:iCs/>
              </w:rPr>
              <w:t>Impairment of Assets</w:t>
            </w:r>
            <w:r>
              <w:t xml:space="preserve"> </w:t>
            </w:r>
          </w:p>
          <w:p w14:paraId="17F117C7" w14:textId="2C9CB27F" w:rsidR="00D759FB" w:rsidRPr="00E2009B" w:rsidRDefault="00D759FB" w:rsidP="00D759FB">
            <w:pPr>
              <w:pStyle w:val="Bullet1grey"/>
              <w:spacing w:after="160"/>
              <w:cnfStyle w:val="000000010000" w:firstRow="0" w:lastRow="0" w:firstColumn="0" w:lastColumn="0" w:oddVBand="0" w:evenVBand="0" w:oddHBand="0" w:evenHBand="1" w:firstRowFirstColumn="0" w:firstRowLastColumn="0" w:lastRowFirstColumn="0" w:lastRowLastColumn="0"/>
            </w:pPr>
            <w:r>
              <w:t xml:space="preserve">AASB 2014-6 </w:t>
            </w:r>
            <w:r w:rsidRPr="00A73B79">
              <w:rPr>
                <w:i/>
                <w:iCs/>
              </w:rPr>
              <w:t>Amendments to Australian Accounting Standards – Recoverable Amount of Non-Cash-Generating Specialised Assets of Not-for-Profit Entities</w:t>
            </w:r>
            <w:r>
              <w:rPr>
                <w:iCs/>
              </w:rPr>
              <w:t xml:space="preserve"> </w:t>
            </w:r>
          </w:p>
        </w:tc>
      </w:tr>
      <w:tr w:rsidR="00D759FB" w:rsidRPr="00E10ADB" w14:paraId="3AA7687C" w14:textId="77777777" w:rsidTr="00D75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3E16666D" w14:textId="77777777" w:rsidR="00D759FB" w:rsidRPr="00E2009B" w:rsidRDefault="00D759FB" w:rsidP="00D759FB">
            <w:pPr>
              <w:pStyle w:val="Normalgrey"/>
            </w:pPr>
            <w:r w:rsidRPr="00E2009B">
              <w:t>Background</w:t>
            </w:r>
          </w:p>
        </w:tc>
        <w:tc>
          <w:tcPr>
            <w:tcW w:w="270" w:type="dxa"/>
          </w:tcPr>
          <w:p w14:paraId="7C643E55" w14:textId="77777777" w:rsidR="00D759FB" w:rsidRPr="00521483" w:rsidRDefault="00D759FB" w:rsidP="00D759FB">
            <w:pPr>
              <w:cnfStyle w:val="000000100000" w:firstRow="0" w:lastRow="0" w:firstColumn="0" w:lastColumn="0" w:oddVBand="0" w:evenVBand="0" w:oddHBand="1" w:evenHBand="0" w:firstRowFirstColumn="0" w:firstRowLastColumn="0" w:lastRowFirstColumn="0" w:lastRowLastColumn="0"/>
            </w:pPr>
          </w:p>
        </w:tc>
        <w:tc>
          <w:tcPr>
            <w:tcW w:w="540" w:type="dxa"/>
          </w:tcPr>
          <w:p w14:paraId="2CB841CF" w14:textId="15E5A866" w:rsidR="00D759FB" w:rsidRPr="00472918" w:rsidRDefault="00D759FB" w:rsidP="00D759FB">
            <w:pPr>
              <w:cnfStyle w:val="000000100000" w:firstRow="0" w:lastRow="0" w:firstColumn="0" w:lastColumn="0" w:oddVBand="0" w:evenVBand="0" w:oddHBand="1" w:evenHBand="0" w:firstRowFirstColumn="0" w:firstRowLastColumn="0" w:lastRowFirstColumn="0" w:lastRowLastColumn="0"/>
            </w:pPr>
            <w:r>
              <w:t>8.1</w:t>
            </w:r>
          </w:p>
        </w:tc>
        <w:tc>
          <w:tcPr>
            <w:tcW w:w="6120" w:type="dxa"/>
          </w:tcPr>
          <w:p w14:paraId="33C170A6" w14:textId="77777777" w:rsidR="00D759FB" w:rsidRDefault="00D759FB" w:rsidP="00D759FB">
            <w:pPr>
              <w:pStyle w:val="Normalgrey"/>
              <w:cnfStyle w:val="000000100000" w:firstRow="0" w:lastRow="0" w:firstColumn="0" w:lastColumn="0" w:oddVBand="0" w:evenVBand="0" w:oddHBand="1" w:evenHBand="0" w:firstRowFirstColumn="0" w:firstRowLastColumn="0" w:lastRowFirstColumn="0" w:lastRowLastColumn="0"/>
            </w:pPr>
            <w:r>
              <w:t>AASB 136 requires at the reporting date that the recoverable amount of an asset be determined and compared with the asset’s carrying amount when there is an indication that the asset may be impaired.  Impairment losses shall be recognised immediately.</w:t>
            </w:r>
          </w:p>
          <w:p w14:paraId="40F2B8C6" w14:textId="404629D1" w:rsidR="00D759FB" w:rsidRPr="00E2009B" w:rsidRDefault="00D759FB" w:rsidP="00D759FB">
            <w:pPr>
              <w:pStyle w:val="Normalgrey"/>
              <w:cnfStyle w:val="000000100000" w:firstRow="0" w:lastRow="0" w:firstColumn="0" w:lastColumn="0" w:oddVBand="0" w:evenVBand="0" w:oddHBand="1" w:evenHBand="0" w:firstRowFirstColumn="0" w:firstRowLastColumn="0" w:lastRowFirstColumn="0" w:lastRowLastColumn="0"/>
            </w:pPr>
            <w:r>
              <w:t>This FRD has been developed to require all entities to document asset impairment assessments and to prescribe requirements for the determination of value in use for assets of not-for-profit entities.</w:t>
            </w:r>
          </w:p>
        </w:tc>
      </w:tr>
      <w:tr w:rsidR="00D759FB" w:rsidRPr="00E10ADB" w14:paraId="7B3F3182" w14:textId="77777777" w:rsidTr="00D759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10D54A1C" w14:textId="77777777" w:rsidR="00D759FB" w:rsidRPr="00E2009B" w:rsidRDefault="00D759FB" w:rsidP="00D759FB">
            <w:pPr>
              <w:pStyle w:val="Normalgrey"/>
            </w:pPr>
          </w:p>
        </w:tc>
        <w:tc>
          <w:tcPr>
            <w:tcW w:w="270" w:type="dxa"/>
          </w:tcPr>
          <w:p w14:paraId="6188DF2C" w14:textId="77777777" w:rsidR="00D759FB" w:rsidRPr="00521483" w:rsidRDefault="00D759FB" w:rsidP="00D759FB">
            <w:pPr>
              <w:cnfStyle w:val="000000010000" w:firstRow="0" w:lastRow="0" w:firstColumn="0" w:lastColumn="0" w:oddVBand="0" w:evenVBand="0" w:oddHBand="0" w:evenHBand="1" w:firstRowFirstColumn="0" w:firstRowLastColumn="0" w:lastRowFirstColumn="0" w:lastRowLastColumn="0"/>
            </w:pPr>
          </w:p>
        </w:tc>
        <w:tc>
          <w:tcPr>
            <w:tcW w:w="540" w:type="dxa"/>
          </w:tcPr>
          <w:p w14:paraId="5AE6945E" w14:textId="21AB2A86" w:rsidR="00D759FB" w:rsidRDefault="00D759FB" w:rsidP="00D759FB">
            <w:pPr>
              <w:cnfStyle w:val="000000010000" w:firstRow="0" w:lastRow="0" w:firstColumn="0" w:lastColumn="0" w:oddVBand="0" w:evenVBand="0" w:oddHBand="0" w:evenHBand="1" w:firstRowFirstColumn="0" w:firstRowLastColumn="0" w:lastRowFirstColumn="0" w:lastRowLastColumn="0"/>
            </w:pPr>
            <w:r>
              <w:t>8.2</w:t>
            </w:r>
          </w:p>
        </w:tc>
        <w:tc>
          <w:tcPr>
            <w:tcW w:w="6120" w:type="dxa"/>
          </w:tcPr>
          <w:p w14:paraId="75FC0783" w14:textId="18303D0A" w:rsidR="00D759FB" w:rsidRDefault="00D759FB" w:rsidP="00D759FB">
            <w:pPr>
              <w:pStyle w:val="Normalgrey"/>
              <w:cnfStyle w:val="000000010000" w:firstRow="0" w:lastRow="0" w:firstColumn="0" w:lastColumn="0" w:oddVBand="0" w:evenVBand="0" w:oddHBand="0" w:evenHBand="1" w:firstRowFirstColumn="0" w:firstRowLastColumn="0" w:lastRowFirstColumn="0" w:lastRowLastColumn="0"/>
            </w:pPr>
            <w:r>
              <w:t>This FRD was updated in:</w:t>
            </w:r>
          </w:p>
          <w:p w14:paraId="4063A8F9" w14:textId="30E77DCF" w:rsidR="00D759FB" w:rsidRDefault="00D759FB" w:rsidP="00D759FB">
            <w:pPr>
              <w:pStyle w:val="Bullet1grey"/>
              <w:cnfStyle w:val="000000010000" w:firstRow="0" w:lastRow="0" w:firstColumn="0" w:lastColumn="0" w:oddVBand="0" w:evenVBand="0" w:oddHBand="0" w:evenHBand="1" w:firstRowFirstColumn="0" w:firstRowLastColumn="0" w:lastRowFirstColumn="0" w:lastRowLastColumn="0"/>
            </w:pPr>
            <w:r>
              <w:t>February 2005 to enhance the guidance.</w:t>
            </w:r>
          </w:p>
          <w:p w14:paraId="36DF4148" w14:textId="3BD24C16" w:rsidR="00D759FB" w:rsidRDefault="00D759FB" w:rsidP="00D759FB">
            <w:pPr>
              <w:pStyle w:val="Bullet1grey"/>
              <w:cnfStyle w:val="000000010000" w:firstRow="0" w:lastRow="0" w:firstColumn="0" w:lastColumn="0" w:oddVBand="0" w:evenVBand="0" w:oddHBand="0" w:evenHBand="1" w:firstRowFirstColumn="0" w:firstRowLastColumn="0" w:lastRowFirstColumn="0" w:lastRowLastColumn="0"/>
            </w:pPr>
            <w:r>
              <w:t xml:space="preserve">June 2016 to remove first-time adoption requirements as they are no longer required. The ‘Model for Disclosure within Financial Report’ section was also removed as this disclosure has been included in the </w:t>
            </w:r>
            <w:r w:rsidRPr="008038B4">
              <w:rPr>
                <w:i/>
              </w:rPr>
              <w:t>Model Report for Victorian Government Departments</w:t>
            </w:r>
            <w:r>
              <w:t xml:space="preserve">. </w:t>
            </w:r>
          </w:p>
          <w:p w14:paraId="5AD6BDE0" w14:textId="0DBDB253" w:rsidR="00D759FB" w:rsidRDefault="00D759FB" w:rsidP="00D759FB">
            <w:pPr>
              <w:pStyle w:val="Bullet1grey"/>
              <w:cnfStyle w:val="000000010000" w:firstRow="0" w:lastRow="0" w:firstColumn="0" w:lastColumn="0" w:oddVBand="0" w:evenVBand="0" w:oddHBand="0" w:evenHBand="1" w:firstRowFirstColumn="0" w:firstRowLastColumn="0" w:lastRowFirstColumn="0" w:lastRowLastColumn="0"/>
            </w:pPr>
            <w:r>
              <w:t>May 2018 to reflect the amendments to AASB 136 on the recoverable amount of non-cash-generating specialised assets of not-for-profit entities.</w:t>
            </w:r>
          </w:p>
        </w:tc>
      </w:tr>
    </w:tbl>
    <w:p w14:paraId="43602DBF" w14:textId="77777777" w:rsidR="00C67777" w:rsidRDefault="00C67777" w:rsidP="005D7B86"/>
    <w:sectPr w:rsidR="00C67777" w:rsidSect="00F5082F">
      <w:headerReference w:type="default" r:id="rId9"/>
      <w:footerReference w:type="default" r:id="rId10"/>
      <w:footerReference w:type="first" r:id="rId11"/>
      <w:pgSz w:w="11906" w:h="16838" w:code="9"/>
      <w:pgMar w:top="1800" w:right="1440" w:bottom="1354" w:left="1440" w:header="446"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B9692" w14:textId="77777777" w:rsidR="00D42C56" w:rsidRDefault="00D42C56" w:rsidP="00493B55">
      <w:pPr>
        <w:spacing w:before="0" w:after="0"/>
      </w:pPr>
      <w:r>
        <w:separator/>
      </w:r>
    </w:p>
  </w:endnote>
  <w:endnote w:type="continuationSeparator" w:id="0">
    <w:p w14:paraId="18CC5269" w14:textId="77777777" w:rsidR="00D42C56" w:rsidRDefault="00D42C56" w:rsidP="00493B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4A2F6" w14:textId="7E0553E7" w:rsidR="00F5082F" w:rsidRDefault="00B33BC2" w:rsidP="00F5082F">
    <w:pPr>
      <w:pStyle w:val="Spacer"/>
    </w:pPr>
    <w:r>
      <w:rPr>
        <w:noProof/>
      </w:rPr>
      <mc:AlternateContent>
        <mc:Choice Requires="wps">
          <w:drawing>
            <wp:anchor distT="0" distB="0" distL="114300" distR="114300" simplePos="0" relativeHeight="251657216" behindDoc="0" locked="0" layoutInCell="0" allowOverlap="1" wp14:anchorId="2D70B576" wp14:editId="4E21AD02">
              <wp:simplePos x="0" y="0"/>
              <wp:positionH relativeFrom="page">
                <wp:posOffset>0</wp:posOffset>
              </wp:positionH>
              <wp:positionV relativeFrom="page">
                <wp:posOffset>10227945</wp:posOffset>
              </wp:positionV>
              <wp:extent cx="7560310" cy="273050"/>
              <wp:effectExtent l="0" t="0" r="0" b="12700"/>
              <wp:wrapNone/>
              <wp:docPr id="1" name="MSIPCM92ae4251a4a3ad49835d3ece"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ED7E5F" w14:textId="778185CB" w:rsidR="00B33BC2" w:rsidRPr="00B33BC2" w:rsidRDefault="00B33BC2" w:rsidP="00B33BC2">
                          <w:pPr>
                            <w:spacing w:before="0" w:after="0"/>
                            <w:rPr>
                              <w:rFonts w:ascii="Calibri" w:hAnsi="Calibri" w:cs="Calibri"/>
                              <w:color w:val="000000"/>
                              <w:sz w:val="22"/>
                            </w:rPr>
                          </w:pPr>
                          <w:r w:rsidRPr="00B33BC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D70B576" id="_x0000_t202" coordsize="21600,21600" o:spt="202" path="m,l,21600r21600,l21600,xe">
              <v:stroke joinstyle="miter"/>
              <v:path gradientshapeok="t" o:connecttype="rect"/>
            </v:shapetype>
            <v:shape id="MSIPCM92ae4251a4a3ad49835d3ece" o:spid="_x0000_s1026" type="#_x0000_t202" alt="{&quot;HashCode&quot;:-1267603503,&quot;Height&quot;:841.0,&quot;Width&quot;:595.0,&quot;Placement&quot;:&quot;Footer&quot;,&quot;Index&quot;:&quot;Primary&quot;,&quot;Section&quot;:1,&quot;Top&quot;:0.0,&quot;Left&quot;:0.0}" style="position:absolute;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LCxGebICAABIBQAA&#10;DgAAAAAAAAAAAAAAAAAuAgAAZHJzL2Uyb0RvYy54bWxQSwECLQAUAAYACAAAACEAfHYI4d8AAAAL&#10;AQAADwAAAAAAAAAAAAAAAAAMBQAAZHJzL2Rvd25yZXYueG1sUEsFBgAAAAAEAAQA8wAAABgGAAAA&#10;AA==&#10;" o:allowincell="f" filled="f" stroked="f" strokeweight=".5pt">
              <v:textbox inset="20pt,0,,0">
                <w:txbxContent>
                  <w:p w14:paraId="71ED7E5F" w14:textId="778185CB" w:rsidR="00B33BC2" w:rsidRPr="00B33BC2" w:rsidRDefault="00B33BC2" w:rsidP="00B33BC2">
                    <w:pPr>
                      <w:spacing w:before="0" w:after="0"/>
                      <w:rPr>
                        <w:rFonts w:ascii="Calibri" w:hAnsi="Calibri" w:cs="Calibri"/>
                        <w:color w:val="000000"/>
                        <w:sz w:val="22"/>
                      </w:rPr>
                    </w:pPr>
                    <w:r w:rsidRPr="00B33BC2">
                      <w:rPr>
                        <w:rFonts w:ascii="Calibri" w:hAnsi="Calibri" w:cs="Calibri"/>
                        <w:color w:val="000000"/>
                        <w:sz w:val="22"/>
                      </w:rPr>
                      <w:t>OFFICIAL</w:t>
                    </w:r>
                  </w:p>
                </w:txbxContent>
              </v:textbox>
              <w10:wrap anchorx="page" anchory="page"/>
            </v:shape>
          </w:pict>
        </mc:Fallback>
      </mc:AlternateContent>
    </w:r>
  </w:p>
  <w:p w14:paraId="256C75DC" w14:textId="5C4B8548" w:rsidR="00F5082F" w:rsidRPr="005828FE" w:rsidRDefault="00F5082F" w:rsidP="00F5082F">
    <w:pPr>
      <w:pStyle w:val="Footer"/>
      <w:spacing w:before="0"/>
    </w:pPr>
    <w:r w:rsidRPr="005828FE">
      <w:rPr>
        <w:b/>
        <w:noProof w:val="0"/>
      </w:rPr>
      <w:fldChar w:fldCharType="begin"/>
    </w:r>
    <w:r w:rsidRPr="005828FE">
      <w:rPr>
        <w:b/>
      </w:rPr>
      <w:instrText xml:space="preserve"> StyleRef “FRD number” </w:instrText>
    </w:r>
    <w:r w:rsidRPr="005828FE">
      <w:rPr>
        <w:b/>
        <w:noProof w:val="0"/>
      </w:rPr>
      <w:fldChar w:fldCharType="separate"/>
    </w:r>
    <w:r w:rsidR="00905FEE">
      <w:rPr>
        <w:b/>
      </w:rPr>
      <w:t>FRD 106</w:t>
    </w:r>
    <w:r w:rsidRPr="005828FE">
      <w:rPr>
        <w:b/>
      </w:rPr>
      <w:fldChar w:fldCharType="end"/>
    </w:r>
    <w:r w:rsidRPr="005828FE">
      <w:rPr>
        <w:b/>
      </w:rPr>
      <w:t xml:space="preserve"> </w:t>
    </w:r>
    <w:r w:rsidRPr="006C78FB">
      <w:fldChar w:fldCharType="begin"/>
    </w:r>
    <w:r w:rsidRPr="006C78FB">
      <w:instrText xml:space="preserve"> StyleRef “FRD Header” </w:instrText>
    </w:r>
    <w:r w:rsidRPr="006C78FB">
      <w:fldChar w:fldCharType="separate"/>
    </w:r>
    <w:r w:rsidR="00905FEE">
      <w:t>Impairment of assets (April 2022)</w:t>
    </w:r>
    <w:r w:rsidRPr="006C78FB">
      <w:fldChar w:fldCharType="end"/>
    </w:r>
    <w:r w:rsidRPr="00C022F9">
      <w:tab/>
    </w:r>
    <w:r w:rsidRPr="005828FE">
      <w:t xml:space="preserve">Page </w:t>
    </w:r>
    <w:r w:rsidRPr="005828FE">
      <w:rPr>
        <w:rStyle w:val="PageNumber"/>
      </w:rPr>
      <w:fldChar w:fldCharType="begin"/>
    </w:r>
    <w:r w:rsidRPr="005828FE">
      <w:rPr>
        <w:rStyle w:val="PageNumber"/>
      </w:rPr>
      <w:instrText xml:space="preserve"> Page </w:instrText>
    </w:r>
    <w:r w:rsidRPr="005828FE">
      <w:rPr>
        <w:rStyle w:val="PageNumber"/>
      </w:rPr>
      <w:fldChar w:fldCharType="separate"/>
    </w:r>
    <w:r w:rsidR="0066557C">
      <w:rPr>
        <w:rStyle w:val="PageNumber"/>
      </w:rPr>
      <w:t>3</w:t>
    </w:r>
    <w:r w:rsidRPr="005828FE">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18" w:type="dxa"/>
      <w:tblBorders>
        <w:bottom w:val="none" w:sz="0" w:space="0" w:color="auto"/>
      </w:tblBorders>
      <w:tblLayout w:type="fixed"/>
      <w:tblCellMar>
        <w:left w:w="58" w:type="dxa"/>
        <w:right w:w="58" w:type="dxa"/>
      </w:tblCellMar>
      <w:tblLook w:val="04A0" w:firstRow="1" w:lastRow="0" w:firstColumn="1" w:lastColumn="0" w:noHBand="0" w:noVBand="1"/>
    </w:tblPr>
    <w:tblGrid>
      <w:gridCol w:w="1548"/>
      <w:gridCol w:w="6700"/>
      <w:gridCol w:w="1570"/>
    </w:tblGrid>
    <w:tr w:rsidR="00493B55" w14:paraId="7ECDE4D1" w14:textId="77777777" w:rsidTr="00493B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22301C49" w14:textId="77777777" w:rsidR="00493B55" w:rsidRDefault="00D04E34" w:rsidP="00493B55">
          <w:pPr>
            <w:pStyle w:val="Footer"/>
            <w:tabs>
              <w:tab w:val="clear" w:pos="9026"/>
            </w:tabs>
          </w:pPr>
          <w:r>
            <w:drawing>
              <wp:inline distT="0" distB="0" distL="0" distR="0" wp14:anchorId="215377A5" wp14:editId="1A21CA4A">
                <wp:extent cx="822960" cy="4663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V_black_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22960" cy="466344"/>
                        </a:xfrm>
                        <a:prstGeom prst="rect">
                          <a:avLst/>
                        </a:prstGeom>
                        <a:noFill/>
                        <a:ln>
                          <a:noFill/>
                        </a:ln>
                      </pic:spPr>
                    </pic:pic>
                  </a:graphicData>
                </a:graphic>
              </wp:inline>
            </w:drawing>
          </w:r>
        </w:p>
      </w:tc>
      <w:tc>
        <w:tcPr>
          <w:tcW w:w="6700" w:type="dxa"/>
        </w:tcPr>
        <w:p w14:paraId="2AB9EA39" w14:textId="77777777" w:rsidR="00493B55" w:rsidRDefault="00493B55" w:rsidP="00493B55">
          <w:pPr>
            <w:pStyle w:val="Footer"/>
            <w:tabs>
              <w:tab w:val="clear" w:pos="9026"/>
            </w:tabs>
            <w:cnfStyle w:val="100000000000" w:firstRow="1" w:lastRow="0" w:firstColumn="0" w:lastColumn="0" w:oddVBand="0" w:evenVBand="0" w:oddHBand="0" w:evenHBand="0" w:firstRowFirstColumn="0" w:firstRowLastColumn="0" w:lastRowFirstColumn="0" w:lastRowLastColumn="0"/>
          </w:pPr>
          <w:r>
            <w:fldChar w:fldCharType="begin"/>
          </w:r>
          <w:r>
            <w:instrText xml:space="preserve"> </w:instrText>
          </w:r>
          <w:r w:rsidRPr="00743D1A">
            <w:instrText>STYLEREF  "FRD Number"  \* MERGEFORMAT</w:instrText>
          </w:r>
          <w:r>
            <w:instrText xml:space="preserve"> </w:instrText>
          </w:r>
          <w:r>
            <w:fldChar w:fldCharType="separate"/>
          </w:r>
          <w:r w:rsidR="0066557C">
            <w:t>FRD 106B</w:t>
          </w:r>
          <w:r>
            <w:fldChar w:fldCharType="end"/>
          </w:r>
          <w:r>
            <w:t xml:space="preserve"> </w:t>
          </w:r>
          <w:r w:rsidR="00C30667">
            <w:rPr>
              <w:noProof w:val="0"/>
            </w:rPr>
            <w:fldChar w:fldCharType="begin"/>
          </w:r>
          <w:r w:rsidR="00C30667">
            <w:instrText xml:space="preserve"> STYLEREF  "FRD Header" </w:instrText>
          </w:r>
          <w:r w:rsidR="00C30667">
            <w:rPr>
              <w:noProof w:val="0"/>
            </w:rPr>
            <w:fldChar w:fldCharType="separate"/>
          </w:r>
          <w:r w:rsidR="0066557C">
            <w:t>Impairment of assets (May 2018)</w:t>
          </w:r>
          <w:r w:rsidR="00C30667">
            <w:fldChar w:fldCharType="end"/>
          </w:r>
        </w:p>
      </w:tc>
      <w:tc>
        <w:tcPr>
          <w:tcW w:w="1570" w:type="dxa"/>
        </w:tcPr>
        <w:p w14:paraId="395B4E0C" w14:textId="77777777" w:rsidR="00493B55" w:rsidRDefault="00493B55" w:rsidP="00493B55">
          <w:pPr>
            <w:pStyle w:val="Footer"/>
            <w:tabs>
              <w:tab w:val="clear" w:pos="9026"/>
            </w:tabs>
            <w:cnfStyle w:val="100000000000" w:firstRow="1" w:lastRow="0" w:firstColumn="0" w:lastColumn="0" w:oddVBand="0" w:evenVBand="0" w:oddHBand="0" w:evenHBand="0" w:firstRowFirstColumn="0" w:firstRowLastColumn="0" w:lastRowFirstColumn="0" w:lastRowLastColumn="0"/>
          </w:pPr>
          <w:r>
            <w:t xml:space="preserve">Page </w:t>
          </w:r>
          <w:r>
            <w:fldChar w:fldCharType="begin"/>
          </w:r>
          <w:r>
            <w:instrText xml:space="preserve"> page </w:instrText>
          </w:r>
          <w:r>
            <w:fldChar w:fldCharType="separate"/>
          </w:r>
          <w:r w:rsidR="00F5082F">
            <w:t>1</w:t>
          </w:r>
          <w:r>
            <w:fldChar w:fldCharType="end"/>
          </w:r>
          <w:r>
            <w:t xml:space="preserve"> of </w:t>
          </w:r>
          <w:r w:rsidR="00A81365">
            <w:fldChar w:fldCharType="begin"/>
          </w:r>
          <w:r w:rsidR="00A81365">
            <w:instrText xml:space="preserve"> numpages </w:instrText>
          </w:r>
          <w:r w:rsidR="00A81365">
            <w:fldChar w:fldCharType="separate"/>
          </w:r>
          <w:r w:rsidR="0066557C">
            <w:t>3</w:t>
          </w:r>
          <w:r w:rsidR="00A81365">
            <w:fldChar w:fldCharType="end"/>
          </w:r>
        </w:p>
      </w:tc>
    </w:tr>
  </w:tbl>
  <w:p w14:paraId="3BD02A8D" w14:textId="77777777" w:rsidR="00493B55" w:rsidRDefault="00493B55" w:rsidP="00493B55">
    <w:pPr>
      <w:pStyle w:val="Spac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7C3EA" w14:textId="77777777" w:rsidR="00D42C56" w:rsidRDefault="00D42C56" w:rsidP="00493B55">
      <w:pPr>
        <w:spacing w:before="0" w:after="0"/>
      </w:pPr>
      <w:r>
        <w:separator/>
      </w:r>
    </w:p>
  </w:footnote>
  <w:footnote w:type="continuationSeparator" w:id="0">
    <w:p w14:paraId="20AA6D4C" w14:textId="77777777" w:rsidR="00D42C56" w:rsidRDefault="00D42C56" w:rsidP="00493B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62A74" w14:textId="77777777" w:rsidR="00F5082F" w:rsidRDefault="00F5082F" w:rsidP="001138DA">
    <w:pPr>
      <w:pStyle w:val="Header"/>
      <w:tabs>
        <w:tab w:val="clear" w:pos="9026"/>
      </w:tabs>
      <w:ind w:right="-694"/>
      <w:jc w:val="right"/>
    </w:pPr>
    <w:r>
      <w:rPr>
        <w:noProof/>
      </w:rPr>
      <w:drawing>
        <wp:inline distT="0" distB="0" distL="0" distR="0" wp14:anchorId="375E11FD" wp14:editId="2EE4F9E4">
          <wp:extent cx="813816" cy="466344"/>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logo black rgb.png"/>
                  <pic:cNvPicPr/>
                </pic:nvPicPr>
                <pic:blipFill>
                  <a:blip r:embed="rId1">
                    <a:extLst>
                      <a:ext uri="{28A0092B-C50C-407E-A947-70E740481C1C}">
                        <a14:useLocalDpi xmlns:a14="http://schemas.microsoft.com/office/drawing/2010/main" val="0"/>
                      </a:ext>
                    </a:extLst>
                  </a:blip>
                  <a:stretch>
                    <a:fillRect/>
                  </a:stretch>
                </pic:blipFill>
                <pic:spPr>
                  <a:xfrm>
                    <a:off x="0" y="0"/>
                    <a:ext cx="813816" cy="4663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8C067C"/>
    <w:lvl w:ilvl="0">
      <w:start w:val="1"/>
      <w:numFmt w:val="bullet"/>
      <w:lvlText w:val=""/>
      <w:lvlJc w:val="left"/>
      <w:pPr>
        <w:tabs>
          <w:tab w:val="num" w:pos="0"/>
        </w:tabs>
        <w:ind w:left="0" w:hanging="360"/>
      </w:pPr>
      <w:rPr>
        <w:rFonts w:ascii="Symbol" w:hAnsi="Symbol" w:hint="default"/>
      </w:rPr>
    </w:lvl>
  </w:abstractNum>
  <w:abstractNum w:abstractNumId="1" w15:restartNumberingAfterBreak="0">
    <w:nsid w:val="1604478F"/>
    <w:multiLevelType w:val="hybridMultilevel"/>
    <w:tmpl w:val="EA80E36A"/>
    <w:lvl w:ilvl="0" w:tplc="106EB2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D56923"/>
    <w:multiLevelType w:val="hybridMultilevel"/>
    <w:tmpl w:val="46E06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1C1C99"/>
    <w:multiLevelType w:val="hybridMultilevel"/>
    <w:tmpl w:val="85DA8F92"/>
    <w:lvl w:ilvl="0" w:tplc="695C59FE">
      <w:start w:val="1"/>
      <w:numFmt w:val="bullet"/>
      <w:lvlText w:val="·"/>
      <w:lvlJc w:val="left"/>
      <w:pPr>
        <w:ind w:left="1286" w:hanging="360"/>
      </w:pPr>
      <w:rPr>
        <w:rFonts w:ascii="Symbol" w:hAnsi="Symbol" w:hint="default"/>
      </w:rPr>
    </w:lvl>
    <w:lvl w:ilvl="1" w:tplc="0C090003" w:tentative="1">
      <w:start w:val="1"/>
      <w:numFmt w:val="bullet"/>
      <w:lvlText w:val="o"/>
      <w:lvlJc w:val="left"/>
      <w:pPr>
        <w:ind w:left="2006" w:hanging="360"/>
      </w:pPr>
      <w:rPr>
        <w:rFonts w:ascii="Courier New" w:hAnsi="Courier New" w:cs="Courier New" w:hint="default"/>
      </w:rPr>
    </w:lvl>
    <w:lvl w:ilvl="2" w:tplc="0C090005" w:tentative="1">
      <w:start w:val="1"/>
      <w:numFmt w:val="bullet"/>
      <w:lvlText w:val=""/>
      <w:lvlJc w:val="left"/>
      <w:pPr>
        <w:ind w:left="2726" w:hanging="360"/>
      </w:pPr>
      <w:rPr>
        <w:rFonts w:ascii="Wingdings" w:hAnsi="Wingdings" w:hint="default"/>
      </w:rPr>
    </w:lvl>
    <w:lvl w:ilvl="3" w:tplc="0C090001" w:tentative="1">
      <w:start w:val="1"/>
      <w:numFmt w:val="bullet"/>
      <w:lvlText w:val=""/>
      <w:lvlJc w:val="left"/>
      <w:pPr>
        <w:ind w:left="3446" w:hanging="360"/>
      </w:pPr>
      <w:rPr>
        <w:rFonts w:ascii="Symbol" w:hAnsi="Symbol" w:hint="default"/>
      </w:rPr>
    </w:lvl>
    <w:lvl w:ilvl="4" w:tplc="0C090003" w:tentative="1">
      <w:start w:val="1"/>
      <w:numFmt w:val="bullet"/>
      <w:lvlText w:val="o"/>
      <w:lvlJc w:val="left"/>
      <w:pPr>
        <w:ind w:left="4166" w:hanging="360"/>
      </w:pPr>
      <w:rPr>
        <w:rFonts w:ascii="Courier New" w:hAnsi="Courier New" w:cs="Courier New" w:hint="default"/>
      </w:rPr>
    </w:lvl>
    <w:lvl w:ilvl="5" w:tplc="0C090005" w:tentative="1">
      <w:start w:val="1"/>
      <w:numFmt w:val="bullet"/>
      <w:lvlText w:val=""/>
      <w:lvlJc w:val="left"/>
      <w:pPr>
        <w:ind w:left="4886" w:hanging="360"/>
      </w:pPr>
      <w:rPr>
        <w:rFonts w:ascii="Wingdings" w:hAnsi="Wingdings" w:hint="default"/>
      </w:rPr>
    </w:lvl>
    <w:lvl w:ilvl="6" w:tplc="0C090001" w:tentative="1">
      <w:start w:val="1"/>
      <w:numFmt w:val="bullet"/>
      <w:lvlText w:val=""/>
      <w:lvlJc w:val="left"/>
      <w:pPr>
        <w:ind w:left="5606" w:hanging="360"/>
      </w:pPr>
      <w:rPr>
        <w:rFonts w:ascii="Symbol" w:hAnsi="Symbol" w:hint="default"/>
      </w:rPr>
    </w:lvl>
    <w:lvl w:ilvl="7" w:tplc="0C090003" w:tentative="1">
      <w:start w:val="1"/>
      <w:numFmt w:val="bullet"/>
      <w:lvlText w:val="o"/>
      <w:lvlJc w:val="left"/>
      <w:pPr>
        <w:ind w:left="6326" w:hanging="360"/>
      </w:pPr>
      <w:rPr>
        <w:rFonts w:ascii="Courier New" w:hAnsi="Courier New" w:cs="Courier New" w:hint="default"/>
      </w:rPr>
    </w:lvl>
    <w:lvl w:ilvl="8" w:tplc="0C090005" w:tentative="1">
      <w:start w:val="1"/>
      <w:numFmt w:val="bullet"/>
      <w:lvlText w:val=""/>
      <w:lvlJc w:val="left"/>
      <w:pPr>
        <w:ind w:left="7046" w:hanging="360"/>
      </w:pPr>
      <w:rPr>
        <w:rFonts w:ascii="Wingdings" w:hAnsi="Wingdings" w:hint="default"/>
      </w:rPr>
    </w:lvl>
  </w:abstractNum>
  <w:abstractNum w:abstractNumId="4" w15:restartNumberingAfterBreak="0">
    <w:nsid w:val="1D2375F0"/>
    <w:multiLevelType w:val="hybridMultilevel"/>
    <w:tmpl w:val="787CB63A"/>
    <w:lvl w:ilvl="0" w:tplc="156072D8">
      <w:start w:val="1"/>
      <w:numFmt w:val="bullet"/>
      <w:lvlText w:val=""/>
      <w:lvlJc w:val="left"/>
      <w:pPr>
        <w:ind w:left="720" w:hanging="360"/>
      </w:pPr>
      <w:rPr>
        <w:rFonts w:ascii="Wingdings" w:hAnsi="Wingdings" w:hint="default"/>
        <w:color w:val="595959"/>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A60D4B"/>
    <w:multiLevelType w:val="hybridMultilevel"/>
    <w:tmpl w:val="27BCC2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6456FFD"/>
    <w:multiLevelType w:val="multilevel"/>
    <w:tmpl w:val="0EA8B9BE"/>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40234E"/>
    <w:multiLevelType w:val="hybridMultilevel"/>
    <w:tmpl w:val="55F63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A311C2"/>
    <w:multiLevelType w:val="hybridMultilevel"/>
    <w:tmpl w:val="0742EA96"/>
    <w:lvl w:ilvl="0" w:tplc="12A0D8B2">
      <w:start w:val="1"/>
      <w:numFmt w:val="bullet"/>
      <w:lvlText w:val="—"/>
      <w:lvlJc w:val="left"/>
      <w:pPr>
        <w:ind w:left="720" w:hanging="360"/>
      </w:pPr>
      <w:rPr>
        <w:rFonts w:ascii="Calibri" w:hAnsi="Calibri" w:hint="default"/>
        <w:b w:val="0"/>
        <w:i w:val="0"/>
        <w:color w:val="595959"/>
        <w:sz w:val="20"/>
        <w:szCs w:val="20"/>
      </w:rPr>
    </w:lvl>
    <w:lvl w:ilvl="1" w:tplc="6AD4DBFC">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6D3A6A"/>
    <w:multiLevelType w:val="multilevel"/>
    <w:tmpl w:val="7B804CF0"/>
    <w:lvl w:ilvl="0">
      <w:start w:val="1"/>
      <w:numFmt w:val="bullet"/>
      <w:pStyle w:val="Bullet1"/>
      <w:lvlText w:val=""/>
      <w:lvlJc w:val="left"/>
      <w:pPr>
        <w:tabs>
          <w:tab w:val="num" w:pos="288"/>
        </w:tabs>
        <w:ind w:left="288" w:hanging="288"/>
      </w:pPr>
      <w:rPr>
        <w:rFonts w:ascii="Symbol" w:hAnsi="Symbol" w:hint="default"/>
        <w:b w:val="0"/>
        <w:i w:val="0"/>
        <w:vanish w:val="0"/>
        <w:color w:val="auto"/>
        <w:sz w:val="18"/>
        <w:szCs w:val="18"/>
      </w:rPr>
    </w:lvl>
    <w:lvl w:ilvl="1">
      <w:start w:val="1"/>
      <w:numFmt w:val="bullet"/>
      <w:pStyle w:val="Bullet2"/>
      <w:lvlText w:val="–"/>
      <w:lvlJc w:val="left"/>
      <w:pPr>
        <w:tabs>
          <w:tab w:val="num" w:pos="576"/>
        </w:tabs>
        <w:ind w:left="576" w:hanging="288"/>
      </w:pPr>
      <w:rPr>
        <w:rFonts w:ascii="Calibri" w:hAnsi="Calibri" w:hint="default"/>
        <w:b w:val="0"/>
        <w:i w:val="0"/>
        <w:vanish w:val="0"/>
        <w:color w:val="auto"/>
        <w:sz w:val="22"/>
      </w:rPr>
    </w:lvl>
    <w:lvl w:ilvl="2">
      <w:start w:val="1"/>
      <w:numFmt w:val="bullet"/>
      <w:pStyle w:val="Bulletindent"/>
      <w:lvlText w:val=""/>
      <w:lvlJc w:val="left"/>
      <w:pPr>
        <w:tabs>
          <w:tab w:val="num" w:pos="864"/>
        </w:tabs>
        <w:ind w:left="864" w:hanging="288"/>
      </w:pPr>
      <w:rPr>
        <w:rFonts w:ascii="Symbol" w:hAnsi="Symbol" w:hint="default"/>
        <w:b w:val="0"/>
        <w:i w:val="0"/>
        <w:vanish w:val="0"/>
        <w:color w:val="4D4D4D"/>
        <w:sz w:val="22"/>
      </w:rPr>
    </w:lvl>
    <w:lvl w:ilvl="3">
      <w:start w:val="1"/>
      <w:numFmt w:val="bullet"/>
      <w:pStyle w:val="Bulletindent2"/>
      <w:lvlText w:val="–"/>
      <w:lvlJc w:val="left"/>
      <w:pPr>
        <w:tabs>
          <w:tab w:val="num" w:pos="1152"/>
        </w:tabs>
        <w:ind w:left="1152" w:hanging="288"/>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0" w15:restartNumberingAfterBreak="0">
    <w:nsid w:val="4AC35A9B"/>
    <w:multiLevelType w:val="multilevel"/>
    <w:tmpl w:val="0392528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DD80DCD"/>
    <w:multiLevelType w:val="multilevel"/>
    <w:tmpl w:val="45E4BFDC"/>
    <w:lvl w:ilvl="0">
      <w:start w:val="1"/>
      <w:numFmt w:val="bullet"/>
      <w:lvlText w:val=""/>
      <w:lvlJc w:val="left"/>
      <w:pPr>
        <w:tabs>
          <w:tab w:val="num" w:pos="360"/>
        </w:tabs>
        <w:ind w:left="360" w:hanging="360"/>
      </w:pPr>
      <w:rPr>
        <w:rFonts w:ascii="Symbol" w:hAnsi="Symbol" w:hint="default"/>
        <w:b w:val="0"/>
        <w:i w:val="0"/>
        <w:sz w:val="18"/>
      </w:rPr>
    </w:lvl>
    <w:lvl w:ilvl="1">
      <w:start w:val="1"/>
      <w:numFmt w:val="bullet"/>
      <w:lvlText w:val=""/>
      <w:lvlJc w:val="left"/>
      <w:pPr>
        <w:tabs>
          <w:tab w:val="num" w:pos="720"/>
        </w:tabs>
        <w:ind w:left="720" w:hanging="360"/>
      </w:pPr>
      <w:rPr>
        <w:rFonts w:ascii="Symbol" w:hAnsi="Symbol" w:hint="default"/>
        <w:b w:val="0"/>
        <w:i w:val="0"/>
        <w:sz w:val="20"/>
      </w:rPr>
    </w:lvl>
    <w:lvl w:ilvl="2">
      <w:start w:val="1"/>
      <w:numFmt w:val="lowerRoman"/>
      <w:lvlText w:val="(%3)"/>
      <w:lvlJc w:val="left"/>
      <w:pPr>
        <w:tabs>
          <w:tab w:val="num" w:pos="1440"/>
        </w:tabs>
        <w:ind w:left="1080" w:hanging="360"/>
      </w:pPr>
      <w:rPr>
        <w:rFonts w:hint="default"/>
        <w:b w:val="0"/>
        <w:i w:val="0"/>
        <w:sz w:val="18"/>
      </w:rPr>
    </w:lvl>
    <w:lvl w:ilvl="3">
      <w:start w:val="1"/>
      <w:numFmt w:val="lowerLetter"/>
      <w:lvlText w:val="(%4)"/>
      <w:lvlJc w:val="left"/>
      <w:pPr>
        <w:tabs>
          <w:tab w:val="num" w:pos="1800"/>
        </w:tabs>
        <w:ind w:left="1440" w:hanging="360"/>
      </w:pPr>
      <w:rPr>
        <w:rFonts w:hint="default"/>
      </w:rPr>
    </w:lvl>
    <w:lvl w:ilvl="4">
      <w:start w:val="1"/>
      <w:numFmt w:val="decimal"/>
      <w:lvlText w:val="(%5)"/>
      <w:lvlJc w:val="left"/>
      <w:pPr>
        <w:tabs>
          <w:tab w:val="num" w:pos="0"/>
        </w:tabs>
        <w:ind w:left="3577" w:hanging="708"/>
      </w:pPr>
      <w:rPr>
        <w:rFonts w:hint="default"/>
      </w:rPr>
    </w:lvl>
    <w:lvl w:ilvl="5">
      <w:start w:val="1"/>
      <w:numFmt w:val="lowerLetter"/>
      <w:lvlText w:val="(%6)"/>
      <w:lvlJc w:val="left"/>
      <w:pPr>
        <w:tabs>
          <w:tab w:val="num" w:pos="0"/>
        </w:tabs>
        <w:ind w:left="4286" w:hanging="709"/>
      </w:pPr>
      <w:rPr>
        <w:rFonts w:hint="default"/>
      </w:rPr>
    </w:lvl>
    <w:lvl w:ilvl="6">
      <w:start w:val="1"/>
      <w:numFmt w:val="lowerRoman"/>
      <w:lvlText w:val="(%7)"/>
      <w:lvlJc w:val="left"/>
      <w:pPr>
        <w:tabs>
          <w:tab w:val="num" w:pos="0"/>
        </w:tabs>
        <w:ind w:left="4989" w:hanging="703"/>
      </w:pPr>
      <w:rPr>
        <w:rFonts w:hint="default"/>
      </w:rPr>
    </w:lvl>
    <w:lvl w:ilvl="7">
      <w:start w:val="1"/>
      <w:numFmt w:val="lowerLetter"/>
      <w:lvlText w:val="(%8)"/>
      <w:lvlJc w:val="left"/>
      <w:pPr>
        <w:tabs>
          <w:tab w:val="num" w:pos="0"/>
        </w:tabs>
        <w:ind w:left="5698" w:hanging="709"/>
      </w:pPr>
      <w:rPr>
        <w:rFonts w:hint="default"/>
      </w:rPr>
    </w:lvl>
    <w:lvl w:ilvl="8">
      <w:start w:val="1"/>
      <w:numFmt w:val="lowerRoman"/>
      <w:lvlText w:val="(%9)"/>
      <w:lvlJc w:val="left"/>
      <w:pPr>
        <w:tabs>
          <w:tab w:val="num" w:pos="0"/>
        </w:tabs>
        <w:ind w:left="6406" w:hanging="708"/>
      </w:pPr>
      <w:rPr>
        <w:rFonts w:hint="default"/>
      </w:rPr>
    </w:lvl>
  </w:abstractNum>
  <w:abstractNum w:abstractNumId="12" w15:restartNumberingAfterBreak="0">
    <w:nsid w:val="5FC550F8"/>
    <w:multiLevelType w:val="multilevel"/>
    <w:tmpl w:val="65CA5EC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080" w:hanging="360"/>
      </w:pPr>
      <w:rPr>
        <w:rFonts w:ascii="Symbol" w:hAnsi="Symbol" w:hint="default"/>
      </w:rPr>
    </w:lvl>
    <w:lvl w:ilvl="3">
      <w:start w:val="1"/>
      <w:numFmt w:val="lowerLetter"/>
      <w:lvlRestart w:val="1"/>
      <w:lvlText w:val="(%4)"/>
      <w:lvlJc w:val="left"/>
      <w:pPr>
        <w:ind w:left="360" w:hanging="360"/>
      </w:pPr>
      <w:rPr>
        <w:rFonts w:hint="default"/>
        <w:color w:val="5E5E5E"/>
      </w:rPr>
    </w:lvl>
    <w:lvl w:ilvl="4">
      <w:start w:val="1"/>
      <w:numFmt w:val="lowerRoman"/>
      <w:lvlText w:val="(%5)"/>
      <w:lvlJc w:val="left"/>
      <w:pPr>
        <w:ind w:left="720" w:hanging="360"/>
      </w:pPr>
      <w:rPr>
        <w:rFonts w:hint="default"/>
        <w:color w:val="5E5E5E"/>
      </w:rPr>
    </w:lvl>
    <w:lvl w:ilvl="5">
      <w:start w:val="1"/>
      <w:numFmt w:val="bullet"/>
      <w:lvlText w:val="·"/>
      <w:lvlJc w:val="left"/>
      <w:pPr>
        <w:ind w:left="1080" w:hanging="360"/>
      </w:pPr>
      <w:rPr>
        <w:rFonts w:ascii="Symbol" w:hAnsi="Symbol" w:hint="default"/>
        <w:color w:val="5E5E5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3" w15:restartNumberingAfterBreak="0">
    <w:nsid w:val="6C0124D7"/>
    <w:multiLevelType w:val="multilevel"/>
    <w:tmpl w:val="576071D4"/>
    <w:lvl w:ilvl="0">
      <w:start w:val="1"/>
      <w:numFmt w:val="decimal"/>
      <w:pStyle w:val="Refnum1"/>
      <w:suff w:val="nothing"/>
      <w:lvlText w:val="%1."/>
      <w:lvlJc w:val="left"/>
      <w:pPr>
        <w:ind w:left="0" w:firstLine="0"/>
      </w:pPr>
      <w:rPr>
        <w:rFonts w:hint="default"/>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 w:ilvl="2">
      <w:start w:val="1"/>
      <w:numFmt w:val="decimal"/>
      <w:pStyle w:val="Refnum2"/>
      <w:suff w:val="nothing"/>
      <w:lvlText w:val="%1.%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7FC334F7"/>
    <w:multiLevelType w:val="multilevel"/>
    <w:tmpl w:val="E9D8919E"/>
    <w:lvl w:ilvl="0">
      <w:start w:val="1"/>
      <w:numFmt w:val="decimal"/>
      <w:suff w:val="nothing"/>
      <w:lvlText w:val="%1."/>
      <w:lvlJc w:val="left"/>
      <w:pPr>
        <w:ind w:left="0" w:firstLine="0"/>
      </w:pPr>
      <w:rPr>
        <w:rFonts w:hint="default"/>
        <w:color w:val="FFFFFF" w:themeColor="background1"/>
      </w:rPr>
    </w:lvl>
    <w:lvl w:ilvl="1">
      <w:start w:val="1"/>
      <w:numFmt w:val="decimal"/>
      <w:suff w:val="nothing"/>
      <w:lvlText w:val="%1.%2"/>
      <w:lvlJc w:val="left"/>
      <w:pPr>
        <w:ind w:left="0" w:firstLine="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7FD44514"/>
    <w:multiLevelType w:val="multilevel"/>
    <w:tmpl w:val="827E8410"/>
    <w:lvl w:ilvl="0">
      <w:start w:val="1"/>
      <w:numFmt w:val="lowerLetter"/>
      <w:pStyle w:val="Listnum"/>
      <w:lvlText w:val="(%1)"/>
      <w:lvlJc w:val="left"/>
      <w:pPr>
        <w:tabs>
          <w:tab w:val="num" w:pos="504"/>
        </w:tabs>
        <w:ind w:left="504" w:hanging="504"/>
      </w:pPr>
      <w:rPr>
        <w:rFonts w:hint="default"/>
      </w:rPr>
    </w:lvl>
    <w:lvl w:ilvl="1">
      <w:start w:val="1"/>
      <w:numFmt w:val="lowerRoman"/>
      <w:pStyle w:val="Listnum2"/>
      <w:lvlText w:val="(%2)"/>
      <w:lvlJc w:val="left"/>
      <w:pPr>
        <w:tabs>
          <w:tab w:val="num" w:pos="1008"/>
        </w:tabs>
        <w:ind w:left="1008" w:hanging="504"/>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abstractNumId w:val="7"/>
  </w:num>
  <w:num w:numId="2">
    <w:abstractNumId w:val="10"/>
  </w:num>
  <w:num w:numId="3">
    <w:abstractNumId w:val="14"/>
  </w:num>
  <w:num w:numId="4">
    <w:abstractNumId w:val="8"/>
  </w:num>
  <w:num w:numId="5">
    <w:abstractNumId w:val="1"/>
  </w:num>
  <w:num w:numId="6">
    <w:abstractNumId w:val="12"/>
  </w:num>
  <w:num w:numId="7">
    <w:abstractNumId w:val="4"/>
  </w:num>
  <w:num w:numId="8">
    <w:abstractNumId w:val="3"/>
  </w:num>
  <w:num w:numId="9">
    <w:abstractNumId w:val="0"/>
  </w:num>
  <w:num w:numId="10">
    <w:abstractNumId w:val="1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9"/>
  </w:num>
  <w:num w:numId="15">
    <w:abstractNumId w:val="15"/>
  </w:num>
  <w:num w:numId="16">
    <w:abstractNumId w:val="6"/>
  </w:num>
  <w:num w:numId="17">
    <w:abstractNumId w:val="13"/>
  </w:num>
  <w:num w:numId="18">
    <w:abstractNumId w:val="13"/>
    <w:lvlOverride w:ilvl="0">
      <w:lvl w:ilvl="0">
        <w:start w:val="1"/>
        <w:numFmt w:val="decimal"/>
        <w:pStyle w:val="Refnum1"/>
        <w:suff w:val="nothing"/>
        <w:lvlText w:val="%1."/>
        <w:lvlJc w:val="left"/>
        <w:pPr>
          <w:ind w:left="0" w:firstLine="0"/>
        </w:pPr>
        <w:rPr>
          <w:rFonts w:cs="Times New Roman" w:hint="default"/>
          <w:b w:val="0"/>
          <w:bCs w:val="0"/>
          <w:i w:val="0"/>
          <w:iCs w:val="0"/>
          <w:caps w:val="0"/>
          <w:small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19">
    <w:abstractNumId w:val="13"/>
    <w:lvlOverride w:ilvl="0">
      <w:lvl w:ilvl="0">
        <w:start w:val="1"/>
        <w:numFmt w:val="decimal"/>
        <w:pStyle w:val="Refnum1"/>
        <w:suff w:val="nothing"/>
        <w:lvlText w:val="%1."/>
        <w:lvlJc w:val="left"/>
        <w:pPr>
          <w:ind w:left="0" w:firstLine="0"/>
        </w:pPr>
        <w:rPr>
          <w:rFonts w:cs="Times New Roman" w:hint="default"/>
          <w:b w:val="0"/>
          <w:bCs w:val="0"/>
          <w:i w:val="0"/>
          <w:iCs w:val="0"/>
          <w: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NotTrackFormatting/>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2BB2"/>
    <w:rsid w:val="0000060C"/>
    <w:rsid w:val="00010AFC"/>
    <w:rsid w:val="000137A1"/>
    <w:rsid w:val="00024273"/>
    <w:rsid w:val="00033FA1"/>
    <w:rsid w:val="0007281A"/>
    <w:rsid w:val="00083CF0"/>
    <w:rsid w:val="00087CA2"/>
    <w:rsid w:val="000B2B10"/>
    <w:rsid w:val="00106755"/>
    <w:rsid w:val="00112DE0"/>
    <w:rsid w:val="001138DA"/>
    <w:rsid w:val="00117F5B"/>
    <w:rsid w:val="00135C35"/>
    <w:rsid w:val="00145870"/>
    <w:rsid w:val="00176E57"/>
    <w:rsid w:val="001944A9"/>
    <w:rsid w:val="001E1513"/>
    <w:rsid w:val="001E25E7"/>
    <w:rsid w:val="0021794B"/>
    <w:rsid w:val="00231A10"/>
    <w:rsid w:val="00237673"/>
    <w:rsid w:val="00247CAA"/>
    <w:rsid w:val="00260DF2"/>
    <w:rsid w:val="002617B3"/>
    <w:rsid w:val="00262725"/>
    <w:rsid w:val="00284D48"/>
    <w:rsid w:val="002B4770"/>
    <w:rsid w:val="002C3B32"/>
    <w:rsid w:val="002E03E9"/>
    <w:rsid w:val="00312AE9"/>
    <w:rsid w:val="00332C13"/>
    <w:rsid w:val="003338D1"/>
    <w:rsid w:val="00336F07"/>
    <w:rsid w:val="00355FA3"/>
    <w:rsid w:val="003637D0"/>
    <w:rsid w:val="00366FD4"/>
    <w:rsid w:val="00376C4B"/>
    <w:rsid w:val="003A3FB2"/>
    <w:rsid w:val="003B0F23"/>
    <w:rsid w:val="003B75BC"/>
    <w:rsid w:val="003C7AD1"/>
    <w:rsid w:val="003F48A3"/>
    <w:rsid w:val="00440748"/>
    <w:rsid w:val="00485BD7"/>
    <w:rsid w:val="00492671"/>
    <w:rsid w:val="00493B55"/>
    <w:rsid w:val="0049632C"/>
    <w:rsid w:val="004B4329"/>
    <w:rsid w:val="004B54E0"/>
    <w:rsid w:val="004C52A6"/>
    <w:rsid w:val="004D34D8"/>
    <w:rsid w:val="00534B76"/>
    <w:rsid w:val="005375D1"/>
    <w:rsid w:val="00541D7D"/>
    <w:rsid w:val="005525E1"/>
    <w:rsid w:val="00555706"/>
    <w:rsid w:val="0055585B"/>
    <w:rsid w:val="00586AAA"/>
    <w:rsid w:val="005B6C84"/>
    <w:rsid w:val="005C7FF1"/>
    <w:rsid w:val="005D7B86"/>
    <w:rsid w:val="005E149B"/>
    <w:rsid w:val="00645860"/>
    <w:rsid w:val="0066557C"/>
    <w:rsid w:val="00672D69"/>
    <w:rsid w:val="00683383"/>
    <w:rsid w:val="006E104D"/>
    <w:rsid w:val="006E35CB"/>
    <w:rsid w:val="00702167"/>
    <w:rsid w:val="00702E6F"/>
    <w:rsid w:val="007041EA"/>
    <w:rsid w:val="00713B8C"/>
    <w:rsid w:val="00734F36"/>
    <w:rsid w:val="00747AFF"/>
    <w:rsid w:val="00765193"/>
    <w:rsid w:val="007F0978"/>
    <w:rsid w:val="008038B4"/>
    <w:rsid w:val="00810B92"/>
    <w:rsid w:val="008231DD"/>
    <w:rsid w:val="00845688"/>
    <w:rsid w:val="00857E39"/>
    <w:rsid w:val="0086015E"/>
    <w:rsid w:val="00867401"/>
    <w:rsid w:val="00870976"/>
    <w:rsid w:val="00870A4A"/>
    <w:rsid w:val="008746ED"/>
    <w:rsid w:val="008A2D0C"/>
    <w:rsid w:val="008B2714"/>
    <w:rsid w:val="00905FEE"/>
    <w:rsid w:val="00914717"/>
    <w:rsid w:val="00967971"/>
    <w:rsid w:val="0097341D"/>
    <w:rsid w:val="00997AAC"/>
    <w:rsid w:val="009B6207"/>
    <w:rsid w:val="009C7593"/>
    <w:rsid w:val="009D3AB6"/>
    <w:rsid w:val="009E19A0"/>
    <w:rsid w:val="00A20C8E"/>
    <w:rsid w:val="00A33C5A"/>
    <w:rsid w:val="00A33E80"/>
    <w:rsid w:val="00A5613C"/>
    <w:rsid w:val="00A6470C"/>
    <w:rsid w:val="00A722F6"/>
    <w:rsid w:val="00A73B79"/>
    <w:rsid w:val="00A73FEC"/>
    <w:rsid w:val="00A743AA"/>
    <w:rsid w:val="00A81365"/>
    <w:rsid w:val="00AA42DB"/>
    <w:rsid w:val="00AC4CE3"/>
    <w:rsid w:val="00AD5BB2"/>
    <w:rsid w:val="00B014F0"/>
    <w:rsid w:val="00B15EE0"/>
    <w:rsid w:val="00B17502"/>
    <w:rsid w:val="00B26164"/>
    <w:rsid w:val="00B27E72"/>
    <w:rsid w:val="00B33BC2"/>
    <w:rsid w:val="00B41842"/>
    <w:rsid w:val="00BA43D8"/>
    <w:rsid w:val="00BE2BB2"/>
    <w:rsid w:val="00BE7995"/>
    <w:rsid w:val="00BF5350"/>
    <w:rsid w:val="00C22EF1"/>
    <w:rsid w:val="00C30667"/>
    <w:rsid w:val="00C556DE"/>
    <w:rsid w:val="00C56EEA"/>
    <w:rsid w:val="00C67777"/>
    <w:rsid w:val="00C87547"/>
    <w:rsid w:val="00C94EFF"/>
    <w:rsid w:val="00CA4110"/>
    <w:rsid w:val="00CB168C"/>
    <w:rsid w:val="00CD1A5D"/>
    <w:rsid w:val="00D04E34"/>
    <w:rsid w:val="00D05E3F"/>
    <w:rsid w:val="00D10BCB"/>
    <w:rsid w:val="00D42502"/>
    <w:rsid w:val="00D42C56"/>
    <w:rsid w:val="00D7297E"/>
    <w:rsid w:val="00D74F30"/>
    <w:rsid w:val="00D754E6"/>
    <w:rsid w:val="00D759FB"/>
    <w:rsid w:val="00DB1A9F"/>
    <w:rsid w:val="00DB47F7"/>
    <w:rsid w:val="00DC5392"/>
    <w:rsid w:val="00DC636F"/>
    <w:rsid w:val="00DD0457"/>
    <w:rsid w:val="00E0736F"/>
    <w:rsid w:val="00E620FB"/>
    <w:rsid w:val="00EA3452"/>
    <w:rsid w:val="00EC3E3F"/>
    <w:rsid w:val="00EC5299"/>
    <w:rsid w:val="00EC6032"/>
    <w:rsid w:val="00EC663A"/>
    <w:rsid w:val="00EC79B4"/>
    <w:rsid w:val="00ED09A9"/>
    <w:rsid w:val="00F06E38"/>
    <w:rsid w:val="00F11BB4"/>
    <w:rsid w:val="00F1492E"/>
    <w:rsid w:val="00F21E6B"/>
    <w:rsid w:val="00F450B7"/>
    <w:rsid w:val="00F5082F"/>
    <w:rsid w:val="00F718C5"/>
    <w:rsid w:val="00F74FA7"/>
    <w:rsid w:val="00F87CCB"/>
    <w:rsid w:val="00FD34A7"/>
    <w:rsid w:val="00FF0B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C0BE78"/>
  <w15:docId w15:val="{EDC67E43-CFC3-4FE2-8AFD-A412BFECB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semiHidden="1" w:uiPriority="35" w:unhideWhenUsed="1" w:qFormat="1"/>
    <w:lsdException w:name="table of figures" w:semiHidden="1" w:uiPriority="6"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2"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82F"/>
    <w:pPr>
      <w:spacing w:before="160" w:after="100"/>
    </w:pPr>
    <w:rPr>
      <w:rFonts w:eastAsiaTheme="minorEastAsia"/>
      <w:spacing w:val="2"/>
      <w:sz w:val="18"/>
      <w:szCs w:val="20"/>
      <w:lang w:eastAsia="en-AU"/>
    </w:rPr>
  </w:style>
  <w:style w:type="paragraph" w:styleId="Heading1">
    <w:name w:val="heading 1"/>
    <w:next w:val="Normal"/>
    <w:link w:val="Heading1Char"/>
    <w:uiPriority w:val="99"/>
    <w:rsid w:val="00F5082F"/>
    <w:pPr>
      <w:keepNext/>
      <w:keepLines/>
      <w:spacing w:before="600" w:after="600"/>
      <w:outlineLvl w:val="0"/>
    </w:pPr>
    <w:rPr>
      <w:rFonts w:asciiTheme="majorHAnsi" w:eastAsiaTheme="majorEastAsia" w:hAnsiTheme="majorHAnsi" w:cstheme="majorBidi"/>
      <w:b/>
      <w:bCs/>
      <w:color w:val="000000" w:themeColor="text1"/>
      <w:spacing w:val="-1"/>
      <w:sz w:val="36"/>
      <w:szCs w:val="28"/>
      <w:lang w:eastAsia="en-AU"/>
    </w:rPr>
  </w:style>
  <w:style w:type="paragraph" w:styleId="Heading2">
    <w:name w:val="heading 2"/>
    <w:basedOn w:val="Normal"/>
    <w:next w:val="Normal"/>
    <w:link w:val="Heading2Char"/>
    <w:uiPriority w:val="99"/>
    <w:rsid w:val="00F5082F"/>
    <w:pPr>
      <w:keepNext/>
      <w:keepLines/>
      <w:spacing w:after="240"/>
      <w:outlineLvl w:val="1"/>
    </w:pPr>
    <w:rPr>
      <w:rFonts w:asciiTheme="majorHAnsi" w:eastAsiaTheme="majorEastAsia" w:hAnsiTheme="majorHAnsi" w:cstheme="majorBidi"/>
      <w:b/>
      <w:bCs/>
      <w:color w:val="7F7F7F" w:themeColor="text1" w:themeTint="80"/>
      <w:sz w:val="28"/>
      <w:szCs w:val="26"/>
    </w:rPr>
  </w:style>
  <w:style w:type="paragraph" w:styleId="Heading3">
    <w:name w:val="heading 3"/>
    <w:basedOn w:val="Normal"/>
    <w:next w:val="Normal"/>
    <w:link w:val="Heading3Char"/>
    <w:semiHidden/>
    <w:qFormat/>
    <w:rsid w:val="00F5082F"/>
    <w:pPr>
      <w:keepNext/>
      <w:keepLines/>
      <w:spacing w:before="240" w:after="12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semiHidden/>
    <w:qFormat/>
    <w:rsid w:val="00F5082F"/>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5082F"/>
    <w:rPr>
      <w:rFonts w:asciiTheme="majorHAnsi" w:eastAsiaTheme="majorEastAsia" w:hAnsiTheme="majorHAnsi" w:cstheme="majorBidi"/>
      <w:b/>
      <w:bCs/>
      <w:color w:val="000000" w:themeColor="text1"/>
      <w:spacing w:val="-1"/>
      <w:sz w:val="36"/>
      <w:szCs w:val="28"/>
      <w:lang w:eastAsia="en-AU"/>
    </w:rPr>
  </w:style>
  <w:style w:type="character" w:customStyle="1" w:styleId="Heading2Char">
    <w:name w:val="Heading 2 Char"/>
    <w:basedOn w:val="DefaultParagraphFont"/>
    <w:link w:val="Heading2"/>
    <w:uiPriority w:val="99"/>
    <w:rsid w:val="00F5082F"/>
    <w:rPr>
      <w:rFonts w:asciiTheme="majorHAnsi" w:eastAsiaTheme="majorEastAsia" w:hAnsiTheme="majorHAnsi" w:cstheme="majorBidi"/>
      <w:b/>
      <w:bCs/>
      <w:color w:val="7F7F7F" w:themeColor="text1" w:themeTint="80"/>
      <w:spacing w:val="2"/>
      <w:sz w:val="28"/>
      <w:szCs w:val="26"/>
      <w:lang w:eastAsia="en-AU"/>
    </w:rPr>
  </w:style>
  <w:style w:type="paragraph" w:customStyle="1" w:styleId="Spacer">
    <w:name w:val="Spacer"/>
    <w:basedOn w:val="Normal"/>
    <w:uiPriority w:val="13"/>
    <w:qFormat/>
    <w:rsid w:val="00F5082F"/>
    <w:pPr>
      <w:spacing w:before="0" w:after="0" w:line="120" w:lineRule="atLeast"/>
    </w:pPr>
    <w:rPr>
      <w:rFonts w:eastAsia="Times New Roman" w:cs="Calibri"/>
      <w:spacing w:val="0"/>
      <w:sz w:val="10"/>
      <w:szCs w:val="22"/>
    </w:rPr>
  </w:style>
  <w:style w:type="paragraph" w:customStyle="1" w:styleId="Bullet1">
    <w:name w:val="Bullet 1"/>
    <w:uiPriority w:val="2"/>
    <w:qFormat/>
    <w:rsid w:val="00F5082F"/>
    <w:pPr>
      <w:numPr>
        <w:numId w:val="14"/>
      </w:numPr>
      <w:spacing w:before="160" w:after="0" w:line="240" w:lineRule="auto"/>
      <w:contextualSpacing/>
    </w:pPr>
    <w:rPr>
      <w:rFonts w:eastAsia="Times New Roman" w:cs="Calibri"/>
      <w:spacing w:val="2"/>
      <w:sz w:val="20"/>
      <w:szCs w:val="20"/>
      <w:lang w:eastAsia="en-AU"/>
    </w:rPr>
  </w:style>
  <w:style w:type="paragraph" w:customStyle="1" w:styleId="Bullet2">
    <w:name w:val="Bullet 2"/>
    <w:basedOn w:val="Bullet1"/>
    <w:uiPriority w:val="2"/>
    <w:qFormat/>
    <w:rsid w:val="00F5082F"/>
    <w:pPr>
      <w:numPr>
        <w:ilvl w:val="1"/>
      </w:numPr>
      <w:spacing w:before="0"/>
    </w:pPr>
  </w:style>
  <w:style w:type="paragraph" w:customStyle="1" w:styleId="Bulletindent">
    <w:name w:val="Bullet indent"/>
    <w:basedOn w:val="Bullet2"/>
    <w:uiPriority w:val="7"/>
    <w:qFormat/>
    <w:rsid w:val="00F5082F"/>
    <w:pPr>
      <w:numPr>
        <w:ilvl w:val="2"/>
      </w:numPr>
    </w:pPr>
  </w:style>
  <w:style w:type="character" w:customStyle="1" w:styleId="Heading3Char">
    <w:name w:val="Heading 3 Char"/>
    <w:basedOn w:val="DefaultParagraphFont"/>
    <w:link w:val="Heading3"/>
    <w:semiHidden/>
    <w:rsid w:val="00F5082F"/>
    <w:rPr>
      <w:rFonts w:asciiTheme="majorHAnsi" w:eastAsiaTheme="majorEastAsia" w:hAnsiTheme="majorHAnsi" w:cstheme="majorBidi"/>
      <w:b/>
      <w:bCs/>
      <w:color w:val="4F81BD" w:themeColor="accent1"/>
      <w:spacing w:val="2"/>
      <w:lang w:eastAsia="en-AU"/>
    </w:rPr>
  </w:style>
  <w:style w:type="paragraph" w:styleId="ListParagraph">
    <w:name w:val="List Paragraph"/>
    <w:basedOn w:val="Normal"/>
    <w:uiPriority w:val="34"/>
    <w:semiHidden/>
    <w:qFormat/>
    <w:rsid w:val="00A743AA"/>
    <w:pPr>
      <w:ind w:left="720"/>
      <w:contextualSpacing/>
    </w:pPr>
  </w:style>
  <w:style w:type="paragraph" w:customStyle="1" w:styleId="Bulletindent2">
    <w:name w:val="Bullet indent 2"/>
    <w:basedOn w:val="Normal"/>
    <w:uiPriority w:val="7"/>
    <w:qFormat/>
    <w:rsid w:val="00F5082F"/>
    <w:pPr>
      <w:numPr>
        <w:ilvl w:val="3"/>
        <w:numId w:val="14"/>
      </w:numPr>
      <w:spacing w:before="100"/>
      <w:contextualSpacing/>
    </w:pPr>
  </w:style>
  <w:style w:type="table" w:styleId="TableGrid">
    <w:name w:val="Table Grid"/>
    <w:basedOn w:val="TableNormal"/>
    <w:uiPriority w:val="59"/>
    <w:rsid w:val="00F5082F"/>
    <w:pPr>
      <w:spacing w:before="20" w:after="20" w:line="240" w:lineRule="auto"/>
      <w:jc w:val="right"/>
    </w:pPr>
    <w:rPr>
      <w:spacing w:val="2"/>
      <w:sz w:val="17"/>
      <w:szCs w:val="21"/>
    </w:rPr>
    <w:tblPr>
      <w:tblStyleRowBandSize w:val="1"/>
      <w:tblStyleColBandSize w:val="1"/>
      <w:tblBorders>
        <w:bottom w:val="single" w:sz="12" w:space="0" w:color="4F81BD"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AF1DD" w:themeFill="accent3" w:themeFillTint="33"/>
      </w:tcPr>
    </w:tblStylePr>
    <w:tblStylePr w:type="band1Vert">
      <w:pPr>
        <w:jc w:val="right"/>
      </w:pPr>
    </w:tblStylePr>
    <w:tblStylePr w:type="band2Vert">
      <w:pPr>
        <w:jc w:val="right"/>
      </w:pPr>
    </w:tblStylePr>
    <w:tblStylePr w:type="band2Horz">
      <w:tblPr/>
      <w:tcPr>
        <w:shd w:val="clear" w:color="auto" w:fill="EAF1DD" w:themeFill="accent3" w:themeFillTint="33"/>
      </w:tcPr>
    </w:tblStylePr>
  </w:style>
  <w:style w:type="paragraph" w:customStyle="1" w:styleId="Refnum1">
    <w:name w:val="Ref num 1"/>
    <w:basedOn w:val="Normal"/>
    <w:uiPriority w:val="7"/>
    <w:rsid w:val="00F5082F"/>
    <w:pPr>
      <w:numPr>
        <w:numId w:val="20"/>
      </w:numPr>
      <w:spacing w:line="240" w:lineRule="auto"/>
    </w:pPr>
    <w:rPr>
      <w:rFonts w:eastAsia="Calibri" w:cs="Times New Roman"/>
      <w:color w:val="FFFFFF" w:themeColor="background1"/>
      <w:spacing w:val="0"/>
      <w:szCs w:val="21"/>
      <w:lang w:eastAsia="en-US"/>
    </w:rPr>
  </w:style>
  <w:style w:type="paragraph" w:customStyle="1" w:styleId="Refnum2">
    <w:name w:val="Ref num 2"/>
    <w:basedOn w:val="Refnum1"/>
    <w:uiPriority w:val="7"/>
    <w:rsid w:val="00F5082F"/>
    <w:pPr>
      <w:numPr>
        <w:ilvl w:val="2"/>
      </w:numPr>
    </w:pPr>
    <w:rPr>
      <w:color w:val="auto"/>
    </w:rPr>
  </w:style>
  <w:style w:type="paragraph" w:styleId="Header">
    <w:name w:val="header"/>
    <w:basedOn w:val="Normal"/>
    <w:link w:val="HeaderChar"/>
    <w:uiPriority w:val="99"/>
    <w:semiHidden/>
    <w:rsid w:val="00F5082F"/>
    <w:pPr>
      <w:tabs>
        <w:tab w:val="center" w:pos="4513"/>
        <w:tab w:val="right" w:pos="9026"/>
      </w:tabs>
      <w:spacing w:after="0" w:line="240" w:lineRule="auto"/>
    </w:pPr>
  </w:style>
  <w:style w:type="paragraph" w:customStyle="1" w:styleId="Tabletext">
    <w:name w:val="Table text"/>
    <w:basedOn w:val="Normal"/>
    <w:uiPriority w:val="9"/>
    <w:qFormat/>
    <w:rsid w:val="00F5082F"/>
    <w:pPr>
      <w:spacing w:before="60" w:after="60" w:line="264" w:lineRule="auto"/>
    </w:pPr>
    <w:rPr>
      <w:sz w:val="17"/>
    </w:rPr>
  </w:style>
  <w:style w:type="paragraph" w:customStyle="1" w:styleId="FRDHeader">
    <w:name w:val="FRD Header"/>
    <w:basedOn w:val="Normal"/>
    <w:semiHidden/>
    <w:rsid w:val="00F5082F"/>
    <w:pPr>
      <w:spacing w:before="40" w:after="40" w:line="240" w:lineRule="auto"/>
    </w:pPr>
    <w:rPr>
      <w:rFonts w:eastAsia="Calibri" w:cs="Times New Roman"/>
      <w:color w:val="FFFFFF" w:themeColor="background1"/>
      <w:spacing w:val="0"/>
      <w:sz w:val="30"/>
      <w:szCs w:val="36"/>
      <w:lang w:eastAsia="en-US"/>
    </w:rPr>
  </w:style>
  <w:style w:type="character" w:customStyle="1" w:styleId="HeaderChar">
    <w:name w:val="Header Char"/>
    <w:basedOn w:val="DefaultParagraphFont"/>
    <w:link w:val="Header"/>
    <w:uiPriority w:val="99"/>
    <w:semiHidden/>
    <w:rsid w:val="00F5082F"/>
    <w:rPr>
      <w:rFonts w:eastAsiaTheme="minorEastAsia"/>
      <w:spacing w:val="2"/>
      <w:sz w:val="20"/>
      <w:szCs w:val="20"/>
      <w:lang w:eastAsia="en-AU"/>
    </w:rPr>
  </w:style>
  <w:style w:type="paragraph" w:customStyle="1" w:styleId="FRDNumber">
    <w:name w:val="FRD Number"/>
    <w:basedOn w:val="FRDHeader"/>
    <w:semiHidden/>
    <w:rsid w:val="00F5082F"/>
  </w:style>
  <w:style w:type="paragraph" w:customStyle="1" w:styleId="Normalgrey">
    <w:name w:val="Normal grey"/>
    <w:basedOn w:val="Normal"/>
    <w:uiPriority w:val="2"/>
    <w:unhideWhenUsed/>
    <w:qFormat/>
    <w:rsid w:val="00F5082F"/>
    <w:pPr>
      <w:spacing w:line="264" w:lineRule="auto"/>
    </w:pPr>
    <w:rPr>
      <w:rFonts w:eastAsiaTheme="minorHAnsi"/>
      <w:color w:val="4D4D4D"/>
      <w:szCs w:val="18"/>
      <w:lang w:eastAsia="en-US"/>
    </w:rPr>
  </w:style>
  <w:style w:type="paragraph" w:styleId="NormalIndent">
    <w:name w:val="Normal Indent"/>
    <w:basedOn w:val="Normal"/>
    <w:qFormat/>
    <w:rsid w:val="00F5082F"/>
    <w:pPr>
      <w:spacing w:line="252" w:lineRule="auto"/>
      <w:ind w:left="792"/>
    </w:pPr>
  </w:style>
  <w:style w:type="paragraph" w:customStyle="1" w:styleId="Bullet1grey">
    <w:name w:val="Bullet 1 grey"/>
    <w:basedOn w:val="Bullet1"/>
    <w:uiPriority w:val="3"/>
    <w:unhideWhenUsed/>
    <w:qFormat/>
    <w:rsid w:val="00F5082F"/>
    <w:rPr>
      <w:color w:val="4D4D4D"/>
      <w:sz w:val="18"/>
      <w:szCs w:val="18"/>
      <w:lang w:eastAsia="en-US"/>
    </w:rPr>
  </w:style>
  <w:style w:type="paragraph" w:customStyle="1" w:styleId="Bullet2grey">
    <w:name w:val="Bullet 2 grey"/>
    <w:basedOn w:val="Bullet2"/>
    <w:uiPriority w:val="3"/>
    <w:qFormat/>
    <w:rsid w:val="00F5082F"/>
    <w:rPr>
      <w:color w:val="4D4D4D"/>
      <w:sz w:val="18"/>
      <w:szCs w:val="21"/>
      <w:lang w:eastAsia="en-US"/>
    </w:rPr>
  </w:style>
  <w:style w:type="paragraph" w:styleId="Footer">
    <w:name w:val="footer"/>
    <w:basedOn w:val="Normal"/>
    <w:link w:val="FooterChar"/>
    <w:uiPriority w:val="24"/>
    <w:rsid w:val="00F5082F"/>
    <w:pPr>
      <w:tabs>
        <w:tab w:val="right" w:pos="9026"/>
      </w:tabs>
      <w:spacing w:after="0" w:line="240" w:lineRule="auto"/>
    </w:pPr>
    <w:rPr>
      <w:noProof/>
      <w:szCs w:val="18"/>
    </w:rPr>
  </w:style>
  <w:style w:type="character" w:customStyle="1" w:styleId="FooterChar">
    <w:name w:val="Footer Char"/>
    <w:basedOn w:val="DefaultParagraphFont"/>
    <w:link w:val="Footer"/>
    <w:uiPriority w:val="24"/>
    <w:rsid w:val="00F5082F"/>
    <w:rPr>
      <w:rFonts w:eastAsiaTheme="minorEastAsia"/>
      <w:noProof/>
      <w:spacing w:val="2"/>
      <w:sz w:val="18"/>
      <w:szCs w:val="18"/>
      <w:lang w:eastAsia="en-AU"/>
    </w:rPr>
  </w:style>
  <w:style w:type="paragraph" w:styleId="BalloonText">
    <w:name w:val="Balloon Text"/>
    <w:basedOn w:val="Normal"/>
    <w:link w:val="BalloonTextChar"/>
    <w:uiPriority w:val="99"/>
    <w:semiHidden/>
    <w:rsid w:val="00F50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82F"/>
    <w:rPr>
      <w:rFonts w:ascii="Tahoma" w:eastAsiaTheme="minorEastAsia" w:hAnsi="Tahoma" w:cs="Tahoma"/>
      <w:spacing w:val="2"/>
      <w:sz w:val="16"/>
      <w:szCs w:val="16"/>
      <w:lang w:eastAsia="en-AU"/>
    </w:rPr>
  </w:style>
  <w:style w:type="paragraph" w:customStyle="1" w:styleId="Normalindentgrey">
    <w:name w:val="Normal indent grey"/>
    <w:basedOn w:val="Normalgrey"/>
    <w:uiPriority w:val="7"/>
    <w:unhideWhenUsed/>
    <w:qFormat/>
    <w:rsid w:val="003A3FB2"/>
    <w:pPr>
      <w:ind w:left="360"/>
    </w:pPr>
  </w:style>
  <w:style w:type="character" w:customStyle="1" w:styleId="Heading4Char">
    <w:name w:val="Heading 4 Char"/>
    <w:basedOn w:val="DefaultParagraphFont"/>
    <w:link w:val="Heading4"/>
    <w:semiHidden/>
    <w:rsid w:val="00F5082F"/>
    <w:rPr>
      <w:rFonts w:asciiTheme="majorHAnsi" w:eastAsiaTheme="majorEastAsia" w:hAnsiTheme="majorHAnsi" w:cstheme="majorBidi"/>
      <w:b/>
      <w:bCs/>
      <w:iCs/>
      <w:color w:val="53565A"/>
      <w:spacing w:val="2"/>
      <w:sz w:val="20"/>
      <w:szCs w:val="20"/>
      <w:lang w:eastAsia="en-AU"/>
    </w:rPr>
  </w:style>
  <w:style w:type="character" w:styleId="CommentReference">
    <w:name w:val="annotation reference"/>
    <w:basedOn w:val="DefaultParagraphFont"/>
    <w:uiPriority w:val="99"/>
    <w:semiHidden/>
    <w:rsid w:val="00A5613C"/>
    <w:rPr>
      <w:sz w:val="16"/>
      <w:szCs w:val="16"/>
    </w:rPr>
  </w:style>
  <w:style w:type="paragraph" w:styleId="CommentText">
    <w:name w:val="annotation text"/>
    <w:basedOn w:val="Normal"/>
    <w:link w:val="CommentTextChar"/>
    <w:uiPriority w:val="99"/>
    <w:semiHidden/>
    <w:rsid w:val="00A5613C"/>
    <w:rPr>
      <w:sz w:val="20"/>
    </w:rPr>
  </w:style>
  <w:style w:type="character" w:customStyle="1" w:styleId="CommentTextChar">
    <w:name w:val="Comment Text Char"/>
    <w:basedOn w:val="DefaultParagraphFont"/>
    <w:link w:val="CommentText"/>
    <w:uiPriority w:val="99"/>
    <w:semiHidden/>
    <w:rsid w:val="00A5613C"/>
    <w:rPr>
      <w:rFonts w:ascii="Calibri" w:eastAsia="Calibri" w:hAnsi="Calibri" w:cs="Times New Roman"/>
      <w:color w:val="000000" w:themeColor="text1"/>
      <w:sz w:val="20"/>
      <w:szCs w:val="20"/>
    </w:rPr>
  </w:style>
  <w:style w:type="paragraph" w:styleId="CommentSubject">
    <w:name w:val="annotation subject"/>
    <w:basedOn w:val="CommentText"/>
    <w:next w:val="CommentText"/>
    <w:link w:val="CommentSubjectChar"/>
    <w:uiPriority w:val="99"/>
    <w:semiHidden/>
    <w:rsid w:val="00A5613C"/>
    <w:rPr>
      <w:b/>
      <w:bCs/>
    </w:rPr>
  </w:style>
  <w:style w:type="character" w:customStyle="1" w:styleId="CommentSubjectChar">
    <w:name w:val="Comment Subject Char"/>
    <w:basedOn w:val="CommentTextChar"/>
    <w:link w:val="CommentSubject"/>
    <w:uiPriority w:val="99"/>
    <w:semiHidden/>
    <w:rsid w:val="00A5613C"/>
    <w:rPr>
      <w:rFonts w:ascii="Calibri" w:eastAsia="Calibri" w:hAnsi="Calibri" w:cs="Times New Roman"/>
      <w:b/>
      <w:bCs/>
      <w:color w:val="000000" w:themeColor="text1"/>
      <w:sz w:val="20"/>
      <w:szCs w:val="20"/>
    </w:rPr>
  </w:style>
  <w:style w:type="table" w:customStyle="1" w:styleId="DTFtexttable">
    <w:name w:val="DTF text table"/>
    <w:basedOn w:val="TableGrid"/>
    <w:uiPriority w:val="99"/>
    <w:rsid w:val="00F5082F"/>
    <w:pPr>
      <w:spacing w:before="30" w:after="30" w:line="264" w:lineRule="auto"/>
      <w:jc w:val="left"/>
    </w:pPr>
    <w:rPr>
      <w:sz w:val="18"/>
    </w:rPr>
    <w:tblPr>
      <w:tblBorders>
        <w:bottom w:val="single" w:sz="12" w:space="0" w:color="auto"/>
      </w:tblBorders>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0000" w:themeFill="tex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FFFFFF" w:themeFill="background1"/>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ormalbold">
    <w:name w:val="Normal bold"/>
    <w:basedOn w:val="Normal"/>
    <w:qFormat/>
    <w:rsid w:val="00F5082F"/>
    <w:pPr>
      <w:spacing w:line="264" w:lineRule="auto"/>
    </w:pPr>
    <w:rPr>
      <w:rFonts w:eastAsiaTheme="minorHAnsi"/>
      <w:b/>
      <w:szCs w:val="18"/>
      <w:lang w:eastAsia="en-US"/>
    </w:rPr>
  </w:style>
  <w:style w:type="table" w:styleId="LightShading">
    <w:name w:val="Light Shading"/>
    <w:basedOn w:val="TableNormal"/>
    <w:uiPriority w:val="60"/>
    <w:rsid w:val="00F5082F"/>
    <w:pPr>
      <w:spacing w:after="0" w:line="240" w:lineRule="auto"/>
    </w:pPr>
    <w:rPr>
      <w:rFonts w:eastAsiaTheme="minorEastAsia"/>
      <w:color w:val="000000" w:themeColor="text1" w:themeShade="BF"/>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4">
    <w:name w:val="Light List Accent 4"/>
    <w:basedOn w:val="TableNormal"/>
    <w:uiPriority w:val="61"/>
    <w:rsid w:val="00F5082F"/>
    <w:pPr>
      <w:spacing w:after="0" w:line="240" w:lineRule="auto"/>
    </w:pPr>
    <w:rPr>
      <w:rFonts w:eastAsiaTheme="minorEastAsia"/>
      <w:sz w:val="20"/>
      <w:szCs w:val="20"/>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1">
    <w:name w:val="Light List Accent 1"/>
    <w:basedOn w:val="TableNormal"/>
    <w:uiPriority w:val="61"/>
    <w:rsid w:val="00F5082F"/>
    <w:pPr>
      <w:spacing w:after="0" w:line="240" w:lineRule="auto"/>
    </w:pPr>
    <w:rPr>
      <w:rFonts w:eastAsiaTheme="minorEastAsia"/>
      <w:sz w:val="20"/>
      <w:szCs w:val="20"/>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uiPriority w:val="39"/>
    <w:rsid w:val="00F5082F"/>
    <w:pPr>
      <w:tabs>
        <w:tab w:val="right" w:leader="dot" w:pos="9000"/>
      </w:tabs>
      <w:ind w:right="432"/>
    </w:pPr>
    <w:rPr>
      <w:sz w:val="24"/>
      <w:szCs w:val="24"/>
    </w:rPr>
  </w:style>
  <w:style w:type="paragraph" w:styleId="TOC2">
    <w:name w:val="toc 2"/>
    <w:next w:val="Normal"/>
    <w:uiPriority w:val="39"/>
    <w:rsid w:val="00F5082F"/>
    <w:pPr>
      <w:tabs>
        <w:tab w:val="right" w:leader="dot" w:pos="9000"/>
      </w:tabs>
      <w:spacing w:after="100"/>
      <w:ind w:left="446" w:right="432"/>
      <w:contextualSpacing/>
    </w:pPr>
    <w:rPr>
      <w:rFonts w:eastAsiaTheme="minorEastAsia"/>
      <w:noProof/>
      <w:spacing w:val="2"/>
      <w:sz w:val="20"/>
      <w:szCs w:val="20"/>
      <w:lang w:eastAsia="en-AU"/>
    </w:rPr>
  </w:style>
  <w:style w:type="paragraph" w:styleId="TOC3">
    <w:name w:val="toc 3"/>
    <w:basedOn w:val="Normal"/>
    <w:next w:val="Normal"/>
    <w:uiPriority w:val="39"/>
    <w:rsid w:val="00F5082F"/>
    <w:pPr>
      <w:tabs>
        <w:tab w:val="right" w:leader="dot" w:pos="9000"/>
      </w:tabs>
      <w:spacing w:before="0"/>
      <w:ind w:left="1080" w:right="432"/>
      <w:contextualSpacing/>
    </w:pPr>
    <w:rPr>
      <w:noProof/>
      <w:szCs w:val="18"/>
    </w:rPr>
  </w:style>
  <w:style w:type="paragraph" w:styleId="Index1">
    <w:name w:val="index 1"/>
    <w:basedOn w:val="Normal"/>
    <w:next w:val="Normal"/>
    <w:uiPriority w:val="99"/>
    <w:semiHidden/>
    <w:rsid w:val="00F5082F"/>
    <w:pPr>
      <w:spacing w:after="60" w:line="240" w:lineRule="auto"/>
    </w:pPr>
    <w:rPr>
      <w:sz w:val="16"/>
    </w:rPr>
  </w:style>
  <w:style w:type="paragraph" w:styleId="Index2">
    <w:name w:val="index 2"/>
    <w:basedOn w:val="Normal"/>
    <w:next w:val="Normal"/>
    <w:uiPriority w:val="99"/>
    <w:semiHidden/>
    <w:rsid w:val="00F5082F"/>
    <w:pPr>
      <w:spacing w:after="0" w:line="240" w:lineRule="auto"/>
      <w:ind w:left="216"/>
    </w:pPr>
    <w:rPr>
      <w:sz w:val="16"/>
      <w:szCs w:val="16"/>
    </w:rPr>
  </w:style>
  <w:style w:type="character" w:styleId="Hyperlink">
    <w:name w:val="Hyperlink"/>
    <w:basedOn w:val="DefaultParagraphFont"/>
    <w:uiPriority w:val="99"/>
    <w:rsid w:val="005B6C84"/>
    <w:rPr>
      <w:color w:val="7F7F7F" w:themeColor="text1" w:themeTint="80"/>
      <w:u w:val="none"/>
    </w:rPr>
  </w:style>
  <w:style w:type="paragraph" w:customStyle="1" w:styleId="Heading1numbered">
    <w:name w:val="Heading 1 numbered"/>
    <w:basedOn w:val="Heading1"/>
    <w:next w:val="NormalIndent"/>
    <w:uiPriority w:val="4"/>
    <w:semiHidden/>
    <w:qFormat/>
    <w:rsid w:val="00F5082F"/>
    <w:pPr>
      <w:numPr>
        <w:ilvl w:val="2"/>
        <w:numId w:val="15"/>
      </w:numPr>
    </w:pPr>
  </w:style>
  <w:style w:type="paragraph" w:customStyle="1" w:styleId="Heading2numbered">
    <w:name w:val="Heading 2 numbered"/>
    <w:basedOn w:val="Heading2"/>
    <w:next w:val="NormalIndent"/>
    <w:uiPriority w:val="4"/>
    <w:semiHidden/>
    <w:qFormat/>
    <w:rsid w:val="00F5082F"/>
    <w:pPr>
      <w:numPr>
        <w:ilvl w:val="3"/>
        <w:numId w:val="15"/>
      </w:numPr>
    </w:pPr>
  </w:style>
  <w:style w:type="paragraph" w:customStyle="1" w:styleId="Heading3numbered">
    <w:name w:val="Heading 3 numbered"/>
    <w:basedOn w:val="Heading3"/>
    <w:next w:val="NormalIndent"/>
    <w:uiPriority w:val="4"/>
    <w:semiHidden/>
    <w:qFormat/>
    <w:rsid w:val="00F5082F"/>
    <w:pPr>
      <w:numPr>
        <w:ilvl w:val="4"/>
        <w:numId w:val="15"/>
      </w:numPr>
    </w:pPr>
  </w:style>
  <w:style w:type="paragraph" w:customStyle="1" w:styleId="Heading4numbered">
    <w:name w:val="Heading 4 numbered"/>
    <w:basedOn w:val="Heading4"/>
    <w:next w:val="NormalIndent"/>
    <w:uiPriority w:val="4"/>
    <w:semiHidden/>
    <w:qFormat/>
    <w:rsid w:val="00F5082F"/>
    <w:pPr>
      <w:numPr>
        <w:ilvl w:val="5"/>
        <w:numId w:val="15"/>
      </w:numPr>
    </w:pPr>
  </w:style>
  <w:style w:type="paragraph" w:customStyle="1" w:styleId="NoteNormal">
    <w:name w:val="Note Normal"/>
    <w:basedOn w:val="Normal"/>
    <w:uiPriority w:val="49"/>
    <w:rsid w:val="00F5082F"/>
    <w:pPr>
      <w:keepNext/>
      <w:keepLines/>
      <w:spacing w:before="80" w:line="240" w:lineRule="auto"/>
    </w:pPr>
    <w:rPr>
      <w:rFonts w:eastAsia="Times New Roman" w:cstheme="minorHAnsi"/>
      <w:color w:val="000000"/>
      <w:spacing w:val="1"/>
      <w:sz w:val="16"/>
      <w:szCs w:val="16"/>
      <w:lang w:eastAsia="en-US"/>
    </w:rPr>
  </w:style>
  <w:style w:type="paragraph" w:styleId="Subtitle">
    <w:name w:val="Subtitle"/>
    <w:link w:val="SubtitleChar"/>
    <w:uiPriority w:val="99"/>
    <w:semiHidden/>
    <w:rsid w:val="00F5082F"/>
    <w:pPr>
      <w:spacing w:after="0" w:line="440" w:lineRule="exact"/>
    </w:pPr>
    <w:rPr>
      <w:rFonts w:asciiTheme="majorHAnsi" w:eastAsia="Times New Roman" w:hAnsiTheme="majorHAnsi" w:cstheme="majorHAnsi"/>
      <w:color w:val="4F81BD" w:themeColor="accent1"/>
      <w:spacing w:val="-2"/>
      <w:sz w:val="40"/>
      <w:szCs w:val="24"/>
      <w:lang w:eastAsia="en-AU"/>
    </w:rPr>
  </w:style>
  <w:style w:type="character" w:customStyle="1" w:styleId="SubtitleChar">
    <w:name w:val="Subtitle Char"/>
    <w:basedOn w:val="DefaultParagraphFont"/>
    <w:link w:val="Subtitle"/>
    <w:uiPriority w:val="99"/>
    <w:semiHidden/>
    <w:rsid w:val="00F5082F"/>
    <w:rPr>
      <w:rFonts w:asciiTheme="majorHAnsi" w:eastAsia="Times New Roman" w:hAnsiTheme="majorHAnsi" w:cstheme="majorHAnsi"/>
      <w:color w:val="4F81BD" w:themeColor="accent1"/>
      <w:spacing w:val="-2"/>
      <w:sz w:val="40"/>
      <w:szCs w:val="24"/>
      <w:lang w:eastAsia="en-AU"/>
    </w:rPr>
  </w:style>
  <w:style w:type="paragraph" w:customStyle="1" w:styleId="TertiaryTitle">
    <w:name w:val="Tertiary Title"/>
    <w:next w:val="Normal"/>
    <w:uiPriority w:val="99"/>
    <w:semiHidden/>
    <w:rsid w:val="00F5082F"/>
    <w:pPr>
      <w:spacing w:after="0" w:line="440" w:lineRule="exact"/>
    </w:pPr>
    <w:rPr>
      <w:rFonts w:asciiTheme="majorHAnsi" w:eastAsia="Times New Roman" w:hAnsiTheme="majorHAnsi" w:cstheme="majorHAnsi"/>
      <w:color w:val="4F81BD" w:themeColor="accent1"/>
      <w:spacing w:val="-2"/>
      <w:sz w:val="36"/>
      <w:szCs w:val="40"/>
    </w:rPr>
  </w:style>
  <w:style w:type="paragraph" w:styleId="Title">
    <w:name w:val="Title"/>
    <w:link w:val="TitleChar"/>
    <w:uiPriority w:val="99"/>
    <w:semiHidden/>
    <w:rsid w:val="00F5082F"/>
    <w:pPr>
      <w:spacing w:after="300" w:line="252" w:lineRule="auto"/>
    </w:pPr>
    <w:rPr>
      <w:rFonts w:asciiTheme="majorHAnsi" w:eastAsia="Times New Roman" w:hAnsiTheme="majorHAnsi" w:cstheme="majorHAnsi"/>
      <w:b/>
      <w:color w:val="4F81BD" w:themeColor="accent1"/>
      <w:spacing w:val="-2"/>
      <w:sz w:val="60"/>
      <w:lang w:eastAsia="en-AU"/>
    </w:rPr>
  </w:style>
  <w:style w:type="character" w:customStyle="1" w:styleId="TitleChar">
    <w:name w:val="Title Char"/>
    <w:basedOn w:val="DefaultParagraphFont"/>
    <w:link w:val="Title"/>
    <w:uiPriority w:val="99"/>
    <w:semiHidden/>
    <w:rsid w:val="00F5082F"/>
    <w:rPr>
      <w:rFonts w:asciiTheme="majorHAnsi" w:eastAsia="Times New Roman" w:hAnsiTheme="majorHAnsi" w:cstheme="majorHAnsi"/>
      <w:b/>
      <w:color w:val="4F81BD" w:themeColor="accent1"/>
      <w:spacing w:val="-2"/>
      <w:sz w:val="60"/>
      <w:lang w:eastAsia="en-AU"/>
    </w:rPr>
  </w:style>
  <w:style w:type="paragraph" w:styleId="IndexHeading">
    <w:name w:val="index heading"/>
    <w:basedOn w:val="Normal"/>
    <w:next w:val="Index1"/>
    <w:uiPriority w:val="99"/>
    <w:semiHidden/>
    <w:rsid w:val="00F5082F"/>
    <w:rPr>
      <w:rFonts w:asciiTheme="majorHAnsi" w:eastAsiaTheme="majorEastAsia" w:hAnsiTheme="majorHAnsi" w:cstheme="majorBidi"/>
      <w:b/>
      <w:bCs/>
    </w:rPr>
  </w:style>
  <w:style w:type="character" w:styleId="PageNumber">
    <w:name w:val="page number"/>
    <w:uiPriority w:val="49"/>
    <w:semiHidden/>
    <w:rsid w:val="00F5082F"/>
    <w:rPr>
      <w:b w:val="0"/>
      <w:color w:val="000000" w:themeColor="text1"/>
    </w:rPr>
  </w:style>
  <w:style w:type="paragraph" w:styleId="TOCHeading">
    <w:name w:val="TOC Heading"/>
    <w:basedOn w:val="Heading1"/>
    <w:next w:val="Normal"/>
    <w:uiPriority w:val="39"/>
    <w:semiHidden/>
    <w:rsid w:val="00F5082F"/>
    <w:pPr>
      <w:spacing w:before="480" w:after="720"/>
      <w:outlineLvl w:val="9"/>
    </w:pPr>
    <w:rPr>
      <w:spacing w:val="2"/>
    </w:rPr>
  </w:style>
  <w:style w:type="paragraph" w:customStyle="1" w:styleId="NormalTight">
    <w:name w:val="Normal Tight"/>
    <w:uiPriority w:val="99"/>
    <w:semiHidden/>
    <w:rsid w:val="00F5082F"/>
    <w:pPr>
      <w:spacing w:after="0" w:line="240" w:lineRule="auto"/>
      <w:ind w:right="2366"/>
    </w:pPr>
    <w:rPr>
      <w:rFonts w:eastAsia="Times New Roman" w:cs="Calibri"/>
      <w:sz w:val="18"/>
      <w:szCs w:val="19"/>
    </w:rPr>
  </w:style>
  <w:style w:type="paragraph" w:styleId="BodyText">
    <w:name w:val="Body Text"/>
    <w:basedOn w:val="Normal"/>
    <w:link w:val="BodyTextChar"/>
    <w:uiPriority w:val="49"/>
    <w:semiHidden/>
    <w:rsid w:val="00F5082F"/>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F5082F"/>
    <w:rPr>
      <w:rFonts w:ascii="Calibri" w:eastAsia="Times New Roman" w:hAnsi="Calibri" w:cs="Calibri"/>
      <w:lang w:eastAsia="en-AU"/>
    </w:rPr>
  </w:style>
  <w:style w:type="paragraph" w:customStyle="1" w:styleId="Insidecoverspacer">
    <w:name w:val="Inside cover spacer"/>
    <w:basedOn w:val="NormalTight"/>
    <w:uiPriority w:val="99"/>
    <w:semiHidden/>
    <w:qFormat/>
    <w:rsid w:val="00F5082F"/>
    <w:pPr>
      <w:spacing w:before="5800"/>
      <w:ind w:right="1382"/>
    </w:pPr>
  </w:style>
  <w:style w:type="paragraph" w:styleId="TOC4">
    <w:name w:val="toc 4"/>
    <w:basedOn w:val="TOC1"/>
    <w:next w:val="Normal"/>
    <w:uiPriority w:val="39"/>
    <w:semiHidden/>
    <w:rsid w:val="00F5082F"/>
    <w:pPr>
      <w:ind w:left="450" w:hanging="450"/>
    </w:pPr>
    <w:rPr>
      <w:noProof/>
      <w:lang w:eastAsia="en-US"/>
    </w:rPr>
  </w:style>
  <w:style w:type="paragraph" w:styleId="TOC5">
    <w:name w:val="toc 5"/>
    <w:basedOn w:val="TOC2"/>
    <w:next w:val="Normal"/>
    <w:uiPriority w:val="39"/>
    <w:semiHidden/>
    <w:rsid w:val="00F5082F"/>
    <w:pPr>
      <w:ind w:left="1080" w:hanging="634"/>
    </w:pPr>
    <w:rPr>
      <w:lang w:eastAsia="en-US"/>
    </w:rPr>
  </w:style>
  <w:style w:type="paragraph" w:styleId="TOC6">
    <w:name w:val="toc 6"/>
    <w:basedOn w:val="TOC3"/>
    <w:next w:val="Normal"/>
    <w:uiPriority w:val="39"/>
    <w:semiHidden/>
    <w:rsid w:val="00F5082F"/>
    <w:pPr>
      <w:ind w:left="1800" w:hanging="720"/>
    </w:pPr>
    <w:rPr>
      <w:lang w:eastAsia="en-US"/>
    </w:rPr>
  </w:style>
  <w:style w:type="table" w:customStyle="1" w:styleId="DTFfinancialtable">
    <w:name w:val="DTF financial table"/>
    <w:basedOn w:val="TableGrid"/>
    <w:uiPriority w:val="99"/>
    <w:rsid w:val="00F5082F"/>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AF1DD" w:themeFill="accent3" w:themeFillTint="33"/>
      </w:tcPr>
    </w:tblStylePr>
    <w:tblStylePr w:type="band1Vert">
      <w:pPr>
        <w:jc w:val="right"/>
      </w:pPr>
    </w:tblStylePr>
    <w:tblStylePr w:type="band2Vert">
      <w:pPr>
        <w:jc w:val="right"/>
      </w:pPr>
    </w:tblStylePr>
    <w:tblStylePr w:type="band2Horz">
      <w:tblPr/>
      <w:tcPr>
        <w:shd w:val="clear" w:color="auto" w:fill="EAF1DD" w:themeFill="accent3" w:themeFillTint="33"/>
      </w:tcPr>
    </w:tblStylePr>
    <w:tblStylePr w:type="nwCell">
      <w:pPr>
        <w:jc w:val="left"/>
      </w:pPr>
      <w:tblPr/>
      <w:tcPr>
        <w:vAlign w:val="bottom"/>
      </w:tcPr>
    </w:tblStylePr>
  </w:style>
  <w:style w:type="paragraph" w:customStyle="1" w:styleId="Tabletextright">
    <w:name w:val="Table text right"/>
    <w:basedOn w:val="Tabletext"/>
    <w:uiPriority w:val="8"/>
    <w:qFormat/>
    <w:rsid w:val="00F5082F"/>
    <w:pPr>
      <w:jc w:val="right"/>
    </w:pPr>
  </w:style>
  <w:style w:type="paragraph" w:customStyle="1" w:styleId="Listnumindent2">
    <w:name w:val="List num indent 2"/>
    <w:basedOn w:val="Normal"/>
    <w:uiPriority w:val="7"/>
    <w:qFormat/>
    <w:rsid w:val="00F5082F"/>
    <w:pPr>
      <w:numPr>
        <w:ilvl w:val="7"/>
        <w:numId w:val="15"/>
      </w:numPr>
      <w:spacing w:before="100"/>
      <w:contextualSpacing/>
    </w:pPr>
  </w:style>
  <w:style w:type="paragraph" w:customStyle="1" w:styleId="Listnumindent">
    <w:name w:val="List num indent"/>
    <w:basedOn w:val="Normal"/>
    <w:uiPriority w:val="7"/>
    <w:qFormat/>
    <w:rsid w:val="00F5082F"/>
    <w:pPr>
      <w:numPr>
        <w:ilvl w:val="6"/>
        <w:numId w:val="15"/>
      </w:numPr>
      <w:spacing w:before="100"/>
    </w:pPr>
  </w:style>
  <w:style w:type="paragraph" w:customStyle="1" w:styleId="Listnum">
    <w:name w:val="List num"/>
    <w:basedOn w:val="Normal"/>
    <w:uiPriority w:val="1"/>
    <w:qFormat/>
    <w:rsid w:val="00F5082F"/>
    <w:pPr>
      <w:numPr>
        <w:numId w:val="15"/>
      </w:numPr>
      <w:contextualSpacing/>
    </w:pPr>
  </w:style>
  <w:style w:type="paragraph" w:customStyle="1" w:styleId="Listnum2">
    <w:name w:val="List num 2"/>
    <w:basedOn w:val="Normal"/>
    <w:uiPriority w:val="1"/>
    <w:qFormat/>
    <w:rsid w:val="00F5082F"/>
    <w:pPr>
      <w:numPr>
        <w:ilvl w:val="1"/>
        <w:numId w:val="15"/>
      </w:numPr>
      <w:contextualSpacing/>
    </w:pPr>
  </w:style>
  <w:style w:type="paragraph" w:customStyle="1" w:styleId="Tabletextcentred">
    <w:name w:val="Table text centred"/>
    <w:basedOn w:val="Tabletext"/>
    <w:uiPriority w:val="8"/>
    <w:qFormat/>
    <w:rsid w:val="00F5082F"/>
    <w:pPr>
      <w:jc w:val="center"/>
    </w:pPr>
  </w:style>
  <w:style w:type="paragraph" w:customStyle="1" w:styleId="Tableheader">
    <w:name w:val="Table header"/>
    <w:basedOn w:val="Tabletext"/>
    <w:uiPriority w:val="8"/>
    <w:qFormat/>
    <w:rsid w:val="00F5082F"/>
    <w:pPr>
      <w:keepNext/>
      <w:keepLines/>
      <w:spacing w:before="120"/>
    </w:pPr>
    <w:rPr>
      <w:rFonts w:eastAsiaTheme="minorHAnsi"/>
      <w:color w:val="FFFFFF" w:themeColor="background1"/>
      <w:sz w:val="18"/>
      <w:szCs w:val="21"/>
      <w:lang w:eastAsia="en-US"/>
    </w:rPr>
  </w:style>
  <w:style w:type="paragraph" w:customStyle="1" w:styleId="Tablebullet">
    <w:name w:val="Table bullet"/>
    <w:basedOn w:val="Tabletext"/>
    <w:uiPriority w:val="9"/>
    <w:rsid w:val="00F5082F"/>
    <w:pPr>
      <w:numPr>
        <w:numId w:val="16"/>
      </w:numPr>
    </w:pPr>
  </w:style>
  <w:style w:type="paragraph" w:customStyle="1" w:styleId="Tabledash">
    <w:name w:val="Table dash"/>
    <w:basedOn w:val="Tablebullet"/>
    <w:uiPriority w:val="9"/>
    <w:rsid w:val="00F5082F"/>
    <w:pPr>
      <w:numPr>
        <w:ilvl w:val="1"/>
      </w:numPr>
    </w:pPr>
  </w:style>
  <w:style w:type="paragraph" w:customStyle="1" w:styleId="Tabletextindent">
    <w:name w:val="Table text indent"/>
    <w:basedOn w:val="Tabletext"/>
    <w:uiPriority w:val="8"/>
    <w:qFormat/>
    <w:rsid w:val="00F5082F"/>
    <w:pPr>
      <w:ind w:left="288"/>
    </w:pPr>
  </w:style>
  <w:style w:type="paragraph" w:customStyle="1" w:styleId="Listnumgrey">
    <w:name w:val="List num grey"/>
    <w:basedOn w:val="Listnum"/>
    <w:uiPriority w:val="3"/>
    <w:qFormat/>
    <w:rsid w:val="00F5082F"/>
    <w:pPr>
      <w:spacing w:line="264" w:lineRule="auto"/>
    </w:pPr>
    <w:rPr>
      <w:rFonts w:eastAsiaTheme="minorHAnsi"/>
      <w:color w:val="4D4D4D"/>
      <w:szCs w:val="21"/>
      <w:lang w:eastAsia="en-US"/>
    </w:rPr>
  </w:style>
  <w:style w:type="paragraph" w:customStyle="1" w:styleId="Listnum2grey">
    <w:name w:val="List num 2 grey"/>
    <w:basedOn w:val="Listnum2"/>
    <w:uiPriority w:val="4"/>
    <w:qFormat/>
    <w:rsid w:val="00F5082F"/>
    <w:pPr>
      <w:spacing w:line="264" w:lineRule="auto"/>
    </w:pPr>
    <w:rPr>
      <w:rFonts w:eastAsiaTheme="minorHAnsi"/>
      <w:color w:val="4D4D4D"/>
      <w:szCs w:val="21"/>
      <w:lang w:eastAsia="en-US"/>
    </w:rPr>
  </w:style>
  <w:style w:type="paragraph" w:customStyle="1" w:styleId="Refnum1grey">
    <w:name w:val="Ref num 1 grey"/>
    <w:basedOn w:val="Refnum1"/>
    <w:uiPriority w:val="7"/>
    <w:qFormat/>
    <w:rsid w:val="00F5082F"/>
    <w:rPr>
      <w:color w:val="F2F2F2" w:themeColor="background1" w:themeShade="F2"/>
    </w:rPr>
  </w:style>
  <w:style w:type="paragraph" w:customStyle="1" w:styleId="Refnum2grey">
    <w:name w:val="Ref num 2 grey"/>
    <w:basedOn w:val="Normal"/>
    <w:rsid w:val="00F5082F"/>
    <w:pPr>
      <w:numPr>
        <w:ilvl w:val="1"/>
        <w:numId w:val="20"/>
      </w:numPr>
    </w:pPr>
  </w:style>
  <w:style w:type="paragraph" w:customStyle="1" w:styleId="Normalgreybold">
    <w:name w:val="Normal grey bold"/>
    <w:basedOn w:val="Normalgrey"/>
    <w:qFormat/>
    <w:rsid w:val="00F5082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F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E694FDE-919D-4D6B-9DAB-B399015F2803}">
  <ds:schemaRefs>
    <ds:schemaRef ds:uri="http://schemas.openxmlformats.org/officeDocument/2006/bibliography"/>
  </ds:schemaRefs>
</ds:datastoreItem>
</file>

<file path=customXml/itemProps2.xml><?xml version="1.0" encoding="utf-8"?>
<ds:datastoreItem xmlns:ds="http://schemas.openxmlformats.org/officeDocument/2006/customXml" ds:itemID="{CF1B794A-4372-44D8-B240-D2C28C07686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FRD template.dotx</Template>
  <TotalTime>1</TotalTime>
  <Pages>3</Pages>
  <Words>834</Words>
  <Characters>4755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Lam</dc:creator>
  <cp:lastModifiedBy>Natalie Maroki (DTF)</cp:lastModifiedBy>
  <cp:revision>2</cp:revision>
  <cp:lastPrinted>2018-05-15T02:42:00Z</cp:lastPrinted>
  <dcterms:created xsi:type="dcterms:W3CDTF">2022-04-28T02:47:00Z</dcterms:created>
  <dcterms:modified xsi:type="dcterms:W3CDTF">2022-04-28T02:47:00Z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7948b9ee-67fc-435e-b1d0-2d8d24c460db</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2022-04-28T02:47:01Z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edf93a03-eb77-4b20-9451-d8a1754b619a</vt:lpwstr>
  </property>
  <property fmtid="{D5CDD505-2E9C-101B-9397-08002B2CF9AE}" pid="10" name="MSIP_Label_7158ebbd-6c5e-441f-bfc9-4eb8c11e3978_ContentBits">
    <vt:lpwstr>2</vt:lpwstr>
  </property>
</Properties>
</file>