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4A0" w:firstRow="1" w:lastRow="0" w:firstColumn="1" w:lastColumn="0" w:noHBand="0" w:noVBand="1"/>
      </w:tblPr>
      <w:tblGrid>
        <w:gridCol w:w="2293"/>
        <w:gridCol w:w="270"/>
        <w:gridCol w:w="540"/>
        <w:gridCol w:w="6134"/>
      </w:tblGrid>
      <w:tr w:rsidR="00493B55" w:rsidRPr="003C5E9F" w14:paraId="7A76C901" w14:textId="77777777" w:rsidTr="00DC1F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13E2A931" w14:textId="7A4C9A5B" w:rsidR="00845688" w:rsidRPr="003C5E9F" w:rsidRDefault="00845688" w:rsidP="00DE779D">
            <w:pPr>
              <w:pStyle w:val="FRDNumber"/>
            </w:pPr>
            <w:r w:rsidRPr="002E50A4">
              <w:t>FRD</w:t>
            </w:r>
            <w:r w:rsidRPr="003C5E9F">
              <w:t xml:space="preserve"> </w:t>
            </w:r>
            <w:r w:rsidR="00A10C3A">
              <w:t>10</w:t>
            </w:r>
            <w:r w:rsidR="00D152AE">
              <w:t>9</w:t>
            </w:r>
          </w:p>
        </w:tc>
        <w:tc>
          <w:tcPr>
            <w:tcW w:w="270" w:type="dxa"/>
          </w:tcPr>
          <w:p w14:paraId="798177B1"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76D9B8A9"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6134" w:type="dxa"/>
          </w:tcPr>
          <w:p w14:paraId="198E12E0" w14:textId="628D947F" w:rsidR="00845688" w:rsidRPr="002E50A4" w:rsidRDefault="00D152AE" w:rsidP="00DE779D">
            <w:pPr>
              <w:pStyle w:val="FRDHeader"/>
              <w:cnfStyle w:val="100000000000" w:firstRow="1" w:lastRow="0" w:firstColumn="0" w:lastColumn="0" w:oddVBand="0" w:evenVBand="0" w:oddHBand="0" w:evenHBand="0" w:firstRowFirstColumn="0" w:firstRowLastColumn="0" w:lastRowFirstColumn="0" w:lastRowLastColumn="0"/>
            </w:pPr>
            <w:r w:rsidRPr="00D152AE">
              <w:t xml:space="preserve">Intangible </w:t>
            </w:r>
            <w:r w:rsidR="009613E7" w:rsidRPr="00D152AE">
              <w:t>a</w:t>
            </w:r>
            <w:r w:rsidRPr="00D152AE">
              <w:t>ssets</w:t>
            </w:r>
            <w:r w:rsidR="00134D12">
              <w:t xml:space="preserve"> (</w:t>
            </w:r>
            <w:r w:rsidR="00C04985">
              <w:t>April</w:t>
            </w:r>
            <w:r w:rsidR="00AE3438">
              <w:t xml:space="preserve"> 202</w:t>
            </w:r>
            <w:r w:rsidR="00C04985">
              <w:t>2</w:t>
            </w:r>
            <w:r w:rsidR="00134D12">
              <w:t>)</w:t>
            </w:r>
          </w:p>
        </w:tc>
      </w:tr>
      <w:tr w:rsidR="00493B55" w:rsidRPr="00E10ADB" w14:paraId="1381F1C6" w14:textId="77777777" w:rsidTr="00CD6D3B">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93" w:type="dxa"/>
          </w:tcPr>
          <w:p w14:paraId="586DCF7C" w14:textId="77777777" w:rsidR="00845688" w:rsidRPr="00DC1F53" w:rsidRDefault="00845688" w:rsidP="00DC1F53">
            <w:pPr>
              <w:pStyle w:val="Normalgrey"/>
            </w:pPr>
            <w:r w:rsidRPr="008A601F">
              <w:t>Purpose</w:t>
            </w:r>
          </w:p>
        </w:tc>
        <w:tc>
          <w:tcPr>
            <w:tcW w:w="270" w:type="dxa"/>
          </w:tcPr>
          <w:p w14:paraId="07BDBB4A" w14:textId="77777777" w:rsidR="00845688" w:rsidRPr="00FE176F" w:rsidRDefault="00845688" w:rsidP="00DC1F53">
            <w:pPr>
              <w:pStyle w:val="Refnum1"/>
              <w:cnfStyle w:val="000000100000" w:firstRow="0" w:lastRow="0" w:firstColumn="0" w:lastColumn="0" w:oddVBand="0" w:evenVBand="0" w:oddHBand="1" w:evenHBand="0" w:firstRowFirstColumn="0" w:firstRowLastColumn="0" w:lastRowFirstColumn="0" w:lastRowLastColumn="0"/>
            </w:pPr>
          </w:p>
        </w:tc>
        <w:tc>
          <w:tcPr>
            <w:tcW w:w="540" w:type="dxa"/>
          </w:tcPr>
          <w:p w14:paraId="14C6C74C" w14:textId="77777777" w:rsidR="00845688" w:rsidRPr="00FE176F" w:rsidRDefault="00845688" w:rsidP="00957AE9">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34" w:type="dxa"/>
          </w:tcPr>
          <w:p w14:paraId="28D8780A" w14:textId="77777777" w:rsidR="00845688" w:rsidRPr="00E43EFA" w:rsidRDefault="000A0D83" w:rsidP="00DC1F53">
            <w:pPr>
              <w:pStyle w:val="Normalgrey"/>
              <w:cnfStyle w:val="000000100000" w:firstRow="0" w:lastRow="0" w:firstColumn="0" w:lastColumn="0" w:oddVBand="0" w:evenVBand="0" w:oddHBand="1" w:evenHBand="0" w:firstRowFirstColumn="0" w:firstRowLastColumn="0" w:lastRowFirstColumn="0" w:lastRowLastColumn="0"/>
            </w:pPr>
            <w:r w:rsidRPr="000A0D83">
              <w:t xml:space="preserve">To prescribe the recognition and measurement basis of </w:t>
            </w:r>
            <w:r w:rsidR="00FF7DCA">
              <w:t>‘</w:t>
            </w:r>
            <w:r w:rsidRPr="00463702">
              <w:rPr>
                <w:iCs/>
              </w:rPr>
              <w:t>intangible assets</w:t>
            </w:r>
            <w:r w:rsidR="00FF7DCA">
              <w:rPr>
                <w:iCs/>
              </w:rPr>
              <w:t>’</w:t>
            </w:r>
            <w:r w:rsidRPr="000A0D83">
              <w:t>.</w:t>
            </w:r>
          </w:p>
        </w:tc>
      </w:tr>
      <w:tr w:rsidR="00493B55" w:rsidRPr="00E10ADB" w14:paraId="431AD38A" w14:textId="77777777" w:rsidTr="004C246C">
        <w:trPr>
          <w:cnfStyle w:val="000000010000" w:firstRow="0" w:lastRow="0" w:firstColumn="0" w:lastColumn="0" w:oddVBand="0" w:evenVBand="0" w:oddHBand="0" w:evenHBand="1"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7B25001C" w14:textId="77777777" w:rsidR="00845688" w:rsidRPr="00BF3C0E" w:rsidRDefault="00845688" w:rsidP="00DC1F53">
            <w:pPr>
              <w:pStyle w:val="Normalbold"/>
            </w:pPr>
            <w:r w:rsidRPr="00BF3C0E">
              <w:t>Application</w:t>
            </w:r>
          </w:p>
        </w:tc>
        <w:tc>
          <w:tcPr>
            <w:tcW w:w="270" w:type="dxa"/>
            <w:shd w:val="clear" w:color="auto" w:fill="F2F2F2" w:themeFill="background1" w:themeFillShade="F2"/>
          </w:tcPr>
          <w:p w14:paraId="55822170" w14:textId="77777777" w:rsidR="00845688" w:rsidRPr="00BF3C0E" w:rsidRDefault="00845688" w:rsidP="00DC1F53">
            <w:pPr>
              <w:pStyle w:val="Refnum1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7C49BBD9" w14:textId="2E3EFFD3" w:rsidR="00957FAD" w:rsidRPr="00BF3C0E" w:rsidRDefault="00354A01" w:rsidP="00957AE9">
            <w:pPr>
              <w:spacing w:before="240"/>
              <w:cnfStyle w:val="000000010000" w:firstRow="0" w:lastRow="0" w:firstColumn="0" w:lastColumn="0" w:oddVBand="0" w:evenVBand="0" w:oddHBand="0" w:evenHBand="1" w:firstRowFirstColumn="0" w:firstRowLastColumn="0" w:lastRowFirstColumn="0" w:lastRowLastColumn="0"/>
              <w:rPr>
                <w:b/>
                <w:lang w:eastAsia="en-US"/>
              </w:rPr>
            </w:pPr>
            <w:r w:rsidRPr="00BF3C0E">
              <w:rPr>
                <w:b/>
                <w:lang w:eastAsia="en-US"/>
              </w:rPr>
              <w:t>2.1</w:t>
            </w:r>
          </w:p>
        </w:tc>
        <w:tc>
          <w:tcPr>
            <w:tcW w:w="6134" w:type="dxa"/>
            <w:shd w:val="clear" w:color="auto" w:fill="F2F2F2" w:themeFill="background1" w:themeFillShade="F2"/>
          </w:tcPr>
          <w:p w14:paraId="33B85ED5" w14:textId="322EB500" w:rsidR="00957FAD" w:rsidRPr="000A0D83" w:rsidRDefault="000A0D83" w:rsidP="00DC1F53">
            <w:pPr>
              <w:pStyle w:val="Normalbold"/>
              <w:cnfStyle w:val="000000010000" w:firstRow="0" w:lastRow="0" w:firstColumn="0" w:lastColumn="0" w:oddVBand="0" w:evenVBand="0" w:oddHBand="0" w:evenHBand="1" w:firstRowFirstColumn="0" w:firstRowLastColumn="0" w:lastRowFirstColumn="0" w:lastRowLastColumn="0"/>
            </w:pPr>
            <w:r w:rsidRPr="000A0D83">
              <w:t xml:space="preserve">Applies to all </w:t>
            </w:r>
            <w:r w:rsidRPr="000A0D83">
              <w:rPr>
                <w:lang w:val="en-US"/>
              </w:rPr>
              <w:t>entities</w:t>
            </w:r>
            <w:r w:rsidRPr="000A0D83">
              <w:t xml:space="preserve"> defined as either a public body or a department under section 3 of the </w:t>
            </w:r>
            <w:r w:rsidRPr="000A0D83">
              <w:rPr>
                <w:i/>
                <w:iCs/>
              </w:rPr>
              <w:t>Financial Management Act</w:t>
            </w:r>
            <w:r w:rsidRPr="000A0D83">
              <w:t xml:space="preserve"> </w:t>
            </w:r>
            <w:r w:rsidRPr="000A0D83">
              <w:rPr>
                <w:i/>
                <w:iCs/>
              </w:rPr>
              <w:t>1994</w:t>
            </w:r>
            <w:r w:rsidRPr="000A0D83">
              <w:t>.  Application by State owned corporations is encouraged.</w:t>
            </w:r>
          </w:p>
        </w:tc>
      </w:tr>
      <w:tr w:rsidR="00FE176F" w:rsidRPr="00E10ADB" w14:paraId="6A20AB4D" w14:textId="77777777" w:rsidTr="00DC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77323DE1" w14:textId="77777777" w:rsidR="00FE176F" w:rsidRPr="00BF3C0E" w:rsidRDefault="00FE176F" w:rsidP="00DC1F53">
            <w:pPr>
              <w:pStyle w:val="Normalbold"/>
            </w:pPr>
            <w:r w:rsidRPr="00BF3C0E">
              <w:t>Operative date</w:t>
            </w:r>
          </w:p>
        </w:tc>
        <w:tc>
          <w:tcPr>
            <w:tcW w:w="270" w:type="dxa"/>
            <w:shd w:val="clear" w:color="auto" w:fill="F2F2F2" w:themeFill="background1" w:themeFillShade="F2"/>
          </w:tcPr>
          <w:p w14:paraId="5D7CDE64" w14:textId="77777777" w:rsidR="00FE176F" w:rsidRPr="00BF3C0E" w:rsidRDefault="00FE176F" w:rsidP="00DC1F53">
            <w:pPr>
              <w:pStyle w:val="Refnum1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1A6C93B2" w14:textId="77777777" w:rsidR="00FE176F" w:rsidRPr="00BF3C0E" w:rsidRDefault="00FE176F" w:rsidP="00957AE9">
            <w:pPr>
              <w:pStyle w:val="Refnum2"/>
              <w:cnfStyle w:val="000000100000" w:firstRow="0" w:lastRow="0" w:firstColumn="0" w:lastColumn="0" w:oddVBand="0" w:evenVBand="0" w:oddHBand="1" w:evenHBand="0" w:firstRowFirstColumn="0" w:firstRowLastColumn="0" w:lastRowFirstColumn="0" w:lastRowLastColumn="0"/>
              <w:rPr>
                <w:b/>
              </w:rPr>
            </w:pPr>
          </w:p>
        </w:tc>
        <w:tc>
          <w:tcPr>
            <w:tcW w:w="6134" w:type="dxa"/>
            <w:shd w:val="clear" w:color="auto" w:fill="F2F2F2" w:themeFill="background1" w:themeFillShade="F2"/>
          </w:tcPr>
          <w:p w14:paraId="526AE6AF" w14:textId="77777777" w:rsidR="00FE176F" w:rsidRPr="00463702" w:rsidRDefault="00FE176F" w:rsidP="00DC1F53">
            <w:pPr>
              <w:pStyle w:val="Normalbold"/>
              <w:cnfStyle w:val="000000100000" w:firstRow="0" w:lastRow="0" w:firstColumn="0" w:lastColumn="0" w:oddVBand="0" w:evenVBand="0" w:oddHBand="1" w:evenHBand="0" w:firstRowFirstColumn="0" w:firstRowLastColumn="0" w:lastRowFirstColumn="0" w:lastRowLastColumn="0"/>
            </w:pPr>
            <w:r w:rsidRPr="000A0D83">
              <w:t>Annual reporting periods commencing on or after 1 </w:t>
            </w:r>
            <w:r w:rsidR="004F4E23">
              <w:t>July</w:t>
            </w:r>
            <w:r w:rsidRPr="000A0D83">
              <w:t> 20</w:t>
            </w:r>
            <w:r w:rsidR="004F4E23">
              <w:t>1</w:t>
            </w:r>
            <w:r w:rsidRPr="000A0D83">
              <w:t>5.</w:t>
            </w:r>
          </w:p>
        </w:tc>
      </w:tr>
      <w:tr w:rsidR="00AE3559" w:rsidRPr="00E10ADB" w14:paraId="0C543417" w14:textId="77777777" w:rsidTr="00DC1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0258A01D" w14:textId="77777777" w:rsidR="00AE3559" w:rsidRPr="00BF3C0E" w:rsidRDefault="00AE3559" w:rsidP="00DC1F53">
            <w:pPr>
              <w:pStyle w:val="Normalbold"/>
            </w:pPr>
          </w:p>
        </w:tc>
        <w:tc>
          <w:tcPr>
            <w:tcW w:w="270" w:type="dxa"/>
            <w:shd w:val="clear" w:color="auto" w:fill="F2F2F2" w:themeFill="background1" w:themeFillShade="F2"/>
          </w:tcPr>
          <w:p w14:paraId="1D0324AC" w14:textId="77777777" w:rsidR="00AE3559" w:rsidRPr="00BF3C0E" w:rsidRDefault="00AE3559" w:rsidP="00354A01">
            <w:pPr>
              <w:pStyle w:val="Refnum1grey"/>
              <w:numPr>
                <w:ilvl w:val="0"/>
                <w:numId w:val="0"/>
              </w:numPr>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1CA28D71" w14:textId="61A0B286" w:rsidR="00AE3559" w:rsidRPr="00BF3C0E" w:rsidRDefault="00354A01" w:rsidP="00354A01">
            <w:pPr>
              <w:pStyle w:val="Refnum2"/>
              <w:numPr>
                <w:ilvl w:val="0"/>
                <w:numId w:val="0"/>
              </w:numPr>
              <w:cnfStyle w:val="000000010000" w:firstRow="0" w:lastRow="0" w:firstColumn="0" w:lastColumn="0" w:oddVBand="0" w:evenVBand="0" w:oddHBand="0" w:evenHBand="1" w:firstRowFirstColumn="0" w:firstRowLastColumn="0" w:lastRowFirstColumn="0" w:lastRowLastColumn="0"/>
              <w:rPr>
                <w:b/>
              </w:rPr>
            </w:pPr>
            <w:r w:rsidRPr="00BF3C0E">
              <w:rPr>
                <w:b/>
              </w:rPr>
              <w:t>3.2</w:t>
            </w:r>
          </w:p>
        </w:tc>
        <w:tc>
          <w:tcPr>
            <w:tcW w:w="6134" w:type="dxa"/>
            <w:shd w:val="clear" w:color="auto" w:fill="F2F2F2" w:themeFill="background1" w:themeFillShade="F2"/>
          </w:tcPr>
          <w:p w14:paraId="2318DFF3" w14:textId="446DC0D5" w:rsidR="00354A01" w:rsidRPr="004F4E23" w:rsidRDefault="00354A01" w:rsidP="00DC1F53">
            <w:pPr>
              <w:pStyle w:val="Normalbold"/>
              <w:cnfStyle w:val="000000010000" w:firstRow="0" w:lastRow="0" w:firstColumn="0" w:lastColumn="0" w:oddVBand="0" w:evenVBand="0" w:oddHBand="0" w:evenHBand="1" w:firstRowFirstColumn="0" w:firstRowLastColumn="0" w:lastRowFirstColumn="0" w:lastRowLastColumn="0"/>
              <w:rPr>
                <w:i/>
              </w:rPr>
            </w:pPr>
            <w:r>
              <w:t xml:space="preserve">FRD 109A </w:t>
            </w:r>
            <w:r>
              <w:rPr>
                <w:i/>
              </w:rPr>
              <w:t>Intangible assets</w:t>
            </w:r>
            <w:r w:rsidRPr="004F4E23">
              <w:t xml:space="preserve"> </w:t>
            </w:r>
            <w:r>
              <w:t xml:space="preserve">renamed to FRD 109 </w:t>
            </w:r>
            <w:r>
              <w:rPr>
                <w:i/>
              </w:rPr>
              <w:t>Intangible assets</w:t>
            </w:r>
            <w:r w:rsidRPr="004F4E23">
              <w:t xml:space="preserve"> effective 1</w:t>
            </w:r>
            <w:r>
              <w:t> April 2022</w:t>
            </w:r>
            <w:r w:rsidRPr="004F4E23">
              <w:t>.</w:t>
            </w:r>
          </w:p>
        </w:tc>
      </w:tr>
      <w:tr w:rsidR="00FE176F" w:rsidRPr="00E10ADB" w14:paraId="4D008362" w14:textId="77777777" w:rsidTr="00DC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55EFC6C" w14:textId="77777777" w:rsidR="00FE176F" w:rsidRPr="00BF3C0E" w:rsidRDefault="00FE176F" w:rsidP="00DC1F53">
            <w:pPr>
              <w:pStyle w:val="Normalbold"/>
            </w:pPr>
            <w:r w:rsidRPr="00BF3C0E">
              <w:t>Requirements</w:t>
            </w:r>
          </w:p>
        </w:tc>
        <w:tc>
          <w:tcPr>
            <w:tcW w:w="270" w:type="dxa"/>
            <w:shd w:val="clear" w:color="auto" w:fill="F2F2F2" w:themeFill="background1" w:themeFillShade="F2"/>
          </w:tcPr>
          <w:p w14:paraId="78067932" w14:textId="77777777" w:rsidR="00FE176F" w:rsidRPr="00BF3C0E" w:rsidRDefault="00FE176F" w:rsidP="00DC1F53">
            <w:pPr>
              <w:pStyle w:val="Refnum1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2B647BAF" w14:textId="77777777" w:rsidR="00FE176F" w:rsidRPr="00BF3C0E" w:rsidRDefault="00FE176F" w:rsidP="00957AE9">
            <w:pPr>
              <w:pStyle w:val="Refnum2"/>
              <w:cnfStyle w:val="000000100000" w:firstRow="0" w:lastRow="0" w:firstColumn="0" w:lastColumn="0" w:oddVBand="0" w:evenVBand="0" w:oddHBand="1" w:evenHBand="0" w:firstRowFirstColumn="0" w:firstRowLastColumn="0" w:lastRowFirstColumn="0" w:lastRowLastColumn="0"/>
              <w:rPr>
                <w:b/>
              </w:rPr>
            </w:pPr>
          </w:p>
        </w:tc>
        <w:tc>
          <w:tcPr>
            <w:tcW w:w="6134" w:type="dxa"/>
            <w:shd w:val="clear" w:color="auto" w:fill="F2F2F2" w:themeFill="background1" w:themeFillShade="F2"/>
          </w:tcPr>
          <w:p w14:paraId="48E9C09D" w14:textId="77777777" w:rsidR="00FE176F" w:rsidRDefault="00FE176F" w:rsidP="00DC1F53">
            <w:pPr>
              <w:pStyle w:val="Normalbold"/>
              <w:cnfStyle w:val="000000100000" w:firstRow="0" w:lastRow="0" w:firstColumn="0" w:lastColumn="0" w:oddVBand="0" w:evenVBand="0" w:oddHBand="1" w:evenHBand="0" w:firstRowFirstColumn="0" w:firstRowLastColumn="0" w:lastRowFirstColumn="0" w:lastRowLastColumn="0"/>
            </w:pPr>
            <w:r w:rsidRPr="00463702">
              <w:t xml:space="preserve">Recognition of </w:t>
            </w:r>
            <w:r w:rsidR="008F0885" w:rsidRPr="00463702">
              <w:t>an intangible asset</w:t>
            </w:r>
            <w:r w:rsidRPr="00463702">
              <w:t>:</w:t>
            </w:r>
          </w:p>
          <w:p w14:paraId="4A8F3148" w14:textId="77777777" w:rsidR="00DC1F53" w:rsidRPr="00D0129D" w:rsidRDefault="00DC1F53" w:rsidP="00DC1F53">
            <w:pPr>
              <w:pStyle w:val="Normalbold"/>
              <w:cnfStyle w:val="000000100000" w:firstRow="0" w:lastRow="0" w:firstColumn="0" w:lastColumn="0" w:oddVBand="0" w:evenVBand="0" w:oddHBand="1" w:evenHBand="0" w:firstRowFirstColumn="0" w:firstRowLastColumn="0" w:lastRowFirstColumn="0" w:lastRowLastColumn="0"/>
              <w:rPr>
                <w:bCs/>
              </w:rPr>
            </w:pPr>
            <w:r w:rsidRPr="000A0D83">
              <w:t>Expenditure on a non-monetary item without physical substance can only be recognised as an intangible asset if:</w:t>
            </w:r>
          </w:p>
          <w:p w14:paraId="726286B9" w14:textId="77777777" w:rsidR="00DC1F53" w:rsidRPr="00E0796F" w:rsidRDefault="00DC1F53" w:rsidP="00E0796F">
            <w:pPr>
              <w:pStyle w:val="Listnum"/>
              <w:ind w:left="504" w:hanging="504"/>
              <w:cnfStyle w:val="000000100000" w:firstRow="0" w:lastRow="0" w:firstColumn="0" w:lastColumn="0" w:oddVBand="0" w:evenVBand="0" w:oddHBand="1" w:evenHBand="0" w:firstRowFirstColumn="0" w:firstRowLastColumn="0" w:lastRowFirstColumn="0" w:lastRowLastColumn="0"/>
              <w:rPr>
                <w:b/>
                <w:bCs/>
              </w:rPr>
            </w:pPr>
            <w:r w:rsidRPr="00E0796F">
              <w:rPr>
                <w:b/>
                <w:bCs/>
              </w:rPr>
              <w:t>the item satisfies the recognition criteria contained within AASB 138 Intangible Assets; and</w:t>
            </w:r>
          </w:p>
          <w:p w14:paraId="48D752CE" w14:textId="77777777" w:rsidR="00DC1F53" w:rsidRPr="00E0796F" w:rsidRDefault="00DC1F53" w:rsidP="00E0796F">
            <w:pPr>
              <w:pStyle w:val="Listnum"/>
              <w:cnfStyle w:val="000000100000" w:firstRow="0" w:lastRow="0" w:firstColumn="0" w:lastColumn="0" w:oddVBand="0" w:evenVBand="0" w:oddHBand="1" w:evenHBand="0" w:firstRowFirstColumn="0" w:firstRowLastColumn="0" w:lastRowFirstColumn="0" w:lastRowLastColumn="0"/>
              <w:rPr>
                <w:b/>
                <w:bCs/>
              </w:rPr>
            </w:pPr>
            <w:r w:rsidRPr="00E0796F">
              <w:rPr>
                <w:b/>
                <w:bCs/>
              </w:rPr>
              <w:t>the expenditure meets the capitalisation threshold that is material to the entity.</w:t>
            </w:r>
          </w:p>
          <w:p w14:paraId="07907C62" w14:textId="6E136540" w:rsidR="00DC1F53" w:rsidRPr="00FF7DCA" w:rsidRDefault="00DC1F53" w:rsidP="00DC1F53">
            <w:pPr>
              <w:pStyle w:val="Normalbold"/>
              <w:cnfStyle w:val="000000100000" w:firstRow="0" w:lastRow="0" w:firstColumn="0" w:lastColumn="0" w:oddVBand="0" w:evenVBand="0" w:oddHBand="1" w:evenHBand="0" w:firstRowFirstColumn="0" w:firstRowLastColumn="0" w:lastRowFirstColumn="0" w:lastRowLastColumn="0"/>
            </w:pPr>
            <w:r w:rsidRPr="000A0D83">
              <w:rPr>
                <w:bCs/>
              </w:rPr>
              <w:t>Otherwise</w:t>
            </w:r>
            <w:r w:rsidR="00354A01">
              <w:rPr>
                <w:bCs/>
              </w:rPr>
              <w:t>,</w:t>
            </w:r>
            <w:r w:rsidRPr="000A0D83">
              <w:rPr>
                <w:bCs/>
              </w:rPr>
              <w:t xml:space="preserve"> such expenditure </w:t>
            </w:r>
            <w:r>
              <w:rPr>
                <w:bCs/>
              </w:rPr>
              <w:t>shall</w:t>
            </w:r>
            <w:r w:rsidRPr="000A0D83">
              <w:rPr>
                <w:bCs/>
              </w:rPr>
              <w:t xml:space="preserve"> be expensed as incurred.</w:t>
            </w:r>
          </w:p>
        </w:tc>
      </w:tr>
      <w:tr w:rsidR="00FE176F" w:rsidRPr="00E10ADB" w14:paraId="211CF19D" w14:textId="77777777" w:rsidTr="00DC1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7B798B21" w14:textId="77777777" w:rsidR="00FE176F" w:rsidRPr="00BF3C0E" w:rsidRDefault="00FE176F" w:rsidP="00DE779D">
            <w:pPr>
              <w:rPr>
                <w:b/>
              </w:rPr>
            </w:pPr>
          </w:p>
        </w:tc>
        <w:tc>
          <w:tcPr>
            <w:tcW w:w="270" w:type="dxa"/>
            <w:shd w:val="clear" w:color="auto" w:fill="F2F2F2" w:themeFill="background1" w:themeFillShade="F2"/>
          </w:tcPr>
          <w:p w14:paraId="00DB6415" w14:textId="77777777" w:rsidR="00FE176F" w:rsidRPr="00BF3C0E" w:rsidRDefault="00FE176F" w:rsidP="00DE779D">
            <w:pPr>
              <w:pStyle w:val="Normal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7B9B2D1A" w14:textId="77777777" w:rsidR="00FE176F" w:rsidRPr="00BF3C0E" w:rsidRDefault="00FE176F" w:rsidP="00957AE9">
            <w:pPr>
              <w:pStyle w:val="Refnum2"/>
              <w:cnfStyle w:val="000000010000" w:firstRow="0" w:lastRow="0" w:firstColumn="0" w:lastColumn="0" w:oddVBand="0" w:evenVBand="0" w:oddHBand="0" w:evenHBand="1" w:firstRowFirstColumn="0" w:firstRowLastColumn="0" w:lastRowFirstColumn="0" w:lastRowLastColumn="0"/>
              <w:rPr>
                <w:b/>
              </w:rPr>
            </w:pPr>
          </w:p>
        </w:tc>
        <w:tc>
          <w:tcPr>
            <w:tcW w:w="6134" w:type="dxa"/>
            <w:shd w:val="clear" w:color="auto" w:fill="F2F2F2" w:themeFill="background1" w:themeFillShade="F2"/>
          </w:tcPr>
          <w:p w14:paraId="1708663E" w14:textId="682FDC0F" w:rsidR="00354A01" w:rsidRDefault="00354A01" w:rsidP="00DC1F53">
            <w:pPr>
              <w:pStyle w:val="Normalbold"/>
              <w:cnfStyle w:val="000000010000" w:firstRow="0" w:lastRow="0" w:firstColumn="0" w:lastColumn="0" w:oddVBand="0" w:evenVBand="0" w:oddHBand="0" w:evenHBand="1" w:firstRowFirstColumn="0" w:firstRowLastColumn="0" w:lastRowFirstColumn="0" w:lastRowLastColumn="0"/>
            </w:pPr>
            <w:r w:rsidRPr="00463702">
              <w:t>Measurement after initial recognition</w:t>
            </w:r>
          </w:p>
          <w:p w14:paraId="0B1E367C" w14:textId="677F3B07" w:rsidR="00FE176F" w:rsidRPr="00FF7DCA" w:rsidRDefault="00FE176F" w:rsidP="00DC1F53">
            <w:pPr>
              <w:pStyle w:val="Normalbold"/>
              <w:cnfStyle w:val="000000010000" w:firstRow="0" w:lastRow="0" w:firstColumn="0" w:lastColumn="0" w:oddVBand="0" w:evenVBand="0" w:oddHBand="0" w:evenHBand="1" w:firstRowFirstColumn="0" w:firstRowLastColumn="0" w:lastRowFirstColumn="0" w:lastRowLastColumn="0"/>
              <w:rPr>
                <w:bCs/>
              </w:rPr>
            </w:pPr>
            <w:r w:rsidRPr="000A0D83">
              <w:t xml:space="preserve">Subsequent to initial recognition, an entity </w:t>
            </w:r>
            <w:r w:rsidR="00097867">
              <w:t>shall</w:t>
            </w:r>
            <w:r w:rsidRPr="000A0D83">
              <w:t xml:space="preserve"> measure its intangible assets at </w:t>
            </w:r>
            <w:r w:rsidRPr="000A0D83">
              <w:rPr>
                <w:i/>
                <w:iCs/>
              </w:rPr>
              <w:t>cost</w:t>
            </w:r>
            <w:r w:rsidRPr="000A0D83">
              <w:t xml:space="preserve"> less any accumulated </w:t>
            </w:r>
            <w:r w:rsidRPr="000A0D83">
              <w:rPr>
                <w:i/>
                <w:iCs/>
              </w:rPr>
              <w:t>amortisation</w:t>
            </w:r>
            <w:r w:rsidRPr="000A0D83">
              <w:t xml:space="preserve"> and accumulated </w:t>
            </w:r>
            <w:r w:rsidRPr="000A0D83">
              <w:rPr>
                <w:i/>
                <w:iCs/>
              </w:rPr>
              <w:t>impairment losses</w:t>
            </w:r>
            <w:r w:rsidRPr="000A0D83">
              <w:t>.</w:t>
            </w:r>
            <w:r w:rsidR="004C246C">
              <w:rPr>
                <w:rStyle w:val="FootnoteReference"/>
              </w:rPr>
              <w:footnoteReference w:id="1"/>
            </w:r>
          </w:p>
        </w:tc>
      </w:tr>
      <w:tr w:rsidR="00FE176F" w:rsidRPr="00E10ADB" w14:paraId="14FC9F79" w14:textId="77777777" w:rsidTr="00DC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E6DE135" w14:textId="77777777" w:rsidR="00FE176F" w:rsidRPr="00E2009B" w:rsidRDefault="00FE176F" w:rsidP="00DC1F53">
            <w:pPr>
              <w:pStyle w:val="Normalgrey"/>
            </w:pPr>
            <w:r w:rsidRPr="00E2009B">
              <w:t>Definitions</w:t>
            </w:r>
          </w:p>
        </w:tc>
        <w:tc>
          <w:tcPr>
            <w:tcW w:w="270" w:type="dxa"/>
          </w:tcPr>
          <w:p w14:paraId="0865B1E8" w14:textId="77777777" w:rsidR="00FE176F" w:rsidRPr="00DC1F53" w:rsidRDefault="00FE176F" w:rsidP="00DC1F53">
            <w:pPr>
              <w:pStyle w:val="Refnum1"/>
              <w:cnfStyle w:val="000000100000" w:firstRow="0" w:lastRow="0" w:firstColumn="0" w:lastColumn="0" w:oddVBand="0" w:evenVBand="0" w:oddHBand="1" w:evenHBand="0" w:firstRowFirstColumn="0" w:firstRowLastColumn="0" w:lastRowFirstColumn="0" w:lastRowLastColumn="0"/>
            </w:pPr>
          </w:p>
        </w:tc>
        <w:tc>
          <w:tcPr>
            <w:tcW w:w="540" w:type="dxa"/>
          </w:tcPr>
          <w:p w14:paraId="4066CA4D" w14:textId="77777777" w:rsidR="00FE176F" w:rsidRPr="00FE176F" w:rsidRDefault="00FE176F" w:rsidP="00957AE9">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34" w:type="dxa"/>
          </w:tcPr>
          <w:p w14:paraId="426BCE94" w14:textId="77777777" w:rsidR="00FE176F" w:rsidRPr="000A0D83" w:rsidRDefault="00FE176F" w:rsidP="00DC1F53">
            <w:pPr>
              <w:pStyle w:val="Normalgrey"/>
              <w:cnfStyle w:val="000000100000" w:firstRow="0" w:lastRow="0" w:firstColumn="0" w:lastColumn="0" w:oddVBand="0" w:evenVBand="0" w:oddHBand="1" w:evenHBand="0" w:firstRowFirstColumn="0" w:firstRowLastColumn="0" w:lastRowFirstColumn="0" w:lastRowLastColumn="0"/>
            </w:pPr>
            <w:r w:rsidRPr="000A0D83">
              <w:t>Refer to paragraph 8 of AASB 138 for the following definitions:</w:t>
            </w:r>
          </w:p>
          <w:p w14:paraId="3CE0DF1B" w14:textId="77777777" w:rsidR="00FE176F" w:rsidRPr="00957AE9" w:rsidRDefault="00FE176F" w:rsidP="00957AE9">
            <w:pPr>
              <w:pStyle w:val="Bullet1grey"/>
              <w:cnfStyle w:val="000000100000" w:firstRow="0" w:lastRow="0" w:firstColumn="0" w:lastColumn="0" w:oddVBand="0" w:evenVBand="0" w:oddHBand="1" w:evenHBand="0" w:firstRowFirstColumn="0" w:firstRowLastColumn="0" w:lastRowFirstColumn="0" w:lastRowLastColumn="0"/>
            </w:pPr>
            <w:r w:rsidRPr="00957AE9">
              <w:t>Amortisation;</w:t>
            </w:r>
          </w:p>
          <w:p w14:paraId="19DBD266" w14:textId="77777777" w:rsidR="00FE176F" w:rsidRPr="00957AE9" w:rsidRDefault="00FE176F" w:rsidP="00957AE9">
            <w:pPr>
              <w:pStyle w:val="Bullet1grey"/>
              <w:cnfStyle w:val="000000100000" w:firstRow="0" w:lastRow="0" w:firstColumn="0" w:lastColumn="0" w:oddVBand="0" w:evenVBand="0" w:oddHBand="1" w:evenHBand="0" w:firstRowFirstColumn="0" w:firstRowLastColumn="0" w:lastRowFirstColumn="0" w:lastRowLastColumn="0"/>
            </w:pPr>
            <w:r w:rsidRPr="00957AE9">
              <w:t>Asset;</w:t>
            </w:r>
          </w:p>
          <w:p w14:paraId="21234063" w14:textId="77777777" w:rsidR="00FE176F" w:rsidRPr="00957AE9" w:rsidRDefault="00FE176F" w:rsidP="00957AE9">
            <w:pPr>
              <w:pStyle w:val="Bullet1grey"/>
              <w:cnfStyle w:val="000000100000" w:firstRow="0" w:lastRow="0" w:firstColumn="0" w:lastColumn="0" w:oddVBand="0" w:evenVBand="0" w:oddHBand="1" w:evenHBand="0" w:firstRowFirstColumn="0" w:firstRowLastColumn="0" w:lastRowFirstColumn="0" w:lastRowLastColumn="0"/>
            </w:pPr>
            <w:r w:rsidRPr="00957AE9">
              <w:t>Cost;</w:t>
            </w:r>
          </w:p>
          <w:p w14:paraId="6069EBAE" w14:textId="77777777" w:rsidR="00FE176F" w:rsidRPr="00957AE9" w:rsidRDefault="00FE176F" w:rsidP="00957AE9">
            <w:pPr>
              <w:pStyle w:val="Bullet1grey"/>
              <w:cnfStyle w:val="000000100000" w:firstRow="0" w:lastRow="0" w:firstColumn="0" w:lastColumn="0" w:oddVBand="0" w:evenVBand="0" w:oddHBand="1" w:evenHBand="0" w:firstRowFirstColumn="0" w:firstRowLastColumn="0" w:lastRowFirstColumn="0" w:lastRowLastColumn="0"/>
            </w:pPr>
            <w:r w:rsidRPr="00957AE9">
              <w:t>Intangible asset;</w:t>
            </w:r>
          </w:p>
          <w:p w14:paraId="5A836A9F" w14:textId="77777777" w:rsidR="00FE176F" w:rsidRPr="00957AE9" w:rsidRDefault="00FE176F" w:rsidP="00957AE9">
            <w:pPr>
              <w:pStyle w:val="Bullet1grey"/>
              <w:cnfStyle w:val="000000100000" w:firstRow="0" w:lastRow="0" w:firstColumn="0" w:lastColumn="0" w:oddVBand="0" w:evenVBand="0" w:oddHBand="1" w:evenHBand="0" w:firstRowFirstColumn="0" w:firstRowLastColumn="0" w:lastRowFirstColumn="0" w:lastRowLastColumn="0"/>
            </w:pPr>
            <w:r w:rsidRPr="00957AE9">
              <w:t>Impairment loss; and</w:t>
            </w:r>
          </w:p>
          <w:p w14:paraId="7E9E2BA0" w14:textId="77777777" w:rsidR="00FE176F" w:rsidRPr="00822CF3" w:rsidRDefault="00FE176F" w:rsidP="00957AE9">
            <w:pPr>
              <w:pStyle w:val="Bullet1grey"/>
              <w:cnfStyle w:val="000000100000" w:firstRow="0" w:lastRow="0" w:firstColumn="0" w:lastColumn="0" w:oddVBand="0" w:evenVBand="0" w:oddHBand="1" w:evenHBand="0" w:firstRowFirstColumn="0" w:firstRowLastColumn="0" w:lastRowFirstColumn="0" w:lastRowLastColumn="0"/>
            </w:pPr>
            <w:r w:rsidRPr="00957AE9">
              <w:t>Useful life.</w:t>
            </w:r>
          </w:p>
        </w:tc>
      </w:tr>
      <w:tr w:rsidR="00443D6E" w:rsidRPr="00E10ADB" w14:paraId="554B5A99" w14:textId="77777777" w:rsidTr="00DC1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A7EB2A9" w14:textId="77777777" w:rsidR="00443D6E" w:rsidRPr="00E2009B" w:rsidRDefault="00443D6E" w:rsidP="00146B98">
            <w:pPr>
              <w:pStyle w:val="Normalgrey"/>
            </w:pPr>
            <w:r w:rsidRPr="00E2009B">
              <w:t>Guidance</w:t>
            </w:r>
          </w:p>
        </w:tc>
        <w:tc>
          <w:tcPr>
            <w:tcW w:w="270" w:type="dxa"/>
          </w:tcPr>
          <w:p w14:paraId="2998BEBC" w14:textId="77777777" w:rsidR="00443D6E" w:rsidRPr="00521483" w:rsidRDefault="00443D6E" w:rsidP="00146B98">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63D9F4C2" w14:textId="77777777" w:rsidR="00443D6E" w:rsidRPr="00FE176F" w:rsidRDefault="00443D6E" w:rsidP="00463702">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34" w:type="dxa"/>
          </w:tcPr>
          <w:p w14:paraId="3B8F94BD" w14:textId="3E1420F0" w:rsidR="00443D6E" w:rsidRDefault="00443D6E" w:rsidP="00443D6E">
            <w:pPr>
              <w:pStyle w:val="Normalgreybold"/>
              <w:cnfStyle w:val="000000010000" w:firstRow="0" w:lastRow="0" w:firstColumn="0" w:lastColumn="0" w:oddVBand="0" w:evenVBand="0" w:oddHBand="0" w:evenHBand="1" w:firstRowFirstColumn="0" w:firstRowLastColumn="0" w:lastRowFirstColumn="0" w:lastRowLastColumn="0"/>
            </w:pPr>
            <w:r w:rsidRPr="00463702">
              <w:rPr>
                <w:snapToGrid w:val="0"/>
                <w:lang w:val="en-GB"/>
              </w:rPr>
              <w:t>Capitalisation</w:t>
            </w:r>
            <w:r w:rsidR="00194488" w:rsidRPr="00463702">
              <w:rPr>
                <w:snapToGrid w:val="0"/>
                <w:lang w:val="en-US"/>
              </w:rPr>
              <w:t xml:space="preserve"> threshold</w:t>
            </w:r>
          </w:p>
          <w:p w14:paraId="0E49DD79" w14:textId="77777777" w:rsidR="00443D6E" w:rsidRDefault="00443D6E" w:rsidP="00DC1F53">
            <w:pPr>
              <w:pStyle w:val="Normalgrey"/>
              <w:cnfStyle w:val="000000010000" w:firstRow="0" w:lastRow="0" w:firstColumn="0" w:lastColumn="0" w:oddVBand="0" w:evenVBand="0" w:oddHBand="0" w:evenHBand="1" w:firstRowFirstColumn="0" w:firstRowLastColumn="0" w:lastRowFirstColumn="0" w:lastRowLastColumn="0"/>
              <w:rPr>
                <w:snapToGrid w:val="0"/>
                <w:lang w:val="en-US"/>
              </w:rPr>
            </w:pPr>
            <w:r>
              <w:t>This FRD requires expenditure on a non-monetary item without physical substance to be recognised as an intangible asset only if the amount involved meets the capitalisation threshold that is material to the entity.  In addition, an entity shall consider the following in determining the capitalisation threshold:</w:t>
            </w:r>
          </w:p>
          <w:p w14:paraId="42C21105" w14:textId="77777777" w:rsidR="00443D6E" w:rsidRDefault="00443D6E" w:rsidP="00E0796F">
            <w:pPr>
              <w:pStyle w:val="List1grey"/>
              <w:cnfStyle w:val="000000010000" w:firstRow="0" w:lastRow="0" w:firstColumn="0" w:lastColumn="0" w:oddVBand="0" w:evenVBand="0" w:oddHBand="0" w:evenHBand="1" w:firstRowFirstColumn="0" w:firstRowLastColumn="0" w:lastRowFirstColumn="0" w:lastRowLastColumn="0"/>
              <w:rPr>
                <w:snapToGrid w:val="0"/>
                <w:lang w:val="en-US"/>
              </w:rPr>
            </w:pPr>
            <w:r>
              <w:t xml:space="preserve">the impact of the capitalisation threshold on the operating statement and balance sheet, taking into consideration the pattern of investment and that an intangible asset may have a relatively short </w:t>
            </w:r>
            <w:r>
              <w:rPr>
                <w:i/>
                <w:iCs/>
              </w:rPr>
              <w:t>useful life</w:t>
            </w:r>
            <w:r>
              <w:t xml:space="preserve"> (e.g. useful life of software is usually only 3-5 years); and</w:t>
            </w:r>
          </w:p>
          <w:p w14:paraId="2A13D126" w14:textId="77777777" w:rsidR="00443D6E" w:rsidRDefault="00443D6E" w:rsidP="00E0796F">
            <w:pPr>
              <w:pStyle w:val="List1grey"/>
              <w:cnfStyle w:val="000000010000" w:firstRow="0" w:lastRow="0" w:firstColumn="0" w:lastColumn="0" w:oddVBand="0" w:evenVBand="0" w:oddHBand="0" w:evenHBand="1" w:firstRowFirstColumn="0" w:firstRowLastColumn="0" w:lastRowFirstColumn="0" w:lastRowLastColumn="0"/>
              <w:rPr>
                <w:snapToGrid w:val="0"/>
                <w:lang w:val="en-GB"/>
              </w:rPr>
            </w:pPr>
            <w:r>
              <w:t>the administrative burden of conducting annual impairment tests of intangible assets.</w:t>
            </w:r>
          </w:p>
        </w:tc>
      </w:tr>
      <w:tr w:rsidR="00443D6E" w:rsidRPr="00E10ADB" w14:paraId="3075A22A" w14:textId="77777777" w:rsidTr="00DC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6DF7779" w14:textId="77777777" w:rsidR="00443D6E" w:rsidRPr="00E2009B" w:rsidRDefault="00443D6E" w:rsidP="00DE779D">
            <w:pPr>
              <w:pStyle w:val="Normalgrey"/>
            </w:pPr>
          </w:p>
        </w:tc>
        <w:tc>
          <w:tcPr>
            <w:tcW w:w="270" w:type="dxa"/>
          </w:tcPr>
          <w:p w14:paraId="05F73946" w14:textId="77777777" w:rsidR="00443D6E" w:rsidRPr="00FE176F" w:rsidRDefault="00443D6E" w:rsidP="00493B55">
            <w:pPr>
              <w:pStyle w:val="Normalgrey"/>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540" w:type="dxa"/>
          </w:tcPr>
          <w:p w14:paraId="785CDD83" w14:textId="77777777" w:rsidR="00443D6E" w:rsidRPr="00FE176F" w:rsidRDefault="00443D6E" w:rsidP="00463702">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34" w:type="dxa"/>
          </w:tcPr>
          <w:p w14:paraId="1DAAD571" w14:textId="25406663" w:rsidR="00443D6E" w:rsidRDefault="00443D6E" w:rsidP="00DC1F53">
            <w:pPr>
              <w:pStyle w:val="Normalgreybold"/>
              <w:cnfStyle w:val="000000100000" w:firstRow="0" w:lastRow="0" w:firstColumn="0" w:lastColumn="0" w:oddVBand="0" w:evenVBand="0" w:oddHBand="1" w:evenHBand="0" w:firstRowFirstColumn="0" w:firstRowLastColumn="0" w:lastRowFirstColumn="0" w:lastRowLastColumn="0"/>
            </w:pPr>
            <w:r w:rsidRPr="00463702">
              <w:rPr>
                <w:lang w:val="en-GB"/>
              </w:rPr>
              <w:t>Research</w:t>
            </w:r>
            <w:r w:rsidRPr="00463702">
              <w:rPr>
                <w:lang w:val="en-US"/>
              </w:rPr>
              <w:t xml:space="preserve"> activities (or research phase of internal projects)</w:t>
            </w:r>
          </w:p>
          <w:p w14:paraId="3DCB046D" w14:textId="77777777" w:rsidR="00443D6E" w:rsidRPr="000A0D83" w:rsidRDefault="00443D6E" w:rsidP="00DC1F53">
            <w:pPr>
              <w:pStyle w:val="Normalgrey"/>
              <w:cnfStyle w:val="000000100000" w:firstRow="0" w:lastRow="0" w:firstColumn="0" w:lastColumn="0" w:oddVBand="0" w:evenVBand="0" w:oddHBand="1" w:evenHBand="0" w:firstRowFirstColumn="0" w:firstRowLastColumn="0" w:lastRowFirstColumn="0" w:lastRowLastColumn="0"/>
              <w:rPr>
                <w:lang w:val="en-GB"/>
              </w:rPr>
            </w:pPr>
            <w:r w:rsidRPr="000A0D83">
              <w:t>AASB 138 specifically prohibits the recognition of research activities as an asset.</w:t>
            </w:r>
          </w:p>
        </w:tc>
      </w:tr>
      <w:tr w:rsidR="00443D6E" w:rsidRPr="00E10ADB" w14:paraId="6630AA5F" w14:textId="77777777" w:rsidTr="00DC1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8EFFB4C" w14:textId="77777777" w:rsidR="00443D6E" w:rsidRPr="00E2009B" w:rsidRDefault="00443D6E" w:rsidP="00DE779D">
            <w:pPr>
              <w:pStyle w:val="Normalgrey"/>
            </w:pPr>
          </w:p>
        </w:tc>
        <w:tc>
          <w:tcPr>
            <w:tcW w:w="270" w:type="dxa"/>
          </w:tcPr>
          <w:p w14:paraId="29887DAF" w14:textId="77777777" w:rsidR="00443D6E" w:rsidRPr="00FE176F" w:rsidRDefault="00443D6E" w:rsidP="00493B55">
            <w:pPr>
              <w:pStyle w:val="Normalgrey"/>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540" w:type="dxa"/>
          </w:tcPr>
          <w:p w14:paraId="744A6BC7" w14:textId="77777777" w:rsidR="00443D6E" w:rsidRPr="00FE176F" w:rsidRDefault="00443D6E" w:rsidP="00463702">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34" w:type="dxa"/>
          </w:tcPr>
          <w:p w14:paraId="0EDE581E" w14:textId="12F30C07" w:rsidR="00354A01" w:rsidRDefault="00354A01" w:rsidP="00DC1F53">
            <w:pPr>
              <w:pStyle w:val="Normalgrey"/>
              <w:cnfStyle w:val="000000010000" w:firstRow="0" w:lastRow="0" w:firstColumn="0" w:lastColumn="0" w:oddVBand="0" w:evenVBand="0" w:oddHBand="0" w:evenHBand="1" w:firstRowFirstColumn="0" w:firstRowLastColumn="0" w:lastRowFirstColumn="0" w:lastRowLastColumn="0"/>
              <w:rPr>
                <w:snapToGrid w:val="0"/>
              </w:rPr>
            </w:pPr>
            <w:r w:rsidRPr="00463702">
              <w:rPr>
                <w:b/>
                <w:snapToGrid w:val="0"/>
                <w:lang w:val="en-GB"/>
              </w:rPr>
              <w:t>Internal</w:t>
            </w:r>
            <w:r w:rsidRPr="00463702">
              <w:rPr>
                <w:b/>
                <w:snapToGrid w:val="0"/>
                <w:lang w:val="en-US"/>
              </w:rPr>
              <w:t>-use software</w:t>
            </w:r>
          </w:p>
          <w:p w14:paraId="66159CE3" w14:textId="34CF46DD" w:rsidR="00443D6E" w:rsidRPr="00463702" w:rsidRDefault="00443D6E" w:rsidP="00DC1F53">
            <w:pPr>
              <w:pStyle w:val="Normalgrey"/>
              <w:cnfStyle w:val="000000010000" w:firstRow="0" w:lastRow="0" w:firstColumn="0" w:lastColumn="0" w:oddVBand="0" w:evenVBand="0" w:oddHBand="0" w:evenHBand="1" w:firstRowFirstColumn="0" w:firstRowLastColumn="0" w:lastRowFirstColumn="0" w:lastRowLastColumn="0"/>
              <w:rPr>
                <w:snapToGrid w:val="0"/>
                <w:lang w:val="en-US"/>
              </w:rPr>
            </w:pPr>
            <w:r w:rsidRPr="005E04BF">
              <w:rPr>
                <w:snapToGrid w:val="0"/>
              </w:rPr>
              <w:t xml:space="preserve">Purchased internal-use software may comprise of components with differing accounting treatment (refer to Appendix 1). Where accounting treatment differs, the total purchase price </w:t>
            </w:r>
            <w:r>
              <w:rPr>
                <w:snapToGrid w:val="0"/>
              </w:rPr>
              <w:t>shall</w:t>
            </w:r>
            <w:r w:rsidRPr="005E04BF">
              <w:rPr>
                <w:snapToGrid w:val="0"/>
              </w:rPr>
              <w:t xml:space="preserve"> be proportionately allocated to each component of the software based on its cost.</w:t>
            </w:r>
          </w:p>
        </w:tc>
      </w:tr>
      <w:tr w:rsidR="00443D6E" w:rsidRPr="00E10ADB" w14:paraId="30AC32DF" w14:textId="77777777" w:rsidTr="00DC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404ECA7" w14:textId="77777777" w:rsidR="00443D6E" w:rsidRPr="00E2009B" w:rsidRDefault="00443D6E" w:rsidP="00DE779D">
            <w:pPr>
              <w:pStyle w:val="Normalgrey"/>
            </w:pPr>
          </w:p>
        </w:tc>
        <w:tc>
          <w:tcPr>
            <w:tcW w:w="270" w:type="dxa"/>
          </w:tcPr>
          <w:p w14:paraId="7BF7C351" w14:textId="77777777" w:rsidR="00443D6E" w:rsidRPr="00FE176F" w:rsidRDefault="00443D6E" w:rsidP="00493B55">
            <w:pPr>
              <w:pStyle w:val="Normalgrey"/>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540" w:type="dxa"/>
          </w:tcPr>
          <w:p w14:paraId="6B0CF5FB" w14:textId="77777777" w:rsidR="00443D6E" w:rsidRPr="00FE176F" w:rsidRDefault="00443D6E" w:rsidP="00463702">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34" w:type="dxa"/>
          </w:tcPr>
          <w:p w14:paraId="6B458C40" w14:textId="77777777" w:rsidR="00443D6E" w:rsidRPr="000A0D83" w:rsidRDefault="00443D6E" w:rsidP="00DC1F53">
            <w:pPr>
              <w:pStyle w:val="Normalgrey"/>
              <w:cnfStyle w:val="000000100000" w:firstRow="0" w:lastRow="0" w:firstColumn="0" w:lastColumn="0" w:oddVBand="0" w:evenVBand="0" w:oddHBand="1" w:evenHBand="0" w:firstRowFirstColumn="0" w:firstRowLastColumn="0" w:lastRowFirstColumn="0" w:lastRowLastColumn="0"/>
              <w:rPr>
                <w:snapToGrid w:val="0"/>
                <w:lang w:val="en-US"/>
              </w:rPr>
            </w:pPr>
            <w:r w:rsidRPr="000A0D83">
              <w:rPr>
                <w:snapToGrid w:val="0"/>
              </w:rPr>
              <w:t>Internally developed internal</w:t>
            </w:r>
            <w:r w:rsidRPr="000A0D83">
              <w:rPr>
                <w:snapToGrid w:val="0"/>
              </w:rPr>
              <w:noBreakHyphen/>
              <w:t>use software usually involves three stages:</w:t>
            </w:r>
          </w:p>
          <w:p w14:paraId="66226D02" w14:textId="77777777" w:rsidR="00443D6E" w:rsidRPr="00161A89" w:rsidRDefault="00443D6E" w:rsidP="00463702">
            <w:pPr>
              <w:pStyle w:val="List1grey"/>
              <w:numPr>
                <w:ilvl w:val="3"/>
                <w:numId w:val="13"/>
              </w:numPr>
              <w:cnfStyle w:val="000000100000" w:firstRow="0" w:lastRow="0" w:firstColumn="0" w:lastColumn="0" w:oddVBand="0" w:evenVBand="0" w:oddHBand="1" w:evenHBand="0" w:firstRowFirstColumn="0" w:firstRowLastColumn="0" w:lastRowFirstColumn="0" w:lastRowLastColumn="0"/>
              <w:rPr>
                <w:snapToGrid w:val="0"/>
                <w:lang w:val="en-US"/>
              </w:rPr>
            </w:pPr>
            <w:r w:rsidRPr="00161A89">
              <w:rPr>
                <w:snapToGrid w:val="0"/>
              </w:rPr>
              <w:t>preliminary</w:t>
            </w:r>
            <w:r w:rsidRPr="00161A89">
              <w:rPr>
                <w:snapToGrid w:val="0"/>
                <w:lang w:val="en-US"/>
              </w:rPr>
              <w:t xml:space="preserve"> project stage – costs to be expensed;</w:t>
            </w:r>
          </w:p>
          <w:p w14:paraId="51BCC602" w14:textId="77777777" w:rsidR="00443D6E" w:rsidRPr="000A0D83" w:rsidRDefault="00443D6E" w:rsidP="00463702">
            <w:pPr>
              <w:pStyle w:val="List1grey"/>
              <w:cnfStyle w:val="000000100000" w:firstRow="0" w:lastRow="0" w:firstColumn="0" w:lastColumn="0" w:oddVBand="0" w:evenVBand="0" w:oddHBand="1" w:evenHBand="0" w:firstRowFirstColumn="0" w:firstRowLastColumn="0" w:lastRowFirstColumn="0" w:lastRowLastColumn="0"/>
              <w:rPr>
                <w:snapToGrid w:val="0"/>
                <w:lang w:val="en-US"/>
              </w:rPr>
            </w:pPr>
            <w:r w:rsidRPr="000A0D83">
              <w:rPr>
                <w:snapToGrid w:val="0"/>
              </w:rPr>
              <w:t>application</w:t>
            </w:r>
            <w:r w:rsidRPr="000A0D83">
              <w:rPr>
                <w:snapToGrid w:val="0"/>
                <w:lang w:val="en-US"/>
              </w:rPr>
              <w:t xml:space="preserve"> development stage – costs to be capitalised or expensed; and</w:t>
            </w:r>
          </w:p>
          <w:p w14:paraId="5205243A" w14:textId="77777777" w:rsidR="00443D6E" w:rsidRPr="000A0D83" w:rsidRDefault="00443D6E" w:rsidP="00463702">
            <w:pPr>
              <w:pStyle w:val="List1grey"/>
              <w:cnfStyle w:val="000000100000" w:firstRow="0" w:lastRow="0" w:firstColumn="0" w:lastColumn="0" w:oddVBand="0" w:evenVBand="0" w:oddHBand="1" w:evenHBand="0" w:firstRowFirstColumn="0" w:firstRowLastColumn="0" w:lastRowFirstColumn="0" w:lastRowLastColumn="0"/>
              <w:rPr>
                <w:snapToGrid w:val="0"/>
                <w:lang w:val="en-US"/>
              </w:rPr>
            </w:pPr>
            <w:r w:rsidRPr="000A0D83">
              <w:rPr>
                <w:snapToGrid w:val="0"/>
                <w:lang w:val="en-US"/>
              </w:rPr>
              <w:t>post-</w:t>
            </w:r>
            <w:r w:rsidRPr="000A0D83">
              <w:rPr>
                <w:snapToGrid w:val="0"/>
              </w:rPr>
              <w:t>implementation</w:t>
            </w:r>
            <w:r w:rsidRPr="000A0D83">
              <w:rPr>
                <w:snapToGrid w:val="0"/>
                <w:lang w:val="en-US"/>
              </w:rPr>
              <w:t>/operation stage – costs to be expensed.</w:t>
            </w:r>
          </w:p>
          <w:p w14:paraId="2A4B9552" w14:textId="77777777" w:rsidR="00443D6E" w:rsidRPr="000A0D83" w:rsidRDefault="00443D6E" w:rsidP="00DC1F53">
            <w:pPr>
              <w:pStyle w:val="Normalgrey"/>
              <w:cnfStyle w:val="000000100000" w:firstRow="0" w:lastRow="0" w:firstColumn="0" w:lastColumn="0" w:oddVBand="0" w:evenVBand="0" w:oddHBand="1" w:evenHBand="0" w:firstRowFirstColumn="0" w:firstRowLastColumn="0" w:lastRowFirstColumn="0" w:lastRowLastColumn="0"/>
              <w:rPr>
                <w:snapToGrid w:val="0"/>
                <w:lang w:val="en-GB"/>
              </w:rPr>
            </w:pPr>
            <w:r w:rsidRPr="000A0D83">
              <w:rPr>
                <w:snapToGrid w:val="0"/>
                <w:lang w:val="en-US"/>
              </w:rPr>
              <w:t>(</w:t>
            </w:r>
            <w:r w:rsidRPr="000A0D83">
              <w:rPr>
                <w:snapToGrid w:val="0"/>
                <w:lang w:val="en-GB"/>
              </w:rPr>
              <w:t>Refer</w:t>
            </w:r>
            <w:r w:rsidRPr="000A0D83">
              <w:rPr>
                <w:snapToGrid w:val="0"/>
                <w:lang w:val="en-US"/>
              </w:rPr>
              <w:t xml:space="preserve"> </w:t>
            </w:r>
            <w:r>
              <w:rPr>
                <w:snapToGrid w:val="0"/>
                <w:lang w:val="en-US"/>
              </w:rPr>
              <w:t xml:space="preserve">to </w:t>
            </w:r>
            <w:r w:rsidRPr="000A0D83">
              <w:rPr>
                <w:snapToGrid w:val="0"/>
                <w:lang w:val="en-US"/>
              </w:rPr>
              <w:t>Appendix 1 below for additional guidance)</w:t>
            </w:r>
          </w:p>
        </w:tc>
      </w:tr>
      <w:tr w:rsidR="00443D6E" w:rsidRPr="00E10ADB" w14:paraId="6F02A92C" w14:textId="77777777" w:rsidTr="00DC1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92864CF" w14:textId="77777777" w:rsidR="00443D6E" w:rsidRPr="00E2009B" w:rsidRDefault="00443D6E" w:rsidP="00DE779D">
            <w:pPr>
              <w:pStyle w:val="Normalgrey"/>
            </w:pPr>
          </w:p>
        </w:tc>
        <w:tc>
          <w:tcPr>
            <w:tcW w:w="270" w:type="dxa"/>
          </w:tcPr>
          <w:p w14:paraId="7DB04432" w14:textId="77777777" w:rsidR="00443D6E" w:rsidRPr="00FE176F" w:rsidRDefault="00443D6E" w:rsidP="00493B55">
            <w:pPr>
              <w:pStyle w:val="Normalgrey"/>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540" w:type="dxa"/>
          </w:tcPr>
          <w:p w14:paraId="6E351AB0" w14:textId="77777777" w:rsidR="00443D6E" w:rsidRPr="00FE176F" w:rsidRDefault="00443D6E" w:rsidP="00463702">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34" w:type="dxa"/>
          </w:tcPr>
          <w:p w14:paraId="064DBAC4" w14:textId="172A2924" w:rsidR="00443D6E" w:rsidRPr="000A0D83" w:rsidRDefault="00443D6E" w:rsidP="00DC1F53">
            <w:pPr>
              <w:pStyle w:val="Normalgrey"/>
              <w:cnfStyle w:val="000000010000" w:firstRow="0" w:lastRow="0" w:firstColumn="0" w:lastColumn="0" w:oddVBand="0" w:evenVBand="0" w:oddHBand="0" w:evenHBand="1" w:firstRowFirstColumn="0" w:firstRowLastColumn="0" w:lastRowFirstColumn="0" w:lastRowLastColumn="0"/>
              <w:rPr>
                <w:snapToGrid w:val="0"/>
                <w:lang w:val="en-GB"/>
              </w:rPr>
            </w:pPr>
            <w:r w:rsidRPr="00FF7DCA">
              <w:rPr>
                <w:snapToGrid w:val="0"/>
              </w:rPr>
              <w:t>Internally developed internal-use software may comprise of more than one component, for example, the development of an accounting software system may consist of three components: general ledger, accounts payable sub</w:t>
            </w:r>
            <w:r w:rsidRPr="00FF7DCA">
              <w:rPr>
                <w:snapToGrid w:val="0"/>
              </w:rPr>
              <w:noBreakHyphen/>
              <w:t xml:space="preserve">ledger and an accounts receivable sub-ledger. Where this is the case, each component of the system </w:t>
            </w:r>
            <w:r>
              <w:rPr>
                <w:snapToGrid w:val="0"/>
              </w:rPr>
              <w:t>shall</w:t>
            </w:r>
            <w:r w:rsidRPr="00FF7DCA">
              <w:rPr>
                <w:snapToGrid w:val="0"/>
              </w:rPr>
              <w:t xml:space="preserve"> be accounted for as a separate component and accounted for in accordance with this FRD.</w:t>
            </w:r>
          </w:p>
        </w:tc>
      </w:tr>
      <w:tr w:rsidR="00443D6E" w:rsidRPr="00E10ADB" w14:paraId="23726EE1" w14:textId="77777777" w:rsidTr="00DC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420F11F" w14:textId="77777777" w:rsidR="00443D6E" w:rsidRPr="00E2009B" w:rsidRDefault="00443D6E" w:rsidP="00DE779D">
            <w:pPr>
              <w:pStyle w:val="Normalgrey"/>
            </w:pPr>
            <w:r w:rsidRPr="00E2009B">
              <w:t xml:space="preserve">Relevant </w:t>
            </w:r>
            <w:r>
              <w:t>p</w:t>
            </w:r>
            <w:r w:rsidRPr="00E2009B">
              <w:t>ronouncements</w:t>
            </w:r>
          </w:p>
        </w:tc>
        <w:tc>
          <w:tcPr>
            <w:tcW w:w="270" w:type="dxa"/>
          </w:tcPr>
          <w:p w14:paraId="0ECF2116" w14:textId="77777777" w:rsidR="00443D6E" w:rsidRPr="00521483" w:rsidRDefault="00443D6E" w:rsidP="00493B55">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3B34EEE8" w14:textId="574E32C4" w:rsidR="00443D6E" w:rsidRPr="00E2009B" w:rsidRDefault="00354A01" w:rsidP="00493B55">
            <w:pPr>
              <w:cnfStyle w:val="000000100000" w:firstRow="0" w:lastRow="0" w:firstColumn="0" w:lastColumn="0" w:oddVBand="0" w:evenVBand="0" w:oddHBand="1" w:evenHBand="0" w:firstRowFirstColumn="0" w:firstRowLastColumn="0" w:lastRowFirstColumn="0" w:lastRowLastColumn="0"/>
            </w:pPr>
            <w:r>
              <w:t>7.1</w:t>
            </w:r>
          </w:p>
        </w:tc>
        <w:tc>
          <w:tcPr>
            <w:tcW w:w="6134" w:type="dxa"/>
          </w:tcPr>
          <w:p w14:paraId="78BE10AC" w14:textId="7509B9E5" w:rsidR="00443D6E" w:rsidRPr="00E0796F" w:rsidRDefault="00443D6E" w:rsidP="00E0796F">
            <w:pPr>
              <w:pStyle w:val="Bullet1grey"/>
              <w:cnfStyle w:val="000000100000" w:firstRow="0" w:lastRow="0" w:firstColumn="0" w:lastColumn="0" w:oddVBand="0" w:evenVBand="0" w:oddHBand="1" w:evenHBand="0" w:firstRowFirstColumn="0" w:firstRowLastColumn="0" w:lastRowFirstColumn="0" w:lastRowLastColumn="0"/>
            </w:pPr>
            <w:r w:rsidRPr="00E0796F">
              <w:t xml:space="preserve">AASB 101 </w:t>
            </w:r>
            <w:r w:rsidRPr="00E0796F">
              <w:rPr>
                <w:i/>
                <w:iCs/>
              </w:rPr>
              <w:t>Presentation of Financial Statements</w:t>
            </w:r>
          </w:p>
          <w:p w14:paraId="2E9280E2" w14:textId="112D6BF2" w:rsidR="00443D6E" w:rsidRPr="00E0796F" w:rsidRDefault="00443D6E" w:rsidP="00E0796F">
            <w:pPr>
              <w:pStyle w:val="Bullet1grey"/>
              <w:cnfStyle w:val="000000100000" w:firstRow="0" w:lastRow="0" w:firstColumn="0" w:lastColumn="0" w:oddVBand="0" w:evenVBand="0" w:oddHBand="1" w:evenHBand="0" w:firstRowFirstColumn="0" w:firstRowLastColumn="0" w:lastRowFirstColumn="0" w:lastRowLastColumn="0"/>
            </w:pPr>
            <w:r w:rsidRPr="00E0796F">
              <w:t xml:space="preserve">AASB 136 </w:t>
            </w:r>
            <w:r w:rsidRPr="00E0796F">
              <w:rPr>
                <w:i/>
                <w:iCs/>
              </w:rPr>
              <w:t>Impairment of Assets</w:t>
            </w:r>
            <w:r w:rsidRPr="00E0796F">
              <w:t xml:space="preserve"> </w:t>
            </w:r>
          </w:p>
          <w:p w14:paraId="146517AF" w14:textId="1E145F84" w:rsidR="00443D6E" w:rsidRPr="00E0796F" w:rsidRDefault="00443D6E" w:rsidP="00E0796F">
            <w:pPr>
              <w:pStyle w:val="Bullet1grey"/>
              <w:cnfStyle w:val="000000100000" w:firstRow="0" w:lastRow="0" w:firstColumn="0" w:lastColumn="0" w:oddVBand="0" w:evenVBand="0" w:oddHBand="1" w:evenHBand="0" w:firstRowFirstColumn="0" w:firstRowLastColumn="0" w:lastRowFirstColumn="0" w:lastRowLastColumn="0"/>
            </w:pPr>
            <w:r w:rsidRPr="00E0796F">
              <w:t xml:space="preserve">AASB 138 </w:t>
            </w:r>
            <w:r w:rsidRPr="00E0796F">
              <w:rPr>
                <w:i/>
                <w:iCs/>
              </w:rPr>
              <w:t>Intangible Assets</w:t>
            </w:r>
            <w:r w:rsidRPr="00E0796F">
              <w:t xml:space="preserve"> </w:t>
            </w:r>
          </w:p>
          <w:p w14:paraId="4567353E" w14:textId="6918F945" w:rsidR="00113B6B" w:rsidRPr="00E2009B" w:rsidRDefault="00113B6B" w:rsidP="00E0796F">
            <w:pPr>
              <w:pStyle w:val="Bullet1grey"/>
              <w:cnfStyle w:val="000000100000" w:firstRow="0" w:lastRow="0" w:firstColumn="0" w:lastColumn="0" w:oddVBand="0" w:evenVBand="0" w:oddHBand="1" w:evenHBand="0" w:firstRowFirstColumn="0" w:firstRowLastColumn="0" w:lastRowFirstColumn="0" w:lastRowLastColumn="0"/>
            </w:pPr>
            <w:r w:rsidRPr="00E0796F">
              <w:t xml:space="preserve">AASB 1059 </w:t>
            </w:r>
            <w:r w:rsidRPr="00E0796F">
              <w:rPr>
                <w:i/>
                <w:iCs/>
              </w:rPr>
              <w:t>Service Concession Arrangements: Grantors</w:t>
            </w:r>
            <w:r w:rsidRPr="00E0796F">
              <w:t xml:space="preserve"> </w:t>
            </w:r>
          </w:p>
        </w:tc>
      </w:tr>
      <w:tr w:rsidR="00443D6E" w:rsidRPr="00E10ADB" w14:paraId="59807A67" w14:textId="77777777" w:rsidTr="00DC1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8148208" w14:textId="77777777" w:rsidR="00443D6E" w:rsidRPr="00E2009B" w:rsidRDefault="00443D6E" w:rsidP="00DE779D">
            <w:pPr>
              <w:pStyle w:val="Normalgrey"/>
            </w:pPr>
            <w:r w:rsidRPr="00E2009B">
              <w:t>Background</w:t>
            </w:r>
          </w:p>
        </w:tc>
        <w:tc>
          <w:tcPr>
            <w:tcW w:w="270" w:type="dxa"/>
          </w:tcPr>
          <w:p w14:paraId="45CD5402" w14:textId="77777777" w:rsidR="00443D6E" w:rsidRPr="00521483" w:rsidRDefault="00443D6E" w:rsidP="00493B55">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711CA82A" w14:textId="19F6A7A7" w:rsidR="00443D6E" w:rsidRPr="00472918" w:rsidRDefault="00354A01" w:rsidP="00493B55">
            <w:pPr>
              <w:cnfStyle w:val="000000010000" w:firstRow="0" w:lastRow="0" w:firstColumn="0" w:lastColumn="0" w:oddVBand="0" w:evenVBand="0" w:oddHBand="0" w:evenHBand="1" w:firstRowFirstColumn="0" w:firstRowLastColumn="0" w:lastRowFirstColumn="0" w:lastRowLastColumn="0"/>
            </w:pPr>
            <w:r>
              <w:t>8.1</w:t>
            </w:r>
          </w:p>
        </w:tc>
        <w:tc>
          <w:tcPr>
            <w:tcW w:w="6134" w:type="dxa"/>
          </w:tcPr>
          <w:p w14:paraId="736C527C" w14:textId="6C880175" w:rsidR="00443D6E" w:rsidRDefault="00443D6E" w:rsidP="00DC1F53">
            <w:pPr>
              <w:pStyle w:val="Normalgrey"/>
              <w:cnfStyle w:val="000000010000" w:firstRow="0" w:lastRow="0" w:firstColumn="0" w:lastColumn="0" w:oddVBand="0" w:evenVBand="0" w:oddHBand="0" w:evenHBand="1" w:firstRowFirstColumn="0" w:firstRowLastColumn="0" w:lastRowFirstColumn="0" w:lastRowLastColumn="0"/>
            </w:pPr>
            <w:r>
              <w:t xml:space="preserve">AASB 138 requires an entity to measure its intangible assets after </w:t>
            </w:r>
            <w:r w:rsidR="00113B6B">
              <w:t xml:space="preserve">initial </w:t>
            </w:r>
            <w:r>
              <w:t>recognition using either the cost model or the revaluation model.</w:t>
            </w:r>
          </w:p>
          <w:p w14:paraId="1DA5495F" w14:textId="42150BA2" w:rsidR="00443D6E" w:rsidRDefault="00443D6E" w:rsidP="00DC1F53">
            <w:pPr>
              <w:pStyle w:val="Normalgrey"/>
              <w:cnfStyle w:val="000000010000" w:firstRow="0" w:lastRow="0" w:firstColumn="0" w:lastColumn="0" w:oddVBand="0" w:evenVBand="0" w:oddHBand="0" w:evenHBand="1" w:firstRowFirstColumn="0" w:firstRowLastColumn="0" w:lastRowFirstColumn="0" w:lastRowLastColumn="0"/>
            </w:pPr>
            <w:r>
              <w:t>This FRD limits the choice provided by the AASB in relation to the above two models. The cost model has been determined to be the most efficient and appropriate method of reporting across government</w:t>
            </w:r>
            <w:r w:rsidR="00113B6B">
              <w:t>, except for intangible assets that are recognised in accordance with AASB 1059 as service concession assets</w:t>
            </w:r>
            <w:r w:rsidR="00506F26">
              <w:t>, which are required to be measured after initial recognition using the revaluation model</w:t>
            </w:r>
            <w:r>
              <w:t>.</w:t>
            </w:r>
          </w:p>
          <w:p w14:paraId="49CD0688" w14:textId="1E1D2246" w:rsidR="00506F26" w:rsidRPr="00E2009B" w:rsidRDefault="00443D6E" w:rsidP="00262509">
            <w:pPr>
              <w:pStyle w:val="Normalgrey"/>
              <w:cnfStyle w:val="000000010000" w:firstRow="0" w:lastRow="0" w:firstColumn="0" w:lastColumn="0" w:oddVBand="0" w:evenVBand="0" w:oddHBand="0" w:evenHBand="1" w:firstRowFirstColumn="0" w:firstRowLastColumn="0" w:lastRowFirstColumn="0" w:lastRowLastColumn="0"/>
            </w:pPr>
            <w:r>
              <w:t>This FRD requires that intangible items be capitalised where the amount meets the capitalisation threshold that is material to the entity and outlines factors to be considered in determining the capitalisation threshold.</w:t>
            </w:r>
          </w:p>
        </w:tc>
      </w:tr>
      <w:tr w:rsidR="00354A01" w:rsidRPr="00E10ADB" w14:paraId="0633BE49" w14:textId="77777777" w:rsidTr="00DC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2A78F95" w14:textId="77777777" w:rsidR="00354A01" w:rsidRPr="00E2009B" w:rsidRDefault="00354A01" w:rsidP="00DE779D">
            <w:pPr>
              <w:pStyle w:val="Normalgrey"/>
            </w:pPr>
          </w:p>
        </w:tc>
        <w:tc>
          <w:tcPr>
            <w:tcW w:w="270" w:type="dxa"/>
          </w:tcPr>
          <w:p w14:paraId="213C3FFE" w14:textId="77777777" w:rsidR="00354A01" w:rsidRPr="00521483" w:rsidRDefault="00354A01" w:rsidP="00493B55">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1F6FA64D" w14:textId="6AE6F9A2" w:rsidR="00354A01" w:rsidRPr="00472918" w:rsidRDefault="00354A01" w:rsidP="00493B55">
            <w:pPr>
              <w:cnfStyle w:val="000000100000" w:firstRow="0" w:lastRow="0" w:firstColumn="0" w:lastColumn="0" w:oddVBand="0" w:evenVBand="0" w:oddHBand="1" w:evenHBand="0" w:firstRowFirstColumn="0" w:firstRowLastColumn="0" w:lastRowFirstColumn="0" w:lastRowLastColumn="0"/>
            </w:pPr>
            <w:r>
              <w:t>8.2</w:t>
            </w:r>
          </w:p>
        </w:tc>
        <w:tc>
          <w:tcPr>
            <w:tcW w:w="6134" w:type="dxa"/>
          </w:tcPr>
          <w:p w14:paraId="251BB8F0" w14:textId="77777777" w:rsidR="00E65598" w:rsidRDefault="00354A01" w:rsidP="00354A01">
            <w:pPr>
              <w:pStyle w:val="Normalgrey"/>
              <w:cnfStyle w:val="000000100000" w:firstRow="0" w:lastRow="0" w:firstColumn="0" w:lastColumn="0" w:oddVBand="0" w:evenVBand="0" w:oddHBand="1" w:evenHBand="0" w:firstRowFirstColumn="0" w:firstRowLastColumn="0" w:lastRowFirstColumn="0" w:lastRowLastColumn="0"/>
            </w:pPr>
            <w:r w:rsidRPr="00DC1F53">
              <w:t xml:space="preserve">This FRD was initially issued in December 2004 to provide guidance for the preparation of the </w:t>
            </w:r>
            <w:r w:rsidRPr="00546446">
              <w:rPr>
                <w:i/>
                <w:iCs/>
              </w:rPr>
              <w:t>2005</w:t>
            </w:r>
            <w:r w:rsidRPr="00546446">
              <w:rPr>
                <w:i/>
                <w:iCs/>
              </w:rPr>
              <w:noBreakHyphen/>
              <w:t>06 Budget</w:t>
            </w:r>
            <w:r w:rsidRPr="00DC1F53">
              <w:t>. It was revised in</w:t>
            </w:r>
            <w:r w:rsidR="00E65598">
              <w:t>:</w:t>
            </w:r>
          </w:p>
          <w:p w14:paraId="6D5675F4" w14:textId="66E3A3A3" w:rsidR="00354A01" w:rsidRDefault="00354A01" w:rsidP="00E65598">
            <w:pPr>
              <w:pStyle w:val="Bullet1grey"/>
              <w:cnfStyle w:val="000000100000" w:firstRow="0" w:lastRow="0" w:firstColumn="0" w:lastColumn="0" w:oddVBand="0" w:evenVBand="0" w:oddHBand="1" w:evenHBand="0" w:firstRowFirstColumn="0" w:firstRowLastColumn="0" w:lastRowFirstColumn="0" w:lastRowLastColumn="0"/>
            </w:pPr>
            <w:r w:rsidRPr="00DC1F53">
              <w:t>February 2005 to remove the recommended capitalisation threshold.</w:t>
            </w:r>
          </w:p>
          <w:p w14:paraId="471FA00C" w14:textId="77777777" w:rsidR="00354A01" w:rsidRDefault="00354A01" w:rsidP="00354A01">
            <w:pPr>
              <w:pStyle w:val="Bullet1grey"/>
              <w:cnfStyle w:val="000000100000" w:firstRow="0" w:lastRow="0" w:firstColumn="0" w:lastColumn="0" w:oddVBand="0" w:evenVBand="0" w:oddHBand="1" w:evenHBand="0" w:firstRowFirstColumn="0" w:firstRowLastColumn="0" w:lastRowFirstColumn="0" w:lastRowLastColumn="0"/>
            </w:pPr>
            <w:r>
              <w:t>June 2016 to:</w:t>
            </w:r>
          </w:p>
          <w:p w14:paraId="67E10983" w14:textId="780A102A" w:rsidR="00354A01" w:rsidRDefault="00354A01" w:rsidP="00354A01">
            <w:pPr>
              <w:pStyle w:val="Bullet2grey"/>
              <w:cnfStyle w:val="000000100000" w:firstRow="0" w:lastRow="0" w:firstColumn="0" w:lastColumn="0" w:oddVBand="0" w:evenVBand="0" w:oddHBand="1" w:evenHBand="0" w:firstRowFirstColumn="0" w:firstRowLastColumn="0" w:lastRowFirstColumn="0" w:lastRowLastColumn="0"/>
            </w:pPr>
            <w:r>
              <w:t>Remove first-time adoption requirements as they are no longer required</w:t>
            </w:r>
            <w:r w:rsidR="00E65598">
              <w:t>;</w:t>
            </w:r>
          </w:p>
          <w:p w14:paraId="569A39F0" w14:textId="1B2C3648" w:rsidR="00354A01" w:rsidRDefault="00354A01" w:rsidP="00354A01">
            <w:pPr>
              <w:pStyle w:val="Bullet2grey"/>
              <w:cnfStyle w:val="000000100000" w:firstRow="0" w:lastRow="0" w:firstColumn="0" w:lastColumn="0" w:oddVBand="0" w:evenVBand="0" w:oddHBand="1" w:evenHBand="0" w:firstRowFirstColumn="0" w:firstRowLastColumn="0" w:lastRowFirstColumn="0" w:lastRowLastColumn="0"/>
            </w:pPr>
            <w:r>
              <w:t xml:space="preserve">Remove </w:t>
            </w:r>
            <w:r w:rsidRPr="00A21482">
              <w:t xml:space="preserve">the ‘Model for Disclosure within Financial Report’ section </w:t>
            </w:r>
            <w:r>
              <w:t>as this disclosure has been</w:t>
            </w:r>
            <w:r w:rsidRPr="00A21482">
              <w:t xml:space="preserve"> included in the </w:t>
            </w:r>
            <w:r w:rsidRPr="00116D96">
              <w:rPr>
                <w:i/>
              </w:rPr>
              <w:t>Model Report for Victorian Government Departments</w:t>
            </w:r>
            <w:r w:rsidR="00E65598">
              <w:t>; and</w:t>
            </w:r>
          </w:p>
          <w:p w14:paraId="690BAC00" w14:textId="35ACE68C" w:rsidR="00354A01" w:rsidRDefault="00354A01" w:rsidP="00354A01">
            <w:pPr>
              <w:pStyle w:val="Bullet2grey"/>
              <w:cnfStyle w:val="000000100000" w:firstRow="0" w:lastRow="0" w:firstColumn="0" w:lastColumn="0" w:oddVBand="0" w:evenVBand="0" w:oddHBand="1" w:evenHBand="0" w:firstRowFirstColumn="0" w:firstRowLastColumn="0" w:lastRowFirstColumn="0" w:lastRowLastColumn="0"/>
            </w:pPr>
            <w:r>
              <w:t>Remove the reference to AASB 1031 as the standard has been withdrawn.</w:t>
            </w:r>
          </w:p>
          <w:p w14:paraId="194BA633" w14:textId="7788271F" w:rsidR="00354A01" w:rsidRDefault="00354A01" w:rsidP="00E65598">
            <w:pPr>
              <w:pStyle w:val="Bullet1grey"/>
              <w:cnfStyle w:val="000000100000" w:firstRow="0" w:lastRow="0" w:firstColumn="0" w:lastColumn="0" w:oddVBand="0" w:evenVBand="0" w:oddHBand="1" w:evenHBand="0" w:firstRowFirstColumn="0" w:firstRowLastColumn="0" w:lastRowFirstColumn="0" w:lastRowLastColumn="0"/>
            </w:pPr>
            <w:r>
              <w:t>July 2019 to reflect that intangible assets recognised as service concession assets under AASB 1059, must be recognised using the revaluation model as opposed to the cost model after initial recognition</w:t>
            </w:r>
            <w:r w:rsidR="00E65598">
              <w:t>, following the application of AASB 1059</w:t>
            </w:r>
            <w:r>
              <w:t>.</w:t>
            </w:r>
          </w:p>
        </w:tc>
      </w:tr>
    </w:tbl>
    <w:p w14:paraId="59F01767" w14:textId="77777777" w:rsidR="00CD6D3B" w:rsidRPr="00CD6D3B" w:rsidRDefault="00CD6D3B" w:rsidP="00CD6D3B"/>
    <w:p w14:paraId="2E03D169" w14:textId="77777777" w:rsidR="00CD6D3B" w:rsidRPr="00CD6D3B" w:rsidRDefault="00CD6D3B" w:rsidP="00CD6D3B">
      <w:r w:rsidRPr="00CD6D3B">
        <w:br w:type="page"/>
      </w:r>
    </w:p>
    <w:p w14:paraId="0E194044" w14:textId="6ABE9FC2" w:rsidR="00BD71D7" w:rsidRPr="00F63F8D" w:rsidRDefault="00BD71D7" w:rsidP="00443D6E">
      <w:pPr>
        <w:pStyle w:val="Heading1"/>
        <w:spacing w:before="200" w:after="200"/>
      </w:pPr>
      <w:r w:rsidRPr="00F63F8D">
        <w:lastRenderedPageBreak/>
        <w:t>Appendix 1</w:t>
      </w:r>
      <w:r w:rsidR="00F63F8D">
        <w:t xml:space="preserve"> – </w:t>
      </w:r>
      <w:r>
        <w:t>Guidance on type and accounting treatment for activities in each of the three stages of developing internal-use software</w:t>
      </w:r>
    </w:p>
    <w:tbl>
      <w:tblPr>
        <w:tblStyle w:val="DTFtexttable"/>
        <w:tblW w:w="9555" w:type="dxa"/>
        <w:tblLayout w:type="fixed"/>
        <w:tblLook w:val="0020" w:firstRow="1" w:lastRow="0" w:firstColumn="0" w:lastColumn="0" w:noHBand="0" w:noVBand="0"/>
      </w:tblPr>
      <w:tblGrid>
        <w:gridCol w:w="1415"/>
        <w:gridCol w:w="3037"/>
        <w:gridCol w:w="5103"/>
      </w:tblGrid>
      <w:tr w:rsidR="00BD71D7" w:rsidRPr="00245A16" w14:paraId="2D7BCFD6" w14:textId="77777777" w:rsidTr="00E0796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5" w:type="dxa"/>
          </w:tcPr>
          <w:p w14:paraId="79C33BA1" w14:textId="77777777" w:rsidR="00BD71D7" w:rsidRPr="00245A16" w:rsidRDefault="00BD71D7" w:rsidP="00443D6E">
            <w:pPr>
              <w:pStyle w:val="Tableheader"/>
            </w:pPr>
            <w:r w:rsidRPr="00245A16">
              <w:t>Stages of development</w:t>
            </w:r>
          </w:p>
        </w:tc>
        <w:tc>
          <w:tcPr>
            <w:cnfStyle w:val="000001000000" w:firstRow="0" w:lastRow="0" w:firstColumn="0" w:lastColumn="0" w:oddVBand="0" w:evenVBand="1" w:oddHBand="0" w:evenHBand="0" w:firstRowFirstColumn="0" w:firstRowLastColumn="0" w:lastRowFirstColumn="0" w:lastRowLastColumn="0"/>
            <w:tcW w:w="3037" w:type="dxa"/>
          </w:tcPr>
          <w:p w14:paraId="51D381E7" w14:textId="77777777" w:rsidR="00BD71D7" w:rsidRPr="00245A16" w:rsidRDefault="00BD71D7" w:rsidP="00443D6E">
            <w:pPr>
              <w:pStyle w:val="Tableheader"/>
            </w:pPr>
            <w:r w:rsidRPr="00245A16">
              <w:t>Related activities</w:t>
            </w:r>
          </w:p>
        </w:tc>
        <w:tc>
          <w:tcPr>
            <w:cnfStyle w:val="000010000000" w:firstRow="0" w:lastRow="0" w:firstColumn="0" w:lastColumn="0" w:oddVBand="1" w:evenVBand="0" w:oddHBand="0" w:evenHBand="0" w:firstRowFirstColumn="0" w:firstRowLastColumn="0" w:lastRowFirstColumn="0" w:lastRowLastColumn="0"/>
            <w:tcW w:w="5103" w:type="dxa"/>
          </w:tcPr>
          <w:p w14:paraId="3A2B62D8" w14:textId="77777777" w:rsidR="00BD71D7" w:rsidRPr="00245A16" w:rsidRDefault="00BD71D7" w:rsidP="00443D6E">
            <w:pPr>
              <w:pStyle w:val="Tableheader"/>
              <w:rPr>
                <w:b w:val="0"/>
                <w:bCs/>
              </w:rPr>
            </w:pPr>
            <w:r w:rsidRPr="00245A16">
              <w:rPr>
                <w:bCs/>
              </w:rPr>
              <w:t>Accounting treatment</w:t>
            </w:r>
          </w:p>
        </w:tc>
      </w:tr>
      <w:tr w:rsidR="00BD71D7" w:rsidRPr="00CD6D3B" w14:paraId="7FBC570F" w14:textId="77777777" w:rsidTr="00E07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5" w:type="dxa"/>
          </w:tcPr>
          <w:p w14:paraId="01E116A5" w14:textId="77777777" w:rsidR="00BD71D7" w:rsidRPr="00CD6D3B" w:rsidRDefault="00BD71D7" w:rsidP="00CD6D3B">
            <w:pPr>
              <w:pStyle w:val="Normalgrey"/>
              <w:spacing w:before="80"/>
              <w:rPr>
                <w:sz w:val="17"/>
                <w:szCs w:val="17"/>
              </w:rPr>
            </w:pPr>
            <w:r w:rsidRPr="00CD6D3B">
              <w:rPr>
                <w:sz w:val="17"/>
                <w:szCs w:val="17"/>
              </w:rPr>
              <w:t>Preliminary project stage</w:t>
            </w:r>
          </w:p>
        </w:tc>
        <w:tc>
          <w:tcPr>
            <w:cnfStyle w:val="000001000000" w:firstRow="0" w:lastRow="0" w:firstColumn="0" w:lastColumn="0" w:oddVBand="0" w:evenVBand="1" w:oddHBand="0" w:evenHBand="0" w:firstRowFirstColumn="0" w:firstRowLastColumn="0" w:lastRowFirstColumn="0" w:lastRowLastColumn="0"/>
            <w:tcW w:w="3037" w:type="dxa"/>
          </w:tcPr>
          <w:p w14:paraId="332E5983" w14:textId="77777777" w:rsidR="00BD71D7" w:rsidRPr="00CD6D3B" w:rsidRDefault="00BD71D7" w:rsidP="00CD6D3B">
            <w:pPr>
              <w:pStyle w:val="Bullet1grey"/>
              <w:spacing w:before="80"/>
              <w:rPr>
                <w:b/>
                <w:bCs/>
                <w:i/>
                <w:iCs/>
                <w:sz w:val="17"/>
                <w:szCs w:val="17"/>
              </w:rPr>
            </w:pPr>
            <w:r w:rsidRPr="00CD6D3B">
              <w:rPr>
                <w:b/>
                <w:bCs/>
                <w:i/>
                <w:iCs/>
                <w:sz w:val="17"/>
                <w:szCs w:val="17"/>
              </w:rPr>
              <w:t>Conceptual formulation of alternatives</w:t>
            </w:r>
            <w:r w:rsidRPr="00CD6D3B">
              <w:rPr>
                <w:snapToGrid w:val="0"/>
                <w:color w:val="000000"/>
                <w:sz w:val="17"/>
                <w:szCs w:val="17"/>
                <w:lang w:val="en-US"/>
              </w:rPr>
              <w:t xml:space="preserve"> – </w:t>
            </w:r>
            <w:r w:rsidRPr="00CD6D3B">
              <w:rPr>
                <w:sz w:val="17"/>
                <w:szCs w:val="17"/>
              </w:rPr>
              <w:t>examples include considering whether:</w:t>
            </w:r>
          </w:p>
          <w:p w14:paraId="142CB875" w14:textId="77777777" w:rsidR="00BD71D7" w:rsidRPr="00CD6D3B" w:rsidRDefault="00BD71D7" w:rsidP="00957AE9">
            <w:pPr>
              <w:pStyle w:val="Bullet2grey"/>
              <w:rPr>
                <w:snapToGrid w:val="0"/>
                <w:sz w:val="17"/>
                <w:szCs w:val="17"/>
                <w:lang w:val="en-US"/>
              </w:rPr>
            </w:pPr>
            <w:r w:rsidRPr="00CD6D3B">
              <w:rPr>
                <w:sz w:val="17"/>
                <w:szCs w:val="17"/>
              </w:rPr>
              <w:t xml:space="preserve">to develop a new </w:t>
            </w:r>
            <w:r w:rsidRPr="00CD6D3B">
              <w:rPr>
                <w:snapToGrid w:val="0"/>
                <w:sz w:val="17"/>
                <w:szCs w:val="17"/>
                <w:lang w:val="en-US"/>
              </w:rPr>
              <w:t>payroll system or direct efforts towards correcting existing problems</w:t>
            </w:r>
          </w:p>
          <w:p w14:paraId="12AD1E06" w14:textId="77777777" w:rsidR="00BD71D7" w:rsidRPr="00CD6D3B" w:rsidRDefault="00BD71D7" w:rsidP="00957AE9">
            <w:pPr>
              <w:pStyle w:val="Bullet2grey"/>
              <w:rPr>
                <w:sz w:val="17"/>
                <w:szCs w:val="17"/>
              </w:rPr>
            </w:pPr>
            <w:r w:rsidRPr="00CD6D3B">
              <w:rPr>
                <w:snapToGrid w:val="0"/>
                <w:sz w:val="17"/>
                <w:szCs w:val="17"/>
                <w:lang w:val="en-US"/>
              </w:rPr>
              <w:t xml:space="preserve">to run software </w:t>
            </w:r>
            <w:r w:rsidRPr="00CD6D3B">
              <w:rPr>
                <w:sz w:val="17"/>
                <w:szCs w:val="17"/>
              </w:rPr>
              <w:t>on a mainframe or on a client serve system</w:t>
            </w:r>
          </w:p>
          <w:p w14:paraId="16658487" w14:textId="77777777" w:rsidR="00BD71D7" w:rsidRPr="00CD6D3B" w:rsidRDefault="00BD71D7" w:rsidP="00957AE9">
            <w:pPr>
              <w:pStyle w:val="Bullet1grey"/>
              <w:rPr>
                <w:b/>
                <w:bCs/>
                <w:sz w:val="17"/>
                <w:szCs w:val="17"/>
              </w:rPr>
            </w:pPr>
            <w:r w:rsidRPr="00CD6D3B">
              <w:rPr>
                <w:b/>
                <w:bCs/>
                <w:sz w:val="17"/>
                <w:szCs w:val="17"/>
              </w:rPr>
              <w:t>Determination of existence of the required technologies</w:t>
            </w:r>
          </w:p>
          <w:p w14:paraId="4F99F94C" w14:textId="77777777" w:rsidR="00BD71D7" w:rsidRPr="00CD6D3B" w:rsidRDefault="00BD71D7" w:rsidP="00957AE9">
            <w:pPr>
              <w:pStyle w:val="Bullet1grey"/>
              <w:rPr>
                <w:sz w:val="17"/>
                <w:szCs w:val="17"/>
              </w:rPr>
            </w:pPr>
            <w:r w:rsidRPr="00CD6D3B">
              <w:rPr>
                <w:b/>
                <w:iCs/>
                <w:sz w:val="17"/>
                <w:szCs w:val="17"/>
              </w:rPr>
              <w:t>Final selection of alternatives</w:t>
            </w:r>
            <w:r w:rsidRPr="00CD6D3B">
              <w:rPr>
                <w:b/>
                <w:sz w:val="17"/>
                <w:szCs w:val="17"/>
              </w:rPr>
              <w:t xml:space="preserve"> </w:t>
            </w:r>
            <w:r w:rsidRPr="00CD6D3B">
              <w:rPr>
                <w:sz w:val="17"/>
                <w:szCs w:val="17"/>
              </w:rPr>
              <w:t>– examples include selecting vendors or consultants</w:t>
            </w:r>
          </w:p>
        </w:tc>
        <w:tc>
          <w:tcPr>
            <w:cnfStyle w:val="000010000000" w:firstRow="0" w:lastRow="0" w:firstColumn="0" w:lastColumn="0" w:oddVBand="1" w:evenVBand="0" w:oddHBand="0" w:evenHBand="0" w:firstRowFirstColumn="0" w:firstRowLastColumn="0" w:lastRowFirstColumn="0" w:lastRowLastColumn="0"/>
            <w:tcW w:w="5103" w:type="dxa"/>
          </w:tcPr>
          <w:p w14:paraId="60FDB2AC" w14:textId="77777777" w:rsidR="00BD71D7" w:rsidRPr="00CD6D3B" w:rsidRDefault="00BD71D7" w:rsidP="00CD6D3B">
            <w:pPr>
              <w:pStyle w:val="Normalgrey"/>
              <w:spacing w:before="80"/>
              <w:rPr>
                <w:sz w:val="17"/>
                <w:szCs w:val="17"/>
              </w:rPr>
            </w:pPr>
            <w:r w:rsidRPr="00CD6D3B">
              <w:rPr>
                <w:b/>
                <w:bCs/>
                <w:sz w:val="17"/>
                <w:szCs w:val="17"/>
              </w:rPr>
              <w:t>Expense</w:t>
            </w:r>
            <w:r w:rsidRPr="00CD6D3B">
              <w:rPr>
                <w:sz w:val="17"/>
                <w:szCs w:val="17"/>
              </w:rPr>
              <w:t xml:space="preserve"> all internal and external costs as incurred</w:t>
            </w:r>
          </w:p>
        </w:tc>
      </w:tr>
      <w:tr w:rsidR="00BD71D7" w:rsidRPr="00CD6D3B" w14:paraId="01CDBEB7" w14:textId="77777777" w:rsidTr="00E0796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5" w:type="dxa"/>
            <w:shd w:val="clear" w:color="auto" w:fill="F2F2F2" w:themeFill="background1" w:themeFillShade="F2"/>
          </w:tcPr>
          <w:p w14:paraId="7764CDD6" w14:textId="77777777" w:rsidR="00BD71D7" w:rsidRPr="00CD6D3B" w:rsidRDefault="00BD71D7" w:rsidP="00CD6D3B">
            <w:pPr>
              <w:pStyle w:val="Normalgrey"/>
              <w:spacing w:before="80"/>
              <w:rPr>
                <w:sz w:val="17"/>
                <w:szCs w:val="17"/>
              </w:rPr>
            </w:pPr>
            <w:r w:rsidRPr="00CD6D3B">
              <w:rPr>
                <w:sz w:val="17"/>
                <w:szCs w:val="17"/>
              </w:rPr>
              <w:t>Application development stage</w:t>
            </w:r>
          </w:p>
        </w:tc>
        <w:tc>
          <w:tcPr>
            <w:cnfStyle w:val="000001000000" w:firstRow="0" w:lastRow="0" w:firstColumn="0" w:lastColumn="0" w:oddVBand="0" w:evenVBand="1" w:oddHBand="0" w:evenHBand="0" w:firstRowFirstColumn="0" w:firstRowLastColumn="0" w:lastRowFirstColumn="0" w:lastRowLastColumn="0"/>
            <w:tcW w:w="3037" w:type="dxa"/>
            <w:shd w:val="clear" w:color="auto" w:fill="F2F2F2" w:themeFill="background1" w:themeFillShade="F2"/>
          </w:tcPr>
          <w:p w14:paraId="71398074" w14:textId="77777777" w:rsidR="00BD71D7" w:rsidRPr="00CD6D3B" w:rsidRDefault="00BD71D7" w:rsidP="00CD6D3B">
            <w:pPr>
              <w:pStyle w:val="Bullet1grey"/>
              <w:spacing w:before="80"/>
              <w:rPr>
                <w:b/>
                <w:bCs/>
                <w:i/>
                <w:iCs/>
                <w:sz w:val="17"/>
                <w:szCs w:val="17"/>
              </w:rPr>
            </w:pPr>
            <w:r w:rsidRPr="00CD6D3B">
              <w:rPr>
                <w:b/>
                <w:bCs/>
                <w:i/>
                <w:iCs/>
                <w:sz w:val="17"/>
                <w:szCs w:val="17"/>
              </w:rPr>
              <w:t>Design of chosen path</w:t>
            </w:r>
            <w:r w:rsidRPr="00CD6D3B">
              <w:rPr>
                <w:sz w:val="17"/>
                <w:szCs w:val="17"/>
              </w:rPr>
              <w:t xml:space="preserve"> – examples include software configuration and interfaces</w:t>
            </w:r>
          </w:p>
          <w:p w14:paraId="4601C9C4" w14:textId="77777777" w:rsidR="00BD71D7" w:rsidRPr="00CD6D3B" w:rsidRDefault="00BD71D7" w:rsidP="00957AE9">
            <w:pPr>
              <w:pStyle w:val="Bullet1grey"/>
              <w:rPr>
                <w:b/>
                <w:i/>
                <w:sz w:val="17"/>
                <w:szCs w:val="17"/>
              </w:rPr>
            </w:pPr>
            <w:r w:rsidRPr="00CD6D3B">
              <w:rPr>
                <w:b/>
                <w:i/>
                <w:sz w:val="17"/>
                <w:szCs w:val="17"/>
              </w:rPr>
              <w:t>Coding</w:t>
            </w:r>
          </w:p>
          <w:p w14:paraId="4DA64622" w14:textId="77777777" w:rsidR="00BD71D7" w:rsidRPr="00CD6D3B" w:rsidRDefault="00BD71D7" w:rsidP="00957AE9">
            <w:pPr>
              <w:pStyle w:val="Bullet1grey"/>
              <w:rPr>
                <w:b/>
                <w:i/>
                <w:sz w:val="17"/>
                <w:szCs w:val="17"/>
              </w:rPr>
            </w:pPr>
            <w:r w:rsidRPr="00CD6D3B">
              <w:rPr>
                <w:b/>
                <w:i/>
                <w:sz w:val="17"/>
                <w:szCs w:val="17"/>
              </w:rPr>
              <w:t>Hardware installation</w:t>
            </w:r>
          </w:p>
          <w:p w14:paraId="7EDD6FB2" w14:textId="77777777" w:rsidR="00BD71D7" w:rsidRPr="00CD6D3B" w:rsidRDefault="00BD71D7" w:rsidP="00957AE9">
            <w:pPr>
              <w:pStyle w:val="Bullet1grey"/>
              <w:rPr>
                <w:b/>
                <w:bCs/>
                <w:i/>
                <w:iCs/>
                <w:sz w:val="17"/>
                <w:szCs w:val="17"/>
              </w:rPr>
            </w:pPr>
            <w:r w:rsidRPr="00CD6D3B">
              <w:rPr>
                <w:b/>
                <w:bCs/>
                <w:i/>
                <w:iCs/>
                <w:sz w:val="17"/>
                <w:szCs w:val="17"/>
              </w:rPr>
              <w:t>Testing</w:t>
            </w:r>
            <w:r w:rsidRPr="00CD6D3B">
              <w:rPr>
                <w:sz w:val="17"/>
                <w:szCs w:val="17"/>
              </w:rPr>
              <w:t xml:space="preserve"> – example include parallel processing</w:t>
            </w:r>
          </w:p>
        </w:tc>
        <w:tc>
          <w:tcPr>
            <w:cnfStyle w:val="000010000000" w:firstRow="0" w:lastRow="0" w:firstColumn="0" w:lastColumn="0" w:oddVBand="1" w:evenVBand="0" w:oddHBand="0" w:evenHBand="0" w:firstRowFirstColumn="0" w:firstRowLastColumn="0" w:lastRowFirstColumn="0" w:lastRowLastColumn="0"/>
            <w:tcW w:w="5103" w:type="dxa"/>
            <w:shd w:val="clear" w:color="auto" w:fill="F2F2F2" w:themeFill="background1" w:themeFillShade="F2"/>
          </w:tcPr>
          <w:p w14:paraId="10130EB5" w14:textId="77777777" w:rsidR="00BD71D7" w:rsidRPr="00CD6D3B" w:rsidRDefault="00BD71D7" w:rsidP="00CD6D3B">
            <w:pPr>
              <w:pStyle w:val="Normalgrey"/>
              <w:spacing w:before="80"/>
              <w:rPr>
                <w:sz w:val="17"/>
                <w:szCs w:val="17"/>
              </w:rPr>
            </w:pPr>
            <w:r w:rsidRPr="00CD6D3B">
              <w:rPr>
                <w:b/>
                <w:bCs/>
                <w:sz w:val="17"/>
                <w:szCs w:val="17"/>
              </w:rPr>
              <w:t xml:space="preserve">Capitalised </w:t>
            </w:r>
            <w:r w:rsidRPr="00CD6D3B">
              <w:rPr>
                <w:sz w:val="17"/>
                <w:szCs w:val="17"/>
              </w:rPr>
              <w:t>or</w:t>
            </w:r>
            <w:r w:rsidRPr="00CD6D3B">
              <w:rPr>
                <w:b/>
                <w:bCs/>
                <w:sz w:val="17"/>
                <w:szCs w:val="17"/>
              </w:rPr>
              <w:t xml:space="preserve"> expensed</w:t>
            </w:r>
            <w:r w:rsidRPr="00CD6D3B">
              <w:rPr>
                <w:sz w:val="17"/>
                <w:szCs w:val="17"/>
              </w:rPr>
              <w:t xml:space="preserve"> depending on the type of expenditure: </w:t>
            </w:r>
          </w:p>
          <w:p w14:paraId="4627DFCA" w14:textId="77777777" w:rsidR="00BD71D7" w:rsidRPr="00CD6D3B" w:rsidRDefault="00443D6E" w:rsidP="00443D6E">
            <w:pPr>
              <w:pStyle w:val="Tabletext"/>
              <w:ind w:left="304" w:hanging="304"/>
              <w:rPr>
                <w:szCs w:val="17"/>
              </w:rPr>
            </w:pPr>
            <w:r w:rsidRPr="00CD6D3B">
              <w:rPr>
                <w:szCs w:val="17"/>
              </w:rPr>
              <w:t>1.</w:t>
            </w:r>
            <w:r w:rsidRPr="00CD6D3B">
              <w:rPr>
                <w:szCs w:val="17"/>
              </w:rPr>
              <w:tab/>
            </w:r>
            <w:r w:rsidR="00BD71D7" w:rsidRPr="00CD6D3B">
              <w:rPr>
                <w:szCs w:val="17"/>
              </w:rPr>
              <w:t xml:space="preserve">Examples of costs that should be </w:t>
            </w:r>
            <w:r w:rsidR="00BD71D7" w:rsidRPr="00CD6D3B">
              <w:rPr>
                <w:b/>
                <w:szCs w:val="17"/>
              </w:rPr>
              <w:t>capitalised</w:t>
            </w:r>
            <w:r w:rsidR="00BD71D7" w:rsidRPr="00CD6D3B">
              <w:rPr>
                <w:szCs w:val="17"/>
              </w:rPr>
              <w:t xml:space="preserve"> as part of the asset value:</w:t>
            </w:r>
          </w:p>
          <w:p w14:paraId="02C11E68" w14:textId="723EA9C9" w:rsidR="00BD71D7" w:rsidRPr="00CD6D3B" w:rsidRDefault="00BD71D7" w:rsidP="00957AE9">
            <w:pPr>
              <w:pStyle w:val="Bullet2grey"/>
              <w:rPr>
                <w:sz w:val="17"/>
                <w:szCs w:val="17"/>
              </w:rPr>
            </w:pPr>
            <w:r w:rsidRPr="00CD6D3B">
              <w:rPr>
                <w:sz w:val="17"/>
                <w:szCs w:val="17"/>
              </w:rPr>
              <w:t>Employee benefit or costs directly attributable to developing the software</w:t>
            </w:r>
            <w:r w:rsidR="00CD6D3B" w:rsidRPr="00CD6D3B">
              <w:rPr>
                <w:sz w:val="17"/>
                <w:szCs w:val="17"/>
              </w:rPr>
              <w:t>;</w:t>
            </w:r>
          </w:p>
          <w:p w14:paraId="45B81CF9" w14:textId="274DC399" w:rsidR="00BD71D7" w:rsidRPr="00CD6D3B" w:rsidRDefault="00BD71D7" w:rsidP="00957AE9">
            <w:pPr>
              <w:pStyle w:val="Bullet2grey"/>
              <w:rPr>
                <w:sz w:val="17"/>
                <w:szCs w:val="17"/>
              </w:rPr>
            </w:pPr>
            <w:r w:rsidRPr="00CD6D3B">
              <w:rPr>
                <w:sz w:val="17"/>
                <w:szCs w:val="17"/>
              </w:rPr>
              <w:t>External direct costs of materials and services consumed in developing or obtaining the software (e</w:t>
            </w:r>
            <w:r w:rsidR="00CD6D3B" w:rsidRPr="00CD6D3B">
              <w:rPr>
                <w:sz w:val="17"/>
                <w:szCs w:val="17"/>
              </w:rPr>
              <w:t>.</w:t>
            </w:r>
            <w:r w:rsidRPr="00CD6D3B">
              <w:rPr>
                <w:sz w:val="17"/>
                <w:szCs w:val="17"/>
              </w:rPr>
              <w:t>g</w:t>
            </w:r>
            <w:r w:rsidR="00CD6D3B" w:rsidRPr="00CD6D3B">
              <w:rPr>
                <w:sz w:val="17"/>
                <w:szCs w:val="17"/>
              </w:rPr>
              <w:t>.</w:t>
            </w:r>
            <w:r w:rsidRPr="00CD6D3B">
              <w:rPr>
                <w:sz w:val="17"/>
                <w:szCs w:val="17"/>
              </w:rPr>
              <w:t xml:space="preserve"> fees paid to third parties)</w:t>
            </w:r>
            <w:r w:rsidR="00CD6D3B" w:rsidRPr="00CD6D3B">
              <w:rPr>
                <w:sz w:val="17"/>
                <w:szCs w:val="17"/>
              </w:rPr>
              <w:t>;</w:t>
            </w:r>
          </w:p>
          <w:p w14:paraId="433C6835" w14:textId="0304C03E" w:rsidR="00BD71D7" w:rsidRPr="00CD6D3B" w:rsidRDefault="00BD71D7" w:rsidP="00957AE9">
            <w:pPr>
              <w:pStyle w:val="Bullet2grey"/>
              <w:rPr>
                <w:sz w:val="17"/>
                <w:szCs w:val="17"/>
              </w:rPr>
            </w:pPr>
            <w:r w:rsidRPr="00CD6D3B">
              <w:rPr>
                <w:sz w:val="17"/>
                <w:szCs w:val="17"/>
              </w:rPr>
              <w:t>Certain data conversion costs associated with software that permit access or conversion of old data by the new systems</w:t>
            </w:r>
            <w:r w:rsidR="00CD6D3B" w:rsidRPr="00CD6D3B">
              <w:rPr>
                <w:sz w:val="17"/>
                <w:szCs w:val="17"/>
              </w:rPr>
              <w:t>; and</w:t>
            </w:r>
          </w:p>
          <w:p w14:paraId="7F768B5F" w14:textId="77777777" w:rsidR="00BD71D7" w:rsidRPr="00CD6D3B" w:rsidRDefault="00BD71D7" w:rsidP="00957AE9">
            <w:pPr>
              <w:pStyle w:val="Bullet2grey"/>
              <w:rPr>
                <w:sz w:val="17"/>
                <w:szCs w:val="17"/>
              </w:rPr>
            </w:pPr>
            <w:r w:rsidRPr="00CD6D3B">
              <w:rPr>
                <w:sz w:val="17"/>
                <w:szCs w:val="17"/>
              </w:rPr>
              <w:t>Costs of specified upgrades and enhancements that increase the function and/or performance of the existing software.</w:t>
            </w:r>
          </w:p>
        </w:tc>
      </w:tr>
      <w:tr w:rsidR="00443D6E" w:rsidRPr="00CD6D3B" w14:paraId="7BE77B2B" w14:textId="77777777" w:rsidTr="00E0796F">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415" w:type="dxa"/>
            <w:shd w:val="clear" w:color="auto" w:fill="F2F2F2" w:themeFill="background1" w:themeFillShade="F2"/>
          </w:tcPr>
          <w:p w14:paraId="4D1A280E" w14:textId="77777777" w:rsidR="00443D6E" w:rsidRPr="00CD6D3B" w:rsidRDefault="00443D6E" w:rsidP="00957AE9">
            <w:pPr>
              <w:pStyle w:val="Normalgrey"/>
              <w:rPr>
                <w:sz w:val="17"/>
                <w:szCs w:val="17"/>
              </w:rPr>
            </w:pPr>
          </w:p>
        </w:tc>
        <w:tc>
          <w:tcPr>
            <w:cnfStyle w:val="000001000000" w:firstRow="0" w:lastRow="0" w:firstColumn="0" w:lastColumn="0" w:oddVBand="0" w:evenVBand="1" w:oddHBand="0" w:evenHBand="0" w:firstRowFirstColumn="0" w:firstRowLastColumn="0" w:lastRowFirstColumn="0" w:lastRowLastColumn="0"/>
            <w:tcW w:w="3037" w:type="dxa"/>
            <w:shd w:val="clear" w:color="auto" w:fill="F2F2F2" w:themeFill="background1" w:themeFillShade="F2"/>
          </w:tcPr>
          <w:p w14:paraId="7F7F760E" w14:textId="77777777" w:rsidR="00443D6E" w:rsidRPr="00CD6D3B" w:rsidRDefault="00443D6E" w:rsidP="00443D6E">
            <w:pPr>
              <w:pStyle w:val="Tabletext"/>
              <w:rPr>
                <w:szCs w:val="17"/>
              </w:rPr>
            </w:pPr>
          </w:p>
        </w:tc>
        <w:tc>
          <w:tcPr>
            <w:cnfStyle w:val="000010000000" w:firstRow="0" w:lastRow="0" w:firstColumn="0" w:lastColumn="0" w:oddVBand="1" w:evenVBand="0" w:oddHBand="0" w:evenHBand="0" w:firstRowFirstColumn="0" w:firstRowLastColumn="0" w:lastRowFirstColumn="0" w:lastRowLastColumn="0"/>
            <w:tcW w:w="5103" w:type="dxa"/>
            <w:shd w:val="clear" w:color="auto" w:fill="F2F2F2" w:themeFill="background1" w:themeFillShade="F2"/>
          </w:tcPr>
          <w:p w14:paraId="57E0E72D" w14:textId="77777777" w:rsidR="00443D6E" w:rsidRPr="00CD6D3B" w:rsidRDefault="00443D6E" w:rsidP="00443D6E">
            <w:pPr>
              <w:pStyle w:val="Tabletext"/>
              <w:ind w:left="304" w:hanging="304"/>
              <w:rPr>
                <w:szCs w:val="17"/>
              </w:rPr>
            </w:pPr>
            <w:r w:rsidRPr="00CD6D3B">
              <w:rPr>
                <w:szCs w:val="17"/>
              </w:rPr>
              <w:t>2.</w:t>
            </w:r>
            <w:r w:rsidRPr="00CD6D3B">
              <w:rPr>
                <w:szCs w:val="17"/>
              </w:rPr>
              <w:tab/>
              <w:t xml:space="preserve">Examples of costs that should be </w:t>
            </w:r>
            <w:r w:rsidRPr="00CD6D3B">
              <w:rPr>
                <w:b/>
                <w:szCs w:val="17"/>
              </w:rPr>
              <w:t>expensed</w:t>
            </w:r>
            <w:r w:rsidRPr="00CD6D3B">
              <w:rPr>
                <w:szCs w:val="17"/>
              </w:rPr>
              <w:t xml:space="preserve"> as incurred: </w:t>
            </w:r>
          </w:p>
          <w:p w14:paraId="6A119F5C" w14:textId="3B91136E" w:rsidR="00443D6E" w:rsidRPr="00CD6D3B" w:rsidRDefault="00443D6E" w:rsidP="00957AE9">
            <w:pPr>
              <w:pStyle w:val="Bullet2grey"/>
              <w:rPr>
                <w:sz w:val="17"/>
                <w:szCs w:val="17"/>
              </w:rPr>
            </w:pPr>
            <w:r w:rsidRPr="00CD6D3B">
              <w:rPr>
                <w:sz w:val="17"/>
                <w:szCs w:val="17"/>
              </w:rPr>
              <w:t>General, administrative and overhead costs</w:t>
            </w:r>
            <w:r w:rsidR="00CD6D3B" w:rsidRPr="00CD6D3B">
              <w:rPr>
                <w:sz w:val="17"/>
                <w:szCs w:val="17"/>
              </w:rPr>
              <w:t>;</w:t>
            </w:r>
          </w:p>
          <w:p w14:paraId="411B697C" w14:textId="0E5ADEAC" w:rsidR="00443D6E" w:rsidRPr="00CD6D3B" w:rsidRDefault="00443D6E" w:rsidP="00957AE9">
            <w:pPr>
              <w:pStyle w:val="Bullet2grey"/>
              <w:rPr>
                <w:sz w:val="17"/>
                <w:szCs w:val="17"/>
              </w:rPr>
            </w:pPr>
            <w:r w:rsidRPr="00CD6D3B">
              <w:rPr>
                <w:sz w:val="17"/>
                <w:szCs w:val="17"/>
              </w:rPr>
              <w:t>Training costs (both internal and external)</w:t>
            </w:r>
            <w:r w:rsidR="00CD6D3B" w:rsidRPr="00CD6D3B">
              <w:rPr>
                <w:sz w:val="17"/>
                <w:szCs w:val="17"/>
              </w:rPr>
              <w:t>;</w:t>
            </w:r>
          </w:p>
          <w:p w14:paraId="4FA817C7" w14:textId="14FA0915" w:rsidR="00443D6E" w:rsidRPr="00CD6D3B" w:rsidRDefault="00443D6E" w:rsidP="00957AE9">
            <w:pPr>
              <w:pStyle w:val="Bullet2grey"/>
              <w:rPr>
                <w:sz w:val="17"/>
                <w:szCs w:val="17"/>
              </w:rPr>
            </w:pPr>
            <w:r w:rsidRPr="00CD6D3B">
              <w:rPr>
                <w:sz w:val="17"/>
                <w:szCs w:val="17"/>
              </w:rPr>
              <w:t>Maintenance costs (both internal and external).</w:t>
            </w:r>
            <w:r w:rsidR="00957AE9" w:rsidRPr="00CD6D3B">
              <w:rPr>
                <w:sz w:val="17"/>
                <w:szCs w:val="17"/>
              </w:rPr>
              <w:br/>
            </w:r>
            <w:r w:rsidRPr="00CD6D3B">
              <w:rPr>
                <w:sz w:val="17"/>
                <w:szCs w:val="17"/>
              </w:rPr>
              <w:t>(</w:t>
            </w:r>
            <w:r w:rsidRPr="00CD6D3B">
              <w:rPr>
                <w:b/>
                <w:sz w:val="17"/>
                <w:szCs w:val="17"/>
              </w:rPr>
              <w:t>Note</w:t>
            </w:r>
            <w:r w:rsidRPr="00CD6D3B">
              <w:rPr>
                <w:sz w:val="17"/>
                <w:szCs w:val="17"/>
              </w:rPr>
              <w:t>: Where external maintenance costs are combined with specified upgrades and enhancements in a single contract, costs relating to maintenance work should be separately identified and expensed as incurred)</w:t>
            </w:r>
            <w:r w:rsidR="00CD6D3B" w:rsidRPr="00CD6D3B">
              <w:rPr>
                <w:sz w:val="17"/>
                <w:szCs w:val="17"/>
              </w:rPr>
              <w:t>;</w:t>
            </w:r>
          </w:p>
          <w:p w14:paraId="7EA50BA0" w14:textId="3AA1791A" w:rsidR="00443D6E" w:rsidRPr="00CD6D3B" w:rsidRDefault="00443D6E" w:rsidP="00957AE9">
            <w:pPr>
              <w:pStyle w:val="Bullet2grey"/>
              <w:rPr>
                <w:sz w:val="17"/>
                <w:szCs w:val="17"/>
              </w:rPr>
            </w:pPr>
            <w:r w:rsidRPr="00CD6D3B">
              <w:rPr>
                <w:sz w:val="17"/>
                <w:szCs w:val="17"/>
              </w:rPr>
              <w:t>Internal costs for minor upgrades and enhancements that are not material and cannot be distinguished on a cost</w:t>
            </w:r>
            <w:r w:rsidR="00CD6D3B" w:rsidRPr="00CD6D3B">
              <w:rPr>
                <w:sz w:val="17"/>
                <w:szCs w:val="17"/>
              </w:rPr>
              <w:t>-</w:t>
            </w:r>
            <w:r w:rsidRPr="00CD6D3B">
              <w:rPr>
                <w:sz w:val="17"/>
                <w:szCs w:val="17"/>
              </w:rPr>
              <w:t>effective basis from internal maintenance costs</w:t>
            </w:r>
            <w:r w:rsidR="00CD6D3B" w:rsidRPr="00CD6D3B">
              <w:rPr>
                <w:sz w:val="17"/>
                <w:szCs w:val="17"/>
              </w:rPr>
              <w:t>;</w:t>
            </w:r>
          </w:p>
          <w:p w14:paraId="1CBBED44" w14:textId="5114C68E" w:rsidR="00443D6E" w:rsidRPr="00CD6D3B" w:rsidRDefault="00443D6E" w:rsidP="00957AE9">
            <w:pPr>
              <w:pStyle w:val="Bullet2grey"/>
              <w:rPr>
                <w:sz w:val="17"/>
                <w:szCs w:val="17"/>
              </w:rPr>
            </w:pPr>
            <w:r w:rsidRPr="00CD6D3B">
              <w:rPr>
                <w:sz w:val="17"/>
                <w:szCs w:val="17"/>
              </w:rPr>
              <w:t>External costs for unspecified upgrades and enhancements</w:t>
            </w:r>
            <w:r w:rsidR="00CD6D3B" w:rsidRPr="00CD6D3B">
              <w:rPr>
                <w:sz w:val="17"/>
                <w:szCs w:val="17"/>
              </w:rPr>
              <w:t>; and</w:t>
            </w:r>
          </w:p>
          <w:p w14:paraId="708A1228" w14:textId="77777777" w:rsidR="00443D6E" w:rsidRPr="00CD6D3B" w:rsidRDefault="00443D6E" w:rsidP="00957AE9">
            <w:pPr>
              <w:pStyle w:val="Bullet2grey"/>
              <w:rPr>
                <w:b/>
                <w:bCs/>
                <w:sz w:val="17"/>
                <w:szCs w:val="17"/>
              </w:rPr>
            </w:pPr>
            <w:r w:rsidRPr="00CD6D3B">
              <w:rPr>
                <w:sz w:val="17"/>
                <w:szCs w:val="17"/>
              </w:rPr>
              <w:t>Certain data conversion costs, such as purging or cleansing existing data, reconciliation or balancing and converting the old and new system’s data.</w:t>
            </w:r>
          </w:p>
        </w:tc>
      </w:tr>
      <w:tr w:rsidR="00BD71D7" w:rsidRPr="00CD6D3B" w14:paraId="4B08388F" w14:textId="77777777" w:rsidTr="00E0796F">
        <w:trPr>
          <w:cnfStyle w:val="000000010000" w:firstRow="0" w:lastRow="0" w:firstColumn="0" w:lastColumn="0" w:oddVBand="0" w:evenVBand="0" w:oddHBand="0" w:evenHBand="1" w:firstRowFirstColumn="0" w:firstRowLastColumn="0" w:lastRowFirstColumn="0" w:lastRowLastColumn="0"/>
          <w:trHeight w:val="702"/>
        </w:trPr>
        <w:tc>
          <w:tcPr>
            <w:cnfStyle w:val="000010000000" w:firstRow="0" w:lastRow="0" w:firstColumn="0" w:lastColumn="0" w:oddVBand="1" w:evenVBand="0" w:oddHBand="0" w:evenHBand="0" w:firstRowFirstColumn="0" w:firstRowLastColumn="0" w:lastRowFirstColumn="0" w:lastRowLastColumn="0"/>
            <w:tcW w:w="1415" w:type="dxa"/>
          </w:tcPr>
          <w:p w14:paraId="7A6D1D86" w14:textId="77777777" w:rsidR="00BD71D7" w:rsidRPr="00CD6D3B" w:rsidRDefault="00BD71D7" w:rsidP="00CD6D3B">
            <w:pPr>
              <w:pStyle w:val="Normalgrey"/>
              <w:spacing w:before="80"/>
              <w:rPr>
                <w:sz w:val="17"/>
                <w:szCs w:val="17"/>
              </w:rPr>
            </w:pPr>
            <w:r w:rsidRPr="00CD6D3B">
              <w:rPr>
                <w:sz w:val="17"/>
                <w:szCs w:val="17"/>
              </w:rPr>
              <w:t>Post-implementation or operation stage</w:t>
            </w:r>
          </w:p>
        </w:tc>
        <w:tc>
          <w:tcPr>
            <w:cnfStyle w:val="000001000000" w:firstRow="0" w:lastRow="0" w:firstColumn="0" w:lastColumn="0" w:oddVBand="0" w:evenVBand="1" w:oddHBand="0" w:evenHBand="0" w:firstRowFirstColumn="0" w:firstRowLastColumn="0" w:lastRowFirstColumn="0" w:lastRowLastColumn="0"/>
            <w:tcW w:w="3037" w:type="dxa"/>
          </w:tcPr>
          <w:p w14:paraId="47129617" w14:textId="77777777" w:rsidR="00BD71D7" w:rsidRPr="00CD6D3B" w:rsidRDefault="00BD71D7" w:rsidP="00CD6D3B">
            <w:pPr>
              <w:pStyle w:val="Normalgrey"/>
              <w:spacing w:before="80"/>
              <w:rPr>
                <w:sz w:val="17"/>
                <w:szCs w:val="17"/>
              </w:rPr>
            </w:pPr>
            <w:r w:rsidRPr="00CD6D3B">
              <w:rPr>
                <w:sz w:val="17"/>
                <w:szCs w:val="17"/>
              </w:rPr>
              <w:t>Post-implementation, training and application maintenance activities</w:t>
            </w:r>
          </w:p>
        </w:tc>
        <w:tc>
          <w:tcPr>
            <w:cnfStyle w:val="000010000000" w:firstRow="0" w:lastRow="0" w:firstColumn="0" w:lastColumn="0" w:oddVBand="1" w:evenVBand="0" w:oddHBand="0" w:evenHBand="0" w:firstRowFirstColumn="0" w:firstRowLastColumn="0" w:lastRowFirstColumn="0" w:lastRowLastColumn="0"/>
            <w:tcW w:w="5103" w:type="dxa"/>
          </w:tcPr>
          <w:p w14:paraId="2F14C64D" w14:textId="77777777" w:rsidR="00BD71D7" w:rsidRPr="00CD6D3B" w:rsidRDefault="00BD71D7" w:rsidP="00CD6D3B">
            <w:pPr>
              <w:pStyle w:val="Normalgrey"/>
              <w:spacing w:before="80"/>
              <w:rPr>
                <w:sz w:val="17"/>
                <w:szCs w:val="17"/>
              </w:rPr>
            </w:pPr>
            <w:r w:rsidRPr="00CD6D3B">
              <w:rPr>
                <w:b/>
                <w:bCs/>
                <w:sz w:val="17"/>
                <w:szCs w:val="17"/>
              </w:rPr>
              <w:t>Expense</w:t>
            </w:r>
            <w:r w:rsidRPr="00CD6D3B">
              <w:rPr>
                <w:sz w:val="17"/>
                <w:szCs w:val="17"/>
              </w:rPr>
              <w:t xml:space="preserve"> all internal and external costs as incurred.</w:t>
            </w:r>
          </w:p>
        </w:tc>
      </w:tr>
    </w:tbl>
    <w:p w14:paraId="156EB5D2" w14:textId="77777777" w:rsidR="00C67777" w:rsidRPr="00E0796F" w:rsidRDefault="00C67777" w:rsidP="00E0796F">
      <w:pPr>
        <w:pStyle w:val="Spacer"/>
      </w:pPr>
    </w:p>
    <w:sectPr w:rsidR="00C67777" w:rsidRPr="00E0796F" w:rsidSect="00E0796F">
      <w:headerReference w:type="default" r:id="rId9"/>
      <w:footerReference w:type="default" r:id="rId10"/>
      <w:footerReference w:type="first" r:id="rId11"/>
      <w:pgSz w:w="11906" w:h="16838" w:code="9"/>
      <w:pgMar w:top="1797" w:right="1440" w:bottom="851" w:left="1440" w:header="44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FB28" w14:textId="77777777" w:rsidR="00AE159A" w:rsidRDefault="00AE159A" w:rsidP="00493B55">
      <w:pPr>
        <w:spacing w:before="0" w:after="0"/>
      </w:pPr>
      <w:r>
        <w:separator/>
      </w:r>
    </w:p>
  </w:endnote>
  <w:endnote w:type="continuationSeparator" w:id="0">
    <w:p w14:paraId="17E6D33D" w14:textId="77777777" w:rsidR="00AE159A" w:rsidRDefault="00AE159A"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45D7" w14:textId="60E1D80A" w:rsidR="00443D6E" w:rsidRDefault="00653909" w:rsidP="00DC1F53">
    <w:pPr>
      <w:pStyle w:val="Spacer"/>
    </w:pPr>
    <w:r>
      <w:rPr>
        <w:noProof/>
      </w:rPr>
      <mc:AlternateContent>
        <mc:Choice Requires="wps">
          <w:drawing>
            <wp:anchor distT="0" distB="0" distL="114300" distR="114300" simplePos="0" relativeHeight="251658240" behindDoc="0" locked="0" layoutInCell="0" allowOverlap="1" wp14:anchorId="5329DB23" wp14:editId="27FF7A99">
              <wp:simplePos x="0" y="0"/>
              <wp:positionH relativeFrom="page">
                <wp:posOffset>0</wp:posOffset>
              </wp:positionH>
              <wp:positionV relativeFrom="page">
                <wp:posOffset>10227945</wp:posOffset>
              </wp:positionV>
              <wp:extent cx="7560310" cy="273050"/>
              <wp:effectExtent l="0" t="0" r="0" b="12700"/>
              <wp:wrapNone/>
              <wp:docPr id="1" name="MSIPCM2f8445d4ba563dc326644ec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AA4D6" w14:textId="5FD57CB5" w:rsidR="00653909" w:rsidRPr="00653909" w:rsidRDefault="00653909" w:rsidP="00653909">
                          <w:pPr>
                            <w:spacing w:before="0" w:after="0"/>
                            <w:rPr>
                              <w:rFonts w:ascii="Calibri" w:hAnsi="Calibri" w:cs="Calibri"/>
                              <w:color w:val="000000"/>
                              <w:sz w:val="22"/>
                            </w:rPr>
                          </w:pPr>
                          <w:r w:rsidRPr="0065390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29DB23" id="_x0000_t202" coordsize="21600,21600" o:spt="202" path="m,l,21600r21600,l21600,xe">
              <v:stroke joinstyle="miter"/>
              <v:path gradientshapeok="t" o:connecttype="rect"/>
            </v:shapetype>
            <v:shape id="MSIPCM2f8445d4ba563dc326644ec7"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5dPVfrICAABIBQAA&#10;DgAAAAAAAAAAAAAAAAAuAgAAZHJzL2Uyb0RvYy54bWxQSwECLQAUAAYACAAAACEAfHYI4d8AAAAL&#10;AQAADwAAAAAAAAAAAAAAAAAMBQAAZHJzL2Rvd25yZXYueG1sUEsFBgAAAAAEAAQA8wAAABgGAAAA&#10;AA==&#10;" o:allowincell="f" filled="f" stroked="f" strokeweight=".5pt">
              <v:textbox inset="20pt,0,,0">
                <w:txbxContent>
                  <w:p w14:paraId="27FAA4D6" w14:textId="5FD57CB5" w:rsidR="00653909" w:rsidRPr="00653909" w:rsidRDefault="00653909" w:rsidP="00653909">
                    <w:pPr>
                      <w:spacing w:before="0" w:after="0"/>
                      <w:rPr>
                        <w:rFonts w:ascii="Calibri" w:hAnsi="Calibri" w:cs="Calibri"/>
                        <w:color w:val="000000"/>
                        <w:sz w:val="22"/>
                      </w:rPr>
                    </w:pPr>
                    <w:r w:rsidRPr="00653909">
                      <w:rPr>
                        <w:rFonts w:ascii="Calibri" w:hAnsi="Calibri" w:cs="Calibri"/>
                        <w:color w:val="000000"/>
                        <w:sz w:val="22"/>
                      </w:rPr>
                      <w:t>OFFICIAL</w:t>
                    </w:r>
                  </w:p>
                </w:txbxContent>
              </v:textbox>
              <w10:wrap anchorx="page" anchory="page"/>
            </v:shape>
          </w:pict>
        </mc:Fallback>
      </mc:AlternateContent>
    </w:r>
    <w:r w:rsidR="00CD6D3B">
      <w:rPr>
        <w:noProof/>
      </w:rPr>
      <mc:AlternateContent>
        <mc:Choice Requires="wps">
          <w:drawing>
            <wp:anchor distT="0" distB="0" distL="114300" distR="114300" simplePos="0" relativeHeight="251656192" behindDoc="0" locked="0" layoutInCell="0" allowOverlap="1" wp14:anchorId="4AA3DBC8" wp14:editId="47647EFD">
              <wp:simplePos x="0" y="0"/>
              <wp:positionH relativeFrom="page">
                <wp:posOffset>0</wp:posOffset>
              </wp:positionH>
              <wp:positionV relativeFrom="page">
                <wp:posOffset>10294802</wp:posOffset>
              </wp:positionV>
              <wp:extent cx="7772400" cy="266700"/>
              <wp:effectExtent l="0" t="0" r="0" b="0"/>
              <wp:wrapNone/>
              <wp:docPr id="3" name="MSIPCM1fd54322852f48c056b55dc9"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273CB" w14:textId="2B963DD4" w:rsidR="004D7592" w:rsidRPr="009E5591" w:rsidRDefault="009E5591" w:rsidP="009E5591">
                          <w:pPr>
                            <w:spacing w:before="0" w:after="0"/>
                            <w:rPr>
                              <w:rFonts w:ascii="Calibri" w:hAnsi="Calibri" w:cs="Calibri"/>
                              <w:color w:val="000000"/>
                              <w:sz w:val="22"/>
                            </w:rPr>
                          </w:pPr>
                          <w:r w:rsidRPr="009E559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AA3DBC8" id="MSIPCM1fd54322852f48c056b55dc9" o:spid="_x0000_s1027" type="#_x0000_t202" alt="{&quot;HashCode&quot;:-1267603503,&quot;Height&quot;:9999999.0,&quot;Width&quot;:9999999.0,&quot;Placement&quot;:&quot;Footer&quot;,&quot;Index&quot;:&quot;Primary&quot;,&quot;Section&quot;:2,&quot;Top&quot;:0.0,&quot;Left&quot;:0.0}" style="position:absolute;margin-left:0;margin-top:810.6pt;width:612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" o:allowincell="f" filled="f" stroked="f" strokeweight=".5pt">
              <v:textbox inset="20pt,0,,0">
                <w:txbxContent>
                  <w:p w14:paraId="4F7273CB" w14:textId="2B963DD4" w:rsidR="004D7592" w:rsidRPr="009E5591" w:rsidRDefault="009E5591" w:rsidP="009E5591">
                    <w:pPr>
                      <w:spacing w:before="0" w:after="0"/>
                      <w:rPr>
                        <w:rFonts w:ascii="Calibri" w:hAnsi="Calibri" w:cs="Calibri"/>
                        <w:color w:val="000000"/>
                        <w:sz w:val="22"/>
                      </w:rPr>
                    </w:pPr>
                    <w:r w:rsidRPr="009E5591">
                      <w:rPr>
                        <w:rFonts w:ascii="Calibri" w:hAnsi="Calibri" w:cs="Calibri"/>
                        <w:color w:val="000000"/>
                        <w:sz w:val="22"/>
                      </w:rPr>
                      <w:t>OFFICIAL</w:t>
                    </w:r>
                  </w:p>
                </w:txbxContent>
              </v:textbox>
              <w10:wrap anchorx="page" anchory="page"/>
            </v:shape>
          </w:pict>
        </mc:Fallback>
      </mc:AlternateContent>
    </w:r>
  </w:p>
  <w:p w14:paraId="36132FFC" w14:textId="5EAD1558" w:rsidR="00443D6E" w:rsidRPr="005828FE" w:rsidRDefault="00443D6E" w:rsidP="00CD6D3B">
    <w:pPr>
      <w:pStyle w:val="Footer"/>
      <w:tabs>
        <w:tab w:val="clear" w:pos="9026"/>
        <w:tab w:val="right" w:pos="9072"/>
        <w:tab w:val="right" w:pos="14040"/>
      </w:tabs>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DF4578">
      <w:rPr>
        <w:b/>
      </w:rPr>
      <w:t>FRD 109</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DF4578">
      <w:t>Intangible assets (April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9C5839">
      <w:rPr>
        <w:rStyle w:val="PageNumber"/>
      </w:rPr>
      <w:t>3</w:t>
    </w:r>
    <w:r w:rsidRPr="005828F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8" w:type="dxa"/>
      <w:tblBorders>
        <w:bottom w:val="none" w:sz="0" w:space="0" w:color="auto"/>
      </w:tblBorders>
      <w:tblLayout w:type="fixed"/>
      <w:tblCellMar>
        <w:left w:w="58" w:type="dxa"/>
        <w:right w:w="58" w:type="dxa"/>
      </w:tblCellMar>
      <w:tblLook w:val="04A0" w:firstRow="1" w:lastRow="0" w:firstColumn="1" w:lastColumn="0" w:noHBand="0" w:noVBand="1"/>
    </w:tblPr>
    <w:tblGrid>
      <w:gridCol w:w="1548"/>
      <w:gridCol w:w="6700"/>
      <w:gridCol w:w="1570"/>
    </w:tblGrid>
    <w:tr w:rsidR="00443D6E" w14:paraId="62BA80C3" w14:textId="77777777" w:rsidTr="00493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C119FDC" w14:textId="77777777" w:rsidR="00443D6E" w:rsidRDefault="00443D6E" w:rsidP="00493B55">
          <w:pPr>
            <w:pStyle w:val="Footer"/>
            <w:tabs>
              <w:tab w:val="clear" w:pos="9026"/>
            </w:tabs>
          </w:pPr>
          <w:r>
            <w:drawing>
              <wp:inline distT="0" distB="0" distL="0" distR="0" wp14:anchorId="45321075" wp14:editId="2CAE2AED">
                <wp:extent cx="822960" cy="4663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inline>
            </w:drawing>
          </w:r>
        </w:p>
      </w:tc>
      <w:tc>
        <w:tcPr>
          <w:tcW w:w="6700" w:type="dxa"/>
        </w:tcPr>
        <w:p w14:paraId="3B2E7D9C" w14:textId="7B0596A2" w:rsidR="00443D6E" w:rsidRDefault="00443D6E"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fldChar w:fldCharType="begin"/>
          </w:r>
          <w:r>
            <w:instrText xml:space="preserve"> </w:instrText>
          </w:r>
          <w:r w:rsidRPr="00743D1A">
            <w:instrText>STYLEREF  "FRD Number"  \* MERGEFORMAT</w:instrText>
          </w:r>
          <w:r>
            <w:instrText xml:space="preserve"> </w:instrText>
          </w:r>
          <w:r>
            <w:fldChar w:fldCharType="separate"/>
          </w:r>
          <w:r w:rsidR="00CD6D3B">
            <w:t>FRD 109A</w:t>
          </w:r>
          <w:r>
            <w:fldChar w:fldCharType="end"/>
          </w:r>
          <w:r>
            <w:t xml:space="preserve"> </w:t>
          </w:r>
          <w:r>
            <w:rPr>
              <w:noProof w:val="0"/>
            </w:rPr>
            <w:fldChar w:fldCharType="begin"/>
          </w:r>
          <w:r>
            <w:instrText xml:space="preserve"> STYLEREF  "FRD Header" </w:instrText>
          </w:r>
          <w:r>
            <w:rPr>
              <w:noProof w:val="0"/>
            </w:rPr>
            <w:fldChar w:fldCharType="separate"/>
          </w:r>
          <w:r w:rsidR="00CD6D3B">
            <w:t>Intangible assets (June 2020)</w:t>
          </w:r>
          <w:r>
            <w:fldChar w:fldCharType="end"/>
          </w:r>
        </w:p>
      </w:tc>
      <w:tc>
        <w:tcPr>
          <w:tcW w:w="1570" w:type="dxa"/>
        </w:tcPr>
        <w:p w14:paraId="0195967A" w14:textId="77777777" w:rsidR="00443D6E" w:rsidRDefault="00443D6E"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t>3</w:t>
          </w:r>
          <w:r>
            <w:fldChar w:fldCharType="end"/>
          </w:r>
          <w:r>
            <w:t xml:space="preserve"> of </w:t>
          </w:r>
          <w:r>
            <w:rPr>
              <w:noProof w:val="0"/>
            </w:rPr>
            <w:fldChar w:fldCharType="begin"/>
          </w:r>
          <w:r>
            <w:instrText xml:space="preserve"> numpages </w:instrText>
          </w:r>
          <w:r>
            <w:rPr>
              <w:noProof w:val="0"/>
            </w:rPr>
            <w:fldChar w:fldCharType="separate"/>
          </w:r>
          <w:r w:rsidR="00B43FC5">
            <w:t>3</w:t>
          </w:r>
          <w:r>
            <w:fldChar w:fldCharType="end"/>
          </w:r>
        </w:p>
      </w:tc>
    </w:tr>
  </w:tbl>
  <w:p w14:paraId="27EAACC2" w14:textId="77777777" w:rsidR="00443D6E" w:rsidRDefault="00443D6E" w:rsidP="00493B5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7910" w14:textId="77777777" w:rsidR="00AE159A" w:rsidRDefault="00AE159A" w:rsidP="00493B55">
      <w:pPr>
        <w:spacing w:before="0" w:after="0"/>
      </w:pPr>
      <w:r>
        <w:separator/>
      </w:r>
    </w:p>
  </w:footnote>
  <w:footnote w:type="continuationSeparator" w:id="0">
    <w:p w14:paraId="6A7F91DD" w14:textId="77777777" w:rsidR="00AE159A" w:rsidRDefault="00AE159A" w:rsidP="00493B55">
      <w:pPr>
        <w:spacing w:before="0" w:after="0"/>
      </w:pPr>
      <w:r>
        <w:continuationSeparator/>
      </w:r>
    </w:p>
  </w:footnote>
  <w:footnote w:id="1">
    <w:p w14:paraId="77221051" w14:textId="74C3B3F0" w:rsidR="004C246C" w:rsidRPr="00E0796F" w:rsidRDefault="004C246C">
      <w:pPr>
        <w:pStyle w:val="FootnoteText"/>
        <w:rPr>
          <w:sz w:val="18"/>
          <w:szCs w:val="18"/>
        </w:rPr>
      </w:pPr>
      <w:r w:rsidRPr="00E0796F">
        <w:rPr>
          <w:rStyle w:val="FootnoteReference"/>
          <w:sz w:val="18"/>
          <w:szCs w:val="18"/>
        </w:rPr>
        <w:footnoteRef/>
      </w:r>
      <w:r w:rsidRPr="00E0796F">
        <w:rPr>
          <w:sz w:val="18"/>
          <w:szCs w:val="18"/>
        </w:rPr>
        <w:t xml:space="preserve"> This does not apply to intangible assets recognised </w:t>
      </w:r>
      <w:r w:rsidR="006D6CB1" w:rsidRPr="00E0796F">
        <w:rPr>
          <w:sz w:val="18"/>
          <w:szCs w:val="18"/>
        </w:rPr>
        <w:t>in accordance with</w:t>
      </w:r>
      <w:r w:rsidRPr="00E0796F">
        <w:rPr>
          <w:sz w:val="18"/>
          <w:szCs w:val="18"/>
        </w:rPr>
        <w:t xml:space="preserve"> AASB 1059 </w:t>
      </w:r>
      <w:r w:rsidRPr="00E0796F">
        <w:rPr>
          <w:i/>
          <w:iCs/>
          <w:sz w:val="18"/>
          <w:szCs w:val="18"/>
        </w:rPr>
        <w:t>Service Concession Arrangements: Grantors</w:t>
      </w:r>
      <w:r w:rsidR="006D6CB1" w:rsidRPr="00E0796F">
        <w:rPr>
          <w:i/>
          <w:iCs/>
          <w:sz w:val="18"/>
          <w:szCs w:val="18"/>
        </w:rPr>
        <w:t xml:space="preserve"> </w:t>
      </w:r>
      <w:r w:rsidR="006D6CB1" w:rsidRPr="00E0796F">
        <w:rPr>
          <w:sz w:val="18"/>
          <w:szCs w:val="18"/>
        </w:rPr>
        <w:t>(</w:t>
      </w:r>
      <w:r w:rsidR="006D6CB1" w:rsidRPr="00E0796F">
        <w:rPr>
          <w:b/>
          <w:bCs/>
          <w:sz w:val="18"/>
          <w:szCs w:val="18"/>
        </w:rPr>
        <w:t>AASB 1059</w:t>
      </w:r>
      <w:r w:rsidR="006D6CB1" w:rsidRPr="00E0796F">
        <w:rPr>
          <w:i/>
          <w:iCs/>
          <w:sz w:val="18"/>
          <w:szCs w:val="18"/>
        </w:rPr>
        <w:t xml:space="preserve">) </w:t>
      </w:r>
      <w:r w:rsidR="006D6CB1" w:rsidRPr="00E0796F">
        <w:rPr>
          <w:sz w:val="18"/>
          <w:szCs w:val="18"/>
        </w:rPr>
        <w:t>as service concession assets</w:t>
      </w:r>
      <w:r w:rsidRPr="00E0796F">
        <w:rPr>
          <w:sz w:val="18"/>
          <w:szCs w:val="18"/>
        </w:rPr>
        <w:t xml:space="preserve">. </w:t>
      </w:r>
      <w:r w:rsidR="006D6CB1" w:rsidRPr="00E0796F">
        <w:rPr>
          <w:sz w:val="18"/>
          <w:szCs w:val="18"/>
        </w:rPr>
        <w:t xml:space="preserve">Service concession assets that are intangible are initially recognised in accordance with AASB 1059 at current replacement cost and </w:t>
      </w:r>
      <w:r w:rsidRPr="00E0796F">
        <w:rPr>
          <w:sz w:val="18"/>
          <w:szCs w:val="18"/>
        </w:rPr>
        <w:t xml:space="preserve">subsequently measured applying the revaluation model.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760E" w14:textId="77777777" w:rsidR="00443D6E" w:rsidRDefault="00443D6E" w:rsidP="00443D6E">
    <w:pPr>
      <w:pStyle w:val="Header"/>
      <w:tabs>
        <w:tab w:val="clear" w:pos="9026"/>
      </w:tabs>
      <w:ind w:right="62"/>
      <w:jc w:val="right"/>
    </w:pPr>
    <w:r>
      <w:rPr>
        <w:noProof/>
      </w:rPr>
      <w:drawing>
        <wp:inline distT="0" distB="0" distL="0" distR="0" wp14:anchorId="5E697F4A" wp14:editId="1045148D">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1DB7EDB3" w14:textId="77777777" w:rsidR="009A579E" w:rsidRPr="0041689E" w:rsidRDefault="009A579E" w:rsidP="009A579E">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540858"/>
    <w:multiLevelType w:val="hybridMultilevel"/>
    <w:tmpl w:val="9A205AD8"/>
    <w:lvl w:ilvl="0" w:tplc="04090001">
      <w:start w:val="1"/>
      <w:numFmt w:val="bullet"/>
      <w:lvlText w:val=""/>
      <w:lvlJc w:val="left"/>
      <w:pPr>
        <w:tabs>
          <w:tab w:val="num" w:pos="360"/>
        </w:tabs>
        <w:ind w:left="360" w:hanging="360"/>
      </w:pPr>
      <w:rPr>
        <w:rFonts w:ascii="Symbol" w:hAnsi="Symbol" w:hint="default"/>
      </w:rPr>
    </w:lvl>
    <w:lvl w:ilvl="1" w:tplc="A9A6B4C8">
      <w:start w:val="1"/>
      <w:numFmt w:val="lowerLetter"/>
      <w:lvlText w:val="(%2)"/>
      <w:lvlJc w:val="left"/>
      <w:pPr>
        <w:tabs>
          <w:tab w:val="num" w:pos="1185"/>
        </w:tabs>
        <w:ind w:left="1185" w:hanging="465"/>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pStyle w:val="Bullet3grey"/>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D80DCD"/>
    <w:multiLevelType w:val="multilevel"/>
    <w:tmpl w:val="45E4BFDC"/>
    <w:lvl w:ilvl="0">
      <w:start w:val="1"/>
      <w:numFmt w:val="bullet"/>
      <w:pStyle w:val="Bullet"/>
      <w:lvlText w:val=""/>
      <w:lvlJc w:val="left"/>
      <w:pPr>
        <w:tabs>
          <w:tab w:val="num" w:pos="360"/>
        </w:tabs>
        <w:ind w:left="360" w:hanging="360"/>
      </w:pPr>
      <w:rPr>
        <w:rFonts w:ascii="Symbol" w:hAnsi="Symbol" w:hint="default"/>
        <w:b w:val="0"/>
        <w:i w:val="0"/>
        <w:sz w:val="18"/>
      </w:rPr>
    </w:lvl>
    <w:lvl w:ilvl="1">
      <w:start w:val="1"/>
      <w:numFmt w:val="bullet"/>
      <w:lvlText w:val=""/>
      <w:lvlJc w:val="left"/>
      <w:pPr>
        <w:tabs>
          <w:tab w:val="num" w:pos="720"/>
        </w:tabs>
        <w:ind w:left="720" w:hanging="360"/>
      </w:pPr>
      <w:rPr>
        <w:rFonts w:ascii="Symbol" w:hAnsi="Symbol" w:hint="default"/>
        <w:b w:val="0"/>
        <w:i w:val="0"/>
        <w:sz w:val="20"/>
      </w:rPr>
    </w:lvl>
    <w:lvl w:ilvl="2">
      <w:start w:val="1"/>
      <w:numFmt w:val="lowerRoman"/>
      <w:lvlText w:val="(%3)"/>
      <w:lvlJc w:val="left"/>
      <w:pPr>
        <w:tabs>
          <w:tab w:val="num" w:pos="1440"/>
        </w:tabs>
        <w:ind w:left="1080" w:hanging="360"/>
      </w:pPr>
      <w:rPr>
        <w:b w:val="0"/>
        <w:i w:val="0"/>
        <w:sz w:val="18"/>
      </w:rPr>
    </w:lvl>
    <w:lvl w:ilvl="3">
      <w:start w:val="1"/>
      <w:numFmt w:val="lowerLetter"/>
      <w:lvlText w:val="(%4)"/>
      <w:lvlJc w:val="left"/>
      <w:pPr>
        <w:tabs>
          <w:tab w:val="num" w:pos="1800"/>
        </w:tabs>
        <w:ind w:left="1440" w:hanging="360"/>
      </w:pPr>
    </w:lvl>
    <w:lvl w:ilvl="4">
      <w:start w:val="1"/>
      <w:numFmt w:val="decimal"/>
      <w:lvlText w:val="(%5)"/>
      <w:lvlJc w:val="left"/>
      <w:pPr>
        <w:tabs>
          <w:tab w:val="num" w:pos="0"/>
        </w:tabs>
        <w:ind w:left="3577" w:hanging="708"/>
      </w:pPr>
    </w:lvl>
    <w:lvl w:ilvl="5">
      <w:start w:val="1"/>
      <w:numFmt w:val="lowerLetter"/>
      <w:lvlText w:val="(%6)"/>
      <w:lvlJc w:val="left"/>
      <w:pPr>
        <w:tabs>
          <w:tab w:val="num" w:pos="0"/>
        </w:tabs>
        <w:ind w:left="4286" w:hanging="709"/>
      </w:pPr>
    </w:lvl>
    <w:lvl w:ilvl="6">
      <w:start w:val="1"/>
      <w:numFmt w:val="lowerRoman"/>
      <w:lvlText w:val="(%7)"/>
      <w:lvlJc w:val="left"/>
      <w:pPr>
        <w:tabs>
          <w:tab w:val="num" w:pos="0"/>
        </w:tabs>
        <w:ind w:left="4989" w:hanging="703"/>
      </w:pPr>
    </w:lvl>
    <w:lvl w:ilvl="7">
      <w:start w:val="1"/>
      <w:numFmt w:val="lowerLetter"/>
      <w:lvlText w:val="(%8)"/>
      <w:lvlJc w:val="left"/>
      <w:pPr>
        <w:tabs>
          <w:tab w:val="num" w:pos="0"/>
        </w:tabs>
        <w:ind w:left="5698" w:hanging="709"/>
      </w:pPr>
    </w:lvl>
    <w:lvl w:ilvl="8">
      <w:start w:val="1"/>
      <w:numFmt w:val="lowerRoman"/>
      <w:lvlText w:val="(%9)"/>
      <w:lvlJc w:val="left"/>
      <w:pPr>
        <w:tabs>
          <w:tab w:val="num" w:pos="0"/>
        </w:tabs>
        <w:ind w:left="6406" w:hanging="708"/>
      </w:pPr>
    </w:lvl>
  </w:abstractNum>
  <w:abstractNum w:abstractNumId="10" w15:restartNumberingAfterBreak="0">
    <w:nsid w:val="5FC550F8"/>
    <w:multiLevelType w:val="multilevel"/>
    <w:tmpl w:val="65CA5EC4"/>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3"/>
      <w:lvlText w:val="·"/>
      <w:lvlJc w:val="left"/>
      <w:pPr>
        <w:ind w:left="1080" w:hanging="360"/>
      </w:pPr>
      <w:rPr>
        <w:rFonts w:ascii="Symbol" w:hAnsi="Symbol" w:hint="default"/>
      </w:rPr>
    </w:lvl>
    <w:lvl w:ilvl="3">
      <w:start w:val="1"/>
      <w:numFmt w:val="lowerLetter"/>
      <w:lvlRestart w:val="1"/>
      <w:pStyle w:val="List1grey"/>
      <w:lvlText w:val="(%4)"/>
      <w:lvlJc w:val="left"/>
      <w:pPr>
        <w:ind w:left="360" w:hanging="360"/>
      </w:pPr>
      <w:rPr>
        <w:rFonts w:hint="default"/>
        <w:color w:val="5E5E5E"/>
      </w:rPr>
    </w:lvl>
    <w:lvl w:ilvl="4">
      <w:start w:val="1"/>
      <w:numFmt w:val="lowerRoman"/>
      <w:pStyle w:val="List2grey"/>
      <w:lvlText w:val="(%5)"/>
      <w:lvlJc w:val="left"/>
      <w:pPr>
        <w:ind w:left="720" w:hanging="360"/>
      </w:pPr>
      <w:rPr>
        <w:rFonts w:hint="default"/>
        <w:color w:val="5E5E5E"/>
      </w:rPr>
    </w:lvl>
    <w:lvl w:ilvl="5">
      <w:start w:val="1"/>
      <w:numFmt w:val="bullet"/>
      <w:pStyle w:val="List3grey"/>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6A7D071B"/>
    <w:multiLevelType w:val="hybridMultilevel"/>
    <w:tmpl w:val="40F6A92C"/>
    <w:lvl w:ilvl="0" w:tplc="04090001">
      <w:start w:val="1"/>
      <w:numFmt w:val="bullet"/>
      <w:lvlText w:val=""/>
      <w:lvlJc w:val="left"/>
      <w:pPr>
        <w:tabs>
          <w:tab w:val="num" w:pos="360"/>
        </w:tabs>
        <w:ind w:left="360" w:hanging="360"/>
      </w:pPr>
      <w:rPr>
        <w:rFonts w:ascii="Symbol" w:hAnsi="Symbol" w:hint="default"/>
      </w:rPr>
    </w:lvl>
    <w:lvl w:ilvl="1" w:tplc="43A0A580">
      <w:start w:val="1"/>
      <w:numFmt w:val="bullet"/>
      <w:lvlText w:val=""/>
      <w:lvlJc w:val="left"/>
      <w:pPr>
        <w:tabs>
          <w:tab w:val="num" w:pos="1287"/>
        </w:tabs>
        <w:ind w:left="1287" w:hanging="56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FD44514"/>
    <w:multiLevelType w:val="multilevel"/>
    <w:tmpl w:val="8E141CC6"/>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5"/>
  </w:num>
  <w:num w:numId="2">
    <w:abstractNumId w:val="8"/>
  </w:num>
  <w:num w:numId="3">
    <w:abstractNumId w:val="13"/>
  </w:num>
  <w:num w:numId="4">
    <w:abstractNumId w:val="6"/>
  </w:num>
  <w:num w:numId="5">
    <w:abstractNumId w:val="0"/>
  </w:num>
  <w:num w:numId="6">
    <w:abstractNumId w:val="10"/>
  </w:num>
  <w:num w:numId="7">
    <w:abstractNumId w:val="2"/>
  </w:num>
  <w:num w:numId="8">
    <w:abstractNumId w:val="1"/>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7"/>
  </w:num>
  <w:num w:numId="17">
    <w:abstractNumId w:val="14"/>
  </w:num>
  <w:num w:numId="18">
    <w:abstractNumId w:val="4"/>
  </w:num>
  <w:num w:numId="19">
    <w:abstractNumId w:val="12"/>
  </w:num>
  <w:num w:numId="20">
    <w:abstractNumId w:val="12"/>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1">
    <w:abstractNumId w:val="12"/>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2"/>
  </w:num>
  <w:num w:numId="39">
    <w:abstractNumId w:val="12"/>
  </w:num>
  <w:num w:numId="40">
    <w:abstractNumId w:val="12"/>
  </w:num>
  <w:num w:numId="41">
    <w:abstractNumId w:val="12"/>
  </w:num>
  <w:num w:numId="42">
    <w:abstractNumId w:val="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2AE"/>
    <w:rsid w:val="0000060C"/>
    <w:rsid w:val="00023D6E"/>
    <w:rsid w:val="00083CF0"/>
    <w:rsid w:val="00087CA2"/>
    <w:rsid w:val="00097867"/>
    <w:rsid w:val="000A0D83"/>
    <w:rsid w:val="000B2B10"/>
    <w:rsid w:val="000C7F09"/>
    <w:rsid w:val="000D74FF"/>
    <w:rsid w:val="00100C94"/>
    <w:rsid w:val="00113B6B"/>
    <w:rsid w:val="00116D96"/>
    <w:rsid w:val="00123097"/>
    <w:rsid w:val="00134D12"/>
    <w:rsid w:val="0015366E"/>
    <w:rsid w:val="00161A89"/>
    <w:rsid w:val="001734AB"/>
    <w:rsid w:val="00194488"/>
    <w:rsid w:val="001B0887"/>
    <w:rsid w:val="001C7F58"/>
    <w:rsid w:val="00231A10"/>
    <w:rsid w:val="00245A16"/>
    <w:rsid w:val="00262509"/>
    <w:rsid w:val="002A19D5"/>
    <w:rsid w:val="002C674A"/>
    <w:rsid w:val="002F06B0"/>
    <w:rsid w:val="002F19BE"/>
    <w:rsid w:val="003113C0"/>
    <w:rsid w:val="003218AC"/>
    <w:rsid w:val="00354A01"/>
    <w:rsid w:val="00355FA3"/>
    <w:rsid w:val="00376C4B"/>
    <w:rsid w:val="003A3FB2"/>
    <w:rsid w:val="003B0F23"/>
    <w:rsid w:val="003B2998"/>
    <w:rsid w:val="00441664"/>
    <w:rsid w:val="00443D6E"/>
    <w:rsid w:val="004525F3"/>
    <w:rsid w:val="00463702"/>
    <w:rsid w:val="00485BD7"/>
    <w:rsid w:val="00493B55"/>
    <w:rsid w:val="004B54F7"/>
    <w:rsid w:val="004C246C"/>
    <w:rsid w:val="004C52A6"/>
    <w:rsid w:val="004D34D8"/>
    <w:rsid w:val="004D7592"/>
    <w:rsid w:val="004F4E23"/>
    <w:rsid w:val="00506F26"/>
    <w:rsid w:val="00507F85"/>
    <w:rsid w:val="005136D9"/>
    <w:rsid w:val="00546446"/>
    <w:rsid w:val="005A470F"/>
    <w:rsid w:val="005D6348"/>
    <w:rsid w:val="005D7B86"/>
    <w:rsid w:val="005E04BF"/>
    <w:rsid w:val="005E149B"/>
    <w:rsid w:val="005E6239"/>
    <w:rsid w:val="006030C9"/>
    <w:rsid w:val="00627D58"/>
    <w:rsid w:val="00645860"/>
    <w:rsid w:val="00646DD2"/>
    <w:rsid w:val="0065219D"/>
    <w:rsid w:val="00653909"/>
    <w:rsid w:val="006D6CB1"/>
    <w:rsid w:val="0070535E"/>
    <w:rsid w:val="00710FAC"/>
    <w:rsid w:val="00757EB1"/>
    <w:rsid w:val="00765193"/>
    <w:rsid w:val="00766D89"/>
    <w:rsid w:val="007A2A10"/>
    <w:rsid w:val="007C46BF"/>
    <w:rsid w:val="00810B92"/>
    <w:rsid w:val="00817A24"/>
    <w:rsid w:val="00845688"/>
    <w:rsid w:val="008531FA"/>
    <w:rsid w:val="008A4E6E"/>
    <w:rsid w:val="008B000E"/>
    <w:rsid w:val="008B3AB6"/>
    <w:rsid w:val="008C1C5E"/>
    <w:rsid w:val="008F0885"/>
    <w:rsid w:val="008F20FC"/>
    <w:rsid w:val="00934289"/>
    <w:rsid w:val="00943604"/>
    <w:rsid w:val="00957AE9"/>
    <w:rsid w:val="00957FAD"/>
    <w:rsid w:val="009613E7"/>
    <w:rsid w:val="009755AE"/>
    <w:rsid w:val="00981D97"/>
    <w:rsid w:val="009A579E"/>
    <w:rsid w:val="009C5839"/>
    <w:rsid w:val="009E5591"/>
    <w:rsid w:val="00A10C3A"/>
    <w:rsid w:val="00A21482"/>
    <w:rsid w:val="00A23DE2"/>
    <w:rsid w:val="00A257FD"/>
    <w:rsid w:val="00A3113B"/>
    <w:rsid w:val="00A33C5A"/>
    <w:rsid w:val="00A42FA3"/>
    <w:rsid w:val="00A6470C"/>
    <w:rsid w:val="00A743AA"/>
    <w:rsid w:val="00AB2FC0"/>
    <w:rsid w:val="00AC4CE3"/>
    <w:rsid w:val="00AE159A"/>
    <w:rsid w:val="00AE3438"/>
    <w:rsid w:val="00AE3559"/>
    <w:rsid w:val="00B17502"/>
    <w:rsid w:val="00B27E72"/>
    <w:rsid w:val="00B30FC5"/>
    <w:rsid w:val="00B43FC5"/>
    <w:rsid w:val="00B670A4"/>
    <w:rsid w:val="00BA43D8"/>
    <w:rsid w:val="00BD3020"/>
    <w:rsid w:val="00BD71D7"/>
    <w:rsid w:val="00BF3C0E"/>
    <w:rsid w:val="00C03E12"/>
    <w:rsid w:val="00C04985"/>
    <w:rsid w:val="00C30D45"/>
    <w:rsid w:val="00C50984"/>
    <w:rsid w:val="00C67777"/>
    <w:rsid w:val="00C72658"/>
    <w:rsid w:val="00C85B97"/>
    <w:rsid w:val="00C94EFF"/>
    <w:rsid w:val="00CC17AB"/>
    <w:rsid w:val="00CD1A5D"/>
    <w:rsid w:val="00CD6D3B"/>
    <w:rsid w:val="00D0129D"/>
    <w:rsid w:val="00D152AE"/>
    <w:rsid w:val="00D513ED"/>
    <w:rsid w:val="00D74F30"/>
    <w:rsid w:val="00DB47F7"/>
    <w:rsid w:val="00DC1F53"/>
    <w:rsid w:val="00DF27C2"/>
    <w:rsid w:val="00DF4578"/>
    <w:rsid w:val="00DF476C"/>
    <w:rsid w:val="00E0796F"/>
    <w:rsid w:val="00E1200C"/>
    <w:rsid w:val="00E3166D"/>
    <w:rsid w:val="00E530E8"/>
    <w:rsid w:val="00E65598"/>
    <w:rsid w:val="00E71332"/>
    <w:rsid w:val="00EC3E3F"/>
    <w:rsid w:val="00F06E38"/>
    <w:rsid w:val="00F47BE9"/>
    <w:rsid w:val="00F47CB7"/>
    <w:rsid w:val="00F63F8D"/>
    <w:rsid w:val="00F74FA7"/>
    <w:rsid w:val="00FC624E"/>
    <w:rsid w:val="00FE176F"/>
    <w:rsid w:val="00FF0B2D"/>
    <w:rsid w:val="00FF7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3218CB"/>
  <w15:docId w15:val="{A29D2F36-AAF5-4953-A4F5-BB27B4D3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53"/>
    <w:pPr>
      <w:spacing w:before="160" w:after="100"/>
    </w:pPr>
    <w:rPr>
      <w:rFonts w:eastAsiaTheme="minorEastAsia"/>
      <w:spacing w:val="2"/>
      <w:sz w:val="18"/>
      <w:szCs w:val="20"/>
      <w:lang w:eastAsia="en-AU"/>
    </w:rPr>
  </w:style>
  <w:style w:type="paragraph" w:styleId="Heading1">
    <w:name w:val="heading 1"/>
    <w:next w:val="Normal"/>
    <w:link w:val="Heading1Char"/>
    <w:uiPriority w:val="99"/>
    <w:rsid w:val="00DC1F53"/>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DC1F53"/>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DC1F53"/>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DC1F5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1F53"/>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DC1F53"/>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DC1F53"/>
    <w:pPr>
      <w:spacing w:before="0" w:after="0" w:line="120" w:lineRule="atLeast"/>
    </w:pPr>
    <w:rPr>
      <w:rFonts w:eastAsia="Times New Roman" w:cs="Calibri"/>
      <w:spacing w:val="0"/>
      <w:sz w:val="10"/>
      <w:szCs w:val="22"/>
    </w:rPr>
  </w:style>
  <w:style w:type="paragraph" w:customStyle="1" w:styleId="million">
    <w:name w:val="$million"/>
    <w:basedOn w:val="Normal"/>
    <w:uiPriority w:val="5"/>
    <w:rsid w:val="00B27E72"/>
    <w:pPr>
      <w:jc w:val="center"/>
    </w:pPr>
    <w:rPr>
      <w:i/>
    </w:rPr>
  </w:style>
  <w:style w:type="paragraph" w:customStyle="1" w:styleId="Tabletextheading">
    <w:name w:val="Table text heading"/>
    <w:basedOn w:val="Normal"/>
    <w:link w:val="TabletextheadingChar"/>
    <w:uiPriority w:val="6"/>
    <w:qFormat/>
    <w:rsid w:val="00B27E72"/>
    <w:pPr>
      <w:jc w:val="right"/>
    </w:pPr>
    <w:rPr>
      <w:color w:val="F2F2F2" w:themeColor="background1" w:themeShade="F2"/>
    </w:rPr>
  </w:style>
  <w:style w:type="character" w:customStyle="1" w:styleId="TabletextheadingChar">
    <w:name w:val="Table text heading Char"/>
    <w:link w:val="Tabletextheading"/>
    <w:uiPriority w:val="6"/>
    <w:rsid w:val="00810B92"/>
    <w:rPr>
      <w:rFonts w:ascii="Calibri" w:eastAsia="Calibri" w:hAnsi="Calibri" w:cs="Times New Roman"/>
      <w:color w:val="F2F2F2" w:themeColor="background1" w:themeShade="F2"/>
      <w:szCs w:val="21"/>
    </w:rPr>
  </w:style>
  <w:style w:type="character" w:customStyle="1" w:styleId="Heading3Char">
    <w:name w:val="Heading 3 Char"/>
    <w:basedOn w:val="DefaultParagraphFont"/>
    <w:link w:val="Heading3"/>
    <w:rsid w:val="00DC1F53"/>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1">
    <w:name w:val="Bullet 1"/>
    <w:uiPriority w:val="2"/>
    <w:qFormat/>
    <w:rsid w:val="00DC1F53"/>
    <w:pPr>
      <w:numPr>
        <w:numId w:val="16"/>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DC1F53"/>
    <w:pPr>
      <w:numPr>
        <w:ilvl w:val="1"/>
      </w:numPr>
      <w:spacing w:before="0"/>
    </w:pPr>
  </w:style>
  <w:style w:type="paragraph" w:customStyle="1" w:styleId="Tablenumindent">
    <w:name w:val="Table num indent"/>
    <w:basedOn w:val="Listnumindent"/>
    <w:qFormat/>
    <w:rsid w:val="00443D6E"/>
    <w:pPr>
      <w:tabs>
        <w:tab w:val="clear" w:pos="1296"/>
        <w:tab w:val="num" w:pos="504"/>
      </w:tabs>
      <w:spacing w:line="264" w:lineRule="auto"/>
      <w:ind w:left="792"/>
    </w:pPr>
    <w:rPr>
      <w:sz w:val="17"/>
    </w:rPr>
  </w:style>
  <w:style w:type="table" w:styleId="TableGrid">
    <w:name w:val="Table Grid"/>
    <w:basedOn w:val="TableNormal"/>
    <w:uiPriority w:val="59"/>
    <w:rsid w:val="00DC1F53"/>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DC1F53"/>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DC1F53"/>
    <w:pPr>
      <w:numPr>
        <w:ilvl w:val="2"/>
      </w:numPr>
    </w:pPr>
    <w:rPr>
      <w:color w:val="auto"/>
    </w:rPr>
  </w:style>
  <w:style w:type="paragraph" w:customStyle="1" w:styleId="List1">
    <w:name w:val="List 1"/>
    <w:basedOn w:val="Normal"/>
    <w:uiPriority w:val="2"/>
    <w:qFormat/>
    <w:rsid w:val="00485BD7"/>
    <w:pPr>
      <w:numPr>
        <w:numId w:val="6"/>
      </w:numPr>
    </w:pPr>
  </w:style>
  <w:style w:type="paragraph" w:styleId="List2">
    <w:name w:val="List 2"/>
    <w:basedOn w:val="List1"/>
    <w:uiPriority w:val="2"/>
    <w:rsid w:val="00485BD7"/>
    <w:pPr>
      <w:numPr>
        <w:ilvl w:val="1"/>
      </w:numPr>
    </w:pPr>
  </w:style>
  <w:style w:type="paragraph" w:styleId="Header">
    <w:name w:val="header"/>
    <w:basedOn w:val="Normal"/>
    <w:link w:val="HeaderChar"/>
    <w:uiPriority w:val="99"/>
    <w:semiHidden/>
    <w:rsid w:val="00DC1F53"/>
    <w:pPr>
      <w:tabs>
        <w:tab w:val="center" w:pos="4513"/>
        <w:tab w:val="right" w:pos="9026"/>
      </w:tabs>
      <w:spacing w:after="0" w:line="240" w:lineRule="auto"/>
    </w:pPr>
  </w:style>
  <w:style w:type="paragraph" w:customStyle="1" w:styleId="Tabletext">
    <w:name w:val="Table text"/>
    <w:basedOn w:val="Normal"/>
    <w:uiPriority w:val="9"/>
    <w:qFormat/>
    <w:rsid w:val="00DC1F53"/>
    <w:pPr>
      <w:spacing w:before="60" w:after="60" w:line="264" w:lineRule="auto"/>
    </w:pPr>
    <w:rPr>
      <w:sz w:val="17"/>
    </w:rPr>
  </w:style>
  <w:style w:type="paragraph" w:customStyle="1" w:styleId="FRDHeader">
    <w:name w:val="FRD Header"/>
    <w:basedOn w:val="Normal"/>
    <w:semiHidden/>
    <w:rsid w:val="00DC1F53"/>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DC1F53"/>
    <w:rPr>
      <w:rFonts w:eastAsiaTheme="minorEastAsia"/>
      <w:spacing w:val="2"/>
      <w:sz w:val="18"/>
      <w:szCs w:val="20"/>
      <w:lang w:eastAsia="en-AU"/>
    </w:rPr>
  </w:style>
  <w:style w:type="paragraph" w:customStyle="1" w:styleId="FRDNumber">
    <w:name w:val="FRD Number"/>
    <w:basedOn w:val="FRDHeader"/>
    <w:semiHidden/>
    <w:rsid w:val="00DC1F53"/>
  </w:style>
  <w:style w:type="paragraph" w:customStyle="1" w:styleId="Normalgrey">
    <w:name w:val="Normal grey"/>
    <w:basedOn w:val="Normal"/>
    <w:uiPriority w:val="2"/>
    <w:qFormat/>
    <w:rsid w:val="00DC1F53"/>
    <w:pPr>
      <w:spacing w:line="264" w:lineRule="auto"/>
    </w:pPr>
    <w:rPr>
      <w:rFonts w:eastAsiaTheme="minorHAnsi"/>
      <w:color w:val="4D4D4D"/>
      <w:szCs w:val="18"/>
      <w:lang w:eastAsia="en-US"/>
    </w:rPr>
  </w:style>
  <w:style w:type="paragraph" w:styleId="NormalIndent">
    <w:name w:val="Normal Indent"/>
    <w:basedOn w:val="Normal"/>
    <w:qFormat/>
    <w:rsid w:val="00DC1F53"/>
    <w:pPr>
      <w:spacing w:line="252" w:lineRule="auto"/>
      <w:ind w:left="504"/>
    </w:pPr>
  </w:style>
  <w:style w:type="paragraph" w:customStyle="1" w:styleId="Bullet1grey">
    <w:name w:val="Bullet 1 grey"/>
    <w:basedOn w:val="Bullet1"/>
    <w:uiPriority w:val="3"/>
    <w:qFormat/>
    <w:rsid w:val="00E0796F"/>
    <w:pPr>
      <w:spacing w:after="100"/>
      <w:ind w:left="289" w:hanging="289"/>
    </w:pPr>
    <w:rPr>
      <w:color w:val="4D4D4D"/>
      <w:sz w:val="18"/>
      <w:szCs w:val="18"/>
      <w:lang w:eastAsia="en-US"/>
    </w:rPr>
  </w:style>
  <w:style w:type="paragraph" w:customStyle="1" w:styleId="Bullet2grey">
    <w:name w:val="Bullet 2 grey"/>
    <w:basedOn w:val="Bullet2"/>
    <w:uiPriority w:val="3"/>
    <w:qFormat/>
    <w:rsid w:val="00DC1F53"/>
    <w:rPr>
      <w:color w:val="4D4D4D"/>
      <w:sz w:val="18"/>
      <w:szCs w:val="21"/>
      <w:lang w:eastAsia="en-US"/>
    </w:rPr>
  </w:style>
  <w:style w:type="paragraph" w:customStyle="1" w:styleId="Bullet3grey">
    <w:name w:val="Bullet 3 grey"/>
    <w:basedOn w:val="Normal"/>
    <w:uiPriority w:val="3"/>
    <w:unhideWhenUsed/>
    <w:qFormat/>
    <w:rsid w:val="00DC1F53"/>
    <w:pPr>
      <w:numPr>
        <w:ilvl w:val="2"/>
        <w:numId w:val="2"/>
      </w:numPr>
    </w:pPr>
    <w:rPr>
      <w:color w:val="5E5E5E"/>
    </w:rPr>
  </w:style>
  <w:style w:type="paragraph" w:styleId="List3">
    <w:name w:val="List 3"/>
    <w:basedOn w:val="List2"/>
    <w:uiPriority w:val="2"/>
    <w:rsid w:val="00A6470C"/>
    <w:pPr>
      <w:numPr>
        <w:ilvl w:val="2"/>
      </w:numPr>
    </w:pPr>
  </w:style>
  <w:style w:type="paragraph" w:styleId="Footer">
    <w:name w:val="footer"/>
    <w:basedOn w:val="Normal"/>
    <w:link w:val="FooterChar"/>
    <w:uiPriority w:val="24"/>
    <w:rsid w:val="00DC1F53"/>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DC1F53"/>
    <w:rPr>
      <w:rFonts w:eastAsiaTheme="minorEastAsia"/>
      <w:noProof/>
      <w:spacing w:val="2"/>
      <w:sz w:val="18"/>
      <w:szCs w:val="18"/>
      <w:lang w:eastAsia="en-AU"/>
    </w:rPr>
  </w:style>
  <w:style w:type="paragraph" w:styleId="BalloonText">
    <w:name w:val="Balloon Text"/>
    <w:basedOn w:val="Normal"/>
    <w:link w:val="BalloonTextChar"/>
    <w:uiPriority w:val="99"/>
    <w:semiHidden/>
    <w:rsid w:val="00DC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F53"/>
    <w:rPr>
      <w:rFonts w:ascii="Tahoma" w:eastAsiaTheme="minorEastAsia" w:hAnsi="Tahoma" w:cs="Tahoma"/>
      <w:spacing w:val="2"/>
      <w:sz w:val="16"/>
      <w:szCs w:val="16"/>
      <w:lang w:eastAsia="en-AU"/>
    </w:rPr>
  </w:style>
  <w:style w:type="paragraph" w:customStyle="1" w:styleId="Normalindentgrey">
    <w:name w:val="Normal indent grey"/>
    <w:basedOn w:val="Normalgrey"/>
    <w:uiPriority w:val="3"/>
    <w:unhideWhenUsed/>
    <w:qFormat/>
    <w:rsid w:val="003A3FB2"/>
    <w:pPr>
      <w:ind w:left="360"/>
    </w:pPr>
  </w:style>
  <w:style w:type="paragraph" w:customStyle="1" w:styleId="List1grey">
    <w:name w:val="List 1 grey"/>
    <w:basedOn w:val="Normal"/>
    <w:uiPriority w:val="3"/>
    <w:unhideWhenUsed/>
    <w:rsid w:val="00E0796F"/>
    <w:pPr>
      <w:numPr>
        <w:ilvl w:val="3"/>
        <w:numId w:val="6"/>
      </w:numPr>
      <w:ind w:left="357" w:hanging="357"/>
      <w:contextualSpacing/>
    </w:pPr>
    <w:rPr>
      <w:color w:val="5E5E5E"/>
    </w:rPr>
  </w:style>
  <w:style w:type="paragraph" w:customStyle="1" w:styleId="List2grey">
    <w:name w:val="List 2 grey"/>
    <w:basedOn w:val="Normal"/>
    <w:uiPriority w:val="3"/>
    <w:unhideWhenUsed/>
    <w:rsid w:val="00355FA3"/>
    <w:pPr>
      <w:numPr>
        <w:ilvl w:val="4"/>
        <w:numId w:val="6"/>
      </w:numPr>
    </w:pPr>
    <w:rPr>
      <w:color w:val="5E5E5E"/>
    </w:rPr>
  </w:style>
  <w:style w:type="paragraph" w:customStyle="1" w:styleId="List3grey">
    <w:name w:val="List 3 grey"/>
    <w:basedOn w:val="Normal"/>
    <w:uiPriority w:val="3"/>
    <w:unhideWhenUsed/>
    <w:rsid w:val="00355FA3"/>
    <w:pPr>
      <w:numPr>
        <w:ilvl w:val="5"/>
        <w:numId w:val="6"/>
      </w:numPr>
    </w:pPr>
    <w:rPr>
      <w:color w:val="5E5E5E"/>
    </w:rPr>
  </w:style>
  <w:style w:type="character" w:customStyle="1" w:styleId="Heading4Char">
    <w:name w:val="Heading 4 Char"/>
    <w:basedOn w:val="DefaultParagraphFont"/>
    <w:link w:val="Heading4"/>
    <w:semiHidden/>
    <w:rsid w:val="00DC1F53"/>
    <w:rPr>
      <w:rFonts w:asciiTheme="majorHAnsi" w:eastAsiaTheme="majorEastAsia" w:hAnsiTheme="majorHAnsi" w:cstheme="majorBidi"/>
      <w:b/>
      <w:bCs/>
      <w:iCs/>
      <w:color w:val="53565A"/>
      <w:spacing w:val="2"/>
      <w:sz w:val="18"/>
      <w:szCs w:val="20"/>
      <w:lang w:eastAsia="en-AU"/>
    </w:rPr>
  </w:style>
  <w:style w:type="paragraph" w:customStyle="1" w:styleId="Bullet">
    <w:name w:val="Bullet"/>
    <w:basedOn w:val="Normal"/>
    <w:rsid w:val="000A0D83"/>
    <w:pPr>
      <w:numPr>
        <w:numId w:val="9"/>
      </w:numPr>
      <w:jc w:val="both"/>
    </w:pPr>
    <w:rPr>
      <w:rFonts w:ascii="Arial" w:eastAsia="Times New Roman" w:hAnsi="Arial" w:cs="Arial"/>
    </w:rPr>
  </w:style>
  <w:style w:type="table" w:styleId="LightShading">
    <w:name w:val="Light Shading"/>
    <w:basedOn w:val="TableNormal"/>
    <w:uiPriority w:val="60"/>
    <w:rsid w:val="00DC1F53"/>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DC1F53"/>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DC1F53"/>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DC1F53"/>
    <w:pPr>
      <w:tabs>
        <w:tab w:val="right" w:leader="dot" w:pos="9000"/>
      </w:tabs>
      <w:ind w:right="432"/>
    </w:pPr>
    <w:rPr>
      <w:sz w:val="24"/>
      <w:szCs w:val="24"/>
    </w:rPr>
  </w:style>
  <w:style w:type="paragraph" w:styleId="TOC2">
    <w:name w:val="toc 2"/>
    <w:next w:val="Normal"/>
    <w:uiPriority w:val="39"/>
    <w:rsid w:val="00DC1F53"/>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DC1F53"/>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DC1F53"/>
    <w:pPr>
      <w:spacing w:after="60" w:line="240" w:lineRule="auto"/>
    </w:pPr>
    <w:rPr>
      <w:sz w:val="16"/>
    </w:rPr>
  </w:style>
  <w:style w:type="paragraph" w:styleId="Index2">
    <w:name w:val="index 2"/>
    <w:basedOn w:val="Normal"/>
    <w:next w:val="Normal"/>
    <w:uiPriority w:val="99"/>
    <w:semiHidden/>
    <w:rsid w:val="00DC1F53"/>
    <w:pPr>
      <w:spacing w:after="0" w:line="240" w:lineRule="auto"/>
      <w:ind w:left="216"/>
    </w:pPr>
    <w:rPr>
      <w:sz w:val="16"/>
      <w:szCs w:val="16"/>
    </w:rPr>
  </w:style>
  <w:style w:type="character" w:styleId="Hyperlink">
    <w:name w:val="Hyperlink"/>
    <w:basedOn w:val="DefaultParagraphFont"/>
    <w:uiPriority w:val="99"/>
    <w:rsid w:val="00DC1F53"/>
    <w:rPr>
      <w:color w:val="0000FF" w:themeColor="hyperlink"/>
      <w:u w:val="none"/>
    </w:rPr>
  </w:style>
  <w:style w:type="paragraph" w:customStyle="1" w:styleId="Bulletindent">
    <w:name w:val="Bullet indent"/>
    <w:basedOn w:val="Bullet2"/>
    <w:uiPriority w:val="7"/>
    <w:qFormat/>
    <w:rsid w:val="00DC1F53"/>
    <w:pPr>
      <w:numPr>
        <w:ilvl w:val="2"/>
      </w:numPr>
    </w:pPr>
  </w:style>
  <w:style w:type="paragraph" w:customStyle="1" w:styleId="Heading1numbered">
    <w:name w:val="Heading 1 numbered"/>
    <w:basedOn w:val="Heading1"/>
    <w:next w:val="NormalIndent"/>
    <w:uiPriority w:val="4"/>
    <w:semiHidden/>
    <w:qFormat/>
    <w:rsid w:val="00DC1F53"/>
  </w:style>
  <w:style w:type="paragraph" w:customStyle="1" w:styleId="Heading2numbered">
    <w:name w:val="Heading 2 numbered"/>
    <w:basedOn w:val="Heading2"/>
    <w:next w:val="NormalIndent"/>
    <w:uiPriority w:val="4"/>
    <w:semiHidden/>
    <w:qFormat/>
    <w:rsid w:val="00DC1F53"/>
  </w:style>
  <w:style w:type="paragraph" w:customStyle="1" w:styleId="Heading3numbered">
    <w:name w:val="Heading 3 numbered"/>
    <w:basedOn w:val="Heading3"/>
    <w:next w:val="NormalIndent"/>
    <w:uiPriority w:val="4"/>
    <w:semiHidden/>
    <w:qFormat/>
    <w:rsid w:val="00DC1F53"/>
    <w:pPr>
      <w:numPr>
        <w:ilvl w:val="4"/>
        <w:numId w:val="23"/>
      </w:numPr>
    </w:pPr>
  </w:style>
  <w:style w:type="paragraph" w:customStyle="1" w:styleId="Heading4numbered">
    <w:name w:val="Heading 4 numbered"/>
    <w:basedOn w:val="Heading4"/>
    <w:next w:val="NormalIndent"/>
    <w:uiPriority w:val="4"/>
    <w:semiHidden/>
    <w:qFormat/>
    <w:rsid w:val="00DC1F53"/>
    <w:pPr>
      <w:numPr>
        <w:ilvl w:val="5"/>
        <w:numId w:val="23"/>
      </w:numPr>
    </w:pPr>
  </w:style>
  <w:style w:type="paragraph" w:customStyle="1" w:styleId="NoteNormal">
    <w:name w:val="Note Normal"/>
    <w:basedOn w:val="Normal"/>
    <w:uiPriority w:val="49"/>
    <w:rsid w:val="00DC1F53"/>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DC1F53"/>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DC1F53"/>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DC1F53"/>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DC1F53"/>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DC1F53"/>
    <w:rPr>
      <w:rFonts w:asciiTheme="majorHAnsi" w:eastAsia="Times New Roman" w:hAnsiTheme="majorHAnsi" w:cstheme="majorHAnsi"/>
      <w:b/>
      <w:color w:val="4F81BD" w:themeColor="accent1"/>
      <w:spacing w:val="-2"/>
      <w:sz w:val="60"/>
      <w:lang w:eastAsia="en-AU"/>
    </w:rPr>
  </w:style>
  <w:style w:type="paragraph" w:customStyle="1" w:styleId="Bulletindent2">
    <w:name w:val="Bullet indent 2"/>
    <w:basedOn w:val="Normal"/>
    <w:uiPriority w:val="7"/>
    <w:qFormat/>
    <w:rsid w:val="00DC1F53"/>
    <w:pPr>
      <w:numPr>
        <w:ilvl w:val="3"/>
        <w:numId w:val="16"/>
      </w:numPr>
      <w:spacing w:before="100"/>
      <w:contextualSpacing/>
    </w:pPr>
  </w:style>
  <w:style w:type="paragraph" w:styleId="IndexHeading">
    <w:name w:val="index heading"/>
    <w:basedOn w:val="Normal"/>
    <w:next w:val="Index1"/>
    <w:uiPriority w:val="99"/>
    <w:semiHidden/>
    <w:rsid w:val="00DC1F53"/>
    <w:rPr>
      <w:rFonts w:asciiTheme="majorHAnsi" w:eastAsiaTheme="majorEastAsia" w:hAnsiTheme="majorHAnsi" w:cstheme="majorBidi"/>
      <w:b/>
      <w:bCs/>
    </w:rPr>
  </w:style>
  <w:style w:type="character" w:styleId="PageNumber">
    <w:name w:val="page number"/>
    <w:uiPriority w:val="49"/>
    <w:semiHidden/>
    <w:rsid w:val="00DC1F53"/>
    <w:rPr>
      <w:b w:val="0"/>
      <w:color w:val="000000" w:themeColor="text1"/>
    </w:rPr>
  </w:style>
  <w:style w:type="paragraph" w:styleId="TOCHeading">
    <w:name w:val="TOC Heading"/>
    <w:basedOn w:val="Heading1"/>
    <w:next w:val="Normal"/>
    <w:uiPriority w:val="39"/>
    <w:semiHidden/>
    <w:rsid w:val="00DC1F53"/>
    <w:pPr>
      <w:spacing w:before="480" w:after="720"/>
      <w:outlineLvl w:val="9"/>
    </w:pPr>
    <w:rPr>
      <w:spacing w:val="2"/>
    </w:rPr>
  </w:style>
  <w:style w:type="paragraph" w:customStyle="1" w:styleId="NormalTight">
    <w:name w:val="Normal Tight"/>
    <w:uiPriority w:val="99"/>
    <w:semiHidden/>
    <w:rsid w:val="00DC1F53"/>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DC1F53"/>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DC1F53"/>
    <w:rPr>
      <w:rFonts w:ascii="Calibri" w:eastAsia="Times New Roman" w:hAnsi="Calibri" w:cs="Calibri"/>
      <w:lang w:eastAsia="en-AU"/>
    </w:rPr>
  </w:style>
  <w:style w:type="paragraph" w:customStyle="1" w:styleId="Insidecoverspacer">
    <w:name w:val="Inside cover spacer"/>
    <w:basedOn w:val="NormalTight"/>
    <w:uiPriority w:val="99"/>
    <w:semiHidden/>
    <w:qFormat/>
    <w:rsid w:val="00DC1F53"/>
    <w:pPr>
      <w:spacing w:before="5800"/>
      <w:ind w:right="1382"/>
    </w:pPr>
  </w:style>
  <w:style w:type="paragraph" w:styleId="TOC4">
    <w:name w:val="toc 4"/>
    <w:basedOn w:val="TOC1"/>
    <w:next w:val="Normal"/>
    <w:uiPriority w:val="39"/>
    <w:semiHidden/>
    <w:rsid w:val="00DC1F53"/>
    <w:pPr>
      <w:ind w:left="450" w:hanging="450"/>
    </w:pPr>
    <w:rPr>
      <w:noProof/>
      <w:lang w:eastAsia="en-US"/>
    </w:rPr>
  </w:style>
  <w:style w:type="paragraph" w:styleId="TOC5">
    <w:name w:val="toc 5"/>
    <w:basedOn w:val="TOC2"/>
    <w:next w:val="Normal"/>
    <w:uiPriority w:val="39"/>
    <w:semiHidden/>
    <w:rsid w:val="00DC1F53"/>
    <w:pPr>
      <w:ind w:left="1080" w:hanging="634"/>
    </w:pPr>
    <w:rPr>
      <w:lang w:eastAsia="en-US"/>
    </w:rPr>
  </w:style>
  <w:style w:type="paragraph" w:styleId="TOC6">
    <w:name w:val="toc 6"/>
    <w:basedOn w:val="TOC3"/>
    <w:next w:val="Normal"/>
    <w:uiPriority w:val="39"/>
    <w:semiHidden/>
    <w:rsid w:val="00DC1F53"/>
    <w:pPr>
      <w:ind w:left="1800" w:hanging="720"/>
    </w:pPr>
    <w:rPr>
      <w:lang w:eastAsia="en-US"/>
    </w:rPr>
  </w:style>
  <w:style w:type="table" w:customStyle="1" w:styleId="DTFtexttable">
    <w:name w:val="DTF text table"/>
    <w:basedOn w:val="TableGrid"/>
    <w:uiPriority w:val="99"/>
    <w:rsid w:val="00DC1F53"/>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DC1F53"/>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DC1F53"/>
    <w:pPr>
      <w:jc w:val="right"/>
    </w:pPr>
  </w:style>
  <w:style w:type="paragraph" w:customStyle="1" w:styleId="Listnumindent2">
    <w:name w:val="List num indent 2"/>
    <w:basedOn w:val="Normal"/>
    <w:uiPriority w:val="7"/>
    <w:qFormat/>
    <w:rsid w:val="00DC1F53"/>
    <w:pPr>
      <w:numPr>
        <w:ilvl w:val="7"/>
        <w:numId w:val="23"/>
      </w:numPr>
      <w:spacing w:before="100"/>
      <w:contextualSpacing/>
    </w:pPr>
  </w:style>
  <w:style w:type="paragraph" w:customStyle="1" w:styleId="Listnumindent">
    <w:name w:val="List num indent"/>
    <w:basedOn w:val="Normal"/>
    <w:uiPriority w:val="7"/>
    <w:qFormat/>
    <w:rsid w:val="00DC1F53"/>
    <w:pPr>
      <w:tabs>
        <w:tab w:val="num" w:pos="1296"/>
      </w:tabs>
      <w:spacing w:before="100"/>
      <w:ind w:left="1296" w:hanging="504"/>
    </w:pPr>
  </w:style>
  <w:style w:type="paragraph" w:customStyle="1" w:styleId="Listnum">
    <w:name w:val="List num"/>
    <w:basedOn w:val="Normal"/>
    <w:uiPriority w:val="1"/>
    <w:qFormat/>
    <w:rsid w:val="00E0796F"/>
    <w:pPr>
      <w:numPr>
        <w:numId w:val="23"/>
      </w:numPr>
      <w:ind w:left="505" w:hanging="505"/>
      <w:contextualSpacing/>
    </w:pPr>
  </w:style>
  <w:style w:type="paragraph" w:customStyle="1" w:styleId="Listnum2">
    <w:name w:val="List num 2"/>
    <w:basedOn w:val="Normal"/>
    <w:uiPriority w:val="1"/>
    <w:qFormat/>
    <w:rsid w:val="00DC1F53"/>
    <w:pPr>
      <w:numPr>
        <w:ilvl w:val="1"/>
        <w:numId w:val="23"/>
      </w:numPr>
      <w:contextualSpacing/>
    </w:pPr>
  </w:style>
  <w:style w:type="paragraph" w:customStyle="1" w:styleId="Tabletextcentred">
    <w:name w:val="Table text centred"/>
    <w:basedOn w:val="Tabletext"/>
    <w:uiPriority w:val="8"/>
    <w:qFormat/>
    <w:rsid w:val="00DC1F53"/>
    <w:pPr>
      <w:jc w:val="center"/>
    </w:pPr>
  </w:style>
  <w:style w:type="paragraph" w:customStyle="1" w:styleId="Tableheader">
    <w:name w:val="Table header"/>
    <w:basedOn w:val="Tabletext"/>
    <w:uiPriority w:val="8"/>
    <w:qFormat/>
    <w:rsid w:val="00DC1F53"/>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C1F53"/>
    <w:pPr>
      <w:numPr>
        <w:numId w:val="18"/>
      </w:numPr>
    </w:pPr>
  </w:style>
  <w:style w:type="paragraph" w:customStyle="1" w:styleId="Tabledash">
    <w:name w:val="Table dash"/>
    <w:basedOn w:val="Tablebullet"/>
    <w:uiPriority w:val="9"/>
    <w:rsid w:val="00DC1F53"/>
    <w:pPr>
      <w:numPr>
        <w:ilvl w:val="1"/>
      </w:numPr>
    </w:pPr>
  </w:style>
  <w:style w:type="paragraph" w:customStyle="1" w:styleId="Tabletextindent">
    <w:name w:val="Table text indent"/>
    <w:basedOn w:val="Tabletext"/>
    <w:uiPriority w:val="8"/>
    <w:qFormat/>
    <w:rsid w:val="00DC1F53"/>
    <w:pPr>
      <w:ind w:left="288"/>
    </w:pPr>
  </w:style>
  <w:style w:type="paragraph" w:customStyle="1" w:styleId="Normalbold">
    <w:name w:val="Normal bold"/>
    <w:basedOn w:val="Normal"/>
    <w:qFormat/>
    <w:rsid w:val="00DC1F53"/>
    <w:pPr>
      <w:spacing w:line="264" w:lineRule="auto"/>
    </w:pPr>
    <w:rPr>
      <w:rFonts w:eastAsiaTheme="minorHAnsi"/>
      <w:b/>
      <w:szCs w:val="18"/>
      <w:lang w:eastAsia="en-US"/>
    </w:rPr>
  </w:style>
  <w:style w:type="paragraph" w:customStyle="1" w:styleId="Listnumgrey">
    <w:name w:val="List num grey"/>
    <w:uiPriority w:val="3"/>
    <w:qFormat/>
    <w:rsid w:val="00DC1F53"/>
    <w:pPr>
      <w:numPr>
        <w:ilvl w:val="2"/>
        <w:numId w:val="23"/>
      </w:numPr>
      <w:spacing w:line="264" w:lineRule="auto"/>
    </w:pPr>
    <w:rPr>
      <w:color w:val="4D4D4D"/>
      <w:spacing w:val="2"/>
      <w:sz w:val="18"/>
      <w:szCs w:val="21"/>
    </w:rPr>
  </w:style>
  <w:style w:type="paragraph" w:customStyle="1" w:styleId="Listnum2grey">
    <w:name w:val="List num 2 grey"/>
    <w:uiPriority w:val="4"/>
    <w:qFormat/>
    <w:rsid w:val="00DC1F53"/>
    <w:pPr>
      <w:numPr>
        <w:ilvl w:val="3"/>
        <w:numId w:val="23"/>
      </w:numPr>
      <w:spacing w:line="264" w:lineRule="auto"/>
    </w:pPr>
    <w:rPr>
      <w:color w:val="4D4D4D"/>
      <w:spacing w:val="2"/>
      <w:sz w:val="18"/>
      <w:szCs w:val="21"/>
    </w:rPr>
  </w:style>
  <w:style w:type="paragraph" w:customStyle="1" w:styleId="Refnum1grey">
    <w:name w:val="Ref num 1 grey"/>
    <w:basedOn w:val="Refnum1"/>
    <w:uiPriority w:val="7"/>
    <w:qFormat/>
    <w:rsid w:val="00DC1F53"/>
    <w:rPr>
      <w:color w:val="F2F2F2" w:themeColor="background1" w:themeShade="F2"/>
    </w:rPr>
  </w:style>
  <w:style w:type="paragraph" w:customStyle="1" w:styleId="Refnum2grey">
    <w:name w:val="Ref num 2 grey"/>
    <w:basedOn w:val="Normal"/>
    <w:rsid w:val="00DC1F53"/>
    <w:pPr>
      <w:numPr>
        <w:ilvl w:val="1"/>
        <w:numId w:val="22"/>
      </w:numPr>
    </w:pPr>
  </w:style>
  <w:style w:type="paragraph" w:customStyle="1" w:styleId="Normalgreybold">
    <w:name w:val="Normal grey bold"/>
    <w:basedOn w:val="Normalgrey"/>
    <w:qFormat/>
    <w:rsid w:val="00DC1F53"/>
    <w:rPr>
      <w:b/>
    </w:rPr>
  </w:style>
  <w:style w:type="paragraph" w:customStyle="1" w:styleId="NormalIndentgrey0">
    <w:name w:val="Normal Indent grey"/>
    <w:basedOn w:val="NormalIndent"/>
    <w:qFormat/>
    <w:rsid w:val="00DC1F53"/>
    <w:rPr>
      <w:color w:val="4D4D4D"/>
      <w:szCs w:val="21"/>
    </w:rPr>
  </w:style>
  <w:style w:type="paragraph" w:styleId="Caption">
    <w:name w:val="caption"/>
    <w:basedOn w:val="Normal"/>
    <w:next w:val="Normal"/>
    <w:uiPriority w:val="99"/>
    <w:rsid w:val="00DC1F53"/>
    <w:pPr>
      <w:spacing w:before="0" w:after="200" w:line="240" w:lineRule="auto"/>
    </w:pPr>
    <w:rPr>
      <w:b/>
      <w:bCs/>
      <w:szCs w:val="18"/>
    </w:rPr>
  </w:style>
  <w:style w:type="paragraph" w:customStyle="1" w:styleId="Tablechartdiagramheading">
    <w:name w:val="Table/chart/diagram heading"/>
    <w:uiPriority w:val="99"/>
    <w:qFormat/>
    <w:rsid w:val="00DC1F53"/>
    <w:pPr>
      <w:tabs>
        <w:tab w:val="left" w:pos="1080"/>
      </w:tabs>
      <w:spacing w:before="160" w:after="100"/>
    </w:pPr>
    <w:rPr>
      <w:rFonts w:eastAsiaTheme="minorEastAsia"/>
      <w:b/>
      <w:bCs/>
      <w:color w:val="404040" w:themeColor="text1" w:themeTint="BF"/>
      <w:spacing w:val="2"/>
      <w:sz w:val="18"/>
      <w:szCs w:val="18"/>
      <w:lang w:eastAsia="en-AU"/>
    </w:rPr>
  </w:style>
  <w:style w:type="paragraph" w:styleId="FootnoteText">
    <w:name w:val="footnote text"/>
    <w:basedOn w:val="Normal"/>
    <w:link w:val="FootnoteTextChar"/>
    <w:uiPriority w:val="99"/>
    <w:semiHidden/>
    <w:unhideWhenUsed/>
    <w:rsid w:val="004C246C"/>
    <w:pPr>
      <w:spacing w:before="0" w:after="0" w:line="240" w:lineRule="auto"/>
    </w:pPr>
    <w:rPr>
      <w:sz w:val="20"/>
    </w:rPr>
  </w:style>
  <w:style w:type="character" w:customStyle="1" w:styleId="FootnoteTextChar">
    <w:name w:val="Footnote Text Char"/>
    <w:basedOn w:val="DefaultParagraphFont"/>
    <w:link w:val="FootnoteText"/>
    <w:uiPriority w:val="99"/>
    <w:semiHidden/>
    <w:rsid w:val="004C246C"/>
    <w:rPr>
      <w:rFonts w:eastAsiaTheme="minorEastAsia"/>
      <w:spacing w:val="2"/>
      <w:sz w:val="20"/>
      <w:szCs w:val="20"/>
      <w:lang w:eastAsia="en-AU"/>
    </w:rPr>
  </w:style>
  <w:style w:type="character" w:styleId="FootnoteReference">
    <w:name w:val="footnote reference"/>
    <w:basedOn w:val="DefaultParagraphFont"/>
    <w:uiPriority w:val="99"/>
    <w:semiHidden/>
    <w:unhideWhenUsed/>
    <w:rsid w:val="004C246C"/>
    <w:rPr>
      <w:vertAlign w:val="superscript"/>
    </w:rPr>
  </w:style>
  <w:style w:type="paragraph" w:styleId="Revision">
    <w:name w:val="Revision"/>
    <w:hidden/>
    <w:uiPriority w:val="99"/>
    <w:semiHidden/>
    <w:rsid w:val="00653909"/>
    <w:pPr>
      <w:spacing w:after="0" w:line="240" w:lineRule="auto"/>
    </w:pPr>
    <w:rPr>
      <w:rFonts w:eastAsiaTheme="minorEastAsia"/>
      <w:spacing w:val="2"/>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5728">
      <w:bodyDiv w:val="1"/>
      <w:marLeft w:val="0"/>
      <w:marRight w:val="0"/>
      <w:marTop w:val="0"/>
      <w:marBottom w:val="0"/>
      <w:divBdr>
        <w:top w:val="none" w:sz="0" w:space="0" w:color="auto"/>
        <w:left w:val="none" w:sz="0" w:space="0" w:color="auto"/>
        <w:bottom w:val="none" w:sz="0" w:space="0" w:color="auto"/>
        <w:right w:val="none" w:sz="0" w:space="0" w:color="auto"/>
      </w:divBdr>
    </w:div>
    <w:div w:id="321589714">
      <w:bodyDiv w:val="1"/>
      <w:marLeft w:val="0"/>
      <w:marRight w:val="0"/>
      <w:marTop w:val="0"/>
      <w:marBottom w:val="0"/>
      <w:divBdr>
        <w:top w:val="none" w:sz="0" w:space="0" w:color="auto"/>
        <w:left w:val="none" w:sz="0" w:space="0" w:color="auto"/>
        <w:bottom w:val="none" w:sz="0" w:space="0" w:color="auto"/>
        <w:right w:val="none" w:sz="0" w:space="0" w:color="auto"/>
      </w:divBdr>
    </w:div>
    <w:div w:id="350690386">
      <w:bodyDiv w:val="1"/>
      <w:marLeft w:val="0"/>
      <w:marRight w:val="0"/>
      <w:marTop w:val="0"/>
      <w:marBottom w:val="0"/>
      <w:divBdr>
        <w:top w:val="none" w:sz="0" w:space="0" w:color="auto"/>
        <w:left w:val="none" w:sz="0" w:space="0" w:color="auto"/>
        <w:bottom w:val="none" w:sz="0" w:space="0" w:color="auto"/>
        <w:right w:val="none" w:sz="0" w:space="0" w:color="auto"/>
      </w:divBdr>
    </w:div>
    <w:div w:id="353188696">
      <w:bodyDiv w:val="1"/>
      <w:marLeft w:val="0"/>
      <w:marRight w:val="0"/>
      <w:marTop w:val="0"/>
      <w:marBottom w:val="0"/>
      <w:divBdr>
        <w:top w:val="none" w:sz="0" w:space="0" w:color="auto"/>
        <w:left w:val="none" w:sz="0" w:space="0" w:color="auto"/>
        <w:bottom w:val="none" w:sz="0" w:space="0" w:color="auto"/>
        <w:right w:val="none" w:sz="0" w:space="0" w:color="auto"/>
      </w:divBdr>
    </w:div>
    <w:div w:id="360673290">
      <w:bodyDiv w:val="1"/>
      <w:marLeft w:val="0"/>
      <w:marRight w:val="0"/>
      <w:marTop w:val="0"/>
      <w:marBottom w:val="0"/>
      <w:divBdr>
        <w:top w:val="none" w:sz="0" w:space="0" w:color="auto"/>
        <w:left w:val="none" w:sz="0" w:space="0" w:color="auto"/>
        <w:bottom w:val="none" w:sz="0" w:space="0" w:color="auto"/>
        <w:right w:val="none" w:sz="0" w:space="0" w:color="auto"/>
      </w:divBdr>
    </w:div>
    <w:div w:id="378356039">
      <w:bodyDiv w:val="1"/>
      <w:marLeft w:val="0"/>
      <w:marRight w:val="0"/>
      <w:marTop w:val="0"/>
      <w:marBottom w:val="0"/>
      <w:divBdr>
        <w:top w:val="none" w:sz="0" w:space="0" w:color="auto"/>
        <w:left w:val="none" w:sz="0" w:space="0" w:color="auto"/>
        <w:bottom w:val="none" w:sz="0" w:space="0" w:color="auto"/>
        <w:right w:val="none" w:sz="0" w:space="0" w:color="auto"/>
      </w:divBdr>
    </w:div>
    <w:div w:id="523591081">
      <w:bodyDiv w:val="1"/>
      <w:marLeft w:val="0"/>
      <w:marRight w:val="0"/>
      <w:marTop w:val="0"/>
      <w:marBottom w:val="0"/>
      <w:divBdr>
        <w:top w:val="none" w:sz="0" w:space="0" w:color="auto"/>
        <w:left w:val="none" w:sz="0" w:space="0" w:color="auto"/>
        <w:bottom w:val="none" w:sz="0" w:space="0" w:color="auto"/>
        <w:right w:val="none" w:sz="0" w:space="0" w:color="auto"/>
      </w:divBdr>
    </w:div>
    <w:div w:id="790128810">
      <w:bodyDiv w:val="1"/>
      <w:marLeft w:val="0"/>
      <w:marRight w:val="0"/>
      <w:marTop w:val="0"/>
      <w:marBottom w:val="0"/>
      <w:divBdr>
        <w:top w:val="none" w:sz="0" w:space="0" w:color="auto"/>
        <w:left w:val="none" w:sz="0" w:space="0" w:color="auto"/>
        <w:bottom w:val="none" w:sz="0" w:space="0" w:color="auto"/>
        <w:right w:val="none" w:sz="0" w:space="0" w:color="auto"/>
      </w:divBdr>
    </w:div>
    <w:div w:id="799107666">
      <w:bodyDiv w:val="1"/>
      <w:marLeft w:val="0"/>
      <w:marRight w:val="0"/>
      <w:marTop w:val="0"/>
      <w:marBottom w:val="0"/>
      <w:divBdr>
        <w:top w:val="none" w:sz="0" w:space="0" w:color="auto"/>
        <w:left w:val="none" w:sz="0" w:space="0" w:color="auto"/>
        <w:bottom w:val="none" w:sz="0" w:space="0" w:color="auto"/>
        <w:right w:val="none" w:sz="0" w:space="0" w:color="auto"/>
      </w:divBdr>
    </w:div>
    <w:div w:id="812331908">
      <w:bodyDiv w:val="1"/>
      <w:marLeft w:val="0"/>
      <w:marRight w:val="0"/>
      <w:marTop w:val="0"/>
      <w:marBottom w:val="0"/>
      <w:divBdr>
        <w:top w:val="none" w:sz="0" w:space="0" w:color="auto"/>
        <w:left w:val="none" w:sz="0" w:space="0" w:color="auto"/>
        <w:bottom w:val="none" w:sz="0" w:space="0" w:color="auto"/>
        <w:right w:val="none" w:sz="0" w:space="0" w:color="auto"/>
      </w:divBdr>
    </w:div>
    <w:div w:id="1097404254">
      <w:bodyDiv w:val="1"/>
      <w:marLeft w:val="0"/>
      <w:marRight w:val="0"/>
      <w:marTop w:val="0"/>
      <w:marBottom w:val="0"/>
      <w:divBdr>
        <w:top w:val="none" w:sz="0" w:space="0" w:color="auto"/>
        <w:left w:val="none" w:sz="0" w:space="0" w:color="auto"/>
        <w:bottom w:val="none" w:sz="0" w:space="0" w:color="auto"/>
        <w:right w:val="none" w:sz="0" w:space="0" w:color="auto"/>
      </w:divBdr>
    </w:div>
    <w:div w:id="1108353675">
      <w:bodyDiv w:val="1"/>
      <w:marLeft w:val="0"/>
      <w:marRight w:val="0"/>
      <w:marTop w:val="0"/>
      <w:marBottom w:val="0"/>
      <w:divBdr>
        <w:top w:val="none" w:sz="0" w:space="0" w:color="auto"/>
        <w:left w:val="none" w:sz="0" w:space="0" w:color="auto"/>
        <w:bottom w:val="none" w:sz="0" w:space="0" w:color="auto"/>
        <w:right w:val="none" w:sz="0" w:space="0" w:color="auto"/>
      </w:divBdr>
    </w:div>
    <w:div w:id="1476265419">
      <w:bodyDiv w:val="1"/>
      <w:marLeft w:val="0"/>
      <w:marRight w:val="0"/>
      <w:marTop w:val="0"/>
      <w:marBottom w:val="0"/>
      <w:divBdr>
        <w:top w:val="none" w:sz="0" w:space="0" w:color="auto"/>
        <w:left w:val="none" w:sz="0" w:space="0" w:color="auto"/>
        <w:bottom w:val="none" w:sz="0" w:space="0" w:color="auto"/>
        <w:right w:val="none" w:sz="0" w:space="0" w:color="auto"/>
      </w:divBdr>
    </w:div>
    <w:div w:id="1578514888">
      <w:bodyDiv w:val="1"/>
      <w:marLeft w:val="0"/>
      <w:marRight w:val="0"/>
      <w:marTop w:val="0"/>
      <w:marBottom w:val="0"/>
      <w:divBdr>
        <w:top w:val="none" w:sz="0" w:space="0" w:color="auto"/>
        <w:left w:val="none" w:sz="0" w:space="0" w:color="auto"/>
        <w:bottom w:val="none" w:sz="0" w:space="0" w:color="auto"/>
        <w:right w:val="none" w:sz="0" w:space="0" w:color="auto"/>
      </w:divBdr>
    </w:div>
    <w:div w:id="1618759857">
      <w:bodyDiv w:val="1"/>
      <w:marLeft w:val="0"/>
      <w:marRight w:val="0"/>
      <w:marTop w:val="0"/>
      <w:marBottom w:val="0"/>
      <w:divBdr>
        <w:top w:val="none" w:sz="0" w:space="0" w:color="auto"/>
        <w:left w:val="none" w:sz="0" w:space="0" w:color="auto"/>
        <w:bottom w:val="none" w:sz="0" w:space="0" w:color="auto"/>
        <w:right w:val="none" w:sz="0" w:space="0" w:color="auto"/>
      </w:divBdr>
    </w:div>
    <w:div w:id="1712725074">
      <w:bodyDiv w:val="1"/>
      <w:marLeft w:val="0"/>
      <w:marRight w:val="0"/>
      <w:marTop w:val="0"/>
      <w:marBottom w:val="0"/>
      <w:divBdr>
        <w:top w:val="none" w:sz="0" w:space="0" w:color="auto"/>
        <w:left w:val="none" w:sz="0" w:space="0" w:color="auto"/>
        <w:bottom w:val="none" w:sz="0" w:space="0" w:color="auto"/>
        <w:right w:val="none" w:sz="0" w:space="0" w:color="auto"/>
      </w:divBdr>
    </w:div>
    <w:div w:id="1907835402">
      <w:bodyDiv w:val="1"/>
      <w:marLeft w:val="0"/>
      <w:marRight w:val="0"/>
      <w:marTop w:val="0"/>
      <w:marBottom w:val="0"/>
      <w:divBdr>
        <w:top w:val="none" w:sz="0" w:space="0" w:color="auto"/>
        <w:left w:val="none" w:sz="0" w:space="0" w:color="auto"/>
        <w:bottom w:val="none" w:sz="0" w:space="0" w:color="auto"/>
        <w:right w:val="none" w:sz="0" w:space="0" w:color="auto"/>
      </w:divBdr>
    </w:div>
    <w:div w:id="1940946340">
      <w:bodyDiv w:val="1"/>
      <w:marLeft w:val="0"/>
      <w:marRight w:val="0"/>
      <w:marTop w:val="0"/>
      <w:marBottom w:val="0"/>
      <w:divBdr>
        <w:top w:val="none" w:sz="0" w:space="0" w:color="auto"/>
        <w:left w:val="none" w:sz="0" w:space="0" w:color="auto"/>
        <w:bottom w:val="none" w:sz="0" w:space="0" w:color="auto"/>
        <w:right w:val="none" w:sz="0" w:space="0" w:color="auto"/>
      </w:divBdr>
    </w:div>
    <w:div w:id="2017419255">
      <w:bodyDiv w:val="1"/>
      <w:marLeft w:val="0"/>
      <w:marRight w:val="0"/>
      <w:marTop w:val="0"/>
      <w:marBottom w:val="0"/>
      <w:divBdr>
        <w:top w:val="none" w:sz="0" w:space="0" w:color="auto"/>
        <w:left w:val="none" w:sz="0" w:space="0" w:color="auto"/>
        <w:bottom w:val="none" w:sz="0" w:space="0" w:color="auto"/>
        <w:right w:val="none" w:sz="0" w:space="0" w:color="auto"/>
      </w:divBdr>
    </w:div>
    <w:div w:id="20271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678BA9C-A4B5-439D-A9B8-D1175770398D}">
  <ds:schemaRefs>
    <ds:schemaRef ds:uri="http://schemas.openxmlformats.org/officeDocument/2006/bibliography"/>
  </ds:schemaRefs>
</ds:datastoreItem>
</file>

<file path=customXml/itemProps2.xml><?xml version="1.0" encoding="utf-8"?>
<ds:datastoreItem xmlns:ds="http://schemas.openxmlformats.org/officeDocument/2006/customXml" ds:itemID="{2366EF0F-24D2-4C68-A077-996C1FF65C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Lam</dc:creator>
  <cp:lastModifiedBy>Natalie Maroki (DTF)</cp:lastModifiedBy>
  <cp:revision>2</cp:revision>
  <cp:lastPrinted>2016-06-07T06:13:00Z</cp:lastPrinted>
  <dcterms:created xsi:type="dcterms:W3CDTF">2022-04-28T02:48:00Z</dcterms:created>
  <dcterms:modified xsi:type="dcterms:W3CDTF">2022-04-28T02:48:00Z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0745118c-3b5b-4d59-9d85-6e3daa054494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2022-04-28T02:48:15Z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7b0f7da2-7d87-439c-9e10-9266a55593e1</vt:lpwstr>
  </property>
  <property fmtid="{D5CDD505-2E9C-101B-9397-08002B2CF9AE}" pid="10" name="MSIP_Label_7158ebbd-6c5e-441f-bfc9-4eb8c11e3978_ContentBits">
    <vt:lpwstr>2</vt:lpwstr>
  </property>
</Properties>
</file>