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4A0" w:firstRow="1" w:lastRow="0" w:firstColumn="1" w:lastColumn="0" w:noHBand="0" w:noVBand="1"/>
      </w:tblPr>
      <w:tblGrid>
        <w:gridCol w:w="2293"/>
        <w:gridCol w:w="270"/>
        <w:gridCol w:w="540"/>
        <w:gridCol w:w="6134"/>
      </w:tblGrid>
      <w:tr w:rsidR="006C78FB" w:rsidRPr="00231BD3" w14:paraId="67678050" w14:textId="77777777" w:rsidTr="000A46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7ED62D92" w14:textId="40D44928" w:rsidR="006C78FB" w:rsidRPr="00231BD3" w:rsidRDefault="00B50879" w:rsidP="00B8224B">
            <w:pPr>
              <w:pStyle w:val="FRDNumber"/>
            </w:pPr>
            <w:r w:rsidRPr="002E50A4">
              <w:t>FRD</w:t>
            </w:r>
            <w:r w:rsidRPr="003C5E9F">
              <w:t xml:space="preserve"> </w:t>
            </w:r>
            <w:r>
              <w:t>112</w:t>
            </w:r>
          </w:p>
        </w:tc>
        <w:tc>
          <w:tcPr>
            <w:tcW w:w="270" w:type="dxa"/>
          </w:tcPr>
          <w:p w14:paraId="799F313F" w14:textId="77777777" w:rsidR="006C78FB" w:rsidRPr="00231BD3" w:rsidRDefault="006C78FB" w:rsidP="00B8224B">
            <w:pPr>
              <w:cnfStyle w:val="100000000000" w:firstRow="1" w:lastRow="0" w:firstColumn="0" w:lastColumn="0" w:oddVBand="0" w:evenVBand="0" w:oddHBand="0" w:evenHBand="0" w:firstRowFirstColumn="0" w:firstRowLastColumn="0" w:lastRowFirstColumn="0" w:lastRowLastColumn="0"/>
            </w:pPr>
          </w:p>
        </w:tc>
        <w:tc>
          <w:tcPr>
            <w:tcW w:w="540" w:type="dxa"/>
          </w:tcPr>
          <w:p w14:paraId="6B313DC9" w14:textId="77777777" w:rsidR="006C78FB" w:rsidRPr="00231BD3" w:rsidRDefault="006C78FB" w:rsidP="00B8224B">
            <w:pPr>
              <w:cnfStyle w:val="100000000000" w:firstRow="1" w:lastRow="0" w:firstColumn="0" w:lastColumn="0" w:oddVBand="0" w:evenVBand="0" w:oddHBand="0" w:evenHBand="0" w:firstRowFirstColumn="0" w:firstRowLastColumn="0" w:lastRowFirstColumn="0" w:lastRowLastColumn="0"/>
            </w:pPr>
          </w:p>
        </w:tc>
        <w:tc>
          <w:tcPr>
            <w:tcW w:w="6134" w:type="dxa"/>
          </w:tcPr>
          <w:p w14:paraId="5B1C4A9E" w14:textId="5630E4B0" w:rsidR="006C78FB" w:rsidRPr="00231BD3" w:rsidRDefault="00B50879" w:rsidP="004A77BA">
            <w:pPr>
              <w:pStyle w:val="FRDHeader"/>
              <w:cnfStyle w:val="100000000000" w:firstRow="1" w:lastRow="0" w:firstColumn="0" w:lastColumn="0" w:oddVBand="0" w:evenVBand="0" w:oddHBand="0" w:evenHBand="0" w:firstRowFirstColumn="0" w:firstRowLastColumn="0" w:lastRowFirstColumn="0" w:lastRowLastColumn="0"/>
            </w:pPr>
            <w:r>
              <w:t>Defined Benefit Superannuation Obligations (</w:t>
            </w:r>
            <w:r w:rsidR="0065515A">
              <w:t>April</w:t>
            </w:r>
            <w:r>
              <w:t xml:space="preserve"> 20</w:t>
            </w:r>
            <w:r w:rsidR="0065515A">
              <w:t>22</w:t>
            </w:r>
            <w:r>
              <w:t>)</w:t>
            </w:r>
          </w:p>
        </w:tc>
      </w:tr>
      <w:tr w:rsidR="006C78FB" w:rsidRPr="00E10ADB" w14:paraId="28DFADAA" w14:textId="77777777" w:rsidTr="000A4653">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08B27301" w14:textId="77777777" w:rsidR="006C78FB" w:rsidRPr="008A601F" w:rsidRDefault="006C78FB" w:rsidP="00B8224B">
            <w:pPr>
              <w:pStyle w:val="Tabletext"/>
            </w:pPr>
          </w:p>
        </w:tc>
        <w:tc>
          <w:tcPr>
            <w:tcW w:w="270" w:type="dxa"/>
          </w:tcPr>
          <w:p w14:paraId="40F29D18" w14:textId="77777777" w:rsidR="006C78FB" w:rsidRPr="008A601F" w:rsidRDefault="006C78FB" w:rsidP="006D66F9">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3681703F" w14:textId="77777777" w:rsidR="006C78FB" w:rsidRPr="008A601F" w:rsidRDefault="006C78FB" w:rsidP="00B8224B">
            <w:pPr>
              <w:cnfStyle w:val="000000100000" w:firstRow="0" w:lastRow="0" w:firstColumn="0" w:lastColumn="0" w:oddVBand="0" w:evenVBand="0" w:oddHBand="1" w:evenHBand="0" w:firstRowFirstColumn="0" w:firstRowLastColumn="0" w:lastRowFirstColumn="0" w:lastRowLastColumn="0"/>
            </w:pPr>
          </w:p>
        </w:tc>
        <w:tc>
          <w:tcPr>
            <w:tcW w:w="6134" w:type="dxa"/>
          </w:tcPr>
          <w:p w14:paraId="1EBBE227" w14:textId="77777777" w:rsidR="006C78FB" w:rsidRPr="008A601F" w:rsidRDefault="006C78FB" w:rsidP="00B8224B">
            <w:pPr>
              <w:cnfStyle w:val="000000100000" w:firstRow="0" w:lastRow="0" w:firstColumn="0" w:lastColumn="0" w:oddVBand="0" w:evenVBand="0" w:oddHBand="1" w:evenHBand="0" w:firstRowFirstColumn="0" w:firstRowLastColumn="0" w:lastRowFirstColumn="0" w:lastRowLastColumn="0"/>
            </w:pPr>
          </w:p>
        </w:tc>
      </w:tr>
      <w:tr w:rsidR="005828FE" w:rsidRPr="005828FE" w14:paraId="4AEEDFA6"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8160EC7" w14:textId="77777777" w:rsidR="006C78FB" w:rsidRPr="005828FE" w:rsidRDefault="006C78FB" w:rsidP="00382EE1">
            <w:pPr>
              <w:pStyle w:val="Normalgrey"/>
            </w:pPr>
            <w:r w:rsidRPr="005828FE">
              <w:t>Purpose</w:t>
            </w:r>
          </w:p>
        </w:tc>
        <w:tc>
          <w:tcPr>
            <w:tcW w:w="270" w:type="dxa"/>
          </w:tcPr>
          <w:p w14:paraId="7141AEB9" w14:textId="77777777" w:rsidR="006C78FB" w:rsidRPr="005828FE" w:rsidRDefault="006C78FB" w:rsidP="00B50879">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7FD8E584" w14:textId="77777777" w:rsidR="006C78FB" w:rsidRPr="005828FE" w:rsidRDefault="006C78FB" w:rsidP="000A4653">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3EE9F1F6" w14:textId="77777777" w:rsidR="00B50879" w:rsidRDefault="00B50879" w:rsidP="00285B4C">
            <w:pPr>
              <w:pStyle w:val="Listnumgrey"/>
              <w:spacing w:before="160"/>
              <w:cnfStyle w:val="000000010000" w:firstRow="0" w:lastRow="0" w:firstColumn="0" w:lastColumn="0" w:oddVBand="0" w:evenVBand="0" w:oddHBand="0" w:evenHBand="1" w:firstRowFirstColumn="0" w:firstRowLastColumn="0" w:lastRowFirstColumn="0" w:lastRowLastColumn="0"/>
            </w:pPr>
            <w:r>
              <w:t xml:space="preserve">To prescribe </w:t>
            </w:r>
            <w:r w:rsidRPr="00285B4C">
              <w:t>for</w:t>
            </w:r>
            <w:r>
              <w:t xml:space="preserve"> the recognition by entities of the defined benefit liabilities or assets for their employees.</w:t>
            </w:r>
          </w:p>
          <w:p w14:paraId="2FF451B2" w14:textId="77777777" w:rsidR="006C78FB" w:rsidRPr="005828FE" w:rsidRDefault="00B50879" w:rsidP="00285B4C">
            <w:pPr>
              <w:pStyle w:val="Listnumgrey"/>
              <w:cnfStyle w:val="000000010000" w:firstRow="0" w:lastRow="0" w:firstColumn="0" w:lastColumn="0" w:oddVBand="0" w:evenVBand="0" w:oddHBand="0" w:evenHBand="1" w:firstRowFirstColumn="0" w:firstRowLastColumn="0" w:lastRowFirstColumn="0" w:lastRowLastColumn="0"/>
            </w:pPr>
            <w:r>
              <w:t>To prescribe requirements for the disclosure of the defined benefit liabilities or assets by the Department of Treasury and Finance (DTF) on behalf of the State.</w:t>
            </w:r>
          </w:p>
        </w:tc>
      </w:tr>
      <w:tr w:rsidR="006C78FB" w:rsidRPr="005828FE" w14:paraId="0838DD3A" w14:textId="77777777" w:rsidTr="0074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906AFCE"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20935D23" w14:textId="77777777" w:rsidR="006C78FB" w:rsidRPr="008B2A17" w:rsidRDefault="006C78FB" w:rsidP="000A4653">
            <w:pPr>
              <w:pStyle w:val="Refnum1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5068BF63" w14:textId="77777777" w:rsidR="006C78FB" w:rsidRPr="004E6AA1" w:rsidRDefault="006C78FB" w:rsidP="000A4653">
            <w:pPr>
              <w:pStyle w:val="Refnum2"/>
              <w:cnfStyle w:val="000000100000" w:firstRow="0" w:lastRow="0" w:firstColumn="0" w:lastColumn="0" w:oddVBand="0" w:evenVBand="0" w:oddHBand="1" w:evenHBand="0" w:firstRowFirstColumn="0" w:firstRowLastColumn="0" w:lastRowFirstColumn="0" w:lastRowLastColumn="0"/>
              <w:rPr>
                <w:b/>
                <w:bCs/>
              </w:rPr>
            </w:pPr>
          </w:p>
        </w:tc>
        <w:tc>
          <w:tcPr>
            <w:tcW w:w="6134" w:type="dxa"/>
            <w:shd w:val="clear" w:color="auto" w:fill="F2F2F2" w:themeFill="background1" w:themeFillShade="F2"/>
          </w:tcPr>
          <w:p w14:paraId="5D83113B" w14:textId="77777777" w:rsidR="006C78FB" w:rsidRPr="004E6AA1" w:rsidRDefault="00B50879" w:rsidP="00A516DE">
            <w:pPr>
              <w:pStyle w:val="Normalbold"/>
              <w:cnfStyle w:val="000000100000" w:firstRow="0" w:lastRow="0" w:firstColumn="0" w:lastColumn="0" w:oddVBand="0" w:evenVBand="0" w:oddHBand="1" w:evenHBand="0" w:firstRowFirstColumn="0" w:firstRowLastColumn="0" w:lastRowFirstColumn="0" w:lastRowLastColumn="0"/>
              <w:rPr>
                <w:bCs/>
              </w:rPr>
            </w:pPr>
            <w:r w:rsidRPr="004E6AA1">
              <w:rPr>
                <w:bCs/>
              </w:rPr>
              <w:t xml:space="preserve">Applies to all entities defined as either a public body or a department under section 3 of the </w:t>
            </w:r>
            <w:r w:rsidRPr="004E6AA1">
              <w:rPr>
                <w:bCs/>
                <w:i/>
              </w:rPr>
              <w:t>Financial Management Act 1994</w:t>
            </w:r>
            <w:r w:rsidRPr="004E6AA1">
              <w:rPr>
                <w:bCs/>
              </w:rPr>
              <w:t>. Application by State owned corporations are encouraged.</w:t>
            </w:r>
          </w:p>
        </w:tc>
      </w:tr>
      <w:tr w:rsidR="006C78FB" w:rsidRPr="005828FE" w14:paraId="213F3ADD" w14:textId="77777777" w:rsidTr="00747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088BB6EA" w14:textId="77777777" w:rsidR="006C78FB" w:rsidRPr="005828FE" w:rsidRDefault="006C78FB" w:rsidP="00A516DE">
            <w:pPr>
              <w:pStyle w:val="Normalbold"/>
            </w:pPr>
            <w:r w:rsidRPr="005828FE">
              <w:t>Operative date</w:t>
            </w:r>
          </w:p>
        </w:tc>
        <w:tc>
          <w:tcPr>
            <w:tcW w:w="270" w:type="dxa"/>
            <w:shd w:val="clear" w:color="auto" w:fill="F2F2F2" w:themeFill="background1" w:themeFillShade="F2"/>
          </w:tcPr>
          <w:p w14:paraId="72F4F55D" w14:textId="77777777" w:rsidR="006C78FB" w:rsidRPr="008B2A17" w:rsidRDefault="006C78FB" w:rsidP="000A4653">
            <w:pPr>
              <w:pStyle w:val="Refnum1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3A75E021" w14:textId="77777777" w:rsidR="006C78FB" w:rsidRPr="004E6AA1" w:rsidRDefault="006C78FB" w:rsidP="000A4653">
            <w:pPr>
              <w:pStyle w:val="Refnum2"/>
              <w:cnfStyle w:val="000000010000" w:firstRow="0" w:lastRow="0" w:firstColumn="0" w:lastColumn="0" w:oddVBand="0" w:evenVBand="0" w:oddHBand="0" w:evenHBand="1" w:firstRowFirstColumn="0" w:firstRowLastColumn="0" w:lastRowFirstColumn="0" w:lastRowLastColumn="0"/>
              <w:rPr>
                <w:b/>
                <w:bCs/>
              </w:rPr>
            </w:pPr>
          </w:p>
        </w:tc>
        <w:tc>
          <w:tcPr>
            <w:tcW w:w="6134" w:type="dxa"/>
            <w:shd w:val="clear" w:color="auto" w:fill="F2F2F2" w:themeFill="background1" w:themeFillShade="F2"/>
          </w:tcPr>
          <w:p w14:paraId="572428D4" w14:textId="22708994" w:rsidR="00D5422A" w:rsidRPr="004E6AA1" w:rsidRDefault="00D5422A" w:rsidP="00A516DE">
            <w:pPr>
              <w:pStyle w:val="Normalbold"/>
              <w:cnfStyle w:val="000000010000" w:firstRow="0" w:lastRow="0" w:firstColumn="0" w:lastColumn="0" w:oddVBand="0" w:evenVBand="0" w:oddHBand="0" w:evenHBand="1" w:firstRowFirstColumn="0" w:firstRowLastColumn="0" w:lastRowFirstColumn="0" w:lastRowLastColumn="0"/>
              <w:rPr>
                <w:bCs/>
              </w:rPr>
            </w:pPr>
            <w:r w:rsidRPr="003819C8">
              <w:rPr>
                <w:bCs/>
              </w:rPr>
              <w:t>FRD 112</w:t>
            </w:r>
            <w:r>
              <w:rPr>
                <w:bCs/>
              </w:rPr>
              <w:t>D</w:t>
            </w:r>
            <w:r w:rsidRPr="003819C8">
              <w:rPr>
                <w:bCs/>
              </w:rPr>
              <w:t xml:space="preserve"> </w:t>
            </w:r>
            <w:r w:rsidRPr="003819C8">
              <w:rPr>
                <w:bCs/>
                <w:i/>
                <w:iCs/>
              </w:rPr>
              <w:t>Defined Benefit Superannuation Obligations</w:t>
            </w:r>
            <w:r>
              <w:rPr>
                <w:bCs/>
                <w:i/>
                <w:iCs/>
              </w:rPr>
              <w:t xml:space="preserve"> </w:t>
            </w:r>
            <w:r>
              <w:rPr>
                <w:bCs/>
              </w:rPr>
              <w:t xml:space="preserve">is renamed to </w:t>
            </w:r>
            <w:r w:rsidRPr="003819C8">
              <w:rPr>
                <w:bCs/>
              </w:rPr>
              <w:t xml:space="preserve">FRD 112 </w:t>
            </w:r>
            <w:r w:rsidRPr="003819C8">
              <w:rPr>
                <w:bCs/>
                <w:i/>
                <w:iCs/>
              </w:rPr>
              <w:t>Defined Benefit Superannuation Obligations</w:t>
            </w:r>
            <w:r>
              <w:rPr>
                <w:bCs/>
                <w:i/>
                <w:iCs/>
              </w:rPr>
              <w:t xml:space="preserve"> </w:t>
            </w:r>
            <w:r w:rsidRPr="004E6AA1">
              <w:rPr>
                <w:bCs/>
              </w:rPr>
              <w:t>effective 1 April 2022.</w:t>
            </w:r>
          </w:p>
        </w:tc>
      </w:tr>
      <w:tr w:rsidR="00B50879" w:rsidRPr="005828FE" w14:paraId="28B4761F" w14:textId="77777777" w:rsidTr="0074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CFB2CDF" w14:textId="3082795F" w:rsidR="00B50879" w:rsidRPr="005828FE" w:rsidRDefault="00D5422A" w:rsidP="00A0322D">
            <w:pPr>
              <w:pStyle w:val="Normalbold"/>
            </w:pPr>
            <w:r w:rsidRPr="005828FE">
              <w:t>Requirement</w:t>
            </w:r>
            <w:r>
              <w:t>s</w:t>
            </w:r>
          </w:p>
        </w:tc>
        <w:tc>
          <w:tcPr>
            <w:tcW w:w="270" w:type="dxa"/>
            <w:shd w:val="clear" w:color="auto" w:fill="F2F2F2" w:themeFill="background1" w:themeFillShade="F2"/>
          </w:tcPr>
          <w:p w14:paraId="5AF54CD7" w14:textId="77777777" w:rsidR="00B50879" w:rsidRPr="008B2A17" w:rsidRDefault="00B50879" w:rsidP="00B50879">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29B351AC" w14:textId="77777777" w:rsidR="00D5422A" w:rsidRPr="00D5422A" w:rsidRDefault="00D5422A" w:rsidP="00D5422A">
            <w:pPr>
              <w:pStyle w:val="ListParagraph"/>
              <w:numPr>
                <w:ilvl w:val="0"/>
                <w:numId w:val="22"/>
              </w:numPr>
              <w:spacing w:line="240" w:lineRule="auto"/>
              <w:contextualSpacing w:val="0"/>
              <w:cnfStyle w:val="000000100000" w:firstRow="0" w:lastRow="0" w:firstColumn="0" w:lastColumn="0" w:oddVBand="0" w:evenVBand="0" w:oddHBand="1" w:evenHBand="0" w:firstRowFirstColumn="0" w:firstRowLastColumn="0" w:lastRowFirstColumn="0" w:lastRowLastColumn="0"/>
              <w:rPr>
                <w:rFonts w:eastAsia="Calibri" w:cs="Times New Roman"/>
                <w:vanish/>
                <w:color w:val="FFFFFF" w:themeColor="background1"/>
                <w:spacing w:val="0"/>
              </w:rPr>
            </w:pPr>
          </w:p>
          <w:p w14:paraId="070B5C1D" w14:textId="77777777" w:rsidR="00D5422A" w:rsidRPr="00D5422A" w:rsidRDefault="00D5422A" w:rsidP="00D5422A">
            <w:pPr>
              <w:pStyle w:val="ListParagraph"/>
              <w:numPr>
                <w:ilvl w:val="1"/>
                <w:numId w:val="22"/>
              </w:numPr>
              <w:contextualSpacing w:val="0"/>
              <w:cnfStyle w:val="000000100000" w:firstRow="0" w:lastRow="0" w:firstColumn="0" w:lastColumn="0" w:oddVBand="0" w:evenVBand="0" w:oddHBand="1" w:evenHBand="0" w:firstRowFirstColumn="0" w:firstRowLastColumn="0" w:lastRowFirstColumn="0" w:lastRowLastColumn="0"/>
              <w:rPr>
                <w:vanish/>
              </w:rPr>
            </w:pPr>
          </w:p>
          <w:p w14:paraId="0F91A82E" w14:textId="3FF076D3" w:rsidR="00B50879" w:rsidRPr="00D5422A" w:rsidRDefault="00B50879" w:rsidP="00D5422A">
            <w:pPr>
              <w:pStyle w:val="Refnum2"/>
              <w:cnfStyle w:val="000000100000" w:firstRow="0" w:lastRow="0" w:firstColumn="0" w:lastColumn="0" w:oddVBand="0" w:evenVBand="0" w:oddHBand="1" w:evenHBand="0" w:firstRowFirstColumn="0" w:firstRowLastColumn="0" w:lastRowFirstColumn="0" w:lastRowLastColumn="0"/>
            </w:pPr>
          </w:p>
        </w:tc>
        <w:tc>
          <w:tcPr>
            <w:tcW w:w="6134" w:type="dxa"/>
            <w:shd w:val="clear" w:color="auto" w:fill="F2F2F2" w:themeFill="background1" w:themeFillShade="F2"/>
          </w:tcPr>
          <w:p w14:paraId="2F248230" w14:textId="001972ED" w:rsidR="00D5422A" w:rsidRPr="004E6AA1" w:rsidRDefault="00D5422A" w:rsidP="00285B4C">
            <w:pPr>
              <w:pStyle w:val="Normalbold"/>
              <w:spacing w:after="0"/>
              <w:cnfStyle w:val="000000100000" w:firstRow="0" w:lastRow="0" w:firstColumn="0" w:lastColumn="0" w:oddVBand="0" w:evenVBand="0" w:oddHBand="1" w:evenHBand="0" w:firstRowFirstColumn="0" w:firstRowLastColumn="0" w:lastRowFirstColumn="0" w:lastRowLastColumn="0"/>
              <w:rPr>
                <w:bCs/>
              </w:rPr>
            </w:pPr>
            <w:r w:rsidRPr="00D5422A">
              <w:rPr>
                <w:bCs/>
              </w:rPr>
              <w:t>Recognition of defined benefit plans in financial statements of entities</w:t>
            </w:r>
          </w:p>
          <w:p w14:paraId="61ED988B" w14:textId="525AAC9C" w:rsidR="00B50879" w:rsidRPr="004E6AA1" w:rsidRDefault="00B50879" w:rsidP="00285B4C">
            <w:pPr>
              <w:pStyle w:val="Normalbold"/>
              <w:spacing w:after="0"/>
              <w:cnfStyle w:val="000000100000" w:firstRow="0" w:lastRow="0" w:firstColumn="0" w:lastColumn="0" w:oddVBand="0" w:evenVBand="0" w:oddHBand="1" w:evenHBand="0" w:firstRowFirstColumn="0" w:firstRowLastColumn="0" w:lastRowFirstColumn="0" w:lastRowLastColumn="0"/>
              <w:rPr>
                <w:bCs/>
              </w:rPr>
            </w:pPr>
            <w:r w:rsidRPr="004E6AA1">
              <w:rPr>
                <w:bCs/>
              </w:rPr>
              <w:t xml:space="preserve">The following entities must recognise the net benefit liabilities or assets related to their employees’ defined superannuation benefit in accordance with the requirements of AASB 119 </w:t>
            </w:r>
            <w:r w:rsidRPr="004E6AA1">
              <w:rPr>
                <w:bCs/>
                <w:i/>
                <w:iCs/>
              </w:rPr>
              <w:t>Employee Benefits</w:t>
            </w:r>
            <w:r w:rsidRPr="004E6AA1">
              <w:rPr>
                <w:bCs/>
              </w:rPr>
              <w:t>:</w:t>
            </w:r>
          </w:p>
          <w:p w14:paraId="7301F04C" w14:textId="1FBB5919" w:rsidR="00B50879" w:rsidRPr="004E6AA1" w:rsidRDefault="00B50879" w:rsidP="00285B4C">
            <w:pPr>
              <w:pStyle w:val="Listnum"/>
              <w:numPr>
                <w:ilvl w:val="0"/>
                <w:numId w:val="27"/>
              </w:numPr>
              <w:spacing w:before="60"/>
              <w:cnfStyle w:val="000000100000" w:firstRow="0" w:lastRow="0" w:firstColumn="0" w:lastColumn="0" w:oddVBand="0" w:evenVBand="0" w:oddHBand="1" w:evenHBand="0" w:firstRowFirstColumn="0" w:firstRowLastColumn="0" w:lastRowFirstColumn="0" w:lastRowLastColumn="0"/>
              <w:rPr>
                <w:b/>
                <w:bCs/>
              </w:rPr>
            </w:pPr>
            <w:r w:rsidRPr="004E6AA1">
              <w:rPr>
                <w:b/>
                <w:bCs/>
              </w:rPr>
              <w:t>Entities with employees who are members of defined benefit plans not list</w:t>
            </w:r>
            <w:r w:rsidR="00EF234C">
              <w:rPr>
                <w:b/>
                <w:bCs/>
              </w:rPr>
              <w:t xml:space="preserve"> </w:t>
            </w:r>
            <w:r w:rsidRPr="004E6AA1">
              <w:rPr>
                <w:b/>
                <w:bCs/>
              </w:rPr>
              <w:t>ed in Appendix A;</w:t>
            </w:r>
          </w:p>
          <w:p w14:paraId="2C6C91B7" w14:textId="77777777" w:rsidR="00B50879" w:rsidRPr="004E6AA1" w:rsidRDefault="00B50879" w:rsidP="00B50879">
            <w:pPr>
              <w:pStyle w:val="Listnum"/>
              <w:numPr>
                <w:ilvl w:val="0"/>
                <w:numId w:val="27"/>
              </w:numPr>
              <w:cnfStyle w:val="000000100000" w:firstRow="0" w:lastRow="0" w:firstColumn="0" w:lastColumn="0" w:oddVBand="0" w:evenVBand="0" w:oddHBand="1" w:evenHBand="0" w:firstRowFirstColumn="0" w:firstRowLastColumn="0" w:lastRowFirstColumn="0" w:lastRowLastColumn="0"/>
              <w:rPr>
                <w:b/>
                <w:bCs/>
              </w:rPr>
            </w:pPr>
            <w:r w:rsidRPr="004E6AA1">
              <w:rPr>
                <w:b/>
                <w:bCs/>
              </w:rPr>
              <w:t>Entities listed in Appendix B with employees who are members of the defined benefit plans listed in Appendix A, for which the emerging cost of funding the liability is met wholly or in part by the Commonwealth Government; and</w:t>
            </w:r>
          </w:p>
          <w:p w14:paraId="5C1EE7EE" w14:textId="77777777" w:rsidR="00B50879" w:rsidRPr="004E6AA1" w:rsidRDefault="00B50879" w:rsidP="009C0313">
            <w:pPr>
              <w:pStyle w:val="Listnum"/>
              <w:spacing w:after="0"/>
              <w:cnfStyle w:val="000000100000" w:firstRow="0" w:lastRow="0" w:firstColumn="0" w:lastColumn="0" w:oddVBand="0" w:evenVBand="0" w:oddHBand="1" w:evenHBand="0" w:firstRowFirstColumn="0" w:firstRowLastColumn="0" w:lastRowFirstColumn="0" w:lastRowLastColumn="0"/>
              <w:rPr>
                <w:b/>
                <w:bCs/>
              </w:rPr>
            </w:pPr>
            <w:r w:rsidRPr="004E6AA1">
              <w:rPr>
                <w:b/>
                <w:bCs/>
              </w:rPr>
              <w:t>Entities listed in Appendix C with employees who are members of the defined benefit plans listed in Appendix A, which are not controlled by the State of Victoria (the State) and their financial position and result are thus not included in the Annual Financial Report (AFR) of the State.</w:t>
            </w:r>
          </w:p>
        </w:tc>
      </w:tr>
      <w:tr w:rsidR="00B50879" w:rsidRPr="005828FE" w14:paraId="7DD353C6" w14:textId="77777777" w:rsidTr="00747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2E2442E1" w14:textId="77777777" w:rsidR="00B50879" w:rsidRPr="005828FE" w:rsidRDefault="00B50879" w:rsidP="00A0322D">
            <w:pPr>
              <w:pStyle w:val="Normalbold"/>
            </w:pPr>
          </w:p>
        </w:tc>
        <w:tc>
          <w:tcPr>
            <w:tcW w:w="270" w:type="dxa"/>
            <w:shd w:val="clear" w:color="auto" w:fill="F2F2F2" w:themeFill="background1" w:themeFillShade="F2"/>
          </w:tcPr>
          <w:p w14:paraId="40266D62" w14:textId="77777777" w:rsidR="00B50879" w:rsidRPr="008B2A17" w:rsidRDefault="00B50879" w:rsidP="00B50879">
            <w:pPr>
              <w:pStyle w:val="Normal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1D3F128F" w14:textId="77777777" w:rsidR="00B50879" w:rsidRPr="004E6AA1" w:rsidRDefault="00B50879" w:rsidP="00B50879">
            <w:pPr>
              <w:pStyle w:val="Refnum2"/>
              <w:cnfStyle w:val="000000010000" w:firstRow="0" w:lastRow="0" w:firstColumn="0" w:lastColumn="0" w:oddVBand="0" w:evenVBand="0" w:oddHBand="0" w:evenHBand="1" w:firstRowFirstColumn="0" w:firstRowLastColumn="0" w:lastRowFirstColumn="0" w:lastRowLastColumn="0"/>
              <w:rPr>
                <w:b/>
                <w:bCs/>
              </w:rPr>
            </w:pPr>
          </w:p>
        </w:tc>
        <w:tc>
          <w:tcPr>
            <w:tcW w:w="6134" w:type="dxa"/>
            <w:shd w:val="clear" w:color="auto" w:fill="F2F2F2" w:themeFill="background1" w:themeFillShade="F2"/>
          </w:tcPr>
          <w:p w14:paraId="17B7B624" w14:textId="77777777" w:rsidR="00B50879" w:rsidRPr="004E6AA1" w:rsidRDefault="00B50879" w:rsidP="009C0313">
            <w:pPr>
              <w:pStyle w:val="Normalbold"/>
              <w:spacing w:after="0"/>
              <w:cnfStyle w:val="000000010000" w:firstRow="0" w:lastRow="0" w:firstColumn="0" w:lastColumn="0" w:oddVBand="0" w:evenVBand="0" w:oddHBand="0" w:evenHBand="1" w:firstRowFirstColumn="0" w:firstRowLastColumn="0" w:lastRowFirstColumn="0" w:lastRowLastColumn="0"/>
              <w:rPr>
                <w:bCs/>
              </w:rPr>
            </w:pPr>
            <w:r w:rsidRPr="004E6AA1">
              <w:rPr>
                <w:bCs/>
              </w:rPr>
              <w:t xml:space="preserve">All other entities are exempt from the recognition of the net defined benefit liabilities or assets related to the defined benefit plans listed in Appendix A. Instead, these entities are to account for contributions to these plans as if they were defined contribution plans under AASB 119 </w:t>
            </w:r>
            <w:r w:rsidRPr="004E6AA1">
              <w:rPr>
                <w:bCs/>
                <w:i/>
              </w:rPr>
              <w:t>Employee Benefits</w:t>
            </w:r>
            <w:r w:rsidRPr="004E6AA1">
              <w:rPr>
                <w:bCs/>
              </w:rPr>
              <w:t>, consistent with the disclosure requirements of AASB 119.149.</w:t>
            </w:r>
          </w:p>
        </w:tc>
      </w:tr>
      <w:tr w:rsidR="00B50879" w:rsidRPr="005828FE" w14:paraId="6443AC0D" w14:textId="77777777" w:rsidTr="0074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2F41C4D2" w14:textId="77777777" w:rsidR="00B50879" w:rsidRPr="005828FE" w:rsidRDefault="00B50879" w:rsidP="00A0322D">
            <w:pPr>
              <w:pStyle w:val="Normalbold"/>
            </w:pPr>
          </w:p>
        </w:tc>
        <w:tc>
          <w:tcPr>
            <w:tcW w:w="270" w:type="dxa"/>
            <w:shd w:val="clear" w:color="auto" w:fill="F2F2F2" w:themeFill="background1" w:themeFillShade="F2"/>
          </w:tcPr>
          <w:p w14:paraId="092889BA" w14:textId="77777777" w:rsidR="00B50879" w:rsidRPr="00B50879" w:rsidRDefault="00B50879" w:rsidP="00B50879">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73386B73" w14:textId="77777777" w:rsidR="00B50879" w:rsidRPr="004E6AA1" w:rsidRDefault="00B50879" w:rsidP="00B50879">
            <w:pPr>
              <w:pStyle w:val="Normalgrey"/>
              <w:cnfStyle w:val="000000100000" w:firstRow="0" w:lastRow="0" w:firstColumn="0" w:lastColumn="0" w:oddVBand="0" w:evenVBand="0" w:oddHBand="1" w:evenHBand="0" w:firstRowFirstColumn="0" w:firstRowLastColumn="0" w:lastRowFirstColumn="0" w:lastRowLastColumn="0"/>
              <w:rPr>
                <w:b/>
                <w:bCs/>
              </w:rPr>
            </w:pPr>
          </w:p>
        </w:tc>
        <w:tc>
          <w:tcPr>
            <w:tcW w:w="6134" w:type="dxa"/>
            <w:shd w:val="clear" w:color="auto" w:fill="F2F2F2" w:themeFill="background1" w:themeFillShade="F2"/>
          </w:tcPr>
          <w:p w14:paraId="567F1489" w14:textId="01A4CF1F" w:rsidR="00B50879" w:rsidRPr="004E6AA1" w:rsidRDefault="00B50879" w:rsidP="009C0313">
            <w:pPr>
              <w:pStyle w:val="Normalbold"/>
              <w:spacing w:after="0"/>
              <w:cnfStyle w:val="000000100000" w:firstRow="0" w:lastRow="0" w:firstColumn="0" w:lastColumn="0" w:oddVBand="0" w:evenVBand="0" w:oddHBand="1" w:evenHBand="0" w:firstRowFirstColumn="0" w:firstRowLastColumn="0" w:lastRowFirstColumn="0" w:lastRowLastColumn="0"/>
              <w:rPr>
                <w:bCs/>
              </w:rPr>
            </w:pPr>
            <w:r w:rsidRPr="004E6AA1">
              <w:rPr>
                <w:bCs/>
              </w:rPr>
              <w:t>DTF’s disclosure of aggregate defined benefit plans on behalf of the State</w:t>
            </w:r>
            <w:r w:rsidR="009C0313">
              <w:rPr>
                <w:bCs/>
              </w:rPr>
              <w:t>.</w:t>
            </w:r>
          </w:p>
        </w:tc>
      </w:tr>
      <w:tr w:rsidR="00B50879" w:rsidRPr="005828FE" w14:paraId="5BFD5061" w14:textId="77777777" w:rsidTr="00747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32C583A" w14:textId="77777777" w:rsidR="00B50879" w:rsidRPr="005828FE" w:rsidRDefault="00B50879" w:rsidP="00A0322D">
            <w:pPr>
              <w:pStyle w:val="Normalbold"/>
            </w:pPr>
          </w:p>
        </w:tc>
        <w:tc>
          <w:tcPr>
            <w:tcW w:w="270" w:type="dxa"/>
            <w:shd w:val="clear" w:color="auto" w:fill="F2F2F2" w:themeFill="background1" w:themeFillShade="F2"/>
          </w:tcPr>
          <w:p w14:paraId="274152F5" w14:textId="77777777" w:rsidR="00B50879" w:rsidRPr="008B2A17" w:rsidRDefault="00B50879" w:rsidP="00B50879">
            <w:pPr>
              <w:pStyle w:val="Normal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10184917" w14:textId="77777777" w:rsidR="00B50879" w:rsidRPr="004E6AA1" w:rsidRDefault="00B50879" w:rsidP="00B50879">
            <w:pPr>
              <w:pStyle w:val="Refnum2"/>
              <w:cnfStyle w:val="000000010000" w:firstRow="0" w:lastRow="0" w:firstColumn="0" w:lastColumn="0" w:oddVBand="0" w:evenVBand="0" w:oddHBand="0" w:evenHBand="1" w:firstRowFirstColumn="0" w:firstRowLastColumn="0" w:lastRowFirstColumn="0" w:lastRowLastColumn="0"/>
              <w:rPr>
                <w:b/>
                <w:bCs/>
              </w:rPr>
            </w:pPr>
          </w:p>
        </w:tc>
        <w:tc>
          <w:tcPr>
            <w:tcW w:w="6134" w:type="dxa"/>
            <w:shd w:val="clear" w:color="auto" w:fill="F2F2F2" w:themeFill="background1" w:themeFillShade="F2"/>
          </w:tcPr>
          <w:p w14:paraId="0EB8A0CB" w14:textId="77777777" w:rsidR="00B50879" w:rsidRPr="004E6AA1" w:rsidRDefault="00B50879" w:rsidP="00B50879">
            <w:pPr>
              <w:pStyle w:val="Normalbold"/>
              <w:cnfStyle w:val="000000010000" w:firstRow="0" w:lastRow="0" w:firstColumn="0" w:lastColumn="0" w:oddVBand="0" w:evenVBand="0" w:oddHBand="0" w:evenHBand="1" w:firstRowFirstColumn="0" w:firstRowLastColumn="0" w:lastRowFirstColumn="0" w:lastRowLastColumn="0"/>
              <w:rPr>
                <w:bCs/>
              </w:rPr>
            </w:pPr>
            <w:r w:rsidRPr="004E6AA1">
              <w:rPr>
                <w:bCs/>
              </w:rPr>
              <w:t>DTF must disclose in its administered items note, the defined benefit liability or asset of all other public sector agencies in respect of the defined benefit plans listed in Appendix A, together with the State’s share, of the defined benefit liability or asset relating to the defined benefit plans of entities listed in Appendix C.</w:t>
            </w:r>
          </w:p>
        </w:tc>
      </w:tr>
      <w:tr w:rsidR="00B50879" w:rsidRPr="00B50879" w14:paraId="0DEE87D4" w14:textId="77777777" w:rsidTr="00747E5E">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200181C4" w14:textId="77777777" w:rsidR="00B50879" w:rsidRPr="00B50879" w:rsidRDefault="00B50879" w:rsidP="00A0322D">
            <w:pPr>
              <w:pStyle w:val="Normalbold"/>
              <w:rPr>
                <w:b w:val="0"/>
              </w:rPr>
            </w:pPr>
          </w:p>
        </w:tc>
        <w:tc>
          <w:tcPr>
            <w:tcW w:w="270" w:type="dxa"/>
            <w:shd w:val="clear" w:color="auto" w:fill="F2F2F2" w:themeFill="background1" w:themeFillShade="F2"/>
          </w:tcPr>
          <w:p w14:paraId="74DBFE96" w14:textId="77777777" w:rsidR="00B50879" w:rsidRPr="00B50879" w:rsidRDefault="00B50879" w:rsidP="00B50879">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36C2BE26" w14:textId="77777777" w:rsidR="00B50879" w:rsidRPr="004E6AA1" w:rsidRDefault="00B50879" w:rsidP="00B50879">
            <w:pPr>
              <w:pStyle w:val="Refnum2"/>
              <w:cnfStyle w:val="000000100000" w:firstRow="0" w:lastRow="0" w:firstColumn="0" w:lastColumn="0" w:oddVBand="0" w:evenVBand="0" w:oddHBand="1" w:evenHBand="0" w:firstRowFirstColumn="0" w:firstRowLastColumn="0" w:lastRowFirstColumn="0" w:lastRowLastColumn="0"/>
              <w:rPr>
                <w:b/>
                <w:bCs/>
              </w:rPr>
            </w:pPr>
          </w:p>
        </w:tc>
        <w:tc>
          <w:tcPr>
            <w:tcW w:w="6134" w:type="dxa"/>
            <w:shd w:val="clear" w:color="auto" w:fill="F2F2F2" w:themeFill="background1" w:themeFillShade="F2"/>
          </w:tcPr>
          <w:p w14:paraId="680582CE" w14:textId="77777777" w:rsidR="00B50879" w:rsidRPr="004E6AA1" w:rsidRDefault="00B50879" w:rsidP="00285B4C">
            <w:pPr>
              <w:pStyle w:val="Normalbold"/>
              <w:spacing w:after="60"/>
              <w:cnfStyle w:val="000000100000" w:firstRow="0" w:lastRow="0" w:firstColumn="0" w:lastColumn="0" w:oddVBand="0" w:evenVBand="0" w:oddHBand="1" w:evenHBand="0" w:firstRowFirstColumn="0" w:firstRowLastColumn="0" w:lastRowFirstColumn="0" w:lastRowLastColumn="0"/>
              <w:rPr>
                <w:bCs/>
              </w:rPr>
            </w:pPr>
            <w:r w:rsidRPr="004E6AA1">
              <w:rPr>
                <w:bCs/>
              </w:rPr>
              <w:t>In addition, DTF is required to provide the following disclosures in relation to this administered defined benefit liability or asset in its annual report:</w:t>
            </w:r>
          </w:p>
          <w:p w14:paraId="36781238" w14:textId="77777777" w:rsidR="00B50879" w:rsidRPr="004E6AA1" w:rsidRDefault="00B50879" w:rsidP="00285B4C">
            <w:pPr>
              <w:pStyle w:val="Listnum"/>
              <w:numPr>
                <w:ilvl w:val="0"/>
                <w:numId w:val="34"/>
              </w:numPr>
              <w:spacing w:before="60"/>
              <w:cnfStyle w:val="000000100000" w:firstRow="0" w:lastRow="0" w:firstColumn="0" w:lastColumn="0" w:oddVBand="0" w:evenVBand="0" w:oddHBand="1" w:evenHBand="0" w:firstRowFirstColumn="0" w:firstRowLastColumn="0" w:lastRowFirstColumn="0" w:lastRowLastColumn="0"/>
              <w:rPr>
                <w:b/>
                <w:bCs/>
              </w:rPr>
            </w:pPr>
            <w:r w:rsidRPr="004E6AA1">
              <w:rPr>
                <w:b/>
                <w:bCs/>
              </w:rPr>
              <w:t>a general description of DTF’s administrative role in managing the defined benefit liability or asset on behalf of the State;</w:t>
            </w:r>
          </w:p>
          <w:p w14:paraId="45EC1BAD" w14:textId="51805B46" w:rsidR="00B50879" w:rsidRPr="004E6AA1" w:rsidRDefault="00B50879" w:rsidP="009C0313">
            <w:pPr>
              <w:pStyle w:val="Listnum"/>
              <w:cnfStyle w:val="000000100000" w:firstRow="0" w:lastRow="0" w:firstColumn="0" w:lastColumn="0" w:oddVBand="0" w:evenVBand="0" w:oddHBand="1" w:evenHBand="0" w:firstRowFirstColumn="0" w:firstRowLastColumn="0" w:lastRowFirstColumn="0" w:lastRowLastColumn="0"/>
              <w:rPr>
                <w:b/>
                <w:bCs/>
              </w:rPr>
            </w:pPr>
            <w:r w:rsidRPr="004E6AA1">
              <w:rPr>
                <w:b/>
                <w:bCs/>
              </w:rPr>
              <w:t>a general description of the administered defined benefit liability or asset;</w:t>
            </w:r>
          </w:p>
        </w:tc>
      </w:tr>
      <w:tr w:rsidR="009C0313" w:rsidRPr="005828FE" w14:paraId="33C75A7D" w14:textId="77777777" w:rsidTr="00747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86ABBC4" w14:textId="77777777" w:rsidR="009C0313" w:rsidRPr="005828FE" w:rsidRDefault="009C0313" w:rsidP="00A0322D">
            <w:pPr>
              <w:pStyle w:val="Normalbold"/>
            </w:pPr>
          </w:p>
        </w:tc>
        <w:tc>
          <w:tcPr>
            <w:tcW w:w="270" w:type="dxa"/>
            <w:shd w:val="clear" w:color="auto" w:fill="F2F2F2" w:themeFill="background1" w:themeFillShade="F2"/>
          </w:tcPr>
          <w:p w14:paraId="71B22D82" w14:textId="77777777" w:rsidR="009C0313" w:rsidRPr="008B2A17" w:rsidRDefault="009C0313" w:rsidP="00B50879">
            <w:pPr>
              <w:pStyle w:val="Normal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5B88D63A" w14:textId="77777777" w:rsidR="009C0313" w:rsidRPr="004F2F34" w:rsidRDefault="009C0313" w:rsidP="009C0313">
            <w:pPr>
              <w:pStyle w:val="Refnum2"/>
              <w:numPr>
                <w:ilvl w:val="0"/>
                <w:numId w:val="0"/>
              </w:numPr>
              <w:ind w:left="504"/>
              <w:cnfStyle w:val="000000010000" w:firstRow="0" w:lastRow="0" w:firstColumn="0" w:lastColumn="0" w:oddVBand="0" w:evenVBand="0" w:oddHBand="0" w:evenHBand="1" w:firstRowFirstColumn="0" w:firstRowLastColumn="0" w:lastRowFirstColumn="0" w:lastRowLastColumn="0"/>
              <w:rPr>
                <w:b/>
                <w:bCs/>
              </w:rPr>
            </w:pPr>
          </w:p>
        </w:tc>
        <w:tc>
          <w:tcPr>
            <w:tcW w:w="6134" w:type="dxa"/>
            <w:shd w:val="clear" w:color="auto" w:fill="F2F2F2" w:themeFill="background1" w:themeFillShade="F2"/>
          </w:tcPr>
          <w:p w14:paraId="0C75DEEE" w14:textId="77777777" w:rsidR="009C0313" w:rsidRPr="004E6AA1" w:rsidRDefault="009C0313" w:rsidP="009C0313">
            <w:pPr>
              <w:pStyle w:val="Listnum"/>
              <w:cnfStyle w:val="000000010000" w:firstRow="0" w:lastRow="0" w:firstColumn="0" w:lastColumn="0" w:oddVBand="0" w:evenVBand="0" w:oddHBand="0" w:evenHBand="1" w:firstRowFirstColumn="0" w:firstRowLastColumn="0" w:lastRowFirstColumn="0" w:lastRowLastColumn="0"/>
              <w:rPr>
                <w:b/>
                <w:bCs/>
              </w:rPr>
            </w:pPr>
            <w:r w:rsidRPr="004E6AA1">
              <w:rPr>
                <w:b/>
                <w:bCs/>
              </w:rPr>
              <w:t>a reconciliation of opening and closing balances of the present value of the administered defined benefit liability or asset showing separately, if applicable, the effect during the period attributable to each of the following:</w:t>
            </w:r>
          </w:p>
          <w:p w14:paraId="20F5FE65" w14:textId="77777777" w:rsidR="009C0313" w:rsidRPr="004E6AA1"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current service cost;</w:t>
            </w:r>
          </w:p>
          <w:p w14:paraId="182D296F" w14:textId="77777777" w:rsidR="009C0313" w:rsidRPr="004E6AA1"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interest expense;</w:t>
            </w:r>
          </w:p>
          <w:p w14:paraId="179B3868" w14:textId="77777777" w:rsidR="009C0313" w:rsidRPr="004E6AA1"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contributions by plan participants;</w:t>
            </w:r>
          </w:p>
          <w:p w14:paraId="38CFA049" w14:textId="77777777" w:rsidR="009C0313" w:rsidRPr="004E6AA1"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actuarial gains and losses;</w:t>
            </w:r>
          </w:p>
          <w:p w14:paraId="1044D455" w14:textId="77777777" w:rsidR="009C0313" w:rsidRPr="004E6AA1"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benefits paid;</w:t>
            </w:r>
          </w:p>
          <w:p w14:paraId="3B92831E" w14:textId="77777777" w:rsidR="009C0313" w:rsidRPr="004E6AA1"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past service cost;</w:t>
            </w:r>
          </w:p>
          <w:p w14:paraId="7EBCDF40" w14:textId="77777777" w:rsidR="009C0313" w:rsidRPr="004E6AA1"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curtailments; and</w:t>
            </w:r>
          </w:p>
          <w:p w14:paraId="2B8F4E9B" w14:textId="31F15768" w:rsidR="009C0313" w:rsidRPr="004F2F34" w:rsidRDefault="009C0313" w:rsidP="009C0313">
            <w:pPr>
              <w:pStyle w:val="Listnum2"/>
              <w:cnfStyle w:val="000000010000" w:firstRow="0" w:lastRow="0" w:firstColumn="0" w:lastColumn="0" w:oddVBand="0" w:evenVBand="0" w:oddHBand="0" w:evenHBand="1" w:firstRowFirstColumn="0" w:firstRowLastColumn="0" w:lastRowFirstColumn="0" w:lastRowLastColumn="0"/>
              <w:rPr>
                <w:b/>
                <w:bCs/>
              </w:rPr>
            </w:pPr>
            <w:r w:rsidRPr="004E6AA1">
              <w:rPr>
                <w:b/>
                <w:bCs/>
              </w:rPr>
              <w:t>settlements.</w:t>
            </w:r>
          </w:p>
        </w:tc>
      </w:tr>
      <w:tr w:rsidR="009C0313" w:rsidRPr="005828FE" w14:paraId="6C69701B" w14:textId="77777777" w:rsidTr="0074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C01BD2B" w14:textId="77777777" w:rsidR="009C0313" w:rsidRPr="005828FE" w:rsidRDefault="009C0313" w:rsidP="00A0322D">
            <w:pPr>
              <w:pStyle w:val="Normalbold"/>
            </w:pPr>
          </w:p>
        </w:tc>
        <w:tc>
          <w:tcPr>
            <w:tcW w:w="270" w:type="dxa"/>
            <w:shd w:val="clear" w:color="auto" w:fill="F2F2F2" w:themeFill="background1" w:themeFillShade="F2"/>
          </w:tcPr>
          <w:p w14:paraId="19C307CB" w14:textId="77777777" w:rsidR="009C0313" w:rsidRPr="008B2A17" w:rsidRDefault="009C0313" w:rsidP="00B50879">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6A0EC33F" w14:textId="77777777" w:rsidR="009C0313" w:rsidRPr="004F2F34" w:rsidRDefault="009C0313" w:rsidP="009C0313">
            <w:pPr>
              <w:pStyle w:val="Refnum2"/>
              <w:numPr>
                <w:ilvl w:val="0"/>
                <w:numId w:val="0"/>
              </w:numPr>
              <w:ind w:left="504"/>
              <w:cnfStyle w:val="000000100000" w:firstRow="0" w:lastRow="0" w:firstColumn="0" w:lastColumn="0" w:oddVBand="0" w:evenVBand="0" w:oddHBand="1" w:evenHBand="0" w:firstRowFirstColumn="0" w:firstRowLastColumn="0" w:lastRowFirstColumn="0" w:lastRowLastColumn="0"/>
              <w:rPr>
                <w:b/>
                <w:bCs/>
              </w:rPr>
            </w:pPr>
          </w:p>
        </w:tc>
        <w:tc>
          <w:tcPr>
            <w:tcW w:w="6134" w:type="dxa"/>
            <w:shd w:val="clear" w:color="auto" w:fill="F2F2F2" w:themeFill="background1" w:themeFillShade="F2"/>
          </w:tcPr>
          <w:p w14:paraId="64652733" w14:textId="77777777" w:rsidR="009C0313" w:rsidRPr="004E6AA1" w:rsidRDefault="009C0313" w:rsidP="009C0313">
            <w:pPr>
              <w:pStyle w:val="Listnum"/>
              <w:cnfStyle w:val="000000100000" w:firstRow="0" w:lastRow="0" w:firstColumn="0" w:lastColumn="0" w:oddVBand="0" w:evenVBand="0" w:oddHBand="1" w:evenHBand="0" w:firstRowFirstColumn="0" w:firstRowLastColumn="0" w:lastRowFirstColumn="0" w:lastRowLastColumn="0"/>
              <w:rPr>
                <w:b/>
                <w:bCs/>
              </w:rPr>
            </w:pPr>
            <w:r w:rsidRPr="004E6AA1">
              <w:rPr>
                <w:b/>
                <w:bCs/>
              </w:rPr>
              <w:t>a reconciliation of the opening and closing balances of the fair value of administered plan assets showing separately, if applicable, the effects during the period attributable to each of the following:</w:t>
            </w:r>
          </w:p>
          <w:p w14:paraId="179DBD00"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interest income</w:t>
            </w:r>
          </w:p>
          <w:p w14:paraId="19686AF1"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return on plan assets (excluding interest income);</w:t>
            </w:r>
          </w:p>
          <w:p w14:paraId="55DB4D08"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actuarial gains and losses;</w:t>
            </w:r>
          </w:p>
          <w:p w14:paraId="59270F8F"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contributions by the employer;</w:t>
            </w:r>
          </w:p>
          <w:p w14:paraId="4A8CD11E"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contributions by plan participants;</w:t>
            </w:r>
          </w:p>
          <w:p w14:paraId="6AB7E0E8" w14:textId="77777777" w:rsidR="009C0313"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benefits paid; and</w:t>
            </w:r>
          </w:p>
          <w:p w14:paraId="5365332F" w14:textId="4ABA5E13" w:rsidR="009C0313" w:rsidRPr="004F2F34"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settlements.</w:t>
            </w:r>
          </w:p>
        </w:tc>
      </w:tr>
      <w:tr w:rsidR="009C0313" w:rsidRPr="005828FE" w14:paraId="0A20C87D" w14:textId="77777777" w:rsidTr="00747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EE668F8" w14:textId="77777777" w:rsidR="009C0313" w:rsidRPr="005828FE" w:rsidRDefault="009C0313" w:rsidP="00A0322D">
            <w:pPr>
              <w:pStyle w:val="Normalbold"/>
            </w:pPr>
          </w:p>
        </w:tc>
        <w:tc>
          <w:tcPr>
            <w:tcW w:w="270" w:type="dxa"/>
            <w:shd w:val="clear" w:color="auto" w:fill="F2F2F2" w:themeFill="background1" w:themeFillShade="F2"/>
          </w:tcPr>
          <w:p w14:paraId="2855D53A" w14:textId="77777777" w:rsidR="009C0313" w:rsidRPr="008B2A17" w:rsidRDefault="009C0313" w:rsidP="00B50879">
            <w:pPr>
              <w:pStyle w:val="Normal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7FE1D175" w14:textId="77777777" w:rsidR="009C0313" w:rsidRPr="004F2F34" w:rsidRDefault="009C0313" w:rsidP="009C0313">
            <w:pPr>
              <w:pStyle w:val="Refnum2"/>
              <w:numPr>
                <w:ilvl w:val="0"/>
                <w:numId w:val="0"/>
              </w:numPr>
              <w:ind w:left="504"/>
              <w:cnfStyle w:val="000000010000" w:firstRow="0" w:lastRow="0" w:firstColumn="0" w:lastColumn="0" w:oddVBand="0" w:evenVBand="0" w:oddHBand="0" w:evenHBand="1" w:firstRowFirstColumn="0" w:firstRowLastColumn="0" w:lastRowFirstColumn="0" w:lastRowLastColumn="0"/>
              <w:rPr>
                <w:b/>
                <w:bCs/>
              </w:rPr>
            </w:pPr>
          </w:p>
        </w:tc>
        <w:tc>
          <w:tcPr>
            <w:tcW w:w="6134" w:type="dxa"/>
            <w:shd w:val="clear" w:color="auto" w:fill="F2F2F2" w:themeFill="background1" w:themeFillShade="F2"/>
          </w:tcPr>
          <w:p w14:paraId="152D68F9" w14:textId="5D297E48" w:rsidR="009C0313" w:rsidRPr="004F2F34" w:rsidRDefault="009C0313" w:rsidP="009C0313">
            <w:pPr>
              <w:pStyle w:val="Listnum"/>
              <w:cnfStyle w:val="000000010000" w:firstRow="0" w:lastRow="0" w:firstColumn="0" w:lastColumn="0" w:oddVBand="0" w:evenVBand="0" w:oddHBand="0" w:evenHBand="1" w:firstRowFirstColumn="0" w:firstRowLastColumn="0" w:lastRowFirstColumn="0" w:lastRowLastColumn="0"/>
              <w:rPr>
                <w:b/>
                <w:bCs/>
              </w:rPr>
            </w:pPr>
            <w:r w:rsidRPr="004E6AA1">
              <w:rPr>
                <w:b/>
                <w:bCs/>
              </w:rPr>
              <w:t>a reconciliation of the outstanding amount for each of the administered defined benefit plan listed in Appendix A to the total defined benefit liability or asset disclosed in the Statement of Administered Assets and Liabilities;</w:t>
            </w:r>
          </w:p>
        </w:tc>
      </w:tr>
      <w:tr w:rsidR="009C0313" w:rsidRPr="005828FE" w14:paraId="4F174575" w14:textId="77777777" w:rsidTr="0074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C1B30F5" w14:textId="77777777" w:rsidR="009C0313" w:rsidRPr="005828FE" w:rsidRDefault="009C0313" w:rsidP="00A0322D">
            <w:pPr>
              <w:pStyle w:val="Normalbold"/>
            </w:pPr>
          </w:p>
        </w:tc>
        <w:tc>
          <w:tcPr>
            <w:tcW w:w="270" w:type="dxa"/>
            <w:shd w:val="clear" w:color="auto" w:fill="F2F2F2" w:themeFill="background1" w:themeFillShade="F2"/>
          </w:tcPr>
          <w:p w14:paraId="5A31F71A" w14:textId="77777777" w:rsidR="009C0313" w:rsidRPr="008B2A17" w:rsidRDefault="009C0313" w:rsidP="00B50879">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49E180F4" w14:textId="77777777" w:rsidR="009C0313" w:rsidRPr="004F2F34" w:rsidRDefault="009C0313" w:rsidP="009C0313">
            <w:pPr>
              <w:pStyle w:val="Refnum2"/>
              <w:numPr>
                <w:ilvl w:val="0"/>
                <w:numId w:val="0"/>
              </w:numPr>
              <w:ind w:left="504"/>
              <w:cnfStyle w:val="000000100000" w:firstRow="0" w:lastRow="0" w:firstColumn="0" w:lastColumn="0" w:oddVBand="0" w:evenVBand="0" w:oddHBand="1" w:evenHBand="0" w:firstRowFirstColumn="0" w:firstRowLastColumn="0" w:lastRowFirstColumn="0" w:lastRowLastColumn="0"/>
              <w:rPr>
                <w:b/>
                <w:bCs/>
              </w:rPr>
            </w:pPr>
          </w:p>
        </w:tc>
        <w:tc>
          <w:tcPr>
            <w:tcW w:w="6134" w:type="dxa"/>
            <w:shd w:val="clear" w:color="auto" w:fill="F2F2F2" w:themeFill="background1" w:themeFillShade="F2"/>
          </w:tcPr>
          <w:p w14:paraId="7257C279" w14:textId="77777777" w:rsidR="009C0313" w:rsidRPr="004E6AA1" w:rsidRDefault="009C0313" w:rsidP="009C0313">
            <w:pPr>
              <w:pStyle w:val="Listnum"/>
              <w:cnfStyle w:val="000000100000" w:firstRow="0" w:lastRow="0" w:firstColumn="0" w:lastColumn="0" w:oddVBand="0" w:evenVBand="0" w:oddHBand="1" w:evenHBand="0" w:firstRowFirstColumn="0" w:firstRowLastColumn="0" w:lastRowFirstColumn="0" w:lastRowLastColumn="0"/>
              <w:rPr>
                <w:b/>
                <w:bCs/>
              </w:rPr>
            </w:pPr>
            <w:r w:rsidRPr="004E6AA1">
              <w:rPr>
                <w:b/>
                <w:bCs/>
              </w:rPr>
              <w:t>the principal actuarial assumptions used as at the end of the reporting period, including, when applicable:</w:t>
            </w:r>
          </w:p>
          <w:p w14:paraId="2BCC8921"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the discount rates;</w:t>
            </w:r>
          </w:p>
          <w:p w14:paraId="60B5837D"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the expected rates of return on any plan assets for the periods presented in the financial statements;</w:t>
            </w:r>
          </w:p>
          <w:p w14:paraId="2E823DB5"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the expected rates of salary increases (and of changes in an index or other variable specified in the formal or constructive terms of a plan as the basis for future benefit increases); and</w:t>
            </w:r>
          </w:p>
          <w:p w14:paraId="558626CA" w14:textId="77777777" w:rsidR="009C0313" w:rsidRPr="004E6AA1" w:rsidRDefault="009C0313" w:rsidP="009C0313">
            <w:pPr>
              <w:pStyle w:val="Listnum2"/>
              <w:cnfStyle w:val="000000100000" w:firstRow="0" w:lastRow="0" w:firstColumn="0" w:lastColumn="0" w:oddVBand="0" w:evenVBand="0" w:oddHBand="1" w:evenHBand="0" w:firstRowFirstColumn="0" w:firstRowLastColumn="0" w:lastRowFirstColumn="0" w:lastRowLastColumn="0"/>
              <w:rPr>
                <w:b/>
                <w:bCs/>
              </w:rPr>
            </w:pPr>
            <w:r w:rsidRPr="004E6AA1">
              <w:rPr>
                <w:b/>
                <w:bCs/>
              </w:rPr>
              <w:t>any other material actuarial assumptions used.</w:t>
            </w:r>
          </w:p>
          <w:p w14:paraId="6B1CE8AE" w14:textId="168AEBA7" w:rsidR="009C0313" w:rsidRPr="004F2F34" w:rsidRDefault="009C0313" w:rsidP="009C0313">
            <w:pPr>
              <w:pStyle w:val="Listnum"/>
              <w:numPr>
                <w:ilvl w:val="0"/>
                <w:numId w:val="0"/>
              </w:numPr>
              <w:ind w:left="504"/>
              <w:cnfStyle w:val="000000100000" w:firstRow="0" w:lastRow="0" w:firstColumn="0" w:lastColumn="0" w:oddVBand="0" w:evenVBand="0" w:oddHBand="1" w:evenHBand="0" w:firstRowFirstColumn="0" w:firstRowLastColumn="0" w:lastRowFirstColumn="0" w:lastRowLastColumn="0"/>
              <w:rPr>
                <w:b/>
                <w:bCs/>
              </w:rPr>
            </w:pPr>
            <w:r w:rsidRPr="004E6AA1">
              <w:rPr>
                <w:b/>
                <w:bCs/>
              </w:rPr>
              <w:t>Each actuarial assumption should be disclosed in absolute terms and not just as a margin between different percentages or other variables; an</w:t>
            </w:r>
            <w:r w:rsidRPr="009C0313">
              <w:rPr>
                <w:b/>
                <w:bCs/>
              </w:rPr>
              <w:t>d</w:t>
            </w:r>
          </w:p>
        </w:tc>
      </w:tr>
      <w:tr w:rsidR="009C0313" w:rsidRPr="005828FE" w14:paraId="403885B1" w14:textId="77777777" w:rsidTr="00747E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230BFE49" w14:textId="77777777" w:rsidR="009C0313" w:rsidRPr="005828FE" w:rsidRDefault="009C0313" w:rsidP="00A0322D">
            <w:pPr>
              <w:pStyle w:val="Normalbold"/>
            </w:pPr>
          </w:p>
        </w:tc>
        <w:tc>
          <w:tcPr>
            <w:tcW w:w="270" w:type="dxa"/>
            <w:shd w:val="clear" w:color="auto" w:fill="F2F2F2" w:themeFill="background1" w:themeFillShade="F2"/>
          </w:tcPr>
          <w:p w14:paraId="1E270D83" w14:textId="77777777" w:rsidR="009C0313" w:rsidRPr="008B2A17" w:rsidRDefault="009C0313" w:rsidP="00B50879">
            <w:pPr>
              <w:pStyle w:val="Normal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5B3E3002" w14:textId="77777777" w:rsidR="009C0313" w:rsidRPr="004F2F34" w:rsidRDefault="009C0313" w:rsidP="009C0313">
            <w:pPr>
              <w:pStyle w:val="Refnum2"/>
              <w:numPr>
                <w:ilvl w:val="0"/>
                <w:numId w:val="0"/>
              </w:numPr>
              <w:ind w:left="504"/>
              <w:cnfStyle w:val="000000010000" w:firstRow="0" w:lastRow="0" w:firstColumn="0" w:lastColumn="0" w:oddVBand="0" w:evenVBand="0" w:oddHBand="0" w:evenHBand="1" w:firstRowFirstColumn="0" w:firstRowLastColumn="0" w:lastRowFirstColumn="0" w:lastRowLastColumn="0"/>
              <w:rPr>
                <w:b/>
                <w:bCs/>
              </w:rPr>
            </w:pPr>
          </w:p>
        </w:tc>
        <w:tc>
          <w:tcPr>
            <w:tcW w:w="6134" w:type="dxa"/>
            <w:shd w:val="clear" w:color="auto" w:fill="F2F2F2" w:themeFill="background1" w:themeFillShade="F2"/>
          </w:tcPr>
          <w:p w14:paraId="38BFFB80" w14:textId="7B9CBF33" w:rsidR="009C0313" w:rsidRPr="004E6AA1" w:rsidRDefault="009C0313" w:rsidP="009C0313">
            <w:pPr>
              <w:pStyle w:val="Listnum"/>
              <w:cnfStyle w:val="000000010000" w:firstRow="0" w:lastRow="0" w:firstColumn="0" w:lastColumn="0" w:oddVBand="0" w:evenVBand="0" w:oddHBand="0" w:evenHBand="1" w:firstRowFirstColumn="0" w:firstRowLastColumn="0" w:lastRowFirstColumn="0" w:lastRowLastColumn="0"/>
              <w:rPr>
                <w:b/>
                <w:bCs/>
              </w:rPr>
            </w:pPr>
            <w:r w:rsidRPr="004E6AA1">
              <w:rPr>
                <w:b/>
                <w:bCs/>
              </w:rPr>
              <w:t xml:space="preserve">disaggregate the fair value for each category of administered plan assets into classes that distinguish the nature and risks of those assets, subdividing each class of plan assets into those that have a quoted market price in an active market (as defined by AASB 13 </w:t>
            </w:r>
            <w:r w:rsidRPr="004E6AA1">
              <w:rPr>
                <w:b/>
                <w:bCs/>
                <w:i/>
              </w:rPr>
              <w:t>Fair Value Measurement</w:t>
            </w:r>
            <w:r w:rsidRPr="004E6AA1">
              <w:rPr>
                <w:b/>
                <w:bCs/>
              </w:rPr>
              <w:t>) and those that don’t. It shall include, but is not limited to, equity instruments, debt instruments, property, and all other assets.</w:t>
            </w:r>
          </w:p>
          <w:p w14:paraId="7BC49942" w14:textId="7009CCDD" w:rsidR="009C0313" w:rsidRPr="009C0313" w:rsidRDefault="009C0313" w:rsidP="009C0313">
            <w:pPr>
              <w:pStyle w:val="Listnum"/>
              <w:numPr>
                <w:ilvl w:val="0"/>
                <w:numId w:val="0"/>
              </w:numPr>
              <w:ind w:left="504"/>
              <w:cnfStyle w:val="000000010000" w:firstRow="0" w:lastRow="0" w:firstColumn="0" w:lastColumn="0" w:oddVBand="0" w:evenVBand="0" w:oddHBand="0" w:evenHBand="1" w:firstRowFirstColumn="0" w:firstRowLastColumn="0" w:lastRowFirstColumn="0" w:lastRowLastColumn="0"/>
              <w:rPr>
                <w:b/>
                <w:bCs/>
              </w:rPr>
            </w:pPr>
            <w:r>
              <w:br/>
            </w:r>
            <w:r w:rsidRPr="004E6AA1">
              <w:rPr>
                <w:b/>
                <w:bCs/>
              </w:rPr>
              <w:t>Illustrations of the disclosures required by paragraphs 4.4(a)-(g) are provided in Appendix D of this FRD as guidance for DTF.</w:t>
            </w:r>
          </w:p>
        </w:tc>
      </w:tr>
      <w:tr w:rsidR="00B50879" w:rsidRPr="005828FE" w14:paraId="742FC9DB" w14:textId="77777777" w:rsidTr="00747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2DD8A8A" w14:textId="77777777" w:rsidR="00B50879" w:rsidRPr="005828FE" w:rsidRDefault="00B50879" w:rsidP="00A0322D">
            <w:pPr>
              <w:pStyle w:val="Normalbold"/>
            </w:pPr>
          </w:p>
        </w:tc>
        <w:tc>
          <w:tcPr>
            <w:tcW w:w="270" w:type="dxa"/>
            <w:shd w:val="clear" w:color="auto" w:fill="F2F2F2" w:themeFill="background1" w:themeFillShade="F2"/>
          </w:tcPr>
          <w:p w14:paraId="58187E4A" w14:textId="77777777" w:rsidR="00B50879" w:rsidRPr="008B2A17" w:rsidRDefault="00B50879" w:rsidP="00B50879">
            <w:pPr>
              <w:pStyle w:val="Normal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3EB1B287" w14:textId="77777777" w:rsidR="00B50879" w:rsidRPr="004E6AA1" w:rsidRDefault="00B50879" w:rsidP="00B50879">
            <w:pPr>
              <w:pStyle w:val="Refnum2"/>
              <w:cnfStyle w:val="000000100000" w:firstRow="0" w:lastRow="0" w:firstColumn="0" w:lastColumn="0" w:oddVBand="0" w:evenVBand="0" w:oddHBand="1" w:evenHBand="0" w:firstRowFirstColumn="0" w:firstRowLastColumn="0" w:lastRowFirstColumn="0" w:lastRowLastColumn="0"/>
              <w:rPr>
                <w:b/>
                <w:bCs/>
              </w:rPr>
            </w:pPr>
          </w:p>
        </w:tc>
        <w:tc>
          <w:tcPr>
            <w:tcW w:w="6134" w:type="dxa"/>
            <w:shd w:val="clear" w:color="auto" w:fill="F2F2F2" w:themeFill="background1" w:themeFillShade="F2"/>
          </w:tcPr>
          <w:p w14:paraId="421AB01F" w14:textId="77777777" w:rsidR="00B50879" w:rsidRPr="00D5422A" w:rsidRDefault="00B50879" w:rsidP="00B50879">
            <w:pPr>
              <w:pStyle w:val="Normalbold"/>
              <w:cnfStyle w:val="000000100000" w:firstRow="0" w:lastRow="0" w:firstColumn="0" w:lastColumn="0" w:oddVBand="0" w:evenVBand="0" w:oddHBand="1" w:evenHBand="0" w:firstRowFirstColumn="0" w:firstRowLastColumn="0" w:lastRowFirstColumn="0" w:lastRowLastColumn="0"/>
              <w:rPr>
                <w:bCs/>
              </w:rPr>
            </w:pPr>
            <w:r w:rsidRPr="00D5422A">
              <w:rPr>
                <w:bCs/>
              </w:rPr>
              <w:t>Consolidation</w:t>
            </w:r>
          </w:p>
          <w:p w14:paraId="14E36F41" w14:textId="77777777" w:rsidR="00B50879" w:rsidRPr="004E6AA1" w:rsidRDefault="00B50879" w:rsidP="00B50879">
            <w:pPr>
              <w:cnfStyle w:val="000000100000" w:firstRow="0" w:lastRow="0" w:firstColumn="0" w:lastColumn="0" w:oddVBand="0" w:evenVBand="0" w:oddHBand="1" w:evenHBand="0" w:firstRowFirstColumn="0" w:firstRowLastColumn="0" w:lastRowFirstColumn="0" w:lastRowLastColumn="0"/>
              <w:rPr>
                <w:b/>
                <w:bCs/>
              </w:rPr>
            </w:pPr>
            <w:r w:rsidRPr="004E6AA1">
              <w:rPr>
                <w:b/>
                <w:bCs/>
              </w:rPr>
              <w:t>Entities that are consolidated in the AFR of the State must notify DTF of contributions made to superannuation plans, distinguishing between those made to defined benefit plans and those made to defined contribution plans.</w:t>
            </w:r>
          </w:p>
        </w:tc>
      </w:tr>
      <w:tr w:rsidR="005828FE" w:rsidRPr="005828FE" w14:paraId="30EF0AC1"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85FCE11" w14:textId="77777777" w:rsidR="006C78FB" w:rsidRPr="005828FE" w:rsidRDefault="006C78FB" w:rsidP="00382EE1">
            <w:pPr>
              <w:pStyle w:val="Normalgrey"/>
            </w:pPr>
            <w:r w:rsidRPr="005828FE">
              <w:t>Definitions</w:t>
            </w:r>
          </w:p>
        </w:tc>
        <w:tc>
          <w:tcPr>
            <w:tcW w:w="270" w:type="dxa"/>
          </w:tcPr>
          <w:p w14:paraId="3E715797" w14:textId="77777777" w:rsidR="006C78FB" w:rsidRPr="005828FE" w:rsidRDefault="006C78FB" w:rsidP="00B50879">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1D3A0789" w14:textId="77777777" w:rsidR="006C78FB" w:rsidRPr="00B50879" w:rsidRDefault="006C78FB" w:rsidP="00B50879">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563FD7C7" w14:textId="77777777" w:rsidR="00B50879" w:rsidRDefault="00B50879" w:rsidP="00285B4C">
            <w:pPr>
              <w:pStyle w:val="Normalgrey"/>
              <w:cnfStyle w:val="000000010000" w:firstRow="0" w:lastRow="0" w:firstColumn="0" w:lastColumn="0" w:oddVBand="0" w:evenVBand="0" w:oddHBand="0" w:evenHBand="1" w:firstRowFirstColumn="0" w:firstRowLastColumn="0" w:lastRowFirstColumn="0" w:lastRowLastColumn="0"/>
            </w:pPr>
            <w:r w:rsidRPr="00B50879">
              <w:t>Refer</w:t>
            </w:r>
            <w:r>
              <w:t xml:space="preserve"> to AASB 119 for the following definitions:</w:t>
            </w:r>
          </w:p>
          <w:p w14:paraId="6A45D24B"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Actuarial gains and losses;</w:t>
            </w:r>
          </w:p>
          <w:p w14:paraId="13A181C2"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Current service cost;</w:t>
            </w:r>
          </w:p>
          <w:p w14:paraId="35FBA247"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 xml:space="preserve">Defined benefit plans; </w:t>
            </w:r>
          </w:p>
          <w:p w14:paraId="118D5D7B"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Defined contribution plans;</w:t>
            </w:r>
          </w:p>
          <w:p w14:paraId="7747E96F"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Fair value;</w:t>
            </w:r>
          </w:p>
          <w:p w14:paraId="1CD3388B"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Net defined benefit liability (or asset);</w:t>
            </w:r>
          </w:p>
          <w:p w14:paraId="6E2CF1A7"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Past service cost;</w:t>
            </w:r>
          </w:p>
          <w:p w14:paraId="4D3F869C"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Post-employment benefits;</w:t>
            </w:r>
          </w:p>
          <w:p w14:paraId="191BDABA"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 xml:space="preserve">Post-employment benefit plans; </w:t>
            </w:r>
          </w:p>
          <w:p w14:paraId="5CA2D30E"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Present value of a defined benefit obligation</w:t>
            </w:r>
          </w:p>
          <w:p w14:paraId="6D87B6D8" w14:textId="77777777" w:rsidR="00B50879"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Return on plan assets; and</w:t>
            </w:r>
          </w:p>
          <w:p w14:paraId="0A7E78DA" w14:textId="77777777" w:rsidR="006C78FB" w:rsidRPr="00E20142" w:rsidRDefault="00B50879" w:rsidP="00B50879">
            <w:pPr>
              <w:pStyle w:val="Bullet1grey"/>
              <w:cnfStyle w:val="000000010000" w:firstRow="0" w:lastRow="0" w:firstColumn="0" w:lastColumn="0" w:oddVBand="0" w:evenVBand="0" w:oddHBand="0" w:evenHBand="1" w:firstRowFirstColumn="0" w:firstRowLastColumn="0" w:lastRowFirstColumn="0" w:lastRowLastColumn="0"/>
            </w:pPr>
            <w:r>
              <w:t>Settlement</w:t>
            </w:r>
          </w:p>
        </w:tc>
      </w:tr>
      <w:tr w:rsidR="00B50879" w:rsidRPr="005828FE" w14:paraId="43EE97C4"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CAA0897" w14:textId="5DC246A6" w:rsidR="00B50879" w:rsidRPr="005828FE" w:rsidRDefault="00D5422A" w:rsidP="00382EE1">
            <w:pPr>
              <w:pStyle w:val="Normalgrey"/>
            </w:pPr>
            <w:r w:rsidRPr="005828FE">
              <w:t>Guidance</w:t>
            </w:r>
          </w:p>
        </w:tc>
        <w:tc>
          <w:tcPr>
            <w:tcW w:w="270" w:type="dxa"/>
          </w:tcPr>
          <w:p w14:paraId="121844A7" w14:textId="77777777" w:rsidR="00B50879" w:rsidRPr="005828FE" w:rsidRDefault="00B50879" w:rsidP="00B50879">
            <w:pPr>
              <w:cnfStyle w:val="000000100000" w:firstRow="0" w:lastRow="0" w:firstColumn="0" w:lastColumn="0" w:oddVBand="0" w:evenVBand="0" w:oddHBand="1" w:evenHBand="0" w:firstRowFirstColumn="0" w:firstRowLastColumn="0" w:lastRowFirstColumn="0" w:lastRowLastColumn="0"/>
            </w:pPr>
          </w:p>
        </w:tc>
        <w:tc>
          <w:tcPr>
            <w:tcW w:w="540" w:type="dxa"/>
          </w:tcPr>
          <w:p w14:paraId="499F19B4" w14:textId="77777777" w:rsidR="00D5422A" w:rsidRPr="00D5422A" w:rsidRDefault="00D5422A" w:rsidP="00D5422A">
            <w:pPr>
              <w:pStyle w:val="ListParagraph"/>
              <w:numPr>
                <w:ilvl w:val="0"/>
                <w:numId w:val="22"/>
              </w:numPr>
              <w:spacing w:line="240" w:lineRule="auto"/>
              <w:contextualSpacing w:val="0"/>
              <w:cnfStyle w:val="000000100000" w:firstRow="0" w:lastRow="0" w:firstColumn="0" w:lastColumn="0" w:oddVBand="0" w:evenVBand="0" w:oddHBand="1" w:evenHBand="0" w:firstRowFirstColumn="0" w:firstRowLastColumn="0" w:lastRowFirstColumn="0" w:lastRowLastColumn="0"/>
              <w:rPr>
                <w:rFonts w:eastAsia="Calibri" w:cs="Times New Roman"/>
                <w:vanish/>
                <w:color w:val="FFFFFF" w:themeColor="background1"/>
                <w:spacing w:val="0"/>
              </w:rPr>
            </w:pPr>
          </w:p>
          <w:p w14:paraId="3CFFE879" w14:textId="77777777" w:rsidR="00D5422A" w:rsidRPr="00D5422A" w:rsidRDefault="00D5422A" w:rsidP="00D5422A">
            <w:pPr>
              <w:pStyle w:val="ListParagraph"/>
              <w:numPr>
                <w:ilvl w:val="1"/>
                <w:numId w:val="22"/>
              </w:numPr>
              <w:contextualSpacing w:val="0"/>
              <w:cnfStyle w:val="000000100000" w:firstRow="0" w:lastRow="0" w:firstColumn="0" w:lastColumn="0" w:oddVBand="0" w:evenVBand="0" w:oddHBand="1" w:evenHBand="0" w:firstRowFirstColumn="0" w:firstRowLastColumn="0" w:lastRowFirstColumn="0" w:lastRowLastColumn="0"/>
              <w:rPr>
                <w:vanish/>
              </w:rPr>
            </w:pPr>
          </w:p>
          <w:p w14:paraId="480E6C32" w14:textId="2A0C82BA" w:rsidR="00B50879" w:rsidRPr="005828FE" w:rsidRDefault="00B50879" w:rsidP="00D5422A">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434484B3" w14:textId="77777777" w:rsidR="00D5422A" w:rsidRDefault="00D5422A" w:rsidP="004E6AA1">
            <w:pPr>
              <w:pStyle w:val="Normalgreybold"/>
              <w:cnfStyle w:val="000000100000" w:firstRow="0" w:lastRow="0" w:firstColumn="0" w:lastColumn="0" w:oddVBand="0" w:evenVBand="0" w:oddHBand="1" w:evenHBand="0" w:firstRowFirstColumn="0" w:firstRowLastColumn="0" w:lastRowFirstColumn="0" w:lastRowLastColumn="0"/>
            </w:pPr>
            <w:r w:rsidRPr="00CA23D3">
              <w:t>DTF (on behalf of the State) and enti</w:t>
            </w:r>
            <w:r>
              <w:t>ties listed in Appendices B and </w:t>
            </w:r>
            <w:r w:rsidRPr="00CA23D3">
              <w:t xml:space="preserve">C </w:t>
            </w:r>
          </w:p>
          <w:p w14:paraId="6C599679" w14:textId="5F4A5FA7" w:rsidR="00B50879" w:rsidRPr="00B50879" w:rsidRDefault="00B50879" w:rsidP="00285B4C">
            <w:pPr>
              <w:pStyle w:val="Normalgrey"/>
              <w:cnfStyle w:val="000000100000" w:firstRow="0" w:lastRow="0" w:firstColumn="0" w:lastColumn="0" w:oddVBand="0" w:evenVBand="0" w:oddHBand="1" w:evenHBand="0" w:firstRowFirstColumn="0" w:firstRowLastColumn="0" w:lastRowFirstColumn="0" w:lastRowLastColumn="0"/>
            </w:pPr>
            <w:r w:rsidRPr="00CA23D3">
              <w:t xml:space="preserve">AASB 119 defines “defined benefit plans” to be post-employment benefit plans other than defined contribution plans.  This definition is broader than under AAS 25 </w:t>
            </w:r>
            <w:r w:rsidRPr="00CA23D3">
              <w:rPr>
                <w:i/>
                <w:iCs/>
              </w:rPr>
              <w:t>Financial Reporting by Superannuation Plans</w:t>
            </w:r>
            <w:r w:rsidRPr="00CA23D3">
              <w:t>.</w:t>
            </w:r>
          </w:p>
        </w:tc>
      </w:tr>
      <w:tr w:rsidR="00B50879" w:rsidRPr="005828FE" w14:paraId="1DA5E8D0"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3412520" w14:textId="77777777" w:rsidR="00B50879" w:rsidRPr="005828FE" w:rsidRDefault="00B50879" w:rsidP="00382EE1">
            <w:pPr>
              <w:pStyle w:val="Normalgrey"/>
            </w:pPr>
          </w:p>
        </w:tc>
        <w:tc>
          <w:tcPr>
            <w:tcW w:w="270" w:type="dxa"/>
          </w:tcPr>
          <w:p w14:paraId="653A1E2E" w14:textId="77777777" w:rsidR="00B50879" w:rsidRPr="005828FE" w:rsidRDefault="00B50879" w:rsidP="00B50879">
            <w:pPr>
              <w:cnfStyle w:val="000000010000" w:firstRow="0" w:lastRow="0" w:firstColumn="0" w:lastColumn="0" w:oddVBand="0" w:evenVBand="0" w:oddHBand="0" w:evenHBand="1" w:firstRowFirstColumn="0" w:firstRowLastColumn="0" w:lastRowFirstColumn="0" w:lastRowLastColumn="0"/>
            </w:pPr>
          </w:p>
        </w:tc>
        <w:tc>
          <w:tcPr>
            <w:tcW w:w="540" w:type="dxa"/>
          </w:tcPr>
          <w:p w14:paraId="01A4B796" w14:textId="77777777" w:rsidR="00B50879" w:rsidRPr="005828FE" w:rsidRDefault="00B50879" w:rsidP="00B50879">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2723A60C" w14:textId="47600243" w:rsidR="00B50879" w:rsidRPr="00CA23D3" w:rsidRDefault="00B50879" w:rsidP="00285B4C">
            <w:pPr>
              <w:pStyle w:val="Normalgrey"/>
              <w:cnfStyle w:val="000000010000" w:firstRow="0" w:lastRow="0" w:firstColumn="0" w:lastColumn="0" w:oddVBand="0" w:evenVBand="0" w:oddHBand="0" w:evenHBand="1" w:firstRowFirstColumn="0" w:firstRowLastColumn="0" w:lastRowFirstColumn="0" w:lastRowLastColumn="0"/>
            </w:pPr>
            <w:r w:rsidRPr="00CA23D3">
              <w:t>AASB 119 prescribes requirements to recognise obligations arising from defined benefit plans and specifies the measurement criteria.</w:t>
            </w:r>
          </w:p>
        </w:tc>
      </w:tr>
      <w:tr w:rsidR="000A4653" w:rsidRPr="005828FE" w14:paraId="1B7121BB"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0E1395D" w14:textId="77777777" w:rsidR="000A4653" w:rsidRPr="005828FE" w:rsidRDefault="000A4653" w:rsidP="00382EE1">
            <w:pPr>
              <w:pStyle w:val="Normalgrey"/>
            </w:pPr>
          </w:p>
        </w:tc>
        <w:tc>
          <w:tcPr>
            <w:tcW w:w="270" w:type="dxa"/>
          </w:tcPr>
          <w:p w14:paraId="5B624CAF" w14:textId="77777777" w:rsidR="000A4653" w:rsidRPr="005828FE" w:rsidRDefault="000A4653" w:rsidP="00B50879">
            <w:pPr>
              <w:cnfStyle w:val="000000100000" w:firstRow="0" w:lastRow="0" w:firstColumn="0" w:lastColumn="0" w:oddVBand="0" w:evenVBand="0" w:oddHBand="1" w:evenHBand="0" w:firstRowFirstColumn="0" w:firstRowLastColumn="0" w:lastRowFirstColumn="0" w:lastRowLastColumn="0"/>
            </w:pPr>
          </w:p>
        </w:tc>
        <w:tc>
          <w:tcPr>
            <w:tcW w:w="540" w:type="dxa"/>
          </w:tcPr>
          <w:p w14:paraId="6524B7FE" w14:textId="77777777" w:rsidR="000A4653" w:rsidRPr="005828FE" w:rsidRDefault="000A4653" w:rsidP="00B50879">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4CB373DF" w14:textId="77777777" w:rsidR="000A4653" w:rsidRPr="00CA23D3" w:rsidRDefault="000A4653" w:rsidP="00285B4C">
            <w:pPr>
              <w:pStyle w:val="Normalgrey"/>
              <w:cnfStyle w:val="000000100000" w:firstRow="0" w:lastRow="0" w:firstColumn="0" w:lastColumn="0" w:oddVBand="0" w:evenVBand="0" w:oddHBand="1" w:evenHBand="0" w:firstRowFirstColumn="0" w:firstRowLastColumn="0" w:lastRowFirstColumn="0" w:lastRowLastColumn="0"/>
            </w:pPr>
            <w:r w:rsidRPr="00CA23D3">
              <w:t>Because the ultimate cost of the post-employment benefit is uncertain, entities are required to undertake a valuation at each reporting period to determine the present value of the defined benefit obligation.  The involvement of a qualified actuary in the measurement of the post-employment benefit on an annual basis is encouraged.</w:t>
            </w:r>
          </w:p>
        </w:tc>
      </w:tr>
      <w:tr w:rsidR="000A4653" w:rsidRPr="005828FE" w14:paraId="46885695"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E27D61A" w14:textId="77777777" w:rsidR="000A4653" w:rsidRPr="005828FE" w:rsidRDefault="000A4653" w:rsidP="00382EE1">
            <w:pPr>
              <w:pStyle w:val="Normalgrey"/>
            </w:pPr>
          </w:p>
        </w:tc>
        <w:tc>
          <w:tcPr>
            <w:tcW w:w="270" w:type="dxa"/>
          </w:tcPr>
          <w:p w14:paraId="394D951D" w14:textId="77777777" w:rsidR="000A4653" w:rsidRPr="005828FE" w:rsidRDefault="000A4653" w:rsidP="00B50879">
            <w:pPr>
              <w:cnfStyle w:val="000000010000" w:firstRow="0" w:lastRow="0" w:firstColumn="0" w:lastColumn="0" w:oddVBand="0" w:evenVBand="0" w:oddHBand="0" w:evenHBand="1" w:firstRowFirstColumn="0" w:firstRowLastColumn="0" w:lastRowFirstColumn="0" w:lastRowLastColumn="0"/>
            </w:pPr>
          </w:p>
        </w:tc>
        <w:tc>
          <w:tcPr>
            <w:tcW w:w="540" w:type="dxa"/>
          </w:tcPr>
          <w:p w14:paraId="705E4210" w14:textId="77777777" w:rsidR="000A4653" w:rsidRPr="005828FE" w:rsidRDefault="000A4653" w:rsidP="00B50879">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6B19596B" w14:textId="77777777" w:rsidR="000A4653" w:rsidRPr="00CA23D3" w:rsidRDefault="000A4653" w:rsidP="00285B4C">
            <w:pPr>
              <w:pStyle w:val="Normalgrey"/>
              <w:cnfStyle w:val="000000010000" w:firstRow="0" w:lastRow="0" w:firstColumn="0" w:lastColumn="0" w:oddVBand="0" w:evenVBand="0" w:oddHBand="0" w:evenHBand="1" w:firstRowFirstColumn="0" w:firstRowLastColumn="0" w:lastRowFirstColumn="0" w:lastRowLastColumn="0"/>
            </w:pPr>
            <w:r w:rsidRPr="00CA23D3">
              <w:t>An entity should refer to the requirements of AASB 119 where the actuarial valuation of the entity’s defined benefit liability was conducted before the reporting date.</w:t>
            </w:r>
          </w:p>
        </w:tc>
      </w:tr>
      <w:tr w:rsidR="000A4653" w:rsidRPr="005828FE" w14:paraId="16126258"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1A567BF8" w14:textId="77777777" w:rsidR="000A4653" w:rsidRPr="005828FE" w:rsidRDefault="000A4653" w:rsidP="00382EE1">
            <w:pPr>
              <w:pStyle w:val="Normalgrey"/>
            </w:pPr>
          </w:p>
        </w:tc>
        <w:tc>
          <w:tcPr>
            <w:tcW w:w="270" w:type="dxa"/>
          </w:tcPr>
          <w:p w14:paraId="02DEA48D" w14:textId="77777777" w:rsidR="000A4653" w:rsidRPr="005828FE" w:rsidRDefault="000A4653" w:rsidP="00B50879">
            <w:pPr>
              <w:cnfStyle w:val="000000100000" w:firstRow="0" w:lastRow="0" w:firstColumn="0" w:lastColumn="0" w:oddVBand="0" w:evenVBand="0" w:oddHBand="1" w:evenHBand="0" w:firstRowFirstColumn="0" w:firstRowLastColumn="0" w:lastRowFirstColumn="0" w:lastRowLastColumn="0"/>
            </w:pPr>
          </w:p>
        </w:tc>
        <w:tc>
          <w:tcPr>
            <w:tcW w:w="540" w:type="dxa"/>
          </w:tcPr>
          <w:p w14:paraId="325B6554" w14:textId="77777777" w:rsidR="000A4653" w:rsidRPr="005828FE" w:rsidRDefault="000A4653" w:rsidP="00B50879">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5119BBDC" w14:textId="583DAA50" w:rsidR="00D5422A" w:rsidRPr="004E6AA1" w:rsidRDefault="00D5422A" w:rsidP="004E6AA1">
            <w:pPr>
              <w:pStyle w:val="Normalgreybold"/>
              <w:cnfStyle w:val="000000100000" w:firstRow="0" w:lastRow="0" w:firstColumn="0" w:lastColumn="0" w:oddVBand="0" w:evenVBand="0" w:oddHBand="1" w:evenHBand="0" w:firstRowFirstColumn="0" w:firstRowLastColumn="0" w:lastRowFirstColumn="0" w:lastRowLastColumn="0"/>
            </w:pPr>
            <w:r w:rsidRPr="004F2F34">
              <w:t>All other entities (including DTF)</w:t>
            </w:r>
          </w:p>
          <w:p w14:paraId="774B1285" w14:textId="2FA7BD66" w:rsidR="000A4653" w:rsidRPr="00CA23D3" w:rsidRDefault="000A4653" w:rsidP="00285B4C">
            <w:pPr>
              <w:pStyle w:val="Normalgrey"/>
              <w:cnfStyle w:val="000000100000" w:firstRow="0" w:lastRow="0" w:firstColumn="0" w:lastColumn="0" w:oddVBand="0" w:evenVBand="0" w:oddHBand="1" w:evenHBand="0" w:firstRowFirstColumn="0" w:firstRowLastColumn="0" w:lastRowFirstColumn="0" w:lastRowLastColumn="0"/>
            </w:pPr>
            <w:r w:rsidRPr="00CA23D3">
              <w:t>Entities are required to recognise and disclose the superannuation contribution paid or payable to the relevant superannuation plan in exchange for the service rendered to the entity during the period as set out in AASB 119.</w:t>
            </w:r>
          </w:p>
        </w:tc>
      </w:tr>
      <w:tr w:rsidR="000A4653" w:rsidRPr="005828FE" w14:paraId="5CC0AF32"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A537E58" w14:textId="77777777" w:rsidR="000A4653" w:rsidRPr="005828FE" w:rsidRDefault="000A4653" w:rsidP="00382EE1">
            <w:pPr>
              <w:pStyle w:val="Normalgrey"/>
            </w:pPr>
          </w:p>
        </w:tc>
        <w:tc>
          <w:tcPr>
            <w:tcW w:w="270" w:type="dxa"/>
          </w:tcPr>
          <w:p w14:paraId="5022CE89" w14:textId="77777777" w:rsidR="000A4653" w:rsidRPr="005828FE" w:rsidRDefault="000A4653" w:rsidP="00B50879">
            <w:pPr>
              <w:cnfStyle w:val="000000010000" w:firstRow="0" w:lastRow="0" w:firstColumn="0" w:lastColumn="0" w:oddVBand="0" w:evenVBand="0" w:oddHBand="0" w:evenHBand="1" w:firstRowFirstColumn="0" w:firstRowLastColumn="0" w:lastRowFirstColumn="0" w:lastRowLastColumn="0"/>
            </w:pPr>
          </w:p>
        </w:tc>
        <w:tc>
          <w:tcPr>
            <w:tcW w:w="540" w:type="dxa"/>
          </w:tcPr>
          <w:p w14:paraId="625A2C11" w14:textId="77777777" w:rsidR="000A4653" w:rsidRPr="005828FE" w:rsidRDefault="000A4653" w:rsidP="00B50879">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38598143" w14:textId="77777777" w:rsidR="000A4653" w:rsidRPr="00CA23D3" w:rsidRDefault="000A4653" w:rsidP="00285B4C">
            <w:pPr>
              <w:pStyle w:val="Normalgrey"/>
              <w:cnfStyle w:val="000000010000" w:firstRow="0" w:lastRow="0" w:firstColumn="0" w:lastColumn="0" w:oddVBand="0" w:evenVBand="0" w:oddHBand="0" w:evenHBand="1" w:firstRowFirstColumn="0" w:firstRowLastColumn="0" w:lastRowFirstColumn="0" w:lastRowLastColumn="0"/>
            </w:pPr>
            <w:r w:rsidRPr="00CA23D3">
              <w:t>This FRD requires relevant entities to notify the CFO of DTF of contributions made to defined benefit and defined contribution plans separately.  Such information will assist DTF in reporting on behalf of the State, the consolidated whole of State / general government sector superannuation expense.</w:t>
            </w:r>
          </w:p>
        </w:tc>
      </w:tr>
      <w:tr w:rsidR="000A4653" w:rsidRPr="005828FE" w14:paraId="343DBF3B"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90D20AA" w14:textId="77777777" w:rsidR="000A4653" w:rsidRPr="005828FE" w:rsidRDefault="000A4653" w:rsidP="00382EE1">
            <w:pPr>
              <w:pStyle w:val="Normalgrey"/>
            </w:pPr>
          </w:p>
        </w:tc>
        <w:tc>
          <w:tcPr>
            <w:tcW w:w="270" w:type="dxa"/>
          </w:tcPr>
          <w:p w14:paraId="07AB1AA3" w14:textId="77777777" w:rsidR="000A4653" w:rsidRPr="005828FE" w:rsidRDefault="000A4653" w:rsidP="00B50879">
            <w:pPr>
              <w:cnfStyle w:val="000000100000" w:firstRow="0" w:lastRow="0" w:firstColumn="0" w:lastColumn="0" w:oddVBand="0" w:evenVBand="0" w:oddHBand="1" w:evenHBand="0" w:firstRowFirstColumn="0" w:firstRowLastColumn="0" w:lastRowFirstColumn="0" w:lastRowLastColumn="0"/>
            </w:pPr>
          </w:p>
        </w:tc>
        <w:tc>
          <w:tcPr>
            <w:tcW w:w="540" w:type="dxa"/>
          </w:tcPr>
          <w:p w14:paraId="4A29A2E0" w14:textId="77777777" w:rsidR="000A4653" w:rsidRPr="005828FE" w:rsidRDefault="000A4653" w:rsidP="00B50879">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7A351E02" w14:textId="77777777" w:rsidR="00D5422A" w:rsidRDefault="00D5422A" w:rsidP="004E6AA1">
            <w:pPr>
              <w:pStyle w:val="Normalgreybold"/>
              <w:cnfStyle w:val="000000100000" w:firstRow="0" w:lastRow="0" w:firstColumn="0" w:lastColumn="0" w:oddVBand="0" w:evenVBand="0" w:oddHBand="1" w:evenHBand="0" w:firstRowFirstColumn="0" w:firstRowLastColumn="0" w:lastRowFirstColumn="0" w:lastRowLastColumn="0"/>
            </w:pPr>
            <w:r w:rsidRPr="00CA23D3">
              <w:t xml:space="preserve">Members of Vision Super sub plans </w:t>
            </w:r>
          </w:p>
          <w:p w14:paraId="3A5A460A" w14:textId="2765748D" w:rsidR="000A4653" w:rsidRPr="00CA23D3" w:rsidRDefault="000A4653" w:rsidP="00285B4C">
            <w:pPr>
              <w:pStyle w:val="Normalgrey"/>
              <w:cnfStyle w:val="000000100000" w:firstRow="0" w:lastRow="0" w:firstColumn="0" w:lastColumn="0" w:oddVBand="0" w:evenVBand="0" w:oddHBand="1" w:evenHBand="0" w:firstRowFirstColumn="0" w:firstRowLastColumn="0" w:lastRowFirstColumn="0" w:lastRowLastColumn="0"/>
              <w:rPr>
                <w:b/>
                <w:color w:val="auto"/>
              </w:rPr>
            </w:pPr>
            <w:r w:rsidRPr="00CA23D3">
              <w:t xml:space="preserve">Certain entities, such as water authorities, are common members of Vision Super sub plans and, as such, are considered to belong to </w:t>
            </w:r>
            <w:r w:rsidRPr="00CA23D3">
              <w:rPr>
                <w:i/>
                <w:iCs/>
              </w:rPr>
              <w:t xml:space="preserve">‘multi-employer plans’ </w:t>
            </w:r>
            <w:r w:rsidRPr="00CA23D3">
              <w:t xml:space="preserve">for the purposes of AASB 119. Consequently, Vision Super has advised entities that contribute to this </w:t>
            </w:r>
            <w:r w:rsidRPr="00CA23D3">
              <w:rPr>
                <w:i/>
                <w:iCs/>
              </w:rPr>
              <w:t>‘multi-employer plan’</w:t>
            </w:r>
            <w:r w:rsidRPr="00CA23D3">
              <w:t xml:space="preserve"> that they are unable to supply the information necessary for entities to individually report obligations as </w:t>
            </w:r>
            <w:r w:rsidRPr="00CA23D3">
              <w:rPr>
                <w:i/>
                <w:iCs/>
              </w:rPr>
              <w:t>‘defined benefit plans’</w:t>
            </w:r>
            <w:r w:rsidRPr="00CA23D3">
              <w:t xml:space="preserve">. Accordingly, after consultation with regulators and auditors, Vision Super has advised these entities to instead make disclosures as a </w:t>
            </w:r>
            <w:r w:rsidRPr="00CA23D3">
              <w:rPr>
                <w:i/>
                <w:iCs/>
              </w:rPr>
              <w:t>‘defined contribution plan’</w:t>
            </w:r>
            <w:r w:rsidRPr="00CA23D3">
              <w:t xml:space="preserve"> as provided for by paragraph 3</w:t>
            </w:r>
            <w:r>
              <w:t>2</w:t>
            </w:r>
            <w:r w:rsidRPr="00CA23D3">
              <w:t xml:space="preserve"> of AASB 119.</w:t>
            </w:r>
          </w:p>
        </w:tc>
      </w:tr>
      <w:tr w:rsidR="000A4653" w:rsidRPr="005828FE" w14:paraId="4A57BC51"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3FDE0CDB" w14:textId="77777777" w:rsidR="000A4653" w:rsidRPr="005828FE" w:rsidRDefault="000A4653" w:rsidP="00382EE1">
            <w:pPr>
              <w:pStyle w:val="Normalgrey"/>
            </w:pPr>
          </w:p>
        </w:tc>
        <w:tc>
          <w:tcPr>
            <w:tcW w:w="270" w:type="dxa"/>
          </w:tcPr>
          <w:p w14:paraId="449FFFE8" w14:textId="77777777" w:rsidR="000A4653" w:rsidRPr="005828FE" w:rsidRDefault="000A4653" w:rsidP="00B50879">
            <w:pPr>
              <w:cnfStyle w:val="000000010000" w:firstRow="0" w:lastRow="0" w:firstColumn="0" w:lastColumn="0" w:oddVBand="0" w:evenVBand="0" w:oddHBand="0" w:evenHBand="1" w:firstRowFirstColumn="0" w:firstRowLastColumn="0" w:lastRowFirstColumn="0" w:lastRowLastColumn="0"/>
            </w:pPr>
          </w:p>
        </w:tc>
        <w:tc>
          <w:tcPr>
            <w:tcW w:w="540" w:type="dxa"/>
          </w:tcPr>
          <w:p w14:paraId="492932A9" w14:textId="77777777" w:rsidR="000A4653" w:rsidRPr="005828FE" w:rsidRDefault="000A4653" w:rsidP="00B50879">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4C894CE5" w14:textId="77777777" w:rsidR="000A4653" w:rsidRPr="00CA23D3" w:rsidRDefault="000A4653" w:rsidP="00285B4C">
            <w:pPr>
              <w:pStyle w:val="Normalgrey"/>
              <w:cnfStyle w:val="000000010000" w:firstRow="0" w:lastRow="0" w:firstColumn="0" w:lastColumn="0" w:oddVBand="0" w:evenVBand="0" w:oddHBand="0" w:evenHBand="1" w:firstRowFirstColumn="0" w:firstRowLastColumn="0" w:lastRowFirstColumn="0" w:lastRowLastColumn="0"/>
            </w:pPr>
            <w:r w:rsidRPr="00CA23D3">
              <w:t>Vision Super has also advised that it will give further advice in relation to the disclosures required.</w:t>
            </w:r>
          </w:p>
        </w:tc>
      </w:tr>
      <w:tr w:rsidR="005828FE" w:rsidRPr="005828FE" w14:paraId="46ACA1F0"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2E04213" w14:textId="77777777" w:rsidR="006C78FB" w:rsidRPr="005828FE" w:rsidRDefault="006C78FB" w:rsidP="00382EE1">
            <w:pPr>
              <w:pStyle w:val="Normalgrey"/>
            </w:pPr>
            <w:r w:rsidRPr="005828FE">
              <w:t>Relevant pronouncements</w:t>
            </w:r>
          </w:p>
        </w:tc>
        <w:tc>
          <w:tcPr>
            <w:tcW w:w="270" w:type="dxa"/>
          </w:tcPr>
          <w:p w14:paraId="105393CB" w14:textId="77777777" w:rsidR="006C78FB" w:rsidRPr="005828FE" w:rsidRDefault="006C78FB" w:rsidP="000A4653">
            <w:pPr>
              <w:pStyle w:val="Refnum1"/>
              <w:cnfStyle w:val="000000100000" w:firstRow="0" w:lastRow="0" w:firstColumn="0" w:lastColumn="0" w:oddVBand="0" w:evenVBand="0" w:oddHBand="1" w:evenHBand="0" w:firstRowFirstColumn="0" w:firstRowLastColumn="0" w:lastRowFirstColumn="0" w:lastRowLastColumn="0"/>
            </w:pPr>
          </w:p>
        </w:tc>
        <w:tc>
          <w:tcPr>
            <w:tcW w:w="540" w:type="dxa"/>
          </w:tcPr>
          <w:p w14:paraId="715991C2" w14:textId="77777777" w:rsidR="006C78FB" w:rsidRPr="005828FE" w:rsidRDefault="006C78FB" w:rsidP="000A4653">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1439B677" w14:textId="77777777" w:rsidR="000A4653" w:rsidRPr="000A4653" w:rsidRDefault="000A4653" w:rsidP="000A4653">
            <w:pPr>
              <w:pStyle w:val="Bullet1grey"/>
              <w:cnfStyle w:val="000000100000" w:firstRow="0" w:lastRow="0" w:firstColumn="0" w:lastColumn="0" w:oddVBand="0" w:evenVBand="0" w:oddHBand="1" w:evenHBand="0" w:firstRowFirstColumn="0" w:firstRowLastColumn="0" w:lastRowFirstColumn="0" w:lastRowLastColumn="0"/>
            </w:pPr>
            <w:r w:rsidRPr="000A4653">
              <w:t>AASB 119 Employee Benefits</w:t>
            </w:r>
          </w:p>
          <w:p w14:paraId="0519B7CB" w14:textId="77777777" w:rsidR="00421F2E" w:rsidRPr="005828FE" w:rsidRDefault="000A4653" w:rsidP="00285B4C">
            <w:pPr>
              <w:pStyle w:val="Bullet1grey"/>
              <w:spacing w:after="60"/>
              <w:cnfStyle w:val="000000100000" w:firstRow="0" w:lastRow="0" w:firstColumn="0" w:lastColumn="0" w:oddVBand="0" w:evenVBand="0" w:oddHBand="1" w:evenHBand="0" w:firstRowFirstColumn="0" w:firstRowLastColumn="0" w:lastRowFirstColumn="0" w:lastRowLastColumn="0"/>
            </w:pPr>
            <w:r w:rsidRPr="000A4653">
              <w:t>AASB 1050 Administered Items</w:t>
            </w:r>
          </w:p>
        </w:tc>
      </w:tr>
      <w:tr w:rsidR="005828FE" w:rsidRPr="005828FE" w14:paraId="794B8322"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7CD610E" w14:textId="77777777" w:rsidR="006C78FB" w:rsidRPr="005828FE" w:rsidRDefault="006C78FB" w:rsidP="00382EE1">
            <w:pPr>
              <w:pStyle w:val="Normalgrey"/>
            </w:pPr>
            <w:r w:rsidRPr="005828FE">
              <w:t>Background</w:t>
            </w:r>
          </w:p>
        </w:tc>
        <w:tc>
          <w:tcPr>
            <w:tcW w:w="270" w:type="dxa"/>
          </w:tcPr>
          <w:p w14:paraId="4D11535E" w14:textId="77777777" w:rsidR="006C78FB" w:rsidRPr="005828FE" w:rsidRDefault="006C78FB" w:rsidP="000A4653">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2CB80B9A" w14:textId="77777777" w:rsidR="006C78FB" w:rsidRPr="005828FE" w:rsidRDefault="006C78FB" w:rsidP="000A4653">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2BA1CD3E" w14:textId="77777777" w:rsidR="00740302" w:rsidRPr="005828FE" w:rsidRDefault="000A4653" w:rsidP="000A4653">
            <w:pPr>
              <w:pStyle w:val="Normalgrey"/>
              <w:cnfStyle w:val="000000010000" w:firstRow="0" w:lastRow="0" w:firstColumn="0" w:lastColumn="0" w:oddVBand="0" w:evenVBand="0" w:oddHBand="0" w:evenHBand="1" w:firstRowFirstColumn="0" w:firstRowLastColumn="0" w:lastRowFirstColumn="0" w:lastRowLastColumn="0"/>
            </w:pPr>
            <w:r w:rsidRPr="00CA23D3">
              <w:t>AASB 119 requires that where an entity’s legal or constructive obligation to contribute to a superannuation plan is limited to the amount that it agrees to contribute to the plan on behalf of current employees, the plan is classified as a defined contribution plan for purposes of recognition, measurement and disclosure.</w:t>
            </w:r>
          </w:p>
        </w:tc>
      </w:tr>
      <w:tr w:rsidR="000A4653" w:rsidRPr="005828FE" w14:paraId="465376D9"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0F2B7B8" w14:textId="77777777" w:rsidR="000A4653" w:rsidRPr="005828FE" w:rsidRDefault="000A4653" w:rsidP="00382EE1">
            <w:pPr>
              <w:pStyle w:val="Normalgrey"/>
            </w:pPr>
          </w:p>
        </w:tc>
        <w:tc>
          <w:tcPr>
            <w:tcW w:w="270" w:type="dxa"/>
          </w:tcPr>
          <w:p w14:paraId="5A7EFE29" w14:textId="77777777" w:rsidR="000A4653" w:rsidRPr="005828FE" w:rsidRDefault="000A4653" w:rsidP="000A4653">
            <w:pPr>
              <w:cnfStyle w:val="000000100000" w:firstRow="0" w:lastRow="0" w:firstColumn="0" w:lastColumn="0" w:oddVBand="0" w:evenVBand="0" w:oddHBand="1" w:evenHBand="0" w:firstRowFirstColumn="0" w:firstRowLastColumn="0" w:lastRowFirstColumn="0" w:lastRowLastColumn="0"/>
            </w:pPr>
          </w:p>
        </w:tc>
        <w:tc>
          <w:tcPr>
            <w:tcW w:w="540" w:type="dxa"/>
          </w:tcPr>
          <w:p w14:paraId="54E94F73" w14:textId="77777777" w:rsidR="000A4653" w:rsidRPr="005828FE" w:rsidRDefault="000A4653" w:rsidP="000A4653">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1599BF7A" w14:textId="77777777" w:rsidR="000A4653" w:rsidRPr="00CA23D3" w:rsidRDefault="000A4653" w:rsidP="000A4653">
            <w:pPr>
              <w:pStyle w:val="Normalgrey"/>
              <w:cnfStyle w:val="000000100000" w:firstRow="0" w:lastRow="0" w:firstColumn="0" w:lastColumn="0" w:oddVBand="0" w:evenVBand="0" w:oddHBand="1" w:evenHBand="0" w:firstRowFirstColumn="0" w:firstRowLastColumn="0" w:lastRowFirstColumn="0" w:lastRowLastColumn="0"/>
            </w:pPr>
            <w:r w:rsidRPr="00CA23D3">
              <w:t>The State’s public sector superannuation plans are funded by public sector agencies on the basis that contributions are remitted to the plans at rates at least equal to those necessary to fully fund the future accrual of benefits from current services; contributions are set for three years in advance based on each plan's actuarial assumptions. Any additional employer contributions required in respect of the past service of the entity's employees are paid by DTF on behalf of the State from the Consolidated Fund.</w:t>
            </w:r>
          </w:p>
        </w:tc>
      </w:tr>
      <w:tr w:rsidR="000A4653" w:rsidRPr="005828FE" w14:paraId="350A6CD5"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B034045" w14:textId="77777777" w:rsidR="000A4653" w:rsidRPr="005828FE" w:rsidRDefault="000A4653" w:rsidP="00382EE1">
            <w:pPr>
              <w:pStyle w:val="Normalgrey"/>
            </w:pPr>
          </w:p>
        </w:tc>
        <w:tc>
          <w:tcPr>
            <w:tcW w:w="270" w:type="dxa"/>
          </w:tcPr>
          <w:p w14:paraId="16C55DF4" w14:textId="77777777" w:rsidR="000A4653" w:rsidRPr="005828FE" w:rsidRDefault="000A4653" w:rsidP="000A4653">
            <w:pPr>
              <w:cnfStyle w:val="000000010000" w:firstRow="0" w:lastRow="0" w:firstColumn="0" w:lastColumn="0" w:oddVBand="0" w:evenVBand="0" w:oddHBand="0" w:evenHBand="1" w:firstRowFirstColumn="0" w:firstRowLastColumn="0" w:lastRowFirstColumn="0" w:lastRowLastColumn="0"/>
            </w:pPr>
          </w:p>
        </w:tc>
        <w:tc>
          <w:tcPr>
            <w:tcW w:w="540" w:type="dxa"/>
          </w:tcPr>
          <w:p w14:paraId="2CB206AD" w14:textId="77777777" w:rsidR="000A4653" w:rsidRPr="005828FE" w:rsidRDefault="000A4653" w:rsidP="000A4653">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44B6D4B1" w14:textId="77777777" w:rsidR="000A4653" w:rsidRPr="00CA23D3" w:rsidRDefault="000A4653" w:rsidP="00285B4C">
            <w:pPr>
              <w:pStyle w:val="Normalgrey"/>
              <w:cnfStyle w:val="000000010000" w:firstRow="0" w:lastRow="0" w:firstColumn="0" w:lastColumn="0" w:oddVBand="0" w:evenVBand="0" w:oddHBand="0" w:evenHBand="1" w:firstRowFirstColumn="0" w:firstRowLastColumn="0" w:lastRowFirstColumn="0" w:lastRowLastColumn="0"/>
            </w:pPr>
            <w:r w:rsidRPr="00CA23D3">
              <w:t>With certain exemptions, public sector agencies have no legal or constructive obligation to pay future benefits; their only obligation is to pay the contributions as they fall due. If the entity ceases to employ members of the State public sector superannuation plan(s), it will have no obligation to pay the benefits earned by those employees in previous years; DTF, on behalf of the State, will meet any such obligations.</w:t>
            </w:r>
          </w:p>
        </w:tc>
      </w:tr>
      <w:tr w:rsidR="000A4653" w:rsidRPr="005828FE" w14:paraId="0A99D560"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BFDFBBF" w14:textId="77777777" w:rsidR="000A4653" w:rsidRPr="005828FE" w:rsidRDefault="000A4653" w:rsidP="00382EE1">
            <w:pPr>
              <w:pStyle w:val="Normalgrey"/>
            </w:pPr>
          </w:p>
        </w:tc>
        <w:tc>
          <w:tcPr>
            <w:tcW w:w="270" w:type="dxa"/>
          </w:tcPr>
          <w:p w14:paraId="09AFBC76" w14:textId="77777777" w:rsidR="000A4653" w:rsidRPr="005828FE" w:rsidRDefault="000A4653" w:rsidP="000A4653">
            <w:pPr>
              <w:cnfStyle w:val="000000100000" w:firstRow="0" w:lastRow="0" w:firstColumn="0" w:lastColumn="0" w:oddVBand="0" w:evenVBand="0" w:oddHBand="1" w:evenHBand="0" w:firstRowFirstColumn="0" w:firstRowLastColumn="0" w:lastRowFirstColumn="0" w:lastRowLastColumn="0"/>
            </w:pPr>
          </w:p>
        </w:tc>
        <w:tc>
          <w:tcPr>
            <w:tcW w:w="540" w:type="dxa"/>
          </w:tcPr>
          <w:p w14:paraId="35DDA7E6" w14:textId="77777777" w:rsidR="000A4653" w:rsidRPr="005828FE" w:rsidRDefault="000A4653" w:rsidP="000A4653">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137F02C4" w14:textId="77777777" w:rsidR="000A4653" w:rsidRPr="00CA23D3" w:rsidRDefault="000A4653" w:rsidP="00285B4C">
            <w:pPr>
              <w:pStyle w:val="Normalgrey"/>
              <w:cnfStyle w:val="000000100000" w:firstRow="0" w:lastRow="0" w:firstColumn="0" w:lastColumn="0" w:oddVBand="0" w:evenVBand="0" w:oddHBand="1" w:evenHBand="0" w:firstRowFirstColumn="0" w:firstRowLastColumn="0" w:lastRowFirstColumn="0" w:lastRowLastColumn="0"/>
            </w:pPr>
            <w:r w:rsidRPr="00CA23D3">
              <w:t xml:space="preserve">S.90(2) of the </w:t>
            </w:r>
            <w:r w:rsidRPr="00CA23D3">
              <w:rPr>
                <w:i/>
              </w:rPr>
              <w:t>State Superannuation Act 1988</w:t>
            </w:r>
            <w:r w:rsidRPr="00CA23D3">
              <w:t xml:space="preserve"> and s.20 of the </w:t>
            </w:r>
            <w:r w:rsidRPr="00CA23D3">
              <w:rPr>
                <w:i/>
              </w:rPr>
              <w:t>Emergency Services Superannuation Act 1986</w:t>
            </w:r>
            <w:r w:rsidRPr="00CA23D3">
              <w:t xml:space="preserve"> allows each plan to be supplemented from the State’s Consolidated Fund.</w:t>
            </w:r>
          </w:p>
        </w:tc>
      </w:tr>
      <w:tr w:rsidR="000A4653" w:rsidRPr="005828FE" w14:paraId="3AA88B3D"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A9B71E1" w14:textId="77777777" w:rsidR="000A4653" w:rsidRPr="005828FE" w:rsidRDefault="000A4653" w:rsidP="00382EE1">
            <w:pPr>
              <w:pStyle w:val="Normalgrey"/>
            </w:pPr>
          </w:p>
        </w:tc>
        <w:tc>
          <w:tcPr>
            <w:tcW w:w="270" w:type="dxa"/>
          </w:tcPr>
          <w:p w14:paraId="486CB2CF" w14:textId="77777777" w:rsidR="000A4653" w:rsidRPr="005828FE" w:rsidRDefault="000A4653" w:rsidP="000A4653">
            <w:pPr>
              <w:cnfStyle w:val="000000010000" w:firstRow="0" w:lastRow="0" w:firstColumn="0" w:lastColumn="0" w:oddVBand="0" w:evenVBand="0" w:oddHBand="0" w:evenHBand="1" w:firstRowFirstColumn="0" w:firstRowLastColumn="0" w:lastRowFirstColumn="0" w:lastRowLastColumn="0"/>
            </w:pPr>
          </w:p>
        </w:tc>
        <w:tc>
          <w:tcPr>
            <w:tcW w:w="540" w:type="dxa"/>
          </w:tcPr>
          <w:p w14:paraId="0D148286" w14:textId="77777777" w:rsidR="000A4653" w:rsidRPr="005828FE" w:rsidRDefault="000A4653" w:rsidP="000A4653">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66E0018E" w14:textId="77777777" w:rsidR="000A4653" w:rsidRPr="00CA23D3" w:rsidRDefault="000A4653" w:rsidP="00285B4C">
            <w:pPr>
              <w:pStyle w:val="Normalgrey"/>
              <w:cnfStyle w:val="000000010000" w:firstRow="0" w:lastRow="0" w:firstColumn="0" w:lastColumn="0" w:oddVBand="0" w:evenVBand="0" w:oddHBand="0" w:evenHBand="1" w:firstRowFirstColumn="0" w:firstRowLastColumn="0" w:lastRowFirstColumn="0" w:lastRowLastColumn="0"/>
            </w:pPr>
            <w:r w:rsidRPr="00CA23D3">
              <w:t xml:space="preserve">For the reasons outlined above, and with some exceptions, the State plans are </w:t>
            </w:r>
            <w:r w:rsidRPr="00285B4C">
              <w:t>treated</w:t>
            </w:r>
            <w:r w:rsidRPr="00CA23D3">
              <w:t xml:space="preserve"> as defined contribution plans in the financial reports of public sector agencies.</w:t>
            </w:r>
          </w:p>
        </w:tc>
      </w:tr>
      <w:tr w:rsidR="000A4653" w:rsidRPr="005828FE" w14:paraId="5F95BCEA"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EF27727" w14:textId="77777777" w:rsidR="000A4653" w:rsidRPr="005828FE" w:rsidRDefault="000A4653" w:rsidP="00382EE1">
            <w:pPr>
              <w:pStyle w:val="Normalgrey"/>
            </w:pPr>
          </w:p>
        </w:tc>
        <w:tc>
          <w:tcPr>
            <w:tcW w:w="270" w:type="dxa"/>
          </w:tcPr>
          <w:p w14:paraId="66D204C2" w14:textId="77777777" w:rsidR="000A4653" w:rsidRPr="005828FE" w:rsidRDefault="000A4653" w:rsidP="000A4653">
            <w:pPr>
              <w:cnfStyle w:val="000000100000" w:firstRow="0" w:lastRow="0" w:firstColumn="0" w:lastColumn="0" w:oddVBand="0" w:evenVBand="0" w:oddHBand="1" w:evenHBand="0" w:firstRowFirstColumn="0" w:firstRowLastColumn="0" w:lastRowFirstColumn="0" w:lastRowLastColumn="0"/>
            </w:pPr>
          </w:p>
        </w:tc>
        <w:tc>
          <w:tcPr>
            <w:tcW w:w="540" w:type="dxa"/>
          </w:tcPr>
          <w:p w14:paraId="220D6E67" w14:textId="77777777" w:rsidR="000A4653" w:rsidRPr="005828FE" w:rsidRDefault="000A4653" w:rsidP="000A4653">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78513CC8" w14:textId="77777777" w:rsidR="000A4653" w:rsidRPr="00CA23D3" w:rsidRDefault="000A4653" w:rsidP="00D5422A">
            <w:pPr>
              <w:pStyle w:val="Normalgrey"/>
              <w:cnfStyle w:val="000000100000" w:firstRow="0" w:lastRow="0" w:firstColumn="0" w:lastColumn="0" w:oddVBand="0" w:evenVBand="0" w:oddHBand="1" w:evenHBand="0" w:firstRowFirstColumn="0" w:firstRowLastColumn="0" w:lastRowFirstColumn="0" w:lastRowLastColumn="0"/>
            </w:pPr>
            <w:r w:rsidRPr="00CA23D3">
              <w:t xml:space="preserve">The State plans were </w:t>
            </w:r>
            <w:r w:rsidRPr="004E6AA1">
              <w:t>initially</w:t>
            </w:r>
            <w:r w:rsidRPr="00CA23D3">
              <w:t xml:space="preserve"> treated as defined benefit plans in the financial statements of DTF and in the financial statements of the State. However, since the financial year ending 30 June 2010, the accounting policy for the recognition of the aggregate defined benefit liability or asset associated with defined benefit plans listed in Appendix A by DTF was changed from ‘controlled’ to ‘administered’. This is in accordance with the requirements under AASB 1050 </w:t>
            </w:r>
            <w:r w:rsidRPr="00CA23D3">
              <w:rPr>
                <w:i/>
              </w:rPr>
              <w:t>Administered Items</w:t>
            </w:r>
            <w:r w:rsidRPr="00CA23D3">
              <w:t xml:space="preserve"> where a liability does not involve a sacrifice of the assets that the government department controls at the end of the period, this liability is not a controlled liability and is not recognised in the department’s financial statements.</w:t>
            </w:r>
          </w:p>
        </w:tc>
      </w:tr>
      <w:tr w:rsidR="000A4653" w:rsidRPr="005828FE" w14:paraId="0D68C7D6"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E7D4B61" w14:textId="77777777" w:rsidR="000A4653" w:rsidRPr="005828FE" w:rsidRDefault="000A4653" w:rsidP="00382EE1">
            <w:pPr>
              <w:pStyle w:val="Normalgrey"/>
            </w:pPr>
          </w:p>
        </w:tc>
        <w:tc>
          <w:tcPr>
            <w:tcW w:w="270" w:type="dxa"/>
          </w:tcPr>
          <w:p w14:paraId="77C19111" w14:textId="77777777" w:rsidR="000A4653" w:rsidRPr="005828FE" w:rsidRDefault="000A4653" w:rsidP="000A4653">
            <w:pPr>
              <w:cnfStyle w:val="000000010000" w:firstRow="0" w:lastRow="0" w:firstColumn="0" w:lastColumn="0" w:oddVBand="0" w:evenVBand="0" w:oddHBand="0" w:evenHBand="1" w:firstRowFirstColumn="0" w:firstRowLastColumn="0" w:lastRowFirstColumn="0" w:lastRowLastColumn="0"/>
            </w:pPr>
          </w:p>
        </w:tc>
        <w:tc>
          <w:tcPr>
            <w:tcW w:w="540" w:type="dxa"/>
          </w:tcPr>
          <w:p w14:paraId="57E7284B" w14:textId="77777777" w:rsidR="000A4653" w:rsidRPr="005828FE" w:rsidRDefault="000A4653" w:rsidP="000A4653">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5A01AD78" w14:textId="77777777" w:rsidR="000A4653" w:rsidRPr="00CA23D3" w:rsidRDefault="000A4653" w:rsidP="00D5422A">
            <w:pPr>
              <w:pStyle w:val="Normalgrey"/>
              <w:cnfStyle w:val="000000010000" w:firstRow="0" w:lastRow="0" w:firstColumn="0" w:lastColumn="0" w:oddVBand="0" w:evenVBand="0" w:oddHBand="0" w:evenHBand="1" w:firstRowFirstColumn="0" w:firstRowLastColumn="0" w:lastRowFirstColumn="0" w:lastRowLastColumn="0"/>
            </w:pPr>
            <w:r w:rsidRPr="00CA23D3">
              <w:t>Therefore, this FRD has been updated to reflect the change in accounting policy and also to prescribe DTF’s minimum disclosures for the administered defined benefit liability or asset on behalf of the State. This is to maintain the government policy for transparency and accountability.</w:t>
            </w:r>
          </w:p>
        </w:tc>
      </w:tr>
      <w:tr w:rsidR="000A4653" w:rsidRPr="005828FE" w14:paraId="453E6EEC"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7C71E29" w14:textId="77777777" w:rsidR="000A4653" w:rsidRPr="005828FE" w:rsidRDefault="000A4653" w:rsidP="00382EE1">
            <w:pPr>
              <w:pStyle w:val="Normalgrey"/>
            </w:pPr>
          </w:p>
        </w:tc>
        <w:tc>
          <w:tcPr>
            <w:tcW w:w="270" w:type="dxa"/>
          </w:tcPr>
          <w:p w14:paraId="7CDCADF5" w14:textId="77777777" w:rsidR="000A4653" w:rsidRPr="005828FE" w:rsidRDefault="000A4653" w:rsidP="000A4653">
            <w:pPr>
              <w:cnfStyle w:val="000000100000" w:firstRow="0" w:lastRow="0" w:firstColumn="0" w:lastColumn="0" w:oddVBand="0" w:evenVBand="0" w:oddHBand="1" w:evenHBand="0" w:firstRowFirstColumn="0" w:firstRowLastColumn="0" w:lastRowFirstColumn="0" w:lastRowLastColumn="0"/>
            </w:pPr>
          </w:p>
        </w:tc>
        <w:tc>
          <w:tcPr>
            <w:tcW w:w="540" w:type="dxa"/>
          </w:tcPr>
          <w:p w14:paraId="390A9082" w14:textId="77777777" w:rsidR="000A4653" w:rsidRPr="005828FE" w:rsidRDefault="000A4653" w:rsidP="000A4653">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6556927B" w14:textId="77777777" w:rsidR="000A4653" w:rsidRPr="00CA23D3" w:rsidRDefault="000A4653" w:rsidP="00D5422A">
            <w:pPr>
              <w:pStyle w:val="Normalgrey"/>
              <w:cnfStyle w:val="000000100000" w:firstRow="0" w:lastRow="0" w:firstColumn="0" w:lastColumn="0" w:oddVBand="0" w:evenVBand="0" w:oddHBand="1" w:evenHBand="0" w:firstRowFirstColumn="0" w:firstRowLastColumn="0" w:lastRowFirstColumn="0" w:lastRowLastColumn="0"/>
            </w:pPr>
            <w:r w:rsidRPr="00CA23D3">
              <w:t xml:space="preserve">AASB 119 </w:t>
            </w:r>
            <w:r w:rsidRPr="00CA23D3">
              <w:rPr>
                <w:i/>
              </w:rPr>
              <w:t>Employee Benefits</w:t>
            </w:r>
            <w:r w:rsidRPr="00CA23D3">
              <w:t xml:space="preserve"> requires the recognition of actuarial gains and losses immediately in other comprehensive income and </w:t>
            </w:r>
            <w:r>
              <w:t xml:space="preserve">it </w:t>
            </w:r>
            <w:r w:rsidRPr="00CA23D3">
              <w:t>will not be reclassified into the profit or loss.</w:t>
            </w:r>
          </w:p>
        </w:tc>
      </w:tr>
      <w:tr w:rsidR="000A4653" w:rsidRPr="005828FE" w14:paraId="0921D09B"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7321F57" w14:textId="77777777" w:rsidR="000A4653" w:rsidRPr="005828FE" w:rsidRDefault="000A4653" w:rsidP="00382EE1">
            <w:pPr>
              <w:pStyle w:val="Normalgrey"/>
            </w:pPr>
          </w:p>
        </w:tc>
        <w:tc>
          <w:tcPr>
            <w:tcW w:w="270" w:type="dxa"/>
          </w:tcPr>
          <w:p w14:paraId="28E90AA6" w14:textId="77777777" w:rsidR="000A4653" w:rsidRPr="005828FE" w:rsidRDefault="000A4653" w:rsidP="000A4653">
            <w:pPr>
              <w:cnfStyle w:val="000000010000" w:firstRow="0" w:lastRow="0" w:firstColumn="0" w:lastColumn="0" w:oddVBand="0" w:evenVBand="0" w:oddHBand="0" w:evenHBand="1" w:firstRowFirstColumn="0" w:firstRowLastColumn="0" w:lastRowFirstColumn="0" w:lastRowLastColumn="0"/>
            </w:pPr>
          </w:p>
        </w:tc>
        <w:tc>
          <w:tcPr>
            <w:tcW w:w="540" w:type="dxa"/>
          </w:tcPr>
          <w:p w14:paraId="0F4A4512" w14:textId="77777777" w:rsidR="000A4653" w:rsidRPr="005828FE" w:rsidRDefault="000A4653" w:rsidP="000A4653">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2F4870F2" w14:textId="49438C32" w:rsidR="000A4653" w:rsidRPr="00CA23D3" w:rsidRDefault="000A4653" w:rsidP="00D5422A">
            <w:pPr>
              <w:pStyle w:val="Normalgrey"/>
              <w:cnfStyle w:val="000000010000" w:firstRow="0" w:lastRow="0" w:firstColumn="0" w:lastColumn="0" w:oddVBand="0" w:evenVBand="0" w:oddHBand="0" w:evenHBand="1" w:firstRowFirstColumn="0" w:firstRowLastColumn="0" w:lastRowFirstColumn="0" w:lastRowLastColumn="0"/>
            </w:pPr>
            <w:r w:rsidRPr="00CA23D3">
              <w:t>Measurement of defined benefit expense – the annual expense for a funded benefit plan will include net interest expense or income, calculated by applying the discount rate to the net defined benefit asset or liability. This will replace the finance charge and expected return on plan assets and is expected to increase the benefit expense for most entities because the discount rate is normally lower than the expected return on asset assumption</w:t>
            </w:r>
            <w:r>
              <w:t>.</w:t>
            </w:r>
            <w:r w:rsidRPr="00CA23D3">
              <w:t xml:space="preserve"> However, the change will have no effect on total comprehensive income as the increased charge in the profit or loss is offset by a credit in other comprehensive income.</w:t>
            </w:r>
          </w:p>
        </w:tc>
      </w:tr>
      <w:tr w:rsidR="000A4653" w:rsidRPr="005828FE" w14:paraId="2C638504" w14:textId="77777777" w:rsidTr="000A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14C71DE" w14:textId="77777777" w:rsidR="000A4653" w:rsidRPr="005828FE" w:rsidRDefault="000A4653" w:rsidP="00382EE1">
            <w:pPr>
              <w:pStyle w:val="Normalgrey"/>
            </w:pPr>
          </w:p>
        </w:tc>
        <w:tc>
          <w:tcPr>
            <w:tcW w:w="270" w:type="dxa"/>
          </w:tcPr>
          <w:p w14:paraId="1CB94E42" w14:textId="77777777" w:rsidR="000A4653" w:rsidRPr="005828FE" w:rsidRDefault="000A4653" w:rsidP="000A4653">
            <w:pPr>
              <w:cnfStyle w:val="000000100000" w:firstRow="0" w:lastRow="0" w:firstColumn="0" w:lastColumn="0" w:oddVBand="0" w:evenVBand="0" w:oddHBand="1" w:evenHBand="0" w:firstRowFirstColumn="0" w:firstRowLastColumn="0" w:lastRowFirstColumn="0" w:lastRowLastColumn="0"/>
            </w:pPr>
          </w:p>
        </w:tc>
        <w:tc>
          <w:tcPr>
            <w:tcW w:w="540" w:type="dxa"/>
          </w:tcPr>
          <w:p w14:paraId="0BFBF027" w14:textId="77777777" w:rsidR="000A4653" w:rsidRPr="005828FE" w:rsidRDefault="000A4653" w:rsidP="000A4653">
            <w:pPr>
              <w:pStyle w:val="Refnum2"/>
              <w:cnfStyle w:val="000000100000" w:firstRow="0" w:lastRow="0" w:firstColumn="0" w:lastColumn="0" w:oddVBand="0" w:evenVBand="0" w:oddHBand="1" w:evenHBand="0" w:firstRowFirstColumn="0" w:firstRowLastColumn="0" w:lastRowFirstColumn="0" w:lastRowLastColumn="0"/>
            </w:pPr>
          </w:p>
        </w:tc>
        <w:tc>
          <w:tcPr>
            <w:tcW w:w="6134" w:type="dxa"/>
          </w:tcPr>
          <w:p w14:paraId="5B38C828" w14:textId="77777777" w:rsidR="000A4653" w:rsidRPr="00CA23D3" w:rsidRDefault="000A4653" w:rsidP="00D5422A">
            <w:pPr>
              <w:pStyle w:val="Normalgrey"/>
              <w:cnfStyle w:val="000000100000" w:firstRow="0" w:lastRow="0" w:firstColumn="0" w:lastColumn="0" w:oddVBand="0" w:evenVBand="0" w:oddHBand="1" w:evenHBand="0" w:firstRowFirstColumn="0" w:firstRowLastColumn="0" w:lastRowFirstColumn="0" w:lastRowLastColumn="0"/>
            </w:pPr>
            <w:r w:rsidRPr="00CA23D3">
              <w:t>There is no change to the discount rate which remains a high quality corporate bond rate with a deep market and a government bond rate in other markets.</w:t>
            </w:r>
          </w:p>
        </w:tc>
      </w:tr>
      <w:tr w:rsidR="000A4653" w:rsidRPr="005828FE" w14:paraId="6497DE21" w14:textId="77777777" w:rsidTr="000A46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0F2C62B" w14:textId="3F663B6C" w:rsidR="000A4653" w:rsidRPr="005828FE" w:rsidRDefault="000A4653" w:rsidP="00D5422A">
            <w:pPr>
              <w:pStyle w:val="Normalgrey"/>
            </w:pPr>
            <w:r w:rsidRPr="00CA23D3">
              <w:t xml:space="preserve">Model for </w:t>
            </w:r>
            <w:r w:rsidRPr="004E6AA1">
              <w:t>Disclosure</w:t>
            </w:r>
            <w:r w:rsidRPr="00CA23D3">
              <w:t xml:space="preserve"> </w:t>
            </w:r>
          </w:p>
        </w:tc>
        <w:tc>
          <w:tcPr>
            <w:tcW w:w="270" w:type="dxa"/>
          </w:tcPr>
          <w:p w14:paraId="7CA91FAE" w14:textId="77777777" w:rsidR="000A4653" w:rsidRPr="005828FE" w:rsidRDefault="000A4653" w:rsidP="000A4653">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7F316206" w14:textId="77777777" w:rsidR="000A4653" w:rsidRPr="005828FE" w:rsidRDefault="000A4653" w:rsidP="000A4653">
            <w:pPr>
              <w:pStyle w:val="Refnum2"/>
              <w:cnfStyle w:val="000000010000" w:firstRow="0" w:lastRow="0" w:firstColumn="0" w:lastColumn="0" w:oddVBand="0" w:evenVBand="0" w:oddHBand="0" w:evenHBand="1" w:firstRowFirstColumn="0" w:firstRowLastColumn="0" w:lastRowFirstColumn="0" w:lastRowLastColumn="0"/>
            </w:pPr>
          </w:p>
        </w:tc>
        <w:tc>
          <w:tcPr>
            <w:tcW w:w="6134" w:type="dxa"/>
          </w:tcPr>
          <w:p w14:paraId="248A89AD" w14:textId="50026F3B" w:rsidR="000A4653" w:rsidRDefault="000A4653" w:rsidP="00D5422A">
            <w:pPr>
              <w:pStyle w:val="Normalgrey"/>
              <w:cnfStyle w:val="000000010000" w:firstRow="0" w:lastRow="0" w:firstColumn="0" w:lastColumn="0" w:oddVBand="0" w:evenVBand="0" w:oddHBand="0" w:evenHBand="1" w:firstRowFirstColumn="0" w:firstRowLastColumn="0" w:lastRowFirstColumn="0" w:lastRowLastColumn="0"/>
            </w:pPr>
            <w:r w:rsidRPr="00CA23D3">
              <w:t xml:space="preserve">AASB 101 requires disclosure of accounting policies used that are relevant to gaining an understanding of the financial report. For entities that are not required to recognise the defined benefit liabilities or assets, they should refer to the latest publication of the </w:t>
            </w:r>
            <w:r w:rsidRPr="00CA23D3">
              <w:rPr>
                <w:i/>
              </w:rPr>
              <w:t>Model Report for Victorian Government Departments</w:t>
            </w:r>
            <w:r w:rsidRPr="00CA23D3">
              <w:t xml:space="preserve"> (The </w:t>
            </w:r>
            <w:r w:rsidRPr="00CA23D3">
              <w:rPr>
                <w:i/>
              </w:rPr>
              <w:t>Model</w:t>
            </w:r>
            <w:r w:rsidRPr="00CA23D3">
              <w:t>) for illustrations of appropriate disclosure of accounting policies.</w:t>
            </w:r>
          </w:p>
          <w:p w14:paraId="71D0714F" w14:textId="77777777" w:rsidR="000A4653" w:rsidRPr="00CA23D3" w:rsidRDefault="000A4653" w:rsidP="00D5422A">
            <w:pPr>
              <w:pStyle w:val="Normalgrey"/>
              <w:cnfStyle w:val="000000010000" w:firstRow="0" w:lastRow="0" w:firstColumn="0" w:lastColumn="0" w:oddVBand="0" w:evenVBand="0" w:oddHBand="0" w:evenHBand="1" w:firstRowFirstColumn="0" w:firstRowLastColumn="0" w:lastRowFirstColumn="0" w:lastRowLastColumn="0"/>
            </w:pPr>
            <w:r w:rsidRPr="00CA23D3">
              <w:t>Appendix D illustrates the disclosure requirements of paragraphs 4.4(a)-(g) of this FRD, that are specific to DTF in relation to the aggregate administered defined benefit liability or asset, and its related movements, disclosed in the administered note.</w:t>
            </w:r>
          </w:p>
        </w:tc>
      </w:tr>
    </w:tbl>
    <w:p w14:paraId="5588EE67" w14:textId="087211D7" w:rsidR="000A4653" w:rsidRDefault="000A4653">
      <w:pPr>
        <w:spacing w:before="0" w:after="200"/>
      </w:pPr>
    </w:p>
    <w:p w14:paraId="460684C3" w14:textId="77777777" w:rsidR="009C0313" w:rsidRDefault="009C0313">
      <w:pPr>
        <w:spacing w:before="0" w:after="200"/>
        <w:rPr>
          <w:rFonts w:asciiTheme="majorHAnsi" w:eastAsiaTheme="majorEastAsia" w:hAnsiTheme="majorHAnsi" w:cstheme="majorBidi"/>
          <w:b/>
          <w:bCs/>
          <w:color w:val="000000" w:themeColor="text1"/>
          <w:spacing w:val="-1"/>
          <w:sz w:val="36"/>
          <w:szCs w:val="28"/>
        </w:rPr>
      </w:pPr>
      <w:r>
        <w:lastRenderedPageBreak/>
        <w:br w:type="page"/>
      </w:r>
    </w:p>
    <w:p w14:paraId="012EDB49" w14:textId="1D6BA786" w:rsidR="008C63EE" w:rsidRDefault="000A4653" w:rsidP="00747E5E">
      <w:pPr>
        <w:pStyle w:val="Heading1"/>
      </w:pPr>
      <w:r w:rsidRPr="00747E5E">
        <w:lastRenderedPageBreak/>
        <w:t>Appendix</w:t>
      </w:r>
      <w:r w:rsidRPr="00CA23D3">
        <w:t xml:space="preserve"> A</w:t>
      </w:r>
    </w:p>
    <w:p w14:paraId="7D9F2847" w14:textId="77777777" w:rsidR="000A4653" w:rsidRDefault="000A4653" w:rsidP="000A4653">
      <w:r>
        <w:t>Defined Benefit Plans:</w:t>
      </w:r>
    </w:p>
    <w:p w14:paraId="5DD924CD" w14:textId="77777777" w:rsidR="000A4653" w:rsidRDefault="000A4653" w:rsidP="00747E5E">
      <w:pPr>
        <w:pStyle w:val="Bullet1"/>
      </w:pPr>
      <w:r>
        <w:t>State Superannuation Fund</w:t>
      </w:r>
    </w:p>
    <w:p w14:paraId="6E65BF56" w14:textId="77777777" w:rsidR="000A4653" w:rsidRDefault="000A4653" w:rsidP="00747E5E">
      <w:pPr>
        <w:pStyle w:val="Bullet1"/>
      </w:pPr>
      <w:r>
        <w:t>Emergency Services Superannuation Scheme</w:t>
      </w:r>
    </w:p>
    <w:p w14:paraId="506A318A" w14:textId="77777777" w:rsidR="000A4653" w:rsidRDefault="000A4653" w:rsidP="00747E5E">
      <w:pPr>
        <w:pStyle w:val="Bullet1"/>
      </w:pPr>
      <w:r>
        <w:t>Health Super Defined Benefit Scheme</w:t>
      </w:r>
    </w:p>
    <w:p w14:paraId="14FB592C" w14:textId="77777777" w:rsidR="000A4653" w:rsidRDefault="000A4653" w:rsidP="00747E5E">
      <w:pPr>
        <w:pStyle w:val="Bullet1"/>
      </w:pPr>
      <w:r>
        <w:t>Constitutionally Protected Schemes</w:t>
      </w:r>
    </w:p>
    <w:p w14:paraId="09989EE4" w14:textId="77777777" w:rsidR="000A4653" w:rsidRDefault="000A4653" w:rsidP="00747E5E">
      <w:pPr>
        <w:pStyle w:val="Heading1"/>
      </w:pPr>
      <w:r>
        <w:t>Appendix B</w:t>
      </w:r>
    </w:p>
    <w:p w14:paraId="3F144341" w14:textId="77777777" w:rsidR="000A4653" w:rsidRDefault="000A4653" w:rsidP="000A4653">
      <w:r>
        <w:t>Commonwealth Funded Entities consolidated in the AFR:</w:t>
      </w:r>
    </w:p>
    <w:p w14:paraId="0764F7D2" w14:textId="1B230BB2" w:rsidR="000A4653" w:rsidRDefault="000A4653" w:rsidP="00747E5E">
      <w:pPr>
        <w:pStyle w:val="Bullet1"/>
      </w:pPr>
      <w:r>
        <w:t xml:space="preserve">Department of </w:t>
      </w:r>
      <w:r w:rsidR="00EF234C">
        <w:t xml:space="preserve">Families, Fairness and Housing </w:t>
      </w:r>
      <w:r>
        <w:t>(Director of Housing partially funded).</w:t>
      </w:r>
    </w:p>
    <w:p w14:paraId="4783F9A6" w14:textId="77777777" w:rsidR="000A4653" w:rsidRDefault="000A4653" w:rsidP="00747E5E">
      <w:pPr>
        <w:pStyle w:val="Heading1"/>
      </w:pPr>
      <w:r w:rsidRPr="00747E5E">
        <w:t>Appendix</w:t>
      </w:r>
      <w:r>
        <w:t xml:space="preserve"> C</w:t>
      </w:r>
    </w:p>
    <w:p w14:paraId="2D0D1E49" w14:textId="77777777" w:rsidR="000A4653" w:rsidRDefault="000A4653" w:rsidP="000A4653">
      <w:r>
        <w:t>Commonwealth Funded Entities not consolidated in the AFR:</w:t>
      </w:r>
    </w:p>
    <w:p w14:paraId="6B4FAD36" w14:textId="77777777" w:rsidR="000A4653" w:rsidRDefault="000A4653" w:rsidP="00747E5E">
      <w:pPr>
        <w:pStyle w:val="Bullet1"/>
      </w:pPr>
      <w:r>
        <w:t>All Victorian universities (partially funded).</w:t>
      </w:r>
    </w:p>
    <w:p w14:paraId="6AB4D086" w14:textId="4FE65681" w:rsidR="000A4653" w:rsidRDefault="000A4653" w:rsidP="00747E5E">
      <w:pPr>
        <w:pStyle w:val="Heading1"/>
      </w:pPr>
      <w:r>
        <w:t>Appendix D</w:t>
      </w:r>
    </w:p>
    <w:p w14:paraId="35B091B4" w14:textId="77777777" w:rsidR="000A4653" w:rsidRDefault="000A4653" w:rsidP="000A4653">
      <w:r>
        <w:t>Illustrative disclosure for DTF based on the requirements of paragraphs 4.4(a)-(g) of this FRD</w:t>
      </w:r>
    </w:p>
    <w:p w14:paraId="51D264E1" w14:textId="77777777" w:rsidR="000A4653" w:rsidRDefault="000A4653" w:rsidP="000A4653">
      <w:r>
        <w:t>DTF manages the State’s superannuation liability by:</w:t>
      </w:r>
    </w:p>
    <w:p w14:paraId="0F74F850" w14:textId="77777777" w:rsidR="000A4653" w:rsidRDefault="000A4653" w:rsidP="00747E5E">
      <w:pPr>
        <w:pStyle w:val="Bullet1"/>
      </w:pPr>
      <w:r>
        <w:t xml:space="preserve">conducting regular actuarial valuations of the State’s public sector superannuation schemes; </w:t>
      </w:r>
    </w:p>
    <w:p w14:paraId="1566D01C" w14:textId="77777777" w:rsidR="000A4653" w:rsidRDefault="000A4653" w:rsidP="00747E5E">
      <w:pPr>
        <w:pStyle w:val="Bullet1"/>
      </w:pPr>
      <w:r>
        <w:t xml:space="preserve">monitoring the performance of the associated superannuation assets, the majority of which are required to be invested with the Victorian Funds Management Corporation (VFMC); </w:t>
      </w:r>
    </w:p>
    <w:p w14:paraId="244A7ABF" w14:textId="77777777" w:rsidR="000A4653" w:rsidRDefault="000A4653" w:rsidP="00747E5E">
      <w:pPr>
        <w:pStyle w:val="Bullet1"/>
      </w:pPr>
      <w:r>
        <w:t>prudentially supervising VFMC; and</w:t>
      </w:r>
    </w:p>
    <w:p w14:paraId="5853AA2E" w14:textId="77777777" w:rsidR="000A4653" w:rsidRDefault="000A4653" w:rsidP="00747E5E">
      <w:pPr>
        <w:pStyle w:val="Bullet1"/>
      </w:pPr>
      <w:r>
        <w:t>providing advice to government on a wide range of superannuation issues.</w:t>
      </w:r>
    </w:p>
    <w:p w14:paraId="1CB49AC7" w14:textId="77777777" w:rsidR="000A4653" w:rsidRDefault="000A4653" w:rsidP="000A4653">
      <w:r>
        <w:t>The State’s superannuation liability with respect to superannuation funds operated principally for General Government Sector employees was $ XX million (20XX - $XX million). This liability represents the State’s share of the shortfall between the total net assets of the State’s General Government Sector superannuation funds at 30 June 20XX and the total benefits that members have accrued up to that date, determined by an actuarial assessment. The balance of the superannuation liability with respect to these funds is to be met by Commonwealth funded agencies (for example, universities) and self-funded entities. In accordance with the State Superannuation Act 1988, the Government, through the Consolidated Fund, is primarily responsible for meeting the employer’s share of the superannuation liability of the State Superannuation Fund components of the Emergency Services Superannuation Scheme. However, under the terms of that Act, the Minister for Finance can effectively pass this liability to individual authorities.</w:t>
      </w:r>
    </w:p>
    <w:p w14:paraId="57A285A1" w14:textId="77777777" w:rsidR="000A4653" w:rsidRDefault="000A4653" w:rsidP="000A4653">
      <w:r>
        <w:lastRenderedPageBreak/>
        <w:t>In addition, the accrued benefits arising from pension entitlements has incre</w:t>
      </w:r>
      <w:r w:rsidR="009D06F6">
        <w:t>ased by $XX million (20XX – $XX </w:t>
      </w:r>
      <w:r>
        <w:t>million). These entitlements are constitutionally protected schemes operated principally for judges. No assets are held in respect of these schemes and pensions are directly payable from the Consolidated Fund.</w:t>
      </w:r>
    </w:p>
    <w:p w14:paraId="10ED5A51" w14:textId="77777777" w:rsidR="000A4653" w:rsidRDefault="000A4653" w:rsidP="009D06F6">
      <w:pPr>
        <w:pStyle w:val="Tablechartdiagramheading"/>
      </w:pPr>
      <w:r w:rsidRPr="00F27B26">
        <w:t>Reconciliation of the present value of the defined benefit obligation</w:t>
      </w:r>
    </w:p>
    <w:tbl>
      <w:tblPr>
        <w:tblStyle w:val="DTFtexttable"/>
        <w:tblW w:w="9147" w:type="dxa"/>
        <w:tblLayout w:type="fixed"/>
        <w:tblLook w:val="0220" w:firstRow="1" w:lastRow="0" w:firstColumn="0" w:lastColumn="0" w:noHBand="1" w:noVBand="0"/>
      </w:tblPr>
      <w:tblGrid>
        <w:gridCol w:w="6447"/>
        <w:gridCol w:w="1350"/>
        <w:gridCol w:w="1350"/>
      </w:tblGrid>
      <w:tr w:rsidR="000A4653" w:rsidRPr="00747E5E" w14:paraId="0D88BBF3" w14:textId="77777777" w:rsidTr="0093467A">
        <w:trPr>
          <w:cnfStyle w:val="100000000000" w:firstRow="1" w:lastRow="0" w:firstColumn="0" w:lastColumn="0" w:oddVBand="0" w:evenVBand="0" w:oddHBand="0" w:evenHBand="0" w:firstRowFirstColumn="0" w:firstRowLastColumn="0" w:lastRowFirstColumn="0" w:lastRowLastColumn="0"/>
          <w:trHeight w:val="628"/>
        </w:trPr>
        <w:tc>
          <w:tcPr>
            <w:cnfStyle w:val="000010000000" w:firstRow="0" w:lastRow="0" w:firstColumn="0" w:lastColumn="0" w:oddVBand="1" w:evenVBand="0" w:oddHBand="0" w:evenHBand="0" w:firstRowFirstColumn="0" w:firstRowLastColumn="0" w:lastRowFirstColumn="0" w:lastRowLastColumn="0"/>
            <w:tcW w:w="6447" w:type="dxa"/>
          </w:tcPr>
          <w:p w14:paraId="7CAE8D52" w14:textId="77777777" w:rsidR="000A4653" w:rsidRPr="00747E5E" w:rsidRDefault="000A4653" w:rsidP="00747E5E">
            <w:pPr>
              <w:pStyle w:val="Tableheader"/>
              <w:jc w:val="right"/>
            </w:pPr>
          </w:p>
        </w:tc>
        <w:tc>
          <w:tcPr>
            <w:cnfStyle w:val="000001000000" w:firstRow="0" w:lastRow="0" w:firstColumn="0" w:lastColumn="0" w:oddVBand="0" w:evenVBand="1" w:oddHBand="0" w:evenHBand="0" w:firstRowFirstColumn="0" w:firstRowLastColumn="0" w:lastRowFirstColumn="0" w:lastRowLastColumn="0"/>
            <w:tcW w:w="1350" w:type="dxa"/>
          </w:tcPr>
          <w:p w14:paraId="4F706FF5" w14:textId="77777777" w:rsidR="000A4653" w:rsidRPr="00747E5E" w:rsidRDefault="000A4653" w:rsidP="00747E5E">
            <w:pPr>
              <w:pStyle w:val="Tableheader"/>
              <w:jc w:val="right"/>
            </w:pPr>
            <w:r w:rsidRPr="00747E5E">
              <w:t>20XX</w:t>
            </w:r>
            <w:r w:rsidR="00747E5E" w:rsidRPr="00747E5E">
              <w:br/>
            </w:r>
            <w:r w:rsidRPr="00747E5E">
              <w:t>$</w:t>
            </w:r>
            <w:r w:rsidR="0093467A">
              <w:t xml:space="preserve"> </w:t>
            </w:r>
            <w:r w:rsidRPr="00747E5E">
              <w:t>million</w:t>
            </w:r>
          </w:p>
        </w:tc>
        <w:tc>
          <w:tcPr>
            <w:cnfStyle w:val="000010000000" w:firstRow="0" w:lastRow="0" w:firstColumn="0" w:lastColumn="0" w:oddVBand="1" w:evenVBand="0" w:oddHBand="0" w:evenHBand="0" w:firstRowFirstColumn="0" w:firstRowLastColumn="0" w:lastRowFirstColumn="0" w:lastRowLastColumn="0"/>
            <w:tcW w:w="1350" w:type="dxa"/>
          </w:tcPr>
          <w:p w14:paraId="2783FCDF" w14:textId="77777777" w:rsidR="000A4653" w:rsidRPr="00747E5E" w:rsidRDefault="000A4653" w:rsidP="00747E5E">
            <w:pPr>
              <w:pStyle w:val="Tableheader"/>
              <w:jc w:val="right"/>
            </w:pPr>
            <w:r w:rsidRPr="00747E5E">
              <w:t>20XY</w:t>
            </w:r>
            <w:r w:rsidR="00747E5E" w:rsidRPr="00747E5E">
              <w:br/>
            </w:r>
            <w:r w:rsidRPr="00747E5E">
              <w:t>$</w:t>
            </w:r>
            <w:r w:rsidR="0093467A">
              <w:t xml:space="preserve"> </w:t>
            </w:r>
            <w:r w:rsidRPr="00747E5E">
              <w:t>million</w:t>
            </w:r>
          </w:p>
        </w:tc>
      </w:tr>
      <w:tr w:rsidR="000A4653" w:rsidRPr="00F27B26" w14:paraId="7803CEB9" w14:textId="77777777" w:rsidTr="0093467A">
        <w:tc>
          <w:tcPr>
            <w:cnfStyle w:val="000010000000" w:firstRow="0" w:lastRow="0" w:firstColumn="0" w:lastColumn="0" w:oddVBand="1" w:evenVBand="0" w:oddHBand="0" w:evenHBand="0" w:firstRowFirstColumn="0" w:firstRowLastColumn="0" w:lastRowFirstColumn="0" w:lastRowLastColumn="0"/>
            <w:tcW w:w="6447" w:type="dxa"/>
          </w:tcPr>
          <w:p w14:paraId="519F10F3" w14:textId="77777777" w:rsidR="000A4653" w:rsidRPr="00F27B26" w:rsidRDefault="000A4653" w:rsidP="006702F6">
            <w:pPr>
              <w:pStyle w:val="Tabletext"/>
              <w:rPr>
                <w:b/>
                <w:lang w:eastAsia="en-AU"/>
              </w:rPr>
            </w:pPr>
            <w:r w:rsidRPr="00F27B26">
              <w:rPr>
                <w:b/>
                <w:lang w:eastAsia="en-AU"/>
              </w:rPr>
              <w:t>Balance at the start of the period</w:t>
            </w:r>
          </w:p>
        </w:tc>
        <w:tc>
          <w:tcPr>
            <w:cnfStyle w:val="000001000000" w:firstRow="0" w:lastRow="0" w:firstColumn="0" w:lastColumn="0" w:oddVBand="0" w:evenVBand="1" w:oddHBand="0" w:evenHBand="0" w:firstRowFirstColumn="0" w:firstRowLastColumn="0" w:lastRowFirstColumn="0" w:lastRowLastColumn="0"/>
            <w:tcW w:w="1350" w:type="dxa"/>
          </w:tcPr>
          <w:p w14:paraId="5E5A128B" w14:textId="77777777" w:rsidR="000A4653" w:rsidRPr="00F27B26" w:rsidRDefault="000A4653" w:rsidP="006702F6">
            <w:pPr>
              <w:pStyle w:val="Tabletext"/>
              <w:rPr>
                <w:b/>
                <w:lang w:eastAsia="en-AU"/>
              </w:rPr>
            </w:pPr>
          </w:p>
        </w:tc>
        <w:tc>
          <w:tcPr>
            <w:cnfStyle w:val="000010000000" w:firstRow="0" w:lastRow="0" w:firstColumn="0" w:lastColumn="0" w:oddVBand="1" w:evenVBand="0" w:oddHBand="0" w:evenHBand="0" w:firstRowFirstColumn="0" w:firstRowLastColumn="0" w:lastRowFirstColumn="0" w:lastRowLastColumn="0"/>
            <w:tcW w:w="1350" w:type="dxa"/>
          </w:tcPr>
          <w:p w14:paraId="40863749" w14:textId="77777777" w:rsidR="000A4653" w:rsidRPr="00F27B26" w:rsidRDefault="000A4653" w:rsidP="006702F6">
            <w:pPr>
              <w:pStyle w:val="Tabletext"/>
              <w:rPr>
                <w:b/>
                <w:lang w:eastAsia="en-AU"/>
              </w:rPr>
            </w:pPr>
          </w:p>
        </w:tc>
      </w:tr>
      <w:tr w:rsidR="000A4653" w:rsidRPr="00F27B26" w14:paraId="442005D3" w14:textId="77777777" w:rsidTr="0093467A">
        <w:tc>
          <w:tcPr>
            <w:cnfStyle w:val="000010000000" w:firstRow="0" w:lastRow="0" w:firstColumn="0" w:lastColumn="0" w:oddVBand="1" w:evenVBand="0" w:oddHBand="0" w:evenHBand="0" w:firstRowFirstColumn="0" w:firstRowLastColumn="0" w:lastRowFirstColumn="0" w:lastRowLastColumn="0"/>
            <w:tcW w:w="6447" w:type="dxa"/>
          </w:tcPr>
          <w:p w14:paraId="451E7BEE" w14:textId="77777777" w:rsidR="000A4653" w:rsidRPr="00F27B26" w:rsidRDefault="000A4653" w:rsidP="006702F6">
            <w:pPr>
              <w:pStyle w:val="Tabletext"/>
              <w:rPr>
                <w:lang w:eastAsia="en-AU"/>
              </w:rPr>
            </w:pPr>
            <w:r w:rsidRPr="00F27B26">
              <w:rPr>
                <w:lang w:eastAsia="en-AU"/>
              </w:rPr>
              <w:t>Current service cost</w:t>
            </w:r>
          </w:p>
        </w:tc>
        <w:tc>
          <w:tcPr>
            <w:cnfStyle w:val="000001000000" w:firstRow="0" w:lastRow="0" w:firstColumn="0" w:lastColumn="0" w:oddVBand="0" w:evenVBand="1" w:oddHBand="0" w:evenHBand="0" w:firstRowFirstColumn="0" w:firstRowLastColumn="0" w:lastRowFirstColumn="0" w:lastRowLastColumn="0"/>
            <w:tcW w:w="1350" w:type="dxa"/>
          </w:tcPr>
          <w:p w14:paraId="3D852284" w14:textId="77777777" w:rsidR="000A4653" w:rsidRPr="00F27B26" w:rsidRDefault="000A4653" w:rsidP="006702F6">
            <w:pPr>
              <w:pStyle w:val="Tabletext"/>
              <w:rPr>
                <w:lang w:eastAsia="en-AU"/>
              </w:rPr>
            </w:pPr>
          </w:p>
        </w:tc>
        <w:tc>
          <w:tcPr>
            <w:cnfStyle w:val="000010000000" w:firstRow="0" w:lastRow="0" w:firstColumn="0" w:lastColumn="0" w:oddVBand="1" w:evenVBand="0" w:oddHBand="0" w:evenHBand="0" w:firstRowFirstColumn="0" w:firstRowLastColumn="0" w:lastRowFirstColumn="0" w:lastRowLastColumn="0"/>
            <w:tcW w:w="1350" w:type="dxa"/>
          </w:tcPr>
          <w:p w14:paraId="3789FF9D" w14:textId="77777777" w:rsidR="000A4653" w:rsidRPr="00F27B26" w:rsidRDefault="000A4653" w:rsidP="006702F6">
            <w:pPr>
              <w:pStyle w:val="Tabletext"/>
              <w:rPr>
                <w:lang w:eastAsia="en-AU"/>
              </w:rPr>
            </w:pPr>
          </w:p>
        </w:tc>
      </w:tr>
      <w:tr w:rsidR="000A4653" w:rsidRPr="00F27B26" w14:paraId="385C7851" w14:textId="77777777" w:rsidTr="0093467A">
        <w:tc>
          <w:tcPr>
            <w:cnfStyle w:val="000010000000" w:firstRow="0" w:lastRow="0" w:firstColumn="0" w:lastColumn="0" w:oddVBand="1" w:evenVBand="0" w:oddHBand="0" w:evenHBand="0" w:firstRowFirstColumn="0" w:firstRowLastColumn="0" w:lastRowFirstColumn="0" w:lastRowLastColumn="0"/>
            <w:tcW w:w="6447" w:type="dxa"/>
          </w:tcPr>
          <w:p w14:paraId="1B8C36B0" w14:textId="77777777" w:rsidR="000A4653" w:rsidRPr="00F27B26" w:rsidRDefault="000A4653" w:rsidP="006702F6">
            <w:pPr>
              <w:pStyle w:val="Tabletext"/>
              <w:rPr>
                <w:lang w:eastAsia="en-AU"/>
              </w:rPr>
            </w:pPr>
            <w:r w:rsidRPr="00F27B26">
              <w:rPr>
                <w:lang w:eastAsia="en-AU"/>
              </w:rPr>
              <w:t xml:space="preserve">Interest </w:t>
            </w:r>
            <w:r>
              <w:rPr>
                <w:lang w:eastAsia="en-AU"/>
              </w:rPr>
              <w:t>expense</w:t>
            </w:r>
          </w:p>
        </w:tc>
        <w:tc>
          <w:tcPr>
            <w:cnfStyle w:val="000001000000" w:firstRow="0" w:lastRow="0" w:firstColumn="0" w:lastColumn="0" w:oddVBand="0" w:evenVBand="1" w:oddHBand="0" w:evenHBand="0" w:firstRowFirstColumn="0" w:firstRowLastColumn="0" w:lastRowFirstColumn="0" w:lastRowLastColumn="0"/>
            <w:tcW w:w="1350" w:type="dxa"/>
          </w:tcPr>
          <w:p w14:paraId="6D1AB8E7" w14:textId="77777777" w:rsidR="000A4653" w:rsidRPr="00F27B26" w:rsidRDefault="000A4653" w:rsidP="006702F6">
            <w:pPr>
              <w:pStyle w:val="Tabletext"/>
              <w:rPr>
                <w:lang w:eastAsia="en-AU"/>
              </w:rPr>
            </w:pPr>
          </w:p>
        </w:tc>
        <w:tc>
          <w:tcPr>
            <w:cnfStyle w:val="000010000000" w:firstRow="0" w:lastRow="0" w:firstColumn="0" w:lastColumn="0" w:oddVBand="1" w:evenVBand="0" w:oddHBand="0" w:evenHBand="0" w:firstRowFirstColumn="0" w:firstRowLastColumn="0" w:lastRowFirstColumn="0" w:lastRowLastColumn="0"/>
            <w:tcW w:w="1350" w:type="dxa"/>
          </w:tcPr>
          <w:p w14:paraId="35347440" w14:textId="77777777" w:rsidR="000A4653" w:rsidRPr="00F27B26" w:rsidRDefault="000A4653" w:rsidP="006702F6">
            <w:pPr>
              <w:pStyle w:val="Tabletext"/>
              <w:rPr>
                <w:lang w:eastAsia="en-AU"/>
              </w:rPr>
            </w:pPr>
          </w:p>
        </w:tc>
      </w:tr>
      <w:tr w:rsidR="000A4653" w:rsidRPr="00F27B26" w14:paraId="490339C8" w14:textId="77777777" w:rsidTr="0093467A">
        <w:tc>
          <w:tcPr>
            <w:cnfStyle w:val="000010000000" w:firstRow="0" w:lastRow="0" w:firstColumn="0" w:lastColumn="0" w:oddVBand="1" w:evenVBand="0" w:oddHBand="0" w:evenHBand="0" w:firstRowFirstColumn="0" w:firstRowLastColumn="0" w:lastRowFirstColumn="0" w:lastRowLastColumn="0"/>
            <w:tcW w:w="6447" w:type="dxa"/>
          </w:tcPr>
          <w:p w14:paraId="4E8096B0" w14:textId="77777777" w:rsidR="000A4653" w:rsidRPr="00F27B26" w:rsidRDefault="000A4653" w:rsidP="006702F6">
            <w:pPr>
              <w:pStyle w:val="Tabletext"/>
              <w:rPr>
                <w:lang w:eastAsia="en-AU"/>
              </w:rPr>
            </w:pPr>
            <w:r w:rsidRPr="00F27B26">
              <w:rPr>
                <w:lang w:eastAsia="en-AU"/>
              </w:rPr>
              <w:t>Contributions by plan participants</w:t>
            </w:r>
          </w:p>
        </w:tc>
        <w:tc>
          <w:tcPr>
            <w:cnfStyle w:val="000001000000" w:firstRow="0" w:lastRow="0" w:firstColumn="0" w:lastColumn="0" w:oddVBand="0" w:evenVBand="1" w:oddHBand="0" w:evenHBand="0" w:firstRowFirstColumn="0" w:firstRowLastColumn="0" w:lastRowFirstColumn="0" w:lastRowLastColumn="0"/>
            <w:tcW w:w="1350" w:type="dxa"/>
          </w:tcPr>
          <w:p w14:paraId="3621C0EB" w14:textId="77777777" w:rsidR="000A4653" w:rsidRPr="00F27B26" w:rsidRDefault="000A4653" w:rsidP="006702F6">
            <w:pPr>
              <w:pStyle w:val="Tabletext"/>
              <w:rPr>
                <w:lang w:eastAsia="en-AU"/>
              </w:rPr>
            </w:pPr>
          </w:p>
        </w:tc>
        <w:tc>
          <w:tcPr>
            <w:cnfStyle w:val="000010000000" w:firstRow="0" w:lastRow="0" w:firstColumn="0" w:lastColumn="0" w:oddVBand="1" w:evenVBand="0" w:oddHBand="0" w:evenHBand="0" w:firstRowFirstColumn="0" w:firstRowLastColumn="0" w:lastRowFirstColumn="0" w:lastRowLastColumn="0"/>
            <w:tcW w:w="1350" w:type="dxa"/>
          </w:tcPr>
          <w:p w14:paraId="47F2CF30" w14:textId="77777777" w:rsidR="000A4653" w:rsidRPr="00F27B26" w:rsidRDefault="000A4653" w:rsidP="006702F6">
            <w:pPr>
              <w:pStyle w:val="Tabletext"/>
              <w:rPr>
                <w:lang w:eastAsia="en-AU"/>
              </w:rPr>
            </w:pPr>
          </w:p>
        </w:tc>
      </w:tr>
      <w:tr w:rsidR="000A4653" w:rsidRPr="00F27B26" w14:paraId="10B63D87" w14:textId="77777777" w:rsidTr="0093467A">
        <w:tc>
          <w:tcPr>
            <w:cnfStyle w:val="000010000000" w:firstRow="0" w:lastRow="0" w:firstColumn="0" w:lastColumn="0" w:oddVBand="1" w:evenVBand="0" w:oddHBand="0" w:evenHBand="0" w:firstRowFirstColumn="0" w:firstRowLastColumn="0" w:lastRowFirstColumn="0" w:lastRowLastColumn="0"/>
            <w:tcW w:w="6447" w:type="dxa"/>
          </w:tcPr>
          <w:p w14:paraId="1BCC833A" w14:textId="77777777" w:rsidR="000A4653" w:rsidRPr="00F27B26" w:rsidRDefault="000A4653" w:rsidP="006702F6">
            <w:pPr>
              <w:pStyle w:val="Tabletext"/>
              <w:rPr>
                <w:lang w:eastAsia="en-AU"/>
              </w:rPr>
            </w:pPr>
            <w:r w:rsidRPr="00F27B26">
              <w:rPr>
                <w:lang w:eastAsia="en-AU"/>
              </w:rPr>
              <w:t>Actuarial (gains)/losses</w:t>
            </w:r>
          </w:p>
        </w:tc>
        <w:tc>
          <w:tcPr>
            <w:cnfStyle w:val="000001000000" w:firstRow="0" w:lastRow="0" w:firstColumn="0" w:lastColumn="0" w:oddVBand="0" w:evenVBand="1" w:oddHBand="0" w:evenHBand="0" w:firstRowFirstColumn="0" w:firstRowLastColumn="0" w:lastRowFirstColumn="0" w:lastRowLastColumn="0"/>
            <w:tcW w:w="1350" w:type="dxa"/>
          </w:tcPr>
          <w:p w14:paraId="0FD30C2F" w14:textId="77777777" w:rsidR="000A4653" w:rsidRPr="00F27B26" w:rsidRDefault="000A4653" w:rsidP="006702F6">
            <w:pPr>
              <w:pStyle w:val="Tabletext"/>
              <w:rPr>
                <w:lang w:eastAsia="en-AU"/>
              </w:rPr>
            </w:pPr>
          </w:p>
        </w:tc>
        <w:tc>
          <w:tcPr>
            <w:cnfStyle w:val="000010000000" w:firstRow="0" w:lastRow="0" w:firstColumn="0" w:lastColumn="0" w:oddVBand="1" w:evenVBand="0" w:oddHBand="0" w:evenHBand="0" w:firstRowFirstColumn="0" w:firstRowLastColumn="0" w:lastRowFirstColumn="0" w:lastRowLastColumn="0"/>
            <w:tcW w:w="1350" w:type="dxa"/>
          </w:tcPr>
          <w:p w14:paraId="2E871ED2" w14:textId="77777777" w:rsidR="000A4653" w:rsidRPr="00F27B26" w:rsidRDefault="000A4653" w:rsidP="006702F6">
            <w:pPr>
              <w:pStyle w:val="Tabletext"/>
              <w:rPr>
                <w:lang w:eastAsia="en-AU"/>
              </w:rPr>
            </w:pPr>
          </w:p>
        </w:tc>
      </w:tr>
      <w:tr w:rsidR="000A4653" w:rsidRPr="00F27B26" w14:paraId="1F89FB36" w14:textId="77777777" w:rsidTr="0093467A">
        <w:tc>
          <w:tcPr>
            <w:cnfStyle w:val="000010000000" w:firstRow="0" w:lastRow="0" w:firstColumn="0" w:lastColumn="0" w:oddVBand="1" w:evenVBand="0" w:oddHBand="0" w:evenHBand="0" w:firstRowFirstColumn="0" w:firstRowLastColumn="0" w:lastRowFirstColumn="0" w:lastRowLastColumn="0"/>
            <w:tcW w:w="6447" w:type="dxa"/>
          </w:tcPr>
          <w:p w14:paraId="3A631259" w14:textId="77777777" w:rsidR="000A4653" w:rsidRPr="00F27B26" w:rsidRDefault="000A4653" w:rsidP="006702F6">
            <w:pPr>
              <w:pStyle w:val="Tabletext"/>
              <w:rPr>
                <w:lang w:eastAsia="en-AU"/>
              </w:rPr>
            </w:pPr>
            <w:r w:rsidRPr="00F27B26">
              <w:rPr>
                <w:lang w:eastAsia="en-AU"/>
              </w:rPr>
              <w:t>Benefits paid</w:t>
            </w:r>
          </w:p>
        </w:tc>
        <w:tc>
          <w:tcPr>
            <w:cnfStyle w:val="000001000000" w:firstRow="0" w:lastRow="0" w:firstColumn="0" w:lastColumn="0" w:oddVBand="0" w:evenVBand="1" w:oddHBand="0" w:evenHBand="0" w:firstRowFirstColumn="0" w:firstRowLastColumn="0" w:lastRowFirstColumn="0" w:lastRowLastColumn="0"/>
            <w:tcW w:w="1350" w:type="dxa"/>
          </w:tcPr>
          <w:p w14:paraId="05C3C3EA" w14:textId="77777777" w:rsidR="000A4653" w:rsidRPr="00F27B26" w:rsidRDefault="000A4653" w:rsidP="006702F6">
            <w:pPr>
              <w:pStyle w:val="Tabletext"/>
              <w:rPr>
                <w:lang w:eastAsia="en-AU"/>
              </w:rPr>
            </w:pPr>
          </w:p>
        </w:tc>
        <w:tc>
          <w:tcPr>
            <w:cnfStyle w:val="000010000000" w:firstRow="0" w:lastRow="0" w:firstColumn="0" w:lastColumn="0" w:oddVBand="1" w:evenVBand="0" w:oddHBand="0" w:evenHBand="0" w:firstRowFirstColumn="0" w:firstRowLastColumn="0" w:lastRowFirstColumn="0" w:lastRowLastColumn="0"/>
            <w:tcW w:w="1350" w:type="dxa"/>
          </w:tcPr>
          <w:p w14:paraId="423FAAD8" w14:textId="77777777" w:rsidR="000A4653" w:rsidRPr="00F27B26" w:rsidRDefault="000A4653" w:rsidP="006702F6">
            <w:pPr>
              <w:pStyle w:val="Tabletext"/>
              <w:rPr>
                <w:lang w:eastAsia="en-AU"/>
              </w:rPr>
            </w:pPr>
          </w:p>
        </w:tc>
      </w:tr>
      <w:tr w:rsidR="000A4653" w:rsidRPr="00F27B26" w14:paraId="0C998AA0" w14:textId="77777777" w:rsidTr="0093467A">
        <w:tc>
          <w:tcPr>
            <w:cnfStyle w:val="000010000000" w:firstRow="0" w:lastRow="0" w:firstColumn="0" w:lastColumn="0" w:oddVBand="1" w:evenVBand="0" w:oddHBand="0" w:evenHBand="0" w:firstRowFirstColumn="0" w:firstRowLastColumn="0" w:lastRowFirstColumn="0" w:lastRowLastColumn="0"/>
            <w:tcW w:w="6447" w:type="dxa"/>
          </w:tcPr>
          <w:p w14:paraId="0B76F8D3" w14:textId="77777777" w:rsidR="000A4653" w:rsidRPr="00F27B26" w:rsidRDefault="000A4653" w:rsidP="006702F6">
            <w:pPr>
              <w:pStyle w:val="Tabletext"/>
              <w:rPr>
                <w:b/>
                <w:lang w:eastAsia="en-AU"/>
              </w:rPr>
            </w:pPr>
            <w:r w:rsidRPr="00F27B26">
              <w:rPr>
                <w:lang w:eastAsia="en-AU"/>
              </w:rPr>
              <w:t>Balance at the end of the period</w:t>
            </w:r>
          </w:p>
        </w:tc>
        <w:tc>
          <w:tcPr>
            <w:cnfStyle w:val="000001000000" w:firstRow="0" w:lastRow="0" w:firstColumn="0" w:lastColumn="0" w:oddVBand="0" w:evenVBand="1" w:oddHBand="0" w:evenHBand="0" w:firstRowFirstColumn="0" w:firstRowLastColumn="0" w:lastRowFirstColumn="0" w:lastRowLastColumn="0"/>
            <w:tcW w:w="1350" w:type="dxa"/>
          </w:tcPr>
          <w:p w14:paraId="6E345E96" w14:textId="77777777" w:rsidR="000A4653" w:rsidRPr="00F27B26" w:rsidRDefault="000A4653" w:rsidP="006702F6">
            <w:pPr>
              <w:pStyle w:val="Tabletext"/>
              <w:rPr>
                <w:b/>
                <w:lang w:eastAsia="en-AU"/>
              </w:rPr>
            </w:pPr>
          </w:p>
        </w:tc>
        <w:tc>
          <w:tcPr>
            <w:cnfStyle w:val="000010000000" w:firstRow="0" w:lastRow="0" w:firstColumn="0" w:lastColumn="0" w:oddVBand="1" w:evenVBand="0" w:oddHBand="0" w:evenHBand="0" w:firstRowFirstColumn="0" w:firstRowLastColumn="0" w:lastRowFirstColumn="0" w:lastRowLastColumn="0"/>
            <w:tcW w:w="1350" w:type="dxa"/>
          </w:tcPr>
          <w:p w14:paraId="6A1D9993" w14:textId="77777777" w:rsidR="000A4653" w:rsidRPr="00F27B26" w:rsidRDefault="000A4653" w:rsidP="006702F6">
            <w:pPr>
              <w:pStyle w:val="Tabletext"/>
              <w:rPr>
                <w:b/>
                <w:lang w:eastAsia="en-AU"/>
              </w:rPr>
            </w:pPr>
          </w:p>
        </w:tc>
      </w:tr>
    </w:tbl>
    <w:p w14:paraId="7967D704" w14:textId="77777777" w:rsidR="000A4653" w:rsidRDefault="000A4653" w:rsidP="000A4653"/>
    <w:p w14:paraId="1FB0ABD1" w14:textId="77777777" w:rsidR="000A4653" w:rsidRDefault="000A4653" w:rsidP="009D06F6">
      <w:pPr>
        <w:pStyle w:val="Tablechartdiagramheading"/>
      </w:pPr>
      <w:r w:rsidRPr="00F27B26">
        <w:t>Reconciliation of fair value of superannuation plan assets</w:t>
      </w:r>
    </w:p>
    <w:tbl>
      <w:tblPr>
        <w:tblStyle w:val="DTFtexttable"/>
        <w:tblW w:w="9147" w:type="dxa"/>
        <w:tblLayout w:type="fixed"/>
        <w:tblLook w:val="0620" w:firstRow="1" w:lastRow="0" w:firstColumn="0" w:lastColumn="0" w:noHBand="1" w:noVBand="1"/>
      </w:tblPr>
      <w:tblGrid>
        <w:gridCol w:w="6447"/>
        <w:gridCol w:w="1350"/>
        <w:gridCol w:w="1350"/>
      </w:tblGrid>
      <w:tr w:rsidR="000A4653" w:rsidRPr="00F27B26" w14:paraId="36706E84" w14:textId="77777777" w:rsidTr="0093467A">
        <w:trPr>
          <w:cnfStyle w:val="100000000000" w:firstRow="1" w:lastRow="0" w:firstColumn="0" w:lastColumn="0" w:oddVBand="0" w:evenVBand="0" w:oddHBand="0" w:evenHBand="0" w:firstRowFirstColumn="0" w:firstRowLastColumn="0" w:lastRowFirstColumn="0" w:lastRowLastColumn="0"/>
        </w:trPr>
        <w:tc>
          <w:tcPr>
            <w:tcW w:w="6447" w:type="dxa"/>
          </w:tcPr>
          <w:p w14:paraId="57BC320A" w14:textId="77777777" w:rsidR="000A4653" w:rsidRPr="00F27B26" w:rsidRDefault="000A4653" w:rsidP="0093467A">
            <w:pPr>
              <w:pStyle w:val="Tableheader"/>
            </w:pPr>
          </w:p>
        </w:tc>
        <w:tc>
          <w:tcPr>
            <w:tcW w:w="1350" w:type="dxa"/>
          </w:tcPr>
          <w:p w14:paraId="69D87D8D" w14:textId="77777777" w:rsidR="000A4653" w:rsidRPr="00F27B26" w:rsidRDefault="000A4653" w:rsidP="0093467A">
            <w:pPr>
              <w:pStyle w:val="Tableheader"/>
              <w:jc w:val="right"/>
            </w:pPr>
            <w:r w:rsidRPr="00F27B26">
              <w:t>20XX</w:t>
            </w:r>
            <w:r w:rsidR="0093467A">
              <w:br/>
            </w:r>
            <w:r w:rsidRPr="00F27B26">
              <w:t>$</w:t>
            </w:r>
            <w:r w:rsidR="0093467A">
              <w:t xml:space="preserve"> </w:t>
            </w:r>
            <w:r w:rsidRPr="00F27B26">
              <w:t>million</w:t>
            </w:r>
          </w:p>
        </w:tc>
        <w:tc>
          <w:tcPr>
            <w:tcW w:w="1350" w:type="dxa"/>
          </w:tcPr>
          <w:p w14:paraId="315574D9" w14:textId="77777777" w:rsidR="000A4653" w:rsidRPr="00F27B26" w:rsidRDefault="000A4653" w:rsidP="0093467A">
            <w:pPr>
              <w:pStyle w:val="Tableheader"/>
              <w:jc w:val="right"/>
            </w:pPr>
            <w:r w:rsidRPr="00F27B26">
              <w:t>20XY</w:t>
            </w:r>
            <w:r w:rsidR="0093467A">
              <w:br/>
            </w:r>
            <w:r w:rsidRPr="00F27B26">
              <w:t>$</w:t>
            </w:r>
            <w:r w:rsidR="0093467A">
              <w:t xml:space="preserve"> </w:t>
            </w:r>
            <w:r w:rsidRPr="00F27B26">
              <w:t>million</w:t>
            </w:r>
          </w:p>
        </w:tc>
      </w:tr>
      <w:tr w:rsidR="000A4653" w:rsidRPr="00F27B26" w14:paraId="2B3FE2DD" w14:textId="77777777" w:rsidTr="0093467A">
        <w:tc>
          <w:tcPr>
            <w:tcW w:w="6447" w:type="dxa"/>
          </w:tcPr>
          <w:p w14:paraId="124C94F3" w14:textId="77777777" w:rsidR="000A4653" w:rsidRPr="00F27B26" w:rsidRDefault="000A4653" w:rsidP="006702F6">
            <w:pPr>
              <w:pStyle w:val="Tabletext"/>
              <w:rPr>
                <w:b/>
                <w:lang w:eastAsia="en-AU"/>
              </w:rPr>
            </w:pPr>
            <w:r w:rsidRPr="00F27B26">
              <w:rPr>
                <w:b/>
                <w:lang w:eastAsia="en-AU"/>
              </w:rPr>
              <w:t>Balance at the start of the period</w:t>
            </w:r>
          </w:p>
        </w:tc>
        <w:tc>
          <w:tcPr>
            <w:tcW w:w="1350" w:type="dxa"/>
          </w:tcPr>
          <w:p w14:paraId="1EFADD56" w14:textId="77777777" w:rsidR="000A4653" w:rsidRPr="00F27B26" w:rsidRDefault="000A4653" w:rsidP="0093467A">
            <w:pPr>
              <w:pStyle w:val="Tabletext"/>
              <w:jc w:val="right"/>
              <w:rPr>
                <w:b/>
                <w:lang w:eastAsia="en-AU"/>
              </w:rPr>
            </w:pPr>
          </w:p>
        </w:tc>
        <w:tc>
          <w:tcPr>
            <w:tcW w:w="1350" w:type="dxa"/>
          </w:tcPr>
          <w:p w14:paraId="1909E26B" w14:textId="77777777" w:rsidR="000A4653" w:rsidRPr="00F27B26" w:rsidRDefault="000A4653" w:rsidP="0093467A">
            <w:pPr>
              <w:pStyle w:val="Tabletext"/>
              <w:jc w:val="right"/>
              <w:rPr>
                <w:b/>
                <w:lang w:eastAsia="en-AU"/>
              </w:rPr>
            </w:pPr>
          </w:p>
        </w:tc>
      </w:tr>
      <w:tr w:rsidR="000A4653" w:rsidRPr="00F27B26" w14:paraId="413C9AFB" w14:textId="77777777" w:rsidTr="0093467A">
        <w:tc>
          <w:tcPr>
            <w:tcW w:w="6447" w:type="dxa"/>
          </w:tcPr>
          <w:p w14:paraId="4CEEF068" w14:textId="77777777" w:rsidR="000A4653" w:rsidRPr="00F27B26" w:rsidRDefault="000A4653" w:rsidP="006702F6">
            <w:pPr>
              <w:pStyle w:val="Tabletext"/>
              <w:rPr>
                <w:lang w:eastAsia="en-AU"/>
              </w:rPr>
            </w:pPr>
            <w:r>
              <w:rPr>
                <w:lang w:eastAsia="en-AU"/>
              </w:rPr>
              <w:t>R</w:t>
            </w:r>
            <w:r w:rsidRPr="00F27B26">
              <w:rPr>
                <w:lang w:eastAsia="en-AU"/>
              </w:rPr>
              <w:t>eturn on plan assets</w:t>
            </w:r>
          </w:p>
        </w:tc>
        <w:tc>
          <w:tcPr>
            <w:tcW w:w="1350" w:type="dxa"/>
          </w:tcPr>
          <w:p w14:paraId="0589A17F" w14:textId="77777777" w:rsidR="000A4653" w:rsidRPr="00F27B26" w:rsidRDefault="000A4653" w:rsidP="0093467A">
            <w:pPr>
              <w:pStyle w:val="Tabletext"/>
              <w:jc w:val="right"/>
              <w:rPr>
                <w:lang w:eastAsia="en-AU"/>
              </w:rPr>
            </w:pPr>
          </w:p>
        </w:tc>
        <w:tc>
          <w:tcPr>
            <w:tcW w:w="1350" w:type="dxa"/>
          </w:tcPr>
          <w:p w14:paraId="0C054534" w14:textId="77777777" w:rsidR="000A4653" w:rsidRPr="00F27B26" w:rsidRDefault="000A4653" w:rsidP="0093467A">
            <w:pPr>
              <w:pStyle w:val="Tabletext"/>
              <w:jc w:val="right"/>
              <w:rPr>
                <w:lang w:eastAsia="en-AU"/>
              </w:rPr>
            </w:pPr>
          </w:p>
        </w:tc>
      </w:tr>
      <w:tr w:rsidR="000A4653" w:rsidRPr="00F27B26" w14:paraId="2E9692A3" w14:textId="77777777" w:rsidTr="0093467A">
        <w:tc>
          <w:tcPr>
            <w:tcW w:w="6447" w:type="dxa"/>
          </w:tcPr>
          <w:p w14:paraId="4D1266C6" w14:textId="77777777" w:rsidR="000A4653" w:rsidRPr="00F27B26" w:rsidRDefault="000A4653" w:rsidP="006702F6">
            <w:pPr>
              <w:pStyle w:val="Tabletext"/>
              <w:rPr>
                <w:lang w:eastAsia="en-AU"/>
              </w:rPr>
            </w:pPr>
            <w:r w:rsidRPr="00F27B26">
              <w:rPr>
                <w:lang w:eastAsia="en-AU"/>
              </w:rPr>
              <w:t>Actuarial gains/(losses)</w:t>
            </w:r>
          </w:p>
        </w:tc>
        <w:tc>
          <w:tcPr>
            <w:tcW w:w="1350" w:type="dxa"/>
          </w:tcPr>
          <w:p w14:paraId="55FDA0BB" w14:textId="77777777" w:rsidR="000A4653" w:rsidRPr="00F27B26" w:rsidRDefault="000A4653" w:rsidP="0093467A">
            <w:pPr>
              <w:pStyle w:val="Tabletext"/>
              <w:jc w:val="right"/>
              <w:rPr>
                <w:lang w:eastAsia="en-AU"/>
              </w:rPr>
            </w:pPr>
          </w:p>
        </w:tc>
        <w:tc>
          <w:tcPr>
            <w:tcW w:w="1350" w:type="dxa"/>
          </w:tcPr>
          <w:p w14:paraId="7E0C07DD" w14:textId="77777777" w:rsidR="000A4653" w:rsidRPr="00F27B26" w:rsidRDefault="000A4653" w:rsidP="0093467A">
            <w:pPr>
              <w:pStyle w:val="Tabletext"/>
              <w:jc w:val="right"/>
              <w:rPr>
                <w:lang w:eastAsia="en-AU"/>
              </w:rPr>
            </w:pPr>
          </w:p>
        </w:tc>
      </w:tr>
      <w:tr w:rsidR="000A4653" w:rsidRPr="00F27B26" w14:paraId="0E9E019D" w14:textId="77777777" w:rsidTr="0093467A">
        <w:tc>
          <w:tcPr>
            <w:tcW w:w="6447" w:type="dxa"/>
          </w:tcPr>
          <w:p w14:paraId="618439AD" w14:textId="77777777" w:rsidR="000A4653" w:rsidRPr="00F27B26" w:rsidRDefault="000A4653" w:rsidP="006702F6">
            <w:pPr>
              <w:pStyle w:val="Tabletext"/>
              <w:rPr>
                <w:lang w:eastAsia="en-AU"/>
              </w:rPr>
            </w:pPr>
            <w:r w:rsidRPr="00F27B26">
              <w:rPr>
                <w:lang w:eastAsia="en-AU"/>
              </w:rPr>
              <w:t>Employer contributions</w:t>
            </w:r>
          </w:p>
        </w:tc>
        <w:tc>
          <w:tcPr>
            <w:tcW w:w="1350" w:type="dxa"/>
          </w:tcPr>
          <w:p w14:paraId="28A5801C" w14:textId="77777777" w:rsidR="000A4653" w:rsidRPr="00F27B26" w:rsidRDefault="000A4653" w:rsidP="0093467A">
            <w:pPr>
              <w:pStyle w:val="Tabletext"/>
              <w:jc w:val="right"/>
              <w:rPr>
                <w:lang w:eastAsia="en-AU"/>
              </w:rPr>
            </w:pPr>
          </w:p>
        </w:tc>
        <w:tc>
          <w:tcPr>
            <w:tcW w:w="1350" w:type="dxa"/>
          </w:tcPr>
          <w:p w14:paraId="703078FA" w14:textId="77777777" w:rsidR="000A4653" w:rsidRPr="00F27B26" w:rsidRDefault="000A4653" w:rsidP="0093467A">
            <w:pPr>
              <w:pStyle w:val="Tabletext"/>
              <w:jc w:val="right"/>
              <w:rPr>
                <w:lang w:eastAsia="en-AU"/>
              </w:rPr>
            </w:pPr>
          </w:p>
        </w:tc>
      </w:tr>
      <w:tr w:rsidR="000A4653" w:rsidRPr="00F27B26" w14:paraId="78B3658B" w14:textId="77777777" w:rsidTr="0093467A">
        <w:tc>
          <w:tcPr>
            <w:tcW w:w="6447" w:type="dxa"/>
          </w:tcPr>
          <w:p w14:paraId="5EB0A200" w14:textId="77777777" w:rsidR="000A4653" w:rsidRPr="00F27B26" w:rsidRDefault="000A4653" w:rsidP="006702F6">
            <w:pPr>
              <w:pStyle w:val="Tabletext"/>
              <w:rPr>
                <w:lang w:eastAsia="en-AU"/>
              </w:rPr>
            </w:pPr>
            <w:r w:rsidRPr="00F27B26">
              <w:rPr>
                <w:lang w:eastAsia="en-AU"/>
              </w:rPr>
              <w:t>Contributions by plan participants</w:t>
            </w:r>
          </w:p>
        </w:tc>
        <w:tc>
          <w:tcPr>
            <w:tcW w:w="1350" w:type="dxa"/>
          </w:tcPr>
          <w:p w14:paraId="3943BC28" w14:textId="77777777" w:rsidR="000A4653" w:rsidRPr="00F27B26" w:rsidRDefault="000A4653" w:rsidP="0093467A">
            <w:pPr>
              <w:pStyle w:val="Tabletext"/>
              <w:jc w:val="right"/>
              <w:rPr>
                <w:lang w:eastAsia="en-AU"/>
              </w:rPr>
            </w:pPr>
          </w:p>
        </w:tc>
        <w:tc>
          <w:tcPr>
            <w:tcW w:w="1350" w:type="dxa"/>
          </w:tcPr>
          <w:p w14:paraId="7696226B" w14:textId="77777777" w:rsidR="000A4653" w:rsidRPr="00F27B26" w:rsidRDefault="000A4653" w:rsidP="0093467A">
            <w:pPr>
              <w:pStyle w:val="Tabletext"/>
              <w:jc w:val="right"/>
              <w:rPr>
                <w:lang w:eastAsia="en-AU"/>
              </w:rPr>
            </w:pPr>
          </w:p>
        </w:tc>
      </w:tr>
      <w:tr w:rsidR="000A4653" w:rsidRPr="00F27B26" w14:paraId="54870347" w14:textId="77777777" w:rsidTr="0093467A">
        <w:tc>
          <w:tcPr>
            <w:tcW w:w="6447" w:type="dxa"/>
          </w:tcPr>
          <w:p w14:paraId="154B7D4F" w14:textId="77777777" w:rsidR="000A4653" w:rsidRPr="00F27B26" w:rsidRDefault="000A4653" w:rsidP="006702F6">
            <w:pPr>
              <w:pStyle w:val="Tabletext"/>
              <w:rPr>
                <w:lang w:eastAsia="en-AU"/>
              </w:rPr>
            </w:pPr>
            <w:r w:rsidRPr="00F27B26">
              <w:rPr>
                <w:lang w:eastAsia="en-AU"/>
              </w:rPr>
              <w:t>Benefits paid (including tax paid)</w:t>
            </w:r>
          </w:p>
        </w:tc>
        <w:tc>
          <w:tcPr>
            <w:tcW w:w="1350" w:type="dxa"/>
          </w:tcPr>
          <w:p w14:paraId="0C130443" w14:textId="77777777" w:rsidR="000A4653" w:rsidRPr="00F27B26" w:rsidRDefault="000A4653" w:rsidP="0093467A">
            <w:pPr>
              <w:pStyle w:val="Tabletext"/>
              <w:jc w:val="right"/>
              <w:rPr>
                <w:lang w:eastAsia="en-AU"/>
              </w:rPr>
            </w:pPr>
          </w:p>
        </w:tc>
        <w:tc>
          <w:tcPr>
            <w:tcW w:w="1350" w:type="dxa"/>
          </w:tcPr>
          <w:p w14:paraId="50973988" w14:textId="77777777" w:rsidR="000A4653" w:rsidRPr="00F27B26" w:rsidRDefault="000A4653" w:rsidP="0093467A">
            <w:pPr>
              <w:pStyle w:val="Tabletext"/>
              <w:jc w:val="right"/>
              <w:rPr>
                <w:lang w:eastAsia="en-AU"/>
              </w:rPr>
            </w:pPr>
          </w:p>
        </w:tc>
      </w:tr>
      <w:tr w:rsidR="000A4653" w:rsidRPr="00F27B26" w14:paraId="101D7ADC" w14:textId="77777777" w:rsidTr="0093467A">
        <w:tc>
          <w:tcPr>
            <w:tcW w:w="6447" w:type="dxa"/>
          </w:tcPr>
          <w:p w14:paraId="5A9591B5" w14:textId="77777777" w:rsidR="000A4653" w:rsidRPr="00F27B26" w:rsidRDefault="000A4653" w:rsidP="006702F6">
            <w:pPr>
              <w:pStyle w:val="Tabletext"/>
              <w:rPr>
                <w:b/>
                <w:lang w:eastAsia="en-AU"/>
              </w:rPr>
            </w:pPr>
            <w:r w:rsidRPr="00F27B26">
              <w:rPr>
                <w:lang w:eastAsia="en-AU"/>
              </w:rPr>
              <w:t>Balance at the end of the period</w:t>
            </w:r>
          </w:p>
        </w:tc>
        <w:tc>
          <w:tcPr>
            <w:tcW w:w="1350" w:type="dxa"/>
          </w:tcPr>
          <w:p w14:paraId="3703C191" w14:textId="77777777" w:rsidR="000A4653" w:rsidRPr="00F27B26" w:rsidRDefault="000A4653" w:rsidP="0093467A">
            <w:pPr>
              <w:pStyle w:val="Tabletext"/>
              <w:jc w:val="right"/>
              <w:rPr>
                <w:b/>
                <w:lang w:eastAsia="en-AU"/>
              </w:rPr>
            </w:pPr>
          </w:p>
        </w:tc>
        <w:tc>
          <w:tcPr>
            <w:tcW w:w="1350" w:type="dxa"/>
          </w:tcPr>
          <w:p w14:paraId="2625B856" w14:textId="77777777" w:rsidR="000A4653" w:rsidRPr="00F27B26" w:rsidRDefault="000A4653" w:rsidP="0093467A">
            <w:pPr>
              <w:pStyle w:val="Tabletext"/>
              <w:jc w:val="right"/>
              <w:rPr>
                <w:b/>
                <w:lang w:eastAsia="en-AU"/>
              </w:rPr>
            </w:pPr>
          </w:p>
        </w:tc>
      </w:tr>
    </w:tbl>
    <w:p w14:paraId="55FF0590" w14:textId="77777777" w:rsidR="000A4653" w:rsidRDefault="000A4653" w:rsidP="000A4653"/>
    <w:p w14:paraId="338555A2" w14:textId="77777777" w:rsidR="000A4653" w:rsidRDefault="000A4653" w:rsidP="009D06F6">
      <w:pPr>
        <w:pStyle w:val="Tablechartdiagramheading"/>
      </w:pPr>
      <w:r w:rsidRPr="00F27B26">
        <w:t>Reconciliation of assets and liabilities disclosed in the Administered Statement of Assets and Liabilities</w:t>
      </w:r>
    </w:p>
    <w:tbl>
      <w:tblPr>
        <w:tblStyle w:val="DTFtexttable"/>
        <w:tblW w:w="9147" w:type="dxa"/>
        <w:tblLayout w:type="fixed"/>
        <w:tblLook w:val="0620" w:firstRow="1" w:lastRow="0" w:firstColumn="0" w:lastColumn="0" w:noHBand="1" w:noVBand="1"/>
      </w:tblPr>
      <w:tblGrid>
        <w:gridCol w:w="6447"/>
        <w:gridCol w:w="1350"/>
        <w:gridCol w:w="1350"/>
      </w:tblGrid>
      <w:tr w:rsidR="000A4653" w:rsidRPr="00F27B26" w14:paraId="3161F13D" w14:textId="77777777" w:rsidTr="0093467A">
        <w:trPr>
          <w:cnfStyle w:val="100000000000" w:firstRow="1" w:lastRow="0" w:firstColumn="0" w:lastColumn="0" w:oddVBand="0" w:evenVBand="0" w:oddHBand="0" w:evenHBand="0" w:firstRowFirstColumn="0" w:firstRowLastColumn="0" w:lastRowFirstColumn="0" w:lastRowLastColumn="0"/>
        </w:trPr>
        <w:tc>
          <w:tcPr>
            <w:tcW w:w="6447" w:type="dxa"/>
          </w:tcPr>
          <w:p w14:paraId="1D32E60B" w14:textId="77777777" w:rsidR="000A4653" w:rsidRPr="00F27B26" w:rsidRDefault="000A4653" w:rsidP="0093467A">
            <w:pPr>
              <w:pStyle w:val="Tableheader"/>
            </w:pPr>
          </w:p>
        </w:tc>
        <w:tc>
          <w:tcPr>
            <w:tcW w:w="1350" w:type="dxa"/>
          </w:tcPr>
          <w:p w14:paraId="44B004B2" w14:textId="77777777" w:rsidR="000A4653" w:rsidRPr="00F27B26" w:rsidRDefault="000A4653" w:rsidP="0093467A">
            <w:pPr>
              <w:pStyle w:val="Tableheader"/>
              <w:jc w:val="right"/>
            </w:pPr>
            <w:r w:rsidRPr="00F27B26">
              <w:t>20XX</w:t>
            </w:r>
            <w:r w:rsidR="0093467A">
              <w:br/>
            </w:r>
            <w:r w:rsidRPr="00F27B26">
              <w:t>$</w:t>
            </w:r>
            <w:r w:rsidR="0093467A">
              <w:t xml:space="preserve"> </w:t>
            </w:r>
            <w:r w:rsidRPr="00F27B26">
              <w:t>million</w:t>
            </w:r>
          </w:p>
        </w:tc>
        <w:tc>
          <w:tcPr>
            <w:tcW w:w="1350" w:type="dxa"/>
          </w:tcPr>
          <w:p w14:paraId="2FB0EC31" w14:textId="77777777" w:rsidR="000A4653" w:rsidRPr="00F27B26" w:rsidRDefault="000A4653" w:rsidP="0093467A">
            <w:pPr>
              <w:pStyle w:val="Tableheader"/>
              <w:jc w:val="right"/>
            </w:pPr>
            <w:r w:rsidRPr="00F27B26">
              <w:t>20XY</w:t>
            </w:r>
            <w:r w:rsidR="0093467A">
              <w:br/>
            </w:r>
            <w:r w:rsidRPr="00F27B26">
              <w:t>$</w:t>
            </w:r>
            <w:r w:rsidR="0093467A">
              <w:t xml:space="preserve"> </w:t>
            </w:r>
            <w:r w:rsidRPr="00F27B26">
              <w:t>million</w:t>
            </w:r>
          </w:p>
        </w:tc>
      </w:tr>
      <w:tr w:rsidR="000A4653" w:rsidRPr="00F27B26" w14:paraId="7C8CAF4C" w14:textId="77777777" w:rsidTr="0093467A">
        <w:tc>
          <w:tcPr>
            <w:tcW w:w="6447" w:type="dxa"/>
          </w:tcPr>
          <w:p w14:paraId="1570780C" w14:textId="77777777" w:rsidR="000A4653" w:rsidRPr="00F27B26" w:rsidRDefault="000A4653" w:rsidP="006702F6">
            <w:pPr>
              <w:pStyle w:val="Tabletext"/>
              <w:rPr>
                <w:lang w:eastAsia="en-AU"/>
              </w:rPr>
            </w:pPr>
            <w:r w:rsidRPr="00F27B26">
              <w:rPr>
                <w:lang w:eastAsia="en-AU"/>
              </w:rPr>
              <w:t>State Superannuation Fund/Emergency Services Superannuation Scheme</w:t>
            </w:r>
          </w:p>
        </w:tc>
        <w:tc>
          <w:tcPr>
            <w:tcW w:w="1350" w:type="dxa"/>
          </w:tcPr>
          <w:p w14:paraId="16BA1165" w14:textId="77777777" w:rsidR="000A4653" w:rsidRPr="00F27B26" w:rsidRDefault="000A4653" w:rsidP="0093467A">
            <w:pPr>
              <w:pStyle w:val="Tabletext"/>
              <w:jc w:val="right"/>
              <w:rPr>
                <w:lang w:eastAsia="en-AU"/>
              </w:rPr>
            </w:pPr>
          </w:p>
        </w:tc>
        <w:tc>
          <w:tcPr>
            <w:tcW w:w="1350" w:type="dxa"/>
          </w:tcPr>
          <w:p w14:paraId="7B3A0988" w14:textId="77777777" w:rsidR="000A4653" w:rsidRPr="00F27B26" w:rsidRDefault="000A4653" w:rsidP="0093467A">
            <w:pPr>
              <w:pStyle w:val="Tabletext"/>
              <w:jc w:val="right"/>
              <w:rPr>
                <w:lang w:eastAsia="en-AU"/>
              </w:rPr>
            </w:pPr>
          </w:p>
        </w:tc>
      </w:tr>
      <w:tr w:rsidR="000A4653" w:rsidRPr="00F27B26" w14:paraId="1A2568F5" w14:textId="77777777" w:rsidTr="0093467A">
        <w:tc>
          <w:tcPr>
            <w:tcW w:w="6447" w:type="dxa"/>
          </w:tcPr>
          <w:p w14:paraId="3C2DF16B" w14:textId="77777777" w:rsidR="000A4653" w:rsidRPr="00F27B26" w:rsidRDefault="000A4653" w:rsidP="006702F6">
            <w:pPr>
              <w:pStyle w:val="Tabletext"/>
              <w:rPr>
                <w:lang w:eastAsia="en-AU"/>
              </w:rPr>
            </w:pPr>
            <w:r w:rsidRPr="00F27B26">
              <w:rPr>
                <w:lang w:eastAsia="en-AU"/>
              </w:rPr>
              <w:t>Other funds</w:t>
            </w:r>
          </w:p>
        </w:tc>
        <w:tc>
          <w:tcPr>
            <w:tcW w:w="1350" w:type="dxa"/>
          </w:tcPr>
          <w:p w14:paraId="4993649F" w14:textId="77777777" w:rsidR="000A4653" w:rsidRPr="00F27B26" w:rsidRDefault="000A4653" w:rsidP="0093467A">
            <w:pPr>
              <w:pStyle w:val="Tabletext"/>
              <w:jc w:val="right"/>
              <w:rPr>
                <w:lang w:eastAsia="en-AU"/>
              </w:rPr>
            </w:pPr>
          </w:p>
        </w:tc>
        <w:tc>
          <w:tcPr>
            <w:tcW w:w="1350" w:type="dxa"/>
          </w:tcPr>
          <w:p w14:paraId="3687FDEE" w14:textId="77777777" w:rsidR="000A4653" w:rsidRPr="00F27B26" w:rsidRDefault="000A4653" w:rsidP="0093467A">
            <w:pPr>
              <w:pStyle w:val="Tabletext"/>
              <w:jc w:val="right"/>
              <w:rPr>
                <w:lang w:eastAsia="en-AU"/>
              </w:rPr>
            </w:pPr>
          </w:p>
        </w:tc>
      </w:tr>
      <w:tr w:rsidR="000A4653" w:rsidRPr="00F27B26" w14:paraId="0F8BBA2A" w14:textId="77777777" w:rsidTr="0093467A">
        <w:tc>
          <w:tcPr>
            <w:tcW w:w="6447" w:type="dxa"/>
          </w:tcPr>
          <w:p w14:paraId="28383C26" w14:textId="77777777" w:rsidR="000A4653" w:rsidRPr="00F27B26" w:rsidRDefault="000A4653" w:rsidP="006702F6">
            <w:pPr>
              <w:pStyle w:val="Tabletext"/>
              <w:rPr>
                <w:b/>
                <w:lang w:eastAsia="en-AU"/>
              </w:rPr>
            </w:pPr>
            <w:r w:rsidRPr="00F27B26">
              <w:rPr>
                <w:lang w:eastAsia="en-AU"/>
              </w:rPr>
              <w:t>Total superannuation liability</w:t>
            </w:r>
          </w:p>
        </w:tc>
        <w:tc>
          <w:tcPr>
            <w:tcW w:w="1350" w:type="dxa"/>
          </w:tcPr>
          <w:p w14:paraId="106839AD" w14:textId="77777777" w:rsidR="000A4653" w:rsidRPr="00F27B26" w:rsidRDefault="000A4653" w:rsidP="0093467A">
            <w:pPr>
              <w:pStyle w:val="Tabletext"/>
              <w:jc w:val="right"/>
              <w:rPr>
                <w:b/>
                <w:lang w:eastAsia="en-AU"/>
              </w:rPr>
            </w:pPr>
          </w:p>
        </w:tc>
        <w:tc>
          <w:tcPr>
            <w:tcW w:w="1350" w:type="dxa"/>
          </w:tcPr>
          <w:p w14:paraId="09795A59" w14:textId="77777777" w:rsidR="000A4653" w:rsidRPr="00F27B26" w:rsidRDefault="000A4653" w:rsidP="0093467A">
            <w:pPr>
              <w:pStyle w:val="Tabletext"/>
              <w:jc w:val="right"/>
              <w:rPr>
                <w:b/>
                <w:lang w:eastAsia="en-AU"/>
              </w:rPr>
            </w:pPr>
          </w:p>
        </w:tc>
      </w:tr>
    </w:tbl>
    <w:p w14:paraId="05AFBA43" w14:textId="2A84740C" w:rsidR="009D06F6" w:rsidRDefault="009D06F6">
      <w:pPr>
        <w:spacing w:before="0" w:after="200"/>
        <w:rPr>
          <w:b/>
          <w:bCs/>
          <w:color w:val="404040" w:themeColor="text1" w:themeTint="BF"/>
          <w:szCs w:val="18"/>
        </w:rPr>
      </w:pPr>
    </w:p>
    <w:p w14:paraId="41894972" w14:textId="77777777" w:rsidR="000A4653" w:rsidRDefault="000A4653" w:rsidP="009D06F6">
      <w:pPr>
        <w:pStyle w:val="Tablechartdiagramheading"/>
      </w:pPr>
      <w:r w:rsidRPr="00F27B26">
        <w:t>Actuarial assumptions</w:t>
      </w:r>
    </w:p>
    <w:tbl>
      <w:tblPr>
        <w:tblStyle w:val="DTFtexttable"/>
        <w:tblW w:w="9153" w:type="dxa"/>
        <w:tblLayout w:type="fixed"/>
        <w:tblLook w:val="0620" w:firstRow="1" w:lastRow="0" w:firstColumn="0" w:lastColumn="0" w:noHBand="1" w:noVBand="1"/>
      </w:tblPr>
      <w:tblGrid>
        <w:gridCol w:w="6447"/>
        <w:gridCol w:w="1289"/>
        <w:gridCol w:w="1417"/>
      </w:tblGrid>
      <w:tr w:rsidR="000A4653" w:rsidRPr="00F27B26" w14:paraId="27C40CF7" w14:textId="77777777" w:rsidTr="0093467A">
        <w:trPr>
          <w:cnfStyle w:val="100000000000" w:firstRow="1" w:lastRow="0" w:firstColumn="0" w:lastColumn="0" w:oddVBand="0" w:evenVBand="0" w:oddHBand="0" w:evenHBand="0" w:firstRowFirstColumn="0" w:firstRowLastColumn="0" w:lastRowFirstColumn="0" w:lastRowLastColumn="0"/>
        </w:trPr>
        <w:tc>
          <w:tcPr>
            <w:tcW w:w="6447" w:type="dxa"/>
          </w:tcPr>
          <w:p w14:paraId="4AD38197" w14:textId="77777777" w:rsidR="000A4653" w:rsidRPr="00F27B26" w:rsidRDefault="000A4653" w:rsidP="0093467A">
            <w:pPr>
              <w:pStyle w:val="Tableheader"/>
            </w:pPr>
          </w:p>
        </w:tc>
        <w:tc>
          <w:tcPr>
            <w:tcW w:w="1289" w:type="dxa"/>
          </w:tcPr>
          <w:p w14:paraId="2F1F5C44" w14:textId="77777777" w:rsidR="000A4653" w:rsidRPr="00F27B26" w:rsidRDefault="000A4653" w:rsidP="0093467A">
            <w:pPr>
              <w:pStyle w:val="Tableheader"/>
              <w:jc w:val="right"/>
            </w:pPr>
            <w:r w:rsidRPr="00F27B26">
              <w:t>20XX</w:t>
            </w:r>
            <w:r w:rsidR="0093467A">
              <w:br/>
            </w:r>
            <w:r w:rsidRPr="00F27B26">
              <w:t>%</w:t>
            </w:r>
          </w:p>
        </w:tc>
        <w:tc>
          <w:tcPr>
            <w:tcW w:w="1417" w:type="dxa"/>
          </w:tcPr>
          <w:p w14:paraId="61237172" w14:textId="77777777" w:rsidR="000A4653" w:rsidRPr="00F27B26" w:rsidRDefault="000A4653" w:rsidP="0093467A">
            <w:pPr>
              <w:pStyle w:val="Tableheader"/>
              <w:jc w:val="right"/>
            </w:pPr>
            <w:r w:rsidRPr="00F27B26">
              <w:t>20XY</w:t>
            </w:r>
            <w:r w:rsidR="0093467A">
              <w:br/>
            </w:r>
            <w:r w:rsidRPr="00F27B26">
              <w:t>%</w:t>
            </w:r>
          </w:p>
        </w:tc>
      </w:tr>
      <w:tr w:rsidR="000A4653" w:rsidRPr="00F27B26" w14:paraId="788F020C" w14:textId="77777777" w:rsidTr="0093467A">
        <w:tc>
          <w:tcPr>
            <w:tcW w:w="6447" w:type="dxa"/>
          </w:tcPr>
          <w:p w14:paraId="27321E73" w14:textId="77777777" w:rsidR="000A4653" w:rsidRPr="00F27B26" w:rsidRDefault="000A4653" w:rsidP="006702F6">
            <w:pPr>
              <w:pStyle w:val="Tabletext"/>
              <w:rPr>
                <w:b/>
                <w:lang w:eastAsia="en-AU"/>
              </w:rPr>
            </w:pPr>
            <w:r w:rsidRPr="00F27B26">
              <w:rPr>
                <w:b/>
                <w:lang w:eastAsia="en-AU"/>
              </w:rPr>
              <w:t>State Superannuation Fund/Emergency Services Superannuation Scheme</w:t>
            </w:r>
          </w:p>
        </w:tc>
        <w:tc>
          <w:tcPr>
            <w:tcW w:w="1289" w:type="dxa"/>
          </w:tcPr>
          <w:p w14:paraId="48C6D687" w14:textId="77777777" w:rsidR="000A4653" w:rsidRPr="00F27B26" w:rsidRDefault="000A4653" w:rsidP="006702F6">
            <w:pPr>
              <w:pStyle w:val="Tabletext"/>
              <w:rPr>
                <w:lang w:eastAsia="en-AU"/>
              </w:rPr>
            </w:pPr>
          </w:p>
        </w:tc>
        <w:tc>
          <w:tcPr>
            <w:tcW w:w="1417" w:type="dxa"/>
          </w:tcPr>
          <w:p w14:paraId="0F20CE17" w14:textId="77777777" w:rsidR="000A4653" w:rsidRPr="00F27B26" w:rsidRDefault="000A4653" w:rsidP="006702F6">
            <w:pPr>
              <w:pStyle w:val="Tabletext"/>
              <w:rPr>
                <w:lang w:eastAsia="en-AU"/>
              </w:rPr>
            </w:pPr>
          </w:p>
        </w:tc>
      </w:tr>
      <w:tr w:rsidR="000A4653" w:rsidRPr="00F27B26" w14:paraId="05EED81D" w14:textId="77777777" w:rsidTr="0093467A">
        <w:tc>
          <w:tcPr>
            <w:tcW w:w="6447" w:type="dxa"/>
          </w:tcPr>
          <w:p w14:paraId="214E8152" w14:textId="77777777" w:rsidR="000A4653" w:rsidRPr="00F27B26" w:rsidRDefault="000A4653" w:rsidP="006702F6">
            <w:pPr>
              <w:pStyle w:val="Tabletext"/>
              <w:rPr>
                <w:lang w:eastAsia="en-AU"/>
              </w:rPr>
            </w:pPr>
            <w:r w:rsidRPr="00F27B26">
              <w:rPr>
                <w:lang w:eastAsia="en-AU"/>
              </w:rPr>
              <w:t>Expected return on assets</w:t>
            </w:r>
          </w:p>
        </w:tc>
        <w:tc>
          <w:tcPr>
            <w:tcW w:w="1289" w:type="dxa"/>
          </w:tcPr>
          <w:p w14:paraId="5BC3DD1C" w14:textId="77777777" w:rsidR="000A4653" w:rsidRPr="00F27B26" w:rsidRDefault="000A4653" w:rsidP="006702F6">
            <w:pPr>
              <w:pStyle w:val="Tabletext"/>
              <w:rPr>
                <w:lang w:eastAsia="en-AU"/>
              </w:rPr>
            </w:pPr>
          </w:p>
        </w:tc>
        <w:tc>
          <w:tcPr>
            <w:tcW w:w="1417" w:type="dxa"/>
          </w:tcPr>
          <w:p w14:paraId="04066F77" w14:textId="77777777" w:rsidR="000A4653" w:rsidRPr="00F27B26" w:rsidRDefault="000A4653" w:rsidP="006702F6">
            <w:pPr>
              <w:pStyle w:val="Tabletext"/>
              <w:rPr>
                <w:lang w:eastAsia="en-AU"/>
              </w:rPr>
            </w:pPr>
          </w:p>
        </w:tc>
      </w:tr>
      <w:tr w:rsidR="000A4653" w:rsidRPr="00F27B26" w14:paraId="1DB31EC2" w14:textId="77777777" w:rsidTr="0093467A">
        <w:tc>
          <w:tcPr>
            <w:tcW w:w="6447" w:type="dxa"/>
          </w:tcPr>
          <w:p w14:paraId="36E586A2" w14:textId="77777777" w:rsidR="000A4653" w:rsidRPr="00F27B26" w:rsidRDefault="000A4653" w:rsidP="006702F6">
            <w:pPr>
              <w:pStyle w:val="Tabletext"/>
              <w:rPr>
                <w:lang w:eastAsia="en-AU"/>
              </w:rPr>
            </w:pPr>
            <w:r w:rsidRPr="00F27B26">
              <w:rPr>
                <w:lang w:eastAsia="en-AU"/>
              </w:rPr>
              <w:t>Discount rate</w:t>
            </w:r>
          </w:p>
        </w:tc>
        <w:tc>
          <w:tcPr>
            <w:tcW w:w="1289" w:type="dxa"/>
          </w:tcPr>
          <w:p w14:paraId="1E6AD43D" w14:textId="77777777" w:rsidR="000A4653" w:rsidRPr="00F27B26" w:rsidRDefault="000A4653" w:rsidP="006702F6">
            <w:pPr>
              <w:pStyle w:val="Tabletext"/>
              <w:rPr>
                <w:lang w:eastAsia="en-AU"/>
              </w:rPr>
            </w:pPr>
          </w:p>
        </w:tc>
        <w:tc>
          <w:tcPr>
            <w:tcW w:w="1417" w:type="dxa"/>
          </w:tcPr>
          <w:p w14:paraId="035CE468" w14:textId="77777777" w:rsidR="000A4653" w:rsidRPr="00F27B26" w:rsidRDefault="000A4653" w:rsidP="006702F6">
            <w:pPr>
              <w:pStyle w:val="Tabletext"/>
              <w:rPr>
                <w:lang w:eastAsia="en-AU"/>
              </w:rPr>
            </w:pPr>
          </w:p>
        </w:tc>
      </w:tr>
      <w:tr w:rsidR="000A4653" w:rsidRPr="00F27B26" w14:paraId="6E2872D4" w14:textId="77777777" w:rsidTr="0093467A">
        <w:tc>
          <w:tcPr>
            <w:tcW w:w="6447" w:type="dxa"/>
          </w:tcPr>
          <w:p w14:paraId="7BAFBC0F" w14:textId="77777777" w:rsidR="000A4653" w:rsidRPr="00F27B26" w:rsidRDefault="000A4653" w:rsidP="006702F6">
            <w:pPr>
              <w:pStyle w:val="Tabletext"/>
              <w:rPr>
                <w:lang w:eastAsia="en-AU"/>
              </w:rPr>
            </w:pPr>
            <w:r w:rsidRPr="00F27B26">
              <w:rPr>
                <w:lang w:eastAsia="en-AU"/>
              </w:rPr>
              <w:lastRenderedPageBreak/>
              <w:t>Wages growth</w:t>
            </w:r>
          </w:p>
        </w:tc>
        <w:tc>
          <w:tcPr>
            <w:tcW w:w="1289" w:type="dxa"/>
          </w:tcPr>
          <w:p w14:paraId="1FCE8582" w14:textId="77777777" w:rsidR="000A4653" w:rsidRPr="00F27B26" w:rsidRDefault="000A4653" w:rsidP="006702F6">
            <w:pPr>
              <w:pStyle w:val="Tabletext"/>
              <w:rPr>
                <w:lang w:eastAsia="en-AU"/>
              </w:rPr>
            </w:pPr>
          </w:p>
        </w:tc>
        <w:tc>
          <w:tcPr>
            <w:tcW w:w="1417" w:type="dxa"/>
          </w:tcPr>
          <w:p w14:paraId="50E4A205" w14:textId="77777777" w:rsidR="000A4653" w:rsidRPr="00F27B26" w:rsidRDefault="000A4653" w:rsidP="006702F6">
            <w:pPr>
              <w:pStyle w:val="Tabletext"/>
              <w:rPr>
                <w:lang w:eastAsia="en-AU"/>
              </w:rPr>
            </w:pPr>
          </w:p>
        </w:tc>
      </w:tr>
      <w:tr w:rsidR="000A4653" w:rsidRPr="00F27B26" w14:paraId="04407BB1" w14:textId="77777777" w:rsidTr="0093467A">
        <w:tc>
          <w:tcPr>
            <w:tcW w:w="6447" w:type="dxa"/>
          </w:tcPr>
          <w:p w14:paraId="20CA2721" w14:textId="77777777" w:rsidR="000A4653" w:rsidRPr="00F27B26" w:rsidRDefault="000A4653" w:rsidP="006702F6">
            <w:pPr>
              <w:pStyle w:val="Tabletext"/>
              <w:rPr>
                <w:lang w:eastAsia="en-AU"/>
              </w:rPr>
            </w:pPr>
            <w:r w:rsidRPr="00F27B26">
              <w:rPr>
                <w:lang w:eastAsia="en-AU"/>
              </w:rPr>
              <w:t>Inflation rate</w:t>
            </w:r>
          </w:p>
        </w:tc>
        <w:tc>
          <w:tcPr>
            <w:tcW w:w="1289" w:type="dxa"/>
          </w:tcPr>
          <w:p w14:paraId="064BD710" w14:textId="77777777" w:rsidR="000A4653" w:rsidRPr="00F27B26" w:rsidRDefault="000A4653" w:rsidP="006702F6">
            <w:pPr>
              <w:pStyle w:val="Tabletext"/>
              <w:rPr>
                <w:lang w:eastAsia="en-AU"/>
              </w:rPr>
            </w:pPr>
          </w:p>
        </w:tc>
        <w:tc>
          <w:tcPr>
            <w:tcW w:w="1417" w:type="dxa"/>
          </w:tcPr>
          <w:p w14:paraId="26862B86" w14:textId="77777777" w:rsidR="000A4653" w:rsidRPr="00F27B26" w:rsidRDefault="000A4653" w:rsidP="006702F6">
            <w:pPr>
              <w:pStyle w:val="Tabletext"/>
              <w:rPr>
                <w:lang w:eastAsia="en-AU"/>
              </w:rPr>
            </w:pPr>
          </w:p>
        </w:tc>
      </w:tr>
      <w:tr w:rsidR="000A4653" w:rsidRPr="00F27B26" w14:paraId="5390219C" w14:textId="77777777" w:rsidTr="0093467A">
        <w:tc>
          <w:tcPr>
            <w:tcW w:w="6447" w:type="dxa"/>
          </w:tcPr>
          <w:p w14:paraId="38D5D7C5" w14:textId="77777777" w:rsidR="000A4653" w:rsidRPr="00F27B26" w:rsidRDefault="000A4653" w:rsidP="006702F6">
            <w:pPr>
              <w:pStyle w:val="Tabletext"/>
              <w:rPr>
                <w:lang w:eastAsia="en-AU"/>
              </w:rPr>
            </w:pPr>
          </w:p>
        </w:tc>
        <w:tc>
          <w:tcPr>
            <w:tcW w:w="1289" w:type="dxa"/>
          </w:tcPr>
          <w:p w14:paraId="7EC36951" w14:textId="77777777" w:rsidR="000A4653" w:rsidRPr="00F27B26" w:rsidRDefault="000A4653" w:rsidP="006702F6">
            <w:pPr>
              <w:pStyle w:val="Tabletext"/>
              <w:rPr>
                <w:lang w:eastAsia="en-AU"/>
              </w:rPr>
            </w:pPr>
          </w:p>
        </w:tc>
        <w:tc>
          <w:tcPr>
            <w:tcW w:w="1417" w:type="dxa"/>
          </w:tcPr>
          <w:p w14:paraId="29AC56F1" w14:textId="77777777" w:rsidR="000A4653" w:rsidRPr="00F27B26" w:rsidRDefault="000A4653" w:rsidP="006702F6">
            <w:pPr>
              <w:pStyle w:val="Tabletext"/>
              <w:rPr>
                <w:lang w:eastAsia="en-AU"/>
              </w:rPr>
            </w:pPr>
          </w:p>
        </w:tc>
      </w:tr>
      <w:tr w:rsidR="000A4653" w:rsidRPr="00F27B26" w14:paraId="472D07EC" w14:textId="77777777" w:rsidTr="0093467A">
        <w:tc>
          <w:tcPr>
            <w:tcW w:w="6447" w:type="dxa"/>
          </w:tcPr>
          <w:p w14:paraId="5B663124" w14:textId="77777777" w:rsidR="000A4653" w:rsidRPr="00F27B26" w:rsidRDefault="000A4653" w:rsidP="006702F6">
            <w:pPr>
              <w:pStyle w:val="Tabletext"/>
              <w:rPr>
                <w:b/>
                <w:lang w:eastAsia="en-AU"/>
              </w:rPr>
            </w:pPr>
            <w:r w:rsidRPr="00F27B26">
              <w:rPr>
                <w:b/>
                <w:lang w:eastAsia="en-AU"/>
              </w:rPr>
              <w:t>Constitutionally protected pensions</w:t>
            </w:r>
          </w:p>
        </w:tc>
        <w:tc>
          <w:tcPr>
            <w:tcW w:w="1289" w:type="dxa"/>
          </w:tcPr>
          <w:p w14:paraId="7A781940" w14:textId="77777777" w:rsidR="000A4653" w:rsidRPr="00F27B26" w:rsidRDefault="000A4653" w:rsidP="006702F6">
            <w:pPr>
              <w:pStyle w:val="Tabletext"/>
              <w:rPr>
                <w:lang w:eastAsia="en-AU"/>
              </w:rPr>
            </w:pPr>
          </w:p>
        </w:tc>
        <w:tc>
          <w:tcPr>
            <w:tcW w:w="1417" w:type="dxa"/>
          </w:tcPr>
          <w:p w14:paraId="6C6DB105" w14:textId="77777777" w:rsidR="000A4653" w:rsidRPr="00F27B26" w:rsidRDefault="000A4653" w:rsidP="006702F6">
            <w:pPr>
              <w:pStyle w:val="Tabletext"/>
              <w:rPr>
                <w:lang w:eastAsia="en-AU"/>
              </w:rPr>
            </w:pPr>
          </w:p>
        </w:tc>
      </w:tr>
      <w:tr w:rsidR="000A4653" w:rsidRPr="00F27B26" w14:paraId="380C0DF7" w14:textId="77777777" w:rsidTr="0093467A">
        <w:tc>
          <w:tcPr>
            <w:tcW w:w="6447" w:type="dxa"/>
          </w:tcPr>
          <w:p w14:paraId="2595D35C" w14:textId="77777777" w:rsidR="000A4653" w:rsidRPr="00F27B26" w:rsidRDefault="000A4653" w:rsidP="006702F6">
            <w:pPr>
              <w:pStyle w:val="Tabletext"/>
              <w:rPr>
                <w:lang w:eastAsia="en-AU"/>
              </w:rPr>
            </w:pPr>
            <w:r w:rsidRPr="00F27B26">
              <w:rPr>
                <w:lang w:eastAsia="en-AU"/>
              </w:rPr>
              <w:t>Discount rate</w:t>
            </w:r>
          </w:p>
        </w:tc>
        <w:tc>
          <w:tcPr>
            <w:tcW w:w="1289" w:type="dxa"/>
          </w:tcPr>
          <w:p w14:paraId="7FDA361A" w14:textId="77777777" w:rsidR="000A4653" w:rsidRPr="00F27B26" w:rsidRDefault="000A4653" w:rsidP="006702F6">
            <w:pPr>
              <w:pStyle w:val="Tabletext"/>
              <w:rPr>
                <w:lang w:eastAsia="en-AU"/>
              </w:rPr>
            </w:pPr>
          </w:p>
        </w:tc>
        <w:tc>
          <w:tcPr>
            <w:tcW w:w="1417" w:type="dxa"/>
          </w:tcPr>
          <w:p w14:paraId="715A80CC" w14:textId="77777777" w:rsidR="000A4653" w:rsidRPr="00F27B26" w:rsidRDefault="000A4653" w:rsidP="006702F6">
            <w:pPr>
              <w:pStyle w:val="Tabletext"/>
              <w:rPr>
                <w:lang w:eastAsia="en-AU"/>
              </w:rPr>
            </w:pPr>
          </w:p>
        </w:tc>
      </w:tr>
      <w:tr w:rsidR="000A4653" w:rsidRPr="00F27B26" w14:paraId="3268F6E3" w14:textId="77777777" w:rsidTr="0093467A">
        <w:tc>
          <w:tcPr>
            <w:tcW w:w="6447" w:type="dxa"/>
          </w:tcPr>
          <w:p w14:paraId="4180A04F" w14:textId="77777777" w:rsidR="000A4653" w:rsidRPr="00F27B26" w:rsidRDefault="000A4653" w:rsidP="006702F6">
            <w:pPr>
              <w:pStyle w:val="Tabletext"/>
              <w:rPr>
                <w:lang w:eastAsia="en-AU"/>
              </w:rPr>
            </w:pPr>
            <w:r w:rsidRPr="00F27B26">
              <w:rPr>
                <w:lang w:eastAsia="en-AU"/>
              </w:rPr>
              <w:t>Wages growth</w:t>
            </w:r>
          </w:p>
        </w:tc>
        <w:tc>
          <w:tcPr>
            <w:tcW w:w="1289" w:type="dxa"/>
          </w:tcPr>
          <w:p w14:paraId="7E92DFE5" w14:textId="77777777" w:rsidR="000A4653" w:rsidRPr="00F27B26" w:rsidRDefault="000A4653" w:rsidP="006702F6">
            <w:pPr>
              <w:pStyle w:val="Tabletext"/>
              <w:rPr>
                <w:lang w:eastAsia="en-AU"/>
              </w:rPr>
            </w:pPr>
          </w:p>
        </w:tc>
        <w:tc>
          <w:tcPr>
            <w:tcW w:w="1417" w:type="dxa"/>
          </w:tcPr>
          <w:p w14:paraId="63A4554A" w14:textId="77777777" w:rsidR="000A4653" w:rsidRPr="00F27B26" w:rsidRDefault="000A4653" w:rsidP="006702F6">
            <w:pPr>
              <w:pStyle w:val="Tabletext"/>
              <w:rPr>
                <w:lang w:eastAsia="en-AU"/>
              </w:rPr>
            </w:pPr>
          </w:p>
        </w:tc>
      </w:tr>
      <w:tr w:rsidR="000A4653" w:rsidRPr="00F27B26" w14:paraId="378D1CA0" w14:textId="77777777" w:rsidTr="0093467A">
        <w:tc>
          <w:tcPr>
            <w:tcW w:w="6447" w:type="dxa"/>
          </w:tcPr>
          <w:p w14:paraId="7FD437BB" w14:textId="77777777" w:rsidR="000A4653" w:rsidRPr="00F27B26" w:rsidRDefault="000A4653" w:rsidP="006702F6">
            <w:pPr>
              <w:pStyle w:val="Tabletext"/>
              <w:rPr>
                <w:lang w:eastAsia="en-AU"/>
              </w:rPr>
            </w:pPr>
            <w:r w:rsidRPr="00F27B26">
              <w:rPr>
                <w:lang w:eastAsia="en-AU"/>
              </w:rPr>
              <w:t>Inflation rate</w:t>
            </w:r>
          </w:p>
        </w:tc>
        <w:tc>
          <w:tcPr>
            <w:tcW w:w="1289" w:type="dxa"/>
          </w:tcPr>
          <w:p w14:paraId="0B6AF5E6" w14:textId="77777777" w:rsidR="000A4653" w:rsidRPr="00F27B26" w:rsidRDefault="000A4653" w:rsidP="006702F6">
            <w:pPr>
              <w:pStyle w:val="Tabletext"/>
              <w:rPr>
                <w:lang w:eastAsia="en-AU"/>
              </w:rPr>
            </w:pPr>
          </w:p>
        </w:tc>
        <w:tc>
          <w:tcPr>
            <w:tcW w:w="1417" w:type="dxa"/>
          </w:tcPr>
          <w:p w14:paraId="216840DD" w14:textId="77777777" w:rsidR="000A4653" w:rsidRPr="00F27B26" w:rsidRDefault="000A4653" w:rsidP="006702F6">
            <w:pPr>
              <w:pStyle w:val="Tabletext"/>
              <w:rPr>
                <w:lang w:eastAsia="en-AU"/>
              </w:rPr>
            </w:pPr>
          </w:p>
        </w:tc>
      </w:tr>
      <w:tr w:rsidR="000A4653" w:rsidRPr="00F27B26" w14:paraId="5F9F4066" w14:textId="77777777" w:rsidTr="0093467A">
        <w:tc>
          <w:tcPr>
            <w:tcW w:w="6447" w:type="dxa"/>
          </w:tcPr>
          <w:p w14:paraId="3B9004C3" w14:textId="77777777" w:rsidR="000A4653" w:rsidRPr="00F27B26" w:rsidRDefault="000A4653" w:rsidP="006702F6">
            <w:pPr>
              <w:pStyle w:val="Tabletext"/>
              <w:rPr>
                <w:lang w:eastAsia="en-AU"/>
              </w:rPr>
            </w:pPr>
          </w:p>
        </w:tc>
        <w:tc>
          <w:tcPr>
            <w:tcW w:w="1289" w:type="dxa"/>
          </w:tcPr>
          <w:p w14:paraId="1F137021" w14:textId="77777777" w:rsidR="000A4653" w:rsidRPr="00F27B26" w:rsidRDefault="000A4653" w:rsidP="006702F6">
            <w:pPr>
              <w:pStyle w:val="Tabletext"/>
              <w:rPr>
                <w:lang w:eastAsia="en-AU"/>
              </w:rPr>
            </w:pPr>
          </w:p>
        </w:tc>
        <w:tc>
          <w:tcPr>
            <w:tcW w:w="1417" w:type="dxa"/>
          </w:tcPr>
          <w:p w14:paraId="47C159CF" w14:textId="77777777" w:rsidR="000A4653" w:rsidRPr="00F27B26" w:rsidRDefault="000A4653" w:rsidP="006702F6">
            <w:pPr>
              <w:pStyle w:val="Tabletext"/>
              <w:rPr>
                <w:lang w:eastAsia="en-AU"/>
              </w:rPr>
            </w:pPr>
          </w:p>
        </w:tc>
      </w:tr>
      <w:tr w:rsidR="000A4653" w:rsidRPr="00F27B26" w14:paraId="7B2E607C" w14:textId="77777777" w:rsidTr="0093467A">
        <w:tc>
          <w:tcPr>
            <w:tcW w:w="6447" w:type="dxa"/>
          </w:tcPr>
          <w:p w14:paraId="7B767FF6" w14:textId="77777777" w:rsidR="000A4653" w:rsidRPr="00F27B26" w:rsidRDefault="000A4653" w:rsidP="006702F6">
            <w:pPr>
              <w:pStyle w:val="Tabletext"/>
              <w:rPr>
                <w:b/>
                <w:lang w:eastAsia="en-AU"/>
              </w:rPr>
            </w:pPr>
            <w:r w:rsidRPr="00F27B26">
              <w:rPr>
                <w:b/>
                <w:lang w:eastAsia="en-AU"/>
              </w:rPr>
              <w:t>Health Superannuation Fund</w:t>
            </w:r>
          </w:p>
        </w:tc>
        <w:tc>
          <w:tcPr>
            <w:tcW w:w="1289" w:type="dxa"/>
          </w:tcPr>
          <w:p w14:paraId="0C180AB0" w14:textId="77777777" w:rsidR="000A4653" w:rsidRPr="00F27B26" w:rsidRDefault="000A4653" w:rsidP="006702F6">
            <w:pPr>
              <w:pStyle w:val="Tabletext"/>
              <w:rPr>
                <w:lang w:eastAsia="en-AU"/>
              </w:rPr>
            </w:pPr>
          </w:p>
        </w:tc>
        <w:tc>
          <w:tcPr>
            <w:tcW w:w="1417" w:type="dxa"/>
          </w:tcPr>
          <w:p w14:paraId="115EC168" w14:textId="77777777" w:rsidR="000A4653" w:rsidRPr="00F27B26" w:rsidRDefault="000A4653" w:rsidP="006702F6">
            <w:pPr>
              <w:pStyle w:val="Tabletext"/>
              <w:rPr>
                <w:lang w:eastAsia="en-AU"/>
              </w:rPr>
            </w:pPr>
          </w:p>
        </w:tc>
      </w:tr>
      <w:tr w:rsidR="000A4653" w:rsidRPr="00F27B26" w14:paraId="657FFB0F" w14:textId="77777777" w:rsidTr="0093467A">
        <w:tc>
          <w:tcPr>
            <w:tcW w:w="6447" w:type="dxa"/>
          </w:tcPr>
          <w:p w14:paraId="3D386D9B" w14:textId="77777777" w:rsidR="000A4653" w:rsidRPr="00F27B26" w:rsidRDefault="000A4653" w:rsidP="006702F6">
            <w:pPr>
              <w:pStyle w:val="Tabletext"/>
              <w:rPr>
                <w:lang w:eastAsia="en-AU"/>
              </w:rPr>
            </w:pPr>
            <w:r w:rsidRPr="00F27B26">
              <w:rPr>
                <w:lang w:eastAsia="en-AU"/>
              </w:rPr>
              <w:t>Expected return on assets</w:t>
            </w:r>
          </w:p>
        </w:tc>
        <w:tc>
          <w:tcPr>
            <w:tcW w:w="1289" w:type="dxa"/>
          </w:tcPr>
          <w:p w14:paraId="38D1B730" w14:textId="77777777" w:rsidR="000A4653" w:rsidRPr="00F27B26" w:rsidRDefault="000A4653" w:rsidP="006702F6">
            <w:pPr>
              <w:pStyle w:val="Tabletext"/>
              <w:rPr>
                <w:lang w:eastAsia="en-AU"/>
              </w:rPr>
            </w:pPr>
          </w:p>
        </w:tc>
        <w:tc>
          <w:tcPr>
            <w:tcW w:w="1417" w:type="dxa"/>
          </w:tcPr>
          <w:p w14:paraId="606D8B25" w14:textId="77777777" w:rsidR="000A4653" w:rsidRPr="00F27B26" w:rsidRDefault="000A4653" w:rsidP="006702F6">
            <w:pPr>
              <w:pStyle w:val="Tabletext"/>
              <w:rPr>
                <w:lang w:eastAsia="en-AU"/>
              </w:rPr>
            </w:pPr>
          </w:p>
        </w:tc>
      </w:tr>
      <w:tr w:rsidR="000A4653" w:rsidRPr="00F27B26" w14:paraId="3E994586" w14:textId="77777777" w:rsidTr="0093467A">
        <w:tc>
          <w:tcPr>
            <w:tcW w:w="6447" w:type="dxa"/>
          </w:tcPr>
          <w:p w14:paraId="79CF4883" w14:textId="77777777" w:rsidR="000A4653" w:rsidRPr="00F27B26" w:rsidRDefault="000A4653" w:rsidP="006702F6">
            <w:pPr>
              <w:pStyle w:val="Tabletext"/>
              <w:rPr>
                <w:lang w:eastAsia="en-AU"/>
              </w:rPr>
            </w:pPr>
            <w:r w:rsidRPr="00F27B26">
              <w:rPr>
                <w:lang w:eastAsia="en-AU"/>
              </w:rPr>
              <w:t>Discount rate</w:t>
            </w:r>
          </w:p>
        </w:tc>
        <w:tc>
          <w:tcPr>
            <w:tcW w:w="1289" w:type="dxa"/>
          </w:tcPr>
          <w:p w14:paraId="201DB02B" w14:textId="77777777" w:rsidR="000A4653" w:rsidRPr="00F27B26" w:rsidRDefault="000A4653" w:rsidP="006702F6">
            <w:pPr>
              <w:pStyle w:val="Tabletext"/>
              <w:rPr>
                <w:lang w:eastAsia="en-AU"/>
              </w:rPr>
            </w:pPr>
          </w:p>
        </w:tc>
        <w:tc>
          <w:tcPr>
            <w:tcW w:w="1417" w:type="dxa"/>
          </w:tcPr>
          <w:p w14:paraId="2DFC2EB9" w14:textId="77777777" w:rsidR="000A4653" w:rsidRPr="00F27B26" w:rsidRDefault="000A4653" w:rsidP="006702F6">
            <w:pPr>
              <w:pStyle w:val="Tabletext"/>
              <w:rPr>
                <w:lang w:eastAsia="en-AU"/>
              </w:rPr>
            </w:pPr>
          </w:p>
        </w:tc>
      </w:tr>
      <w:tr w:rsidR="000A4653" w:rsidRPr="00F27B26" w14:paraId="77D53B26" w14:textId="77777777" w:rsidTr="0093467A">
        <w:tc>
          <w:tcPr>
            <w:tcW w:w="6447" w:type="dxa"/>
          </w:tcPr>
          <w:p w14:paraId="190D091D" w14:textId="77777777" w:rsidR="000A4653" w:rsidRPr="00F27B26" w:rsidRDefault="000A4653" w:rsidP="006702F6">
            <w:pPr>
              <w:pStyle w:val="Tabletext"/>
              <w:rPr>
                <w:lang w:eastAsia="en-AU"/>
              </w:rPr>
            </w:pPr>
            <w:r w:rsidRPr="00F27B26">
              <w:rPr>
                <w:lang w:eastAsia="en-AU"/>
              </w:rPr>
              <w:t>Wages growth</w:t>
            </w:r>
          </w:p>
        </w:tc>
        <w:tc>
          <w:tcPr>
            <w:tcW w:w="1289" w:type="dxa"/>
          </w:tcPr>
          <w:p w14:paraId="24235270" w14:textId="77777777" w:rsidR="000A4653" w:rsidRPr="00F27B26" w:rsidRDefault="000A4653" w:rsidP="006702F6">
            <w:pPr>
              <w:pStyle w:val="Tabletext"/>
              <w:rPr>
                <w:lang w:eastAsia="en-AU"/>
              </w:rPr>
            </w:pPr>
          </w:p>
        </w:tc>
        <w:tc>
          <w:tcPr>
            <w:tcW w:w="1417" w:type="dxa"/>
          </w:tcPr>
          <w:p w14:paraId="7A1E4F4D" w14:textId="77777777" w:rsidR="000A4653" w:rsidRPr="00F27B26" w:rsidRDefault="000A4653" w:rsidP="006702F6">
            <w:pPr>
              <w:pStyle w:val="Tabletext"/>
              <w:rPr>
                <w:lang w:eastAsia="en-AU"/>
              </w:rPr>
            </w:pPr>
          </w:p>
        </w:tc>
      </w:tr>
      <w:tr w:rsidR="000A4653" w:rsidRPr="00F27B26" w14:paraId="70780E5C" w14:textId="77777777" w:rsidTr="0093467A">
        <w:tc>
          <w:tcPr>
            <w:tcW w:w="6447" w:type="dxa"/>
          </w:tcPr>
          <w:p w14:paraId="4A4B1C83" w14:textId="77777777" w:rsidR="000A4653" w:rsidRPr="00F27B26" w:rsidRDefault="000A4653" w:rsidP="006702F6">
            <w:pPr>
              <w:pStyle w:val="Tabletext"/>
              <w:rPr>
                <w:lang w:eastAsia="en-AU"/>
              </w:rPr>
            </w:pPr>
            <w:r w:rsidRPr="00F27B26">
              <w:rPr>
                <w:lang w:eastAsia="en-AU"/>
              </w:rPr>
              <w:t>Inflation rate</w:t>
            </w:r>
          </w:p>
        </w:tc>
        <w:tc>
          <w:tcPr>
            <w:tcW w:w="1289" w:type="dxa"/>
          </w:tcPr>
          <w:p w14:paraId="3E91A33C" w14:textId="77777777" w:rsidR="000A4653" w:rsidRPr="00F27B26" w:rsidRDefault="000A4653" w:rsidP="006702F6">
            <w:pPr>
              <w:pStyle w:val="Tabletext"/>
              <w:rPr>
                <w:lang w:eastAsia="en-AU"/>
              </w:rPr>
            </w:pPr>
          </w:p>
        </w:tc>
        <w:tc>
          <w:tcPr>
            <w:tcW w:w="1417" w:type="dxa"/>
          </w:tcPr>
          <w:p w14:paraId="742FFFDF" w14:textId="77777777" w:rsidR="000A4653" w:rsidRPr="00F27B26" w:rsidRDefault="000A4653" w:rsidP="006702F6">
            <w:pPr>
              <w:pStyle w:val="Tabletext"/>
              <w:rPr>
                <w:lang w:eastAsia="en-AU"/>
              </w:rPr>
            </w:pPr>
          </w:p>
        </w:tc>
      </w:tr>
    </w:tbl>
    <w:p w14:paraId="48CBE578" w14:textId="77777777" w:rsidR="000A4653" w:rsidRDefault="000A4653" w:rsidP="000A4653"/>
    <w:p w14:paraId="512F04C9" w14:textId="77777777" w:rsidR="000A4653" w:rsidRDefault="000A4653" w:rsidP="000A4653">
      <w:r w:rsidRPr="00F27B26">
        <w:t>The expected return on assets assumption is determined by weighting the expected long-term return for each asset class by the target allocation of assets to each class</w:t>
      </w:r>
    </w:p>
    <w:tbl>
      <w:tblPr>
        <w:tblStyle w:val="DTFtexttable"/>
        <w:tblW w:w="9147" w:type="dxa"/>
        <w:tblLayout w:type="fixed"/>
        <w:tblLook w:val="0620" w:firstRow="1" w:lastRow="0" w:firstColumn="0" w:lastColumn="0" w:noHBand="1" w:noVBand="1"/>
      </w:tblPr>
      <w:tblGrid>
        <w:gridCol w:w="6447"/>
        <w:gridCol w:w="1350"/>
        <w:gridCol w:w="1350"/>
      </w:tblGrid>
      <w:tr w:rsidR="000A4653" w:rsidRPr="00F27B26" w14:paraId="2EDCB634" w14:textId="77777777" w:rsidTr="0093467A">
        <w:trPr>
          <w:cnfStyle w:val="100000000000" w:firstRow="1" w:lastRow="0" w:firstColumn="0" w:lastColumn="0" w:oddVBand="0" w:evenVBand="0" w:oddHBand="0" w:evenHBand="0" w:firstRowFirstColumn="0" w:firstRowLastColumn="0" w:lastRowFirstColumn="0" w:lastRowLastColumn="0"/>
        </w:trPr>
        <w:tc>
          <w:tcPr>
            <w:tcW w:w="6447" w:type="dxa"/>
          </w:tcPr>
          <w:p w14:paraId="13D764D8" w14:textId="77777777" w:rsidR="000A4653" w:rsidRPr="00F27B26" w:rsidRDefault="000A4653" w:rsidP="0093467A">
            <w:pPr>
              <w:pStyle w:val="Tableheader"/>
            </w:pPr>
            <w:r w:rsidRPr="00F27B26">
              <w:t>Categories of plan assets</w:t>
            </w:r>
          </w:p>
        </w:tc>
        <w:tc>
          <w:tcPr>
            <w:tcW w:w="1350" w:type="dxa"/>
          </w:tcPr>
          <w:p w14:paraId="4944736E" w14:textId="77777777" w:rsidR="000A4653" w:rsidRPr="00F27B26" w:rsidRDefault="000A4653" w:rsidP="0093467A">
            <w:pPr>
              <w:pStyle w:val="Tableheader"/>
              <w:jc w:val="right"/>
            </w:pPr>
            <w:r w:rsidRPr="00F27B26">
              <w:t>%</w:t>
            </w:r>
          </w:p>
        </w:tc>
        <w:tc>
          <w:tcPr>
            <w:tcW w:w="1350" w:type="dxa"/>
          </w:tcPr>
          <w:p w14:paraId="620D2F4E" w14:textId="77777777" w:rsidR="000A4653" w:rsidRPr="00F27B26" w:rsidRDefault="000A4653" w:rsidP="0093467A">
            <w:pPr>
              <w:pStyle w:val="Tableheader"/>
              <w:jc w:val="right"/>
            </w:pPr>
            <w:r>
              <w:t xml:space="preserve">Fair value </w:t>
            </w:r>
            <w:r w:rsidR="0093467A">
              <w:br/>
            </w:r>
            <w:r>
              <w:t xml:space="preserve"> $</w:t>
            </w:r>
          </w:p>
        </w:tc>
      </w:tr>
      <w:tr w:rsidR="000A4653" w:rsidRPr="00F27B26" w14:paraId="3FA6B8AE" w14:textId="77777777" w:rsidTr="0093467A">
        <w:tc>
          <w:tcPr>
            <w:tcW w:w="6447" w:type="dxa"/>
          </w:tcPr>
          <w:p w14:paraId="6446ADD3" w14:textId="77777777" w:rsidR="000A4653" w:rsidRPr="00F27B26" w:rsidRDefault="000A4653" w:rsidP="006702F6">
            <w:pPr>
              <w:pStyle w:val="Tabletext"/>
              <w:rPr>
                <w:lang w:eastAsia="en-AU"/>
              </w:rPr>
            </w:pPr>
            <w:r w:rsidRPr="00F27B26">
              <w:rPr>
                <w:lang w:eastAsia="en-AU"/>
              </w:rPr>
              <w:t>The major categories of plan assets are as follows:</w:t>
            </w:r>
          </w:p>
        </w:tc>
        <w:tc>
          <w:tcPr>
            <w:tcW w:w="1350" w:type="dxa"/>
          </w:tcPr>
          <w:p w14:paraId="068755B1" w14:textId="77777777" w:rsidR="000A4653" w:rsidRPr="00F27B26" w:rsidRDefault="000A4653" w:rsidP="0093467A">
            <w:pPr>
              <w:pStyle w:val="Tabletext"/>
              <w:jc w:val="right"/>
              <w:rPr>
                <w:lang w:eastAsia="en-AU"/>
              </w:rPr>
            </w:pPr>
          </w:p>
        </w:tc>
        <w:tc>
          <w:tcPr>
            <w:tcW w:w="1350" w:type="dxa"/>
          </w:tcPr>
          <w:p w14:paraId="10EF1935" w14:textId="77777777" w:rsidR="000A4653" w:rsidRPr="00F27B26" w:rsidRDefault="000A4653" w:rsidP="0093467A">
            <w:pPr>
              <w:pStyle w:val="Tabletext"/>
              <w:jc w:val="right"/>
              <w:rPr>
                <w:lang w:eastAsia="en-AU"/>
              </w:rPr>
            </w:pPr>
          </w:p>
        </w:tc>
      </w:tr>
      <w:tr w:rsidR="000A4653" w:rsidRPr="00F27B26" w14:paraId="6C434611" w14:textId="77777777" w:rsidTr="0093467A">
        <w:tc>
          <w:tcPr>
            <w:tcW w:w="6447" w:type="dxa"/>
          </w:tcPr>
          <w:p w14:paraId="7A07CE6A" w14:textId="77777777" w:rsidR="000A4653" w:rsidRPr="00CA23D3" w:rsidRDefault="000A4653" w:rsidP="006702F6">
            <w:pPr>
              <w:pStyle w:val="Tabletext"/>
              <w:rPr>
                <w:b/>
                <w:lang w:eastAsia="en-AU"/>
              </w:rPr>
            </w:pPr>
          </w:p>
        </w:tc>
        <w:tc>
          <w:tcPr>
            <w:tcW w:w="1350" w:type="dxa"/>
          </w:tcPr>
          <w:p w14:paraId="1886A53B" w14:textId="77777777" w:rsidR="000A4653" w:rsidRPr="00F27B26" w:rsidDel="009D609D" w:rsidRDefault="000A4653" w:rsidP="0093467A">
            <w:pPr>
              <w:pStyle w:val="Tabletext"/>
              <w:jc w:val="right"/>
              <w:rPr>
                <w:lang w:eastAsia="en-AU"/>
              </w:rPr>
            </w:pPr>
          </w:p>
        </w:tc>
        <w:tc>
          <w:tcPr>
            <w:tcW w:w="1350" w:type="dxa"/>
          </w:tcPr>
          <w:p w14:paraId="007D917E" w14:textId="77777777" w:rsidR="000A4653" w:rsidRDefault="000A4653" w:rsidP="0093467A">
            <w:pPr>
              <w:pStyle w:val="Tabletext"/>
              <w:jc w:val="right"/>
              <w:rPr>
                <w:lang w:eastAsia="en-AU"/>
              </w:rPr>
            </w:pPr>
          </w:p>
        </w:tc>
      </w:tr>
      <w:tr w:rsidR="000A4653" w:rsidRPr="00F27B26" w14:paraId="119509B1" w14:textId="77777777" w:rsidTr="0093467A">
        <w:tc>
          <w:tcPr>
            <w:tcW w:w="6447" w:type="dxa"/>
          </w:tcPr>
          <w:p w14:paraId="6BE3FC53" w14:textId="77777777" w:rsidR="000A4653" w:rsidRPr="00CA23D3" w:rsidRDefault="000A4653" w:rsidP="006702F6">
            <w:pPr>
              <w:pStyle w:val="Tabletext"/>
              <w:rPr>
                <w:b/>
                <w:lang w:eastAsia="en-AU"/>
              </w:rPr>
            </w:pPr>
            <w:r w:rsidRPr="00CA23D3">
              <w:rPr>
                <w:b/>
                <w:lang w:eastAsia="en-AU"/>
              </w:rPr>
              <w:t>Quoted in active markets</w:t>
            </w:r>
          </w:p>
        </w:tc>
        <w:tc>
          <w:tcPr>
            <w:tcW w:w="1350" w:type="dxa"/>
          </w:tcPr>
          <w:p w14:paraId="2453F52A" w14:textId="77777777" w:rsidR="000A4653" w:rsidRPr="00F27B26" w:rsidDel="009D609D" w:rsidRDefault="000A4653" w:rsidP="0093467A">
            <w:pPr>
              <w:pStyle w:val="Tabletext"/>
              <w:jc w:val="right"/>
              <w:rPr>
                <w:lang w:eastAsia="en-AU"/>
              </w:rPr>
            </w:pPr>
          </w:p>
        </w:tc>
        <w:tc>
          <w:tcPr>
            <w:tcW w:w="1350" w:type="dxa"/>
          </w:tcPr>
          <w:p w14:paraId="43F10D39" w14:textId="77777777" w:rsidR="000A4653" w:rsidRDefault="000A4653" w:rsidP="0093467A">
            <w:pPr>
              <w:pStyle w:val="Tabletext"/>
              <w:jc w:val="right"/>
              <w:rPr>
                <w:lang w:eastAsia="en-AU"/>
              </w:rPr>
            </w:pPr>
          </w:p>
        </w:tc>
      </w:tr>
      <w:tr w:rsidR="000A4653" w:rsidRPr="00F27B26" w14:paraId="34F5D136" w14:textId="77777777" w:rsidTr="0093467A">
        <w:tc>
          <w:tcPr>
            <w:tcW w:w="6447" w:type="dxa"/>
          </w:tcPr>
          <w:p w14:paraId="1DA197CE" w14:textId="77777777" w:rsidR="000A4653" w:rsidRPr="00F27B26" w:rsidRDefault="000A4653" w:rsidP="006702F6">
            <w:pPr>
              <w:pStyle w:val="Tabletext"/>
              <w:rPr>
                <w:lang w:eastAsia="en-AU"/>
              </w:rPr>
            </w:pPr>
            <w:r w:rsidRPr="00F27B26">
              <w:rPr>
                <w:lang w:eastAsia="en-AU"/>
              </w:rPr>
              <w:t>Domestic equity</w:t>
            </w:r>
          </w:p>
        </w:tc>
        <w:tc>
          <w:tcPr>
            <w:tcW w:w="1350" w:type="dxa"/>
          </w:tcPr>
          <w:p w14:paraId="5B497EC5" w14:textId="77777777" w:rsidR="000A4653" w:rsidRPr="00F27B26" w:rsidRDefault="000A4653" w:rsidP="0093467A">
            <w:pPr>
              <w:pStyle w:val="Tabletext"/>
              <w:jc w:val="right"/>
              <w:rPr>
                <w:lang w:eastAsia="en-AU"/>
              </w:rPr>
            </w:pPr>
            <w:r>
              <w:rPr>
                <w:lang w:eastAsia="en-AU"/>
              </w:rPr>
              <w:t>X</w:t>
            </w:r>
          </w:p>
        </w:tc>
        <w:tc>
          <w:tcPr>
            <w:tcW w:w="1350" w:type="dxa"/>
          </w:tcPr>
          <w:p w14:paraId="2D91299A" w14:textId="77777777" w:rsidR="000A4653" w:rsidRPr="00F27B26" w:rsidRDefault="000A4653" w:rsidP="0093467A">
            <w:pPr>
              <w:pStyle w:val="Tabletext"/>
              <w:jc w:val="right"/>
              <w:rPr>
                <w:lang w:eastAsia="en-AU"/>
              </w:rPr>
            </w:pPr>
            <w:r>
              <w:rPr>
                <w:lang w:eastAsia="en-AU"/>
              </w:rPr>
              <w:t>X</w:t>
            </w:r>
          </w:p>
        </w:tc>
      </w:tr>
      <w:tr w:rsidR="000A4653" w:rsidRPr="00F27B26" w14:paraId="4F42990C" w14:textId="77777777" w:rsidTr="0093467A">
        <w:tc>
          <w:tcPr>
            <w:tcW w:w="6447" w:type="dxa"/>
          </w:tcPr>
          <w:p w14:paraId="5567DD68" w14:textId="77777777" w:rsidR="000A4653" w:rsidRPr="00F27B26" w:rsidRDefault="000A4653" w:rsidP="006702F6">
            <w:pPr>
              <w:pStyle w:val="Tabletext"/>
              <w:rPr>
                <w:lang w:eastAsia="en-AU"/>
              </w:rPr>
            </w:pPr>
            <w:r w:rsidRPr="00F27B26">
              <w:rPr>
                <w:lang w:eastAsia="en-AU"/>
              </w:rPr>
              <w:t>International equity</w:t>
            </w:r>
          </w:p>
        </w:tc>
        <w:tc>
          <w:tcPr>
            <w:tcW w:w="1350" w:type="dxa"/>
          </w:tcPr>
          <w:p w14:paraId="0CA5C1FD" w14:textId="77777777" w:rsidR="000A4653" w:rsidRPr="00F27B26" w:rsidRDefault="000A4653" w:rsidP="0093467A">
            <w:pPr>
              <w:pStyle w:val="Tabletext"/>
              <w:jc w:val="right"/>
              <w:rPr>
                <w:lang w:eastAsia="en-AU"/>
              </w:rPr>
            </w:pPr>
            <w:r>
              <w:rPr>
                <w:lang w:eastAsia="en-AU"/>
              </w:rPr>
              <w:t>X</w:t>
            </w:r>
          </w:p>
        </w:tc>
        <w:tc>
          <w:tcPr>
            <w:tcW w:w="1350" w:type="dxa"/>
          </w:tcPr>
          <w:p w14:paraId="4E0FCD44" w14:textId="77777777" w:rsidR="000A4653" w:rsidRPr="00F27B26" w:rsidRDefault="000A4653" w:rsidP="0093467A">
            <w:pPr>
              <w:pStyle w:val="Tabletext"/>
              <w:jc w:val="right"/>
              <w:rPr>
                <w:lang w:eastAsia="en-AU"/>
              </w:rPr>
            </w:pPr>
            <w:r>
              <w:rPr>
                <w:lang w:eastAsia="en-AU"/>
              </w:rPr>
              <w:t>X</w:t>
            </w:r>
          </w:p>
        </w:tc>
      </w:tr>
      <w:tr w:rsidR="000A4653" w:rsidRPr="00F27B26" w14:paraId="45C01314" w14:textId="77777777" w:rsidTr="0093467A">
        <w:tc>
          <w:tcPr>
            <w:tcW w:w="6447" w:type="dxa"/>
          </w:tcPr>
          <w:p w14:paraId="48F6380D" w14:textId="77777777" w:rsidR="000A4653" w:rsidRPr="00CA23D3" w:rsidRDefault="000A4653" w:rsidP="006702F6">
            <w:pPr>
              <w:pStyle w:val="Tabletext"/>
              <w:rPr>
                <w:b/>
                <w:lang w:eastAsia="en-AU"/>
              </w:rPr>
            </w:pPr>
          </w:p>
        </w:tc>
        <w:tc>
          <w:tcPr>
            <w:tcW w:w="1350" w:type="dxa"/>
          </w:tcPr>
          <w:p w14:paraId="28D12AA2" w14:textId="77777777" w:rsidR="000A4653" w:rsidRPr="00F27B26" w:rsidDel="009D609D" w:rsidRDefault="000A4653" w:rsidP="0093467A">
            <w:pPr>
              <w:pStyle w:val="Tabletext"/>
              <w:jc w:val="right"/>
              <w:rPr>
                <w:lang w:eastAsia="en-AU"/>
              </w:rPr>
            </w:pPr>
          </w:p>
        </w:tc>
        <w:tc>
          <w:tcPr>
            <w:tcW w:w="1350" w:type="dxa"/>
          </w:tcPr>
          <w:p w14:paraId="7B5D4F81" w14:textId="77777777" w:rsidR="000A4653" w:rsidRDefault="000A4653" w:rsidP="0093467A">
            <w:pPr>
              <w:pStyle w:val="Tabletext"/>
              <w:jc w:val="right"/>
              <w:rPr>
                <w:lang w:eastAsia="en-AU"/>
              </w:rPr>
            </w:pPr>
          </w:p>
        </w:tc>
      </w:tr>
      <w:tr w:rsidR="000A4653" w:rsidRPr="00F27B26" w14:paraId="4CF3C6F7" w14:textId="77777777" w:rsidTr="0093467A">
        <w:tc>
          <w:tcPr>
            <w:tcW w:w="6447" w:type="dxa"/>
          </w:tcPr>
          <w:p w14:paraId="74A8D2FC" w14:textId="77777777" w:rsidR="000A4653" w:rsidRPr="00CA23D3" w:rsidRDefault="000A4653" w:rsidP="006702F6">
            <w:pPr>
              <w:pStyle w:val="Tabletext"/>
              <w:rPr>
                <w:b/>
                <w:lang w:eastAsia="en-AU"/>
              </w:rPr>
            </w:pPr>
            <w:r w:rsidRPr="00CA23D3">
              <w:rPr>
                <w:b/>
                <w:lang w:eastAsia="en-AU"/>
              </w:rPr>
              <w:t>Unquoted investments</w:t>
            </w:r>
          </w:p>
        </w:tc>
        <w:tc>
          <w:tcPr>
            <w:tcW w:w="1350" w:type="dxa"/>
          </w:tcPr>
          <w:p w14:paraId="0BB2FCE5" w14:textId="77777777" w:rsidR="000A4653" w:rsidRPr="00F27B26" w:rsidDel="009D609D" w:rsidRDefault="000A4653" w:rsidP="0093467A">
            <w:pPr>
              <w:pStyle w:val="Tabletext"/>
              <w:jc w:val="right"/>
              <w:rPr>
                <w:lang w:eastAsia="en-AU"/>
              </w:rPr>
            </w:pPr>
          </w:p>
        </w:tc>
        <w:tc>
          <w:tcPr>
            <w:tcW w:w="1350" w:type="dxa"/>
          </w:tcPr>
          <w:p w14:paraId="6C9C8DAB" w14:textId="77777777" w:rsidR="000A4653" w:rsidRDefault="000A4653" w:rsidP="0093467A">
            <w:pPr>
              <w:pStyle w:val="Tabletext"/>
              <w:jc w:val="right"/>
              <w:rPr>
                <w:lang w:eastAsia="en-AU"/>
              </w:rPr>
            </w:pPr>
          </w:p>
        </w:tc>
      </w:tr>
      <w:tr w:rsidR="000A4653" w:rsidRPr="00F27B26" w14:paraId="5A63A376" w14:textId="77777777" w:rsidTr="0093467A">
        <w:tc>
          <w:tcPr>
            <w:tcW w:w="6447" w:type="dxa"/>
          </w:tcPr>
          <w:p w14:paraId="3F24D6A9" w14:textId="77777777" w:rsidR="000A4653" w:rsidRPr="00F27B26" w:rsidRDefault="000A4653" w:rsidP="006702F6">
            <w:pPr>
              <w:pStyle w:val="Tabletext"/>
              <w:rPr>
                <w:lang w:eastAsia="en-AU"/>
              </w:rPr>
            </w:pPr>
            <w:r w:rsidRPr="00F27B26">
              <w:rPr>
                <w:lang w:eastAsia="en-AU"/>
              </w:rPr>
              <w:t>Domestic debt assets</w:t>
            </w:r>
          </w:p>
        </w:tc>
        <w:tc>
          <w:tcPr>
            <w:tcW w:w="1350" w:type="dxa"/>
          </w:tcPr>
          <w:p w14:paraId="034BDE93" w14:textId="77777777" w:rsidR="000A4653" w:rsidRPr="00F27B26" w:rsidRDefault="000A4653" w:rsidP="0093467A">
            <w:pPr>
              <w:pStyle w:val="Tabletext"/>
              <w:jc w:val="right"/>
              <w:rPr>
                <w:lang w:eastAsia="en-AU"/>
              </w:rPr>
            </w:pPr>
            <w:r>
              <w:rPr>
                <w:lang w:eastAsia="en-AU"/>
              </w:rPr>
              <w:t>X</w:t>
            </w:r>
          </w:p>
        </w:tc>
        <w:tc>
          <w:tcPr>
            <w:tcW w:w="1350" w:type="dxa"/>
          </w:tcPr>
          <w:p w14:paraId="10A66454" w14:textId="77777777" w:rsidR="000A4653" w:rsidRPr="00F27B26" w:rsidRDefault="000A4653" w:rsidP="0093467A">
            <w:pPr>
              <w:pStyle w:val="Tabletext"/>
              <w:jc w:val="right"/>
              <w:rPr>
                <w:lang w:eastAsia="en-AU"/>
              </w:rPr>
            </w:pPr>
            <w:r>
              <w:rPr>
                <w:lang w:eastAsia="en-AU"/>
              </w:rPr>
              <w:t>X</w:t>
            </w:r>
          </w:p>
        </w:tc>
      </w:tr>
      <w:tr w:rsidR="000A4653" w:rsidRPr="00F27B26" w14:paraId="675B1540" w14:textId="77777777" w:rsidTr="0093467A">
        <w:tc>
          <w:tcPr>
            <w:tcW w:w="6447" w:type="dxa"/>
          </w:tcPr>
          <w:p w14:paraId="3B82D882" w14:textId="77777777" w:rsidR="000A4653" w:rsidRPr="00F27B26" w:rsidRDefault="000A4653" w:rsidP="006702F6">
            <w:pPr>
              <w:pStyle w:val="Tabletext"/>
              <w:rPr>
                <w:lang w:eastAsia="en-AU"/>
              </w:rPr>
            </w:pPr>
            <w:r w:rsidRPr="00F27B26">
              <w:rPr>
                <w:lang w:eastAsia="en-AU"/>
              </w:rPr>
              <w:t>Property</w:t>
            </w:r>
          </w:p>
        </w:tc>
        <w:tc>
          <w:tcPr>
            <w:tcW w:w="1350" w:type="dxa"/>
          </w:tcPr>
          <w:p w14:paraId="25B8C99F" w14:textId="77777777" w:rsidR="000A4653" w:rsidRPr="00F27B26" w:rsidRDefault="000A4653" w:rsidP="0093467A">
            <w:pPr>
              <w:pStyle w:val="Tabletext"/>
              <w:jc w:val="right"/>
              <w:rPr>
                <w:lang w:eastAsia="en-AU"/>
              </w:rPr>
            </w:pPr>
            <w:r>
              <w:rPr>
                <w:lang w:eastAsia="en-AU"/>
              </w:rPr>
              <w:t>X</w:t>
            </w:r>
          </w:p>
        </w:tc>
        <w:tc>
          <w:tcPr>
            <w:tcW w:w="1350" w:type="dxa"/>
          </w:tcPr>
          <w:p w14:paraId="3D1B9CCC" w14:textId="77777777" w:rsidR="000A4653" w:rsidRPr="00F27B26" w:rsidRDefault="000A4653" w:rsidP="0093467A">
            <w:pPr>
              <w:pStyle w:val="Tabletext"/>
              <w:jc w:val="right"/>
              <w:rPr>
                <w:lang w:eastAsia="en-AU"/>
              </w:rPr>
            </w:pPr>
            <w:r>
              <w:rPr>
                <w:lang w:eastAsia="en-AU"/>
              </w:rPr>
              <w:t>X</w:t>
            </w:r>
          </w:p>
        </w:tc>
      </w:tr>
      <w:tr w:rsidR="000A4653" w:rsidRPr="00F27B26" w14:paraId="799757CC" w14:textId="77777777" w:rsidTr="0093467A">
        <w:tc>
          <w:tcPr>
            <w:tcW w:w="6447" w:type="dxa"/>
          </w:tcPr>
          <w:p w14:paraId="2C4B1B9B" w14:textId="77777777" w:rsidR="000A4653" w:rsidRPr="00F27B26" w:rsidRDefault="000A4653" w:rsidP="006702F6">
            <w:pPr>
              <w:pStyle w:val="Tabletext"/>
              <w:rPr>
                <w:lang w:eastAsia="en-AU"/>
              </w:rPr>
            </w:pPr>
            <w:r w:rsidRPr="00F27B26">
              <w:rPr>
                <w:lang w:eastAsia="en-AU"/>
              </w:rPr>
              <w:t>Cash</w:t>
            </w:r>
          </w:p>
        </w:tc>
        <w:tc>
          <w:tcPr>
            <w:tcW w:w="1350" w:type="dxa"/>
          </w:tcPr>
          <w:p w14:paraId="586EDD9A" w14:textId="77777777" w:rsidR="000A4653" w:rsidRPr="00F27B26" w:rsidRDefault="000A4653" w:rsidP="0093467A">
            <w:pPr>
              <w:pStyle w:val="Tabletext"/>
              <w:jc w:val="right"/>
              <w:rPr>
                <w:lang w:eastAsia="en-AU"/>
              </w:rPr>
            </w:pPr>
            <w:r>
              <w:rPr>
                <w:lang w:eastAsia="en-AU"/>
              </w:rPr>
              <w:t>X</w:t>
            </w:r>
          </w:p>
        </w:tc>
        <w:tc>
          <w:tcPr>
            <w:tcW w:w="1350" w:type="dxa"/>
          </w:tcPr>
          <w:p w14:paraId="3038440C" w14:textId="77777777" w:rsidR="000A4653" w:rsidRPr="00F27B26" w:rsidRDefault="000A4653" w:rsidP="0093467A">
            <w:pPr>
              <w:pStyle w:val="Tabletext"/>
              <w:jc w:val="right"/>
              <w:rPr>
                <w:lang w:eastAsia="en-AU"/>
              </w:rPr>
            </w:pPr>
            <w:r>
              <w:rPr>
                <w:lang w:eastAsia="en-AU"/>
              </w:rPr>
              <w:t>X</w:t>
            </w:r>
          </w:p>
        </w:tc>
      </w:tr>
      <w:tr w:rsidR="000A4653" w:rsidRPr="00F27B26" w14:paraId="7A815F4E" w14:textId="77777777" w:rsidTr="0093467A">
        <w:tc>
          <w:tcPr>
            <w:tcW w:w="6447" w:type="dxa"/>
          </w:tcPr>
          <w:p w14:paraId="3E102C57" w14:textId="77777777" w:rsidR="000A4653" w:rsidRPr="00F27B26" w:rsidRDefault="000A4653" w:rsidP="006702F6">
            <w:pPr>
              <w:pStyle w:val="Tabletext"/>
              <w:rPr>
                <w:lang w:eastAsia="en-AU"/>
              </w:rPr>
            </w:pPr>
            <w:r w:rsidRPr="00F27B26">
              <w:rPr>
                <w:lang w:eastAsia="en-AU"/>
              </w:rPr>
              <w:t>Other</w:t>
            </w:r>
          </w:p>
        </w:tc>
        <w:tc>
          <w:tcPr>
            <w:tcW w:w="1350" w:type="dxa"/>
          </w:tcPr>
          <w:p w14:paraId="0D81C992" w14:textId="77777777" w:rsidR="000A4653" w:rsidRPr="00F27B26" w:rsidRDefault="000A4653" w:rsidP="0093467A">
            <w:pPr>
              <w:pStyle w:val="Tabletext"/>
              <w:jc w:val="right"/>
              <w:rPr>
                <w:lang w:eastAsia="en-AU"/>
              </w:rPr>
            </w:pPr>
            <w:r>
              <w:rPr>
                <w:lang w:eastAsia="en-AU"/>
              </w:rPr>
              <w:t>X</w:t>
            </w:r>
          </w:p>
        </w:tc>
        <w:tc>
          <w:tcPr>
            <w:tcW w:w="1350" w:type="dxa"/>
          </w:tcPr>
          <w:p w14:paraId="471E8FD9" w14:textId="77777777" w:rsidR="000A4653" w:rsidRPr="00F27B26" w:rsidRDefault="000A4653" w:rsidP="0093467A">
            <w:pPr>
              <w:pStyle w:val="Tabletext"/>
              <w:jc w:val="right"/>
              <w:rPr>
                <w:lang w:eastAsia="en-AU"/>
              </w:rPr>
            </w:pPr>
            <w:r>
              <w:rPr>
                <w:lang w:eastAsia="en-AU"/>
              </w:rPr>
              <w:t>X</w:t>
            </w:r>
          </w:p>
        </w:tc>
      </w:tr>
      <w:tr w:rsidR="000A4653" w:rsidRPr="00F27B26" w14:paraId="0D9D4D48" w14:textId="77777777" w:rsidTr="0093467A">
        <w:tc>
          <w:tcPr>
            <w:tcW w:w="6447" w:type="dxa"/>
          </w:tcPr>
          <w:p w14:paraId="50322D9E" w14:textId="77777777" w:rsidR="000A4653" w:rsidRPr="00F27B26" w:rsidRDefault="000A4653" w:rsidP="006702F6">
            <w:pPr>
              <w:pStyle w:val="Tabletext"/>
              <w:rPr>
                <w:lang w:eastAsia="en-AU"/>
              </w:rPr>
            </w:pPr>
          </w:p>
        </w:tc>
        <w:tc>
          <w:tcPr>
            <w:tcW w:w="1350" w:type="dxa"/>
          </w:tcPr>
          <w:p w14:paraId="300CF106" w14:textId="77777777" w:rsidR="000A4653" w:rsidRPr="00F27B26" w:rsidRDefault="000A4653" w:rsidP="0093467A">
            <w:pPr>
              <w:pStyle w:val="Tabletext"/>
              <w:jc w:val="right"/>
              <w:rPr>
                <w:lang w:eastAsia="en-AU"/>
              </w:rPr>
            </w:pPr>
            <w:r w:rsidRPr="00F27B26">
              <w:rPr>
                <w:lang w:eastAsia="en-AU"/>
              </w:rPr>
              <w:t>100.0</w:t>
            </w:r>
          </w:p>
        </w:tc>
        <w:tc>
          <w:tcPr>
            <w:tcW w:w="1350" w:type="dxa"/>
          </w:tcPr>
          <w:p w14:paraId="7B8738DC" w14:textId="77777777" w:rsidR="000A4653" w:rsidRPr="00F27B26" w:rsidRDefault="000A4653" w:rsidP="0093467A">
            <w:pPr>
              <w:pStyle w:val="Tabletext"/>
              <w:jc w:val="right"/>
              <w:rPr>
                <w:lang w:eastAsia="en-AU"/>
              </w:rPr>
            </w:pPr>
            <w:r>
              <w:rPr>
                <w:lang w:eastAsia="en-AU"/>
              </w:rPr>
              <w:t>X</w:t>
            </w:r>
          </w:p>
        </w:tc>
      </w:tr>
    </w:tbl>
    <w:p w14:paraId="66AA7249" w14:textId="77777777" w:rsidR="000A4653" w:rsidRDefault="000A4653" w:rsidP="000A4653"/>
    <w:sectPr w:rsidR="000A4653" w:rsidSect="005828FE">
      <w:headerReference w:type="default" r:id="rId9"/>
      <w:footerReference w:type="even" r:id="rId10"/>
      <w:footerReference w:type="default" r:id="rId11"/>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59A3" w14:textId="77777777" w:rsidR="00B50879" w:rsidRDefault="00B50879" w:rsidP="002D711A">
      <w:pPr>
        <w:spacing w:after="0" w:line="240" w:lineRule="auto"/>
      </w:pPr>
      <w:r>
        <w:separator/>
      </w:r>
    </w:p>
    <w:p w14:paraId="37E28EA4" w14:textId="77777777" w:rsidR="00B50879" w:rsidRDefault="00B50879"/>
  </w:endnote>
  <w:endnote w:type="continuationSeparator" w:id="0">
    <w:p w14:paraId="1D2D5F71" w14:textId="77777777" w:rsidR="00B50879" w:rsidRDefault="00B50879" w:rsidP="002D711A">
      <w:pPr>
        <w:spacing w:after="0" w:line="240" w:lineRule="auto"/>
      </w:pPr>
      <w:r>
        <w:continuationSeparator/>
      </w:r>
    </w:p>
    <w:p w14:paraId="70B32393" w14:textId="77777777" w:rsidR="00B50879" w:rsidRDefault="00B50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0B7E" w14:textId="77777777" w:rsidR="00014213" w:rsidRPr="00014213" w:rsidRDefault="00014213" w:rsidP="00C022F9">
    <w:pPr>
      <w:pStyle w:val="Footer"/>
    </w:pPr>
    <w:r>
      <w:drawing>
        <wp:anchor distT="0" distB="0" distL="114300" distR="114300" simplePos="0" relativeHeight="251656192" behindDoc="0" locked="0" layoutInCell="1" allowOverlap="1" wp14:anchorId="47CA9542" wp14:editId="41CCCEA2">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4ED9BE49"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3FC9" w14:textId="75780D44" w:rsidR="00A516DE" w:rsidRDefault="00580630" w:rsidP="00A516DE">
    <w:pPr>
      <w:pStyle w:val="Spacer"/>
    </w:pPr>
    <w:r>
      <w:rPr>
        <w:noProof/>
      </w:rPr>
      <mc:AlternateContent>
        <mc:Choice Requires="wps">
          <w:drawing>
            <wp:anchor distT="0" distB="0" distL="114300" distR="114300" simplePos="0" relativeHeight="251658240" behindDoc="0" locked="0" layoutInCell="0" allowOverlap="1" wp14:anchorId="19A1DBAC" wp14:editId="60CB5781">
              <wp:simplePos x="0" y="0"/>
              <wp:positionH relativeFrom="page">
                <wp:posOffset>0</wp:posOffset>
              </wp:positionH>
              <wp:positionV relativeFrom="page">
                <wp:posOffset>10227945</wp:posOffset>
              </wp:positionV>
              <wp:extent cx="7560310" cy="273050"/>
              <wp:effectExtent l="0" t="0" r="0" b="12700"/>
              <wp:wrapNone/>
              <wp:docPr id="1" name="MSIPCM668c4c9a877de766c9cc0cc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EF967" w14:textId="6149A23B" w:rsidR="00580630" w:rsidRPr="00580630" w:rsidRDefault="00580630" w:rsidP="00580630">
                          <w:pPr>
                            <w:spacing w:before="0" w:after="0"/>
                            <w:rPr>
                              <w:rFonts w:ascii="Calibri" w:hAnsi="Calibri" w:cs="Calibri"/>
                              <w:color w:val="000000"/>
                              <w:sz w:val="22"/>
                            </w:rPr>
                          </w:pPr>
                          <w:r w:rsidRPr="0058063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A1DBAC" id="_x0000_t202" coordsize="21600,21600" o:spt="202" path="m,l,21600r21600,l21600,xe">
              <v:stroke joinstyle="miter"/>
              <v:path gradientshapeok="t" o:connecttype="rect"/>
            </v:shapetype>
            <v:shape id="MSIPCM668c4c9a877de766c9cc0cce"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8w7a8rICAABIBQAA&#10;DgAAAAAAAAAAAAAAAAAuAgAAZHJzL2Uyb0RvYy54bWxQSwECLQAUAAYACAAAACEAfHYI4d8AAAAL&#10;AQAADwAAAAAAAAAAAAAAAAAMBQAAZHJzL2Rvd25yZXYueG1sUEsFBgAAAAAEAAQA8wAAABgGAAAA&#10;AA==&#10;" o:allowincell="f" filled="f" stroked="f" strokeweight=".5pt">
              <v:textbox inset="20pt,0,,0">
                <w:txbxContent>
                  <w:p w14:paraId="70EEF967" w14:textId="6149A23B" w:rsidR="00580630" w:rsidRPr="00580630" w:rsidRDefault="00580630" w:rsidP="00580630">
                    <w:pPr>
                      <w:spacing w:before="0" w:after="0"/>
                      <w:rPr>
                        <w:rFonts w:ascii="Calibri" w:hAnsi="Calibri" w:cs="Calibri"/>
                        <w:color w:val="000000"/>
                        <w:sz w:val="22"/>
                      </w:rPr>
                    </w:pPr>
                    <w:r w:rsidRPr="00580630">
                      <w:rPr>
                        <w:rFonts w:ascii="Calibri" w:hAnsi="Calibri" w:cs="Calibri"/>
                        <w:color w:val="000000"/>
                        <w:sz w:val="22"/>
                      </w:rPr>
                      <w:t>OFFICIAL</w:t>
                    </w:r>
                  </w:p>
                </w:txbxContent>
              </v:textbox>
              <w10:wrap anchorx="page" anchory="page"/>
            </v:shape>
          </w:pict>
        </mc:Fallback>
      </mc:AlternateContent>
    </w:r>
  </w:p>
  <w:p w14:paraId="473AE29A" w14:textId="76A007C7"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CD41D4">
      <w:rPr>
        <w:b/>
      </w:rPr>
      <w:t>FRD 112</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CD41D4">
      <w:t>Defined Benefit Superannuation Obligations (April 2022)</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4A77BA">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3E06" w14:textId="77777777" w:rsidR="00B50879" w:rsidRDefault="00B50879" w:rsidP="002D711A">
      <w:pPr>
        <w:spacing w:after="0" w:line="240" w:lineRule="auto"/>
      </w:pPr>
      <w:r>
        <w:separator/>
      </w:r>
    </w:p>
    <w:p w14:paraId="7C2B4E68" w14:textId="77777777" w:rsidR="00B50879" w:rsidRDefault="00B50879"/>
  </w:footnote>
  <w:footnote w:type="continuationSeparator" w:id="0">
    <w:p w14:paraId="5C098BB4" w14:textId="77777777" w:rsidR="00B50879" w:rsidRDefault="00B50879" w:rsidP="002D711A">
      <w:pPr>
        <w:spacing w:after="0" w:line="240" w:lineRule="auto"/>
      </w:pPr>
      <w:r>
        <w:continuationSeparator/>
      </w:r>
    </w:p>
    <w:p w14:paraId="75415825" w14:textId="77777777" w:rsidR="00B50879" w:rsidRDefault="00B50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EDB7" w14:textId="77777777" w:rsidR="0041689E" w:rsidRPr="0041689E" w:rsidRDefault="005828FE" w:rsidP="005828FE">
    <w:pPr>
      <w:pStyle w:val="Header"/>
      <w:tabs>
        <w:tab w:val="clear" w:pos="9026"/>
      </w:tabs>
      <w:ind w:right="-694"/>
      <w:jc w:val="right"/>
    </w:pPr>
    <w:r>
      <w:rPr>
        <w:noProof/>
      </w:rPr>
      <w:drawing>
        <wp:inline distT="0" distB="0" distL="0" distR="0" wp14:anchorId="653F9925" wp14:editId="53E30884">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6B8349F6"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5DF"/>
    <w:multiLevelType w:val="hybridMultilevel"/>
    <w:tmpl w:val="7458CF1C"/>
    <w:lvl w:ilvl="0" w:tplc="FB0C9626">
      <w:start w:val="1"/>
      <w:numFmt w:val="bullet"/>
      <w:lvlText w:val="-"/>
      <w:lvlJc w:val="left"/>
      <w:pPr>
        <w:ind w:left="720" w:hanging="360"/>
      </w:pPr>
      <w:rPr>
        <w:rFonts w:ascii="Symbol" w:hAnsi="Symbol" w:hint="default"/>
        <w:b w:val="0"/>
        <w:i w:val="0"/>
        <w:color w:val="595959"/>
        <w:sz w:val="20"/>
        <w:szCs w:val="20"/>
      </w:rPr>
    </w:lvl>
    <w:lvl w:ilvl="1" w:tplc="86CCC282">
      <w:start w:val="1"/>
      <w:numFmt w:val="lowerRoman"/>
      <w:lvlText w:val="(%2)"/>
      <w:lvlJc w:val="left"/>
      <w:pPr>
        <w:ind w:left="1440" w:hanging="360"/>
      </w:pPr>
      <w:rPr>
        <w:rFonts w:hint="default"/>
        <w:b w:val="0"/>
        <w:i w:val="0"/>
        <w:color w:val="auto"/>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A311C2"/>
    <w:multiLevelType w:val="hybridMultilevel"/>
    <w:tmpl w:val="C76C2E3C"/>
    <w:lvl w:ilvl="0" w:tplc="FB0C9626">
      <w:start w:val="1"/>
      <w:numFmt w:val="bullet"/>
      <w:lvlText w:val="-"/>
      <w:lvlJc w:val="left"/>
      <w:pPr>
        <w:ind w:left="720" w:hanging="360"/>
      </w:pPr>
      <w:rPr>
        <w:rFonts w:ascii="Symbol" w:hAnsi="Symbol" w:hint="default"/>
        <w:b w:val="0"/>
        <w:i w:val="0"/>
        <w:color w:val="595959"/>
        <w:sz w:val="20"/>
        <w:szCs w:val="20"/>
      </w:rPr>
    </w:lvl>
    <w:lvl w:ilvl="1" w:tplc="6BBC829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C550F8"/>
    <w:multiLevelType w:val="hybridMultilevel"/>
    <w:tmpl w:val="3DC4E006"/>
    <w:lvl w:ilvl="0" w:tplc="0A6062EA">
      <w:start w:val="1"/>
      <w:numFmt w:val="lowerLetter"/>
      <w:lvlText w:val="(%1)"/>
      <w:lvlJc w:val="left"/>
      <w:pPr>
        <w:ind w:left="360" w:hanging="360"/>
      </w:pPr>
      <w:rPr>
        <w:rFonts w:hint="default"/>
        <w:color w:val="7F7F7F"/>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BEF6F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3"/>
  </w:num>
  <w:num w:numId="2">
    <w:abstractNumId w:val="3"/>
  </w:num>
  <w:num w:numId="3">
    <w:abstractNumId w:val="3"/>
  </w:num>
  <w:num w:numId="4">
    <w:abstractNumId w:val="9"/>
  </w:num>
  <w:num w:numId="5">
    <w:abstractNumId w:val="3"/>
  </w:num>
  <w:num w:numId="6">
    <w:abstractNumId w:val="3"/>
  </w:num>
  <w:num w:numId="7">
    <w:abstractNumId w:val="3"/>
  </w:num>
  <w:num w:numId="8">
    <w:abstractNumId w:val="3"/>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
  </w:num>
  <w:num w:numId="18">
    <w:abstractNumId w:val="1"/>
  </w:num>
  <w:num w:numId="19">
    <w:abstractNumId w:val="4"/>
  </w:num>
  <w:num w:numId="20">
    <w:abstractNumId w:val="8"/>
  </w:num>
  <w:num w:numId="21">
    <w:abstractNumId w:val="8"/>
  </w:num>
  <w:num w:numId="22">
    <w:abstractNumId w:val="7"/>
  </w:num>
  <w:num w:numId="23">
    <w:abstractNumId w:val="7"/>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7"/>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5"/>
    <w:lvlOverride w:ilvl="0">
      <w:startOverride w:val="1"/>
    </w:lvlOverride>
  </w:num>
  <w:num w:numId="31">
    <w:abstractNumId w:val="2"/>
  </w:num>
  <w:num w:numId="32">
    <w:abstractNumId w:val="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879"/>
    <w:rsid w:val="0000176A"/>
    <w:rsid w:val="0000533F"/>
    <w:rsid w:val="00012F6F"/>
    <w:rsid w:val="00014213"/>
    <w:rsid w:val="00014B55"/>
    <w:rsid w:val="00020E3E"/>
    <w:rsid w:val="00023BF3"/>
    <w:rsid w:val="00026811"/>
    <w:rsid w:val="0004356D"/>
    <w:rsid w:val="00045296"/>
    <w:rsid w:val="00075E6C"/>
    <w:rsid w:val="000A4653"/>
    <w:rsid w:val="000B29AD"/>
    <w:rsid w:val="000C6372"/>
    <w:rsid w:val="000E392D"/>
    <w:rsid w:val="000F4288"/>
    <w:rsid w:val="000F7165"/>
    <w:rsid w:val="00102379"/>
    <w:rsid w:val="001065D6"/>
    <w:rsid w:val="00106E44"/>
    <w:rsid w:val="00117C6B"/>
    <w:rsid w:val="00121252"/>
    <w:rsid w:val="00124609"/>
    <w:rsid w:val="001254CE"/>
    <w:rsid w:val="001302DE"/>
    <w:rsid w:val="00134CEA"/>
    <w:rsid w:val="001422CC"/>
    <w:rsid w:val="00154FDB"/>
    <w:rsid w:val="001617B6"/>
    <w:rsid w:val="00165E66"/>
    <w:rsid w:val="001C7BAE"/>
    <w:rsid w:val="001E31FA"/>
    <w:rsid w:val="001E64F6"/>
    <w:rsid w:val="00204CB9"/>
    <w:rsid w:val="00215F7C"/>
    <w:rsid w:val="00222BEB"/>
    <w:rsid w:val="00225E60"/>
    <w:rsid w:val="00231BD3"/>
    <w:rsid w:val="0023202C"/>
    <w:rsid w:val="00236203"/>
    <w:rsid w:val="00245043"/>
    <w:rsid w:val="00257760"/>
    <w:rsid w:val="002752C5"/>
    <w:rsid w:val="00285B4C"/>
    <w:rsid w:val="00286F9A"/>
    <w:rsid w:val="00292D36"/>
    <w:rsid w:val="00297281"/>
    <w:rsid w:val="002A4004"/>
    <w:rsid w:val="002A79B8"/>
    <w:rsid w:val="002C54E0"/>
    <w:rsid w:val="002D711A"/>
    <w:rsid w:val="002D7336"/>
    <w:rsid w:val="002E3396"/>
    <w:rsid w:val="0031149C"/>
    <w:rsid w:val="00321AC8"/>
    <w:rsid w:val="003225E4"/>
    <w:rsid w:val="00361426"/>
    <w:rsid w:val="00382EE1"/>
    <w:rsid w:val="00385422"/>
    <w:rsid w:val="0038771C"/>
    <w:rsid w:val="0039405B"/>
    <w:rsid w:val="003A1C92"/>
    <w:rsid w:val="003A541A"/>
    <w:rsid w:val="003A6923"/>
    <w:rsid w:val="003C2C67"/>
    <w:rsid w:val="003C5BA4"/>
    <w:rsid w:val="003E3E26"/>
    <w:rsid w:val="003F1295"/>
    <w:rsid w:val="003F76FC"/>
    <w:rsid w:val="004002EB"/>
    <w:rsid w:val="0041689E"/>
    <w:rsid w:val="00421F2E"/>
    <w:rsid w:val="004236C8"/>
    <w:rsid w:val="00427681"/>
    <w:rsid w:val="00433DB7"/>
    <w:rsid w:val="00453750"/>
    <w:rsid w:val="00456941"/>
    <w:rsid w:val="00464F7E"/>
    <w:rsid w:val="0046685B"/>
    <w:rsid w:val="0046697B"/>
    <w:rsid w:val="004702EA"/>
    <w:rsid w:val="00482D02"/>
    <w:rsid w:val="004A7519"/>
    <w:rsid w:val="004A77BA"/>
    <w:rsid w:val="004D3518"/>
    <w:rsid w:val="004D62D6"/>
    <w:rsid w:val="004D71D7"/>
    <w:rsid w:val="004E6AA1"/>
    <w:rsid w:val="004F163E"/>
    <w:rsid w:val="004F2F34"/>
    <w:rsid w:val="004F6445"/>
    <w:rsid w:val="0053416C"/>
    <w:rsid w:val="00541C2F"/>
    <w:rsid w:val="00554086"/>
    <w:rsid w:val="00563527"/>
    <w:rsid w:val="00565CF3"/>
    <w:rsid w:val="0057703D"/>
    <w:rsid w:val="00580630"/>
    <w:rsid w:val="0058124E"/>
    <w:rsid w:val="005828FE"/>
    <w:rsid w:val="005875A3"/>
    <w:rsid w:val="005A3416"/>
    <w:rsid w:val="005B27FE"/>
    <w:rsid w:val="005C3E6D"/>
    <w:rsid w:val="005D51F0"/>
    <w:rsid w:val="005F61DF"/>
    <w:rsid w:val="005F681F"/>
    <w:rsid w:val="006023F9"/>
    <w:rsid w:val="00610559"/>
    <w:rsid w:val="006332F6"/>
    <w:rsid w:val="006519F6"/>
    <w:rsid w:val="00652625"/>
    <w:rsid w:val="006534B2"/>
    <w:rsid w:val="0065515A"/>
    <w:rsid w:val="0065615D"/>
    <w:rsid w:val="00657011"/>
    <w:rsid w:val="006650B5"/>
    <w:rsid w:val="006651B1"/>
    <w:rsid w:val="00665778"/>
    <w:rsid w:val="00695F0C"/>
    <w:rsid w:val="006A5B34"/>
    <w:rsid w:val="006A5F5B"/>
    <w:rsid w:val="006B2873"/>
    <w:rsid w:val="006C77A9"/>
    <w:rsid w:val="006C78FB"/>
    <w:rsid w:val="006D66F9"/>
    <w:rsid w:val="006F6693"/>
    <w:rsid w:val="0070117D"/>
    <w:rsid w:val="00707FE8"/>
    <w:rsid w:val="00724962"/>
    <w:rsid w:val="00724A0F"/>
    <w:rsid w:val="00732162"/>
    <w:rsid w:val="00736732"/>
    <w:rsid w:val="00740302"/>
    <w:rsid w:val="0074281E"/>
    <w:rsid w:val="00745174"/>
    <w:rsid w:val="00747E5E"/>
    <w:rsid w:val="00750CBE"/>
    <w:rsid w:val="00766B5A"/>
    <w:rsid w:val="007834F2"/>
    <w:rsid w:val="00791020"/>
    <w:rsid w:val="007A5F82"/>
    <w:rsid w:val="007F1A4C"/>
    <w:rsid w:val="008022C3"/>
    <w:rsid w:val="008041E6"/>
    <w:rsid w:val="008065D2"/>
    <w:rsid w:val="0082194C"/>
    <w:rsid w:val="008220C4"/>
    <w:rsid w:val="008222FF"/>
    <w:rsid w:val="008241FF"/>
    <w:rsid w:val="008411E9"/>
    <w:rsid w:val="0084200F"/>
    <w:rsid w:val="00843B2C"/>
    <w:rsid w:val="00863669"/>
    <w:rsid w:val="008A4900"/>
    <w:rsid w:val="008B2A17"/>
    <w:rsid w:val="008C63EE"/>
    <w:rsid w:val="008D0281"/>
    <w:rsid w:val="008E3C4E"/>
    <w:rsid w:val="008F6D45"/>
    <w:rsid w:val="0093467A"/>
    <w:rsid w:val="00942CF8"/>
    <w:rsid w:val="00957221"/>
    <w:rsid w:val="00962BE9"/>
    <w:rsid w:val="00963C94"/>
    <w:rsid w:val="009834C0"/>
    <w:rsid w:val="00986322"/>
    <w:rsid w:val="00986AAC"/>
    <w:rsid w:val="0099093E"/>
    <w:rsid w:val="009A1DA2"/>
    <w:rsid w:val="009A3704"/>
    <w:rsid w:val="009A4739"/>
    <w:rsid w:val="009A674F"/>
    <w:rsid w:val="009B199C"/>
    <w:rsid w:val="009B54C8"/>
    <w:rsid w:val="009B61F1"/>
    <w:rsid w:val="009B62E0"/>
    <w:rsid w:val="009C0313"/>
    <w:rsid w:val="009C3D88"/>
    <w:rsid w:val="009C503D"/>
    <w:rsid w:val="009D06F6"/>
    <w:rsid w:val="009E3858"/>
    <w:rsid w:val="009E70DD"/>
    <w:rsid w:val="009F2ED9"/>
    <w:rsid w:val="009F3231"/>
    <w:rsid w:val="009F5C58"/>
    <w:rsid w:val="00A023A0"/>
    <w:rsid w:val="00A03F5F"/>
    <w:rsid w:val="00A1562B"/>
    <w:rsid w:val="00A170F4"/>
    <w:rsid w:val="00A2559E"/>
    <w:rsid w:val="00A25FD9"/>
    <w:rsid w:val="00A46BA8"/>
    <w:rsid w:val="00A47634"/>
    <w:rsid w:val="00A516DE"/>
    <w:rsid w:val="00A612FE"/>
    <w:rsid w:val="00A736BE"/>
    <w:rsid w:val="00AA26B8"/>
    <w:rsid w:val="00AA4D53"/>
    <w:rsid w:val="00AB3FE2"/>
    <w:rsid w:val="00AC11CF"/>
    <w:rsid w:val="00AC4B9D"/>
    <w:rsid w:val="00AD3322"/>
    <w:rsid w:val="00AD7E4E"/>
    <w:rsid w:val="00AF3D47"/>
    <w:rsid w:val="00AF48A0"/>
    <w:rsid w:val="00AF4D58"/>
    <w:rsid w:val="00AF6666"/>
    <w:rsid w:val="00B10154"/>
    <w:rsid w:val="00B50879"/>
    <w:rsid w:val="00B6366E"/>
    <w:rsid w:val="00B81B44"/>
    <w:rsid w:val="00B9053B"/>
    <w:rsid w:val="00B93C44"/>
    <w:rsid w:val="00BC3422"/>
    <w:rsid w:val="00BC6691"/>
    <w:rsid w:val="00C015B9"/>
    <w:rsid w:val="00C022F9"/>
    <w:rsid w:val="00C032EA"/>
    <w:rsid w:val="00C04715"/>
    <w:rsid w:val="00C06EB5"/>
    <w:rsid w:val="00C1145F"/>
    <w:rsid w:val="00C46952"/>
    <w:rsid w:val="00C637E1"/>
    <w:rsid w:val="00C70D50"/>
    <w:rsid w:val="00C907D7"/>
    <w:rsid w:val="00C92338"/>
    <w:rsid w:val="00CA1DC8"/>
    <w:rsid w:val="00CA7C3A"/>
    <w:rsid w:val="00CB4622"/>
    <w:rsid w:val="00CC2DB2"/>
    <w:rsid w:val="00CD0307"/>
    <w:rsid w:val="00CD1647"/>
    <w:rsid w:val="00CD3D1B"/>
    <w:rsid w:val="00CD41D4"/>
    <w:rsid w:val="00CF7DCA"/>
    <w:rsid w:val="00D0364F"/>
    <w:rsid w:val="00D211E9"/>
    <w:rsid w:val="00D2312F"/>
    <w:rsid w:val="00D269C1"/>
    <w:rsid w:val="00D44953"/>
    <w:rsid w:val="00D45E19"/>
    <w:rsid w:val="00D5422A"/>
    <w:rsid w:val="00D542F3"/>
    <w:rsid w:val="00D5644B"/>
    <w:rsid w:val="00D56E25"/>
    <w:rsid w:val="00D718D7"/>
    <w:rsid w:val="00D814B7"/>
    <w:rsid w:val="00D90688"/>
    <w:rsid w:val="00DA3AAD"/>
    <w:rsid w:val="00DA7832"/>
    <w:rsid w:val="00DB312B"/>
    <w:rsid w:val="00DC5654"/>
    <w:rsid w:val="00DC658F"/>
    <w:rsid w:val="00DD5EB6"/>
    <w:rsid w:val="00DE60CC"/>
    <w:rsid w:val="00E122DB"/>
    <w:rsid w:val="00E1551F"/>
    <w:rsid w:val="00E20142"/>
    <w:rsid w:val="00E26B32"/>
    <w:rsid w:val="00E30E0A"/>
    <w:rsid w:val="00E3232B"/>
    <w:rsid w:val="00E407B6"/>
    <w:rsid w:val="00E41EF1"/>
    <w:rsid w:val="00E42942"/>
    <w:rsid w:val="00E468A6"/>
    <w:rsid w:val="00E71BDF"/>
    <w:rsid w:val="00E83CA7"/>
    <w:rsid w:val="00EA03A3"/>
    <w:rsid w:val="00EC171D"/>
    <w:rsid w:val="00ED487E"/>
    <w:rsid w:val="00EE7A0D"/>
    <w:rsid w:val="00EF234C"/>
    <w:rsid w:val="00F17CE1"/>
    <w:rsid w:val="00F2115C"/>
    <w:rsid w:val="00F22ABA"/>
    <w:rsid w:val="00F23366"/>
    <w:rsid w:val="00F36B12"/>
    <w:rsid w:val="00F55AF4"/>
    <w:rsid w:val="00F60F9F"/>
    <w:rsid w:val="00F64F08"/>
    <w:rsid w:val="00F734F5"/>
    <w:rsid w:val="00F966B1"/>
    <w:rsid w:val="00F97D48"/>
    <w:rsid w:val="00FA0311"/>
    <w:rsid w:val="00FA1680"/>
    <w:rsid w:val="00FB1EC9"/>
    <w:rsid w:val="00FC42E5"/>
    <w:rsid w:val="00FD640F"/>
    <w:rsid w:val="00FD6B4C"/>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B57398"/>
  <w15:docId w15:val="{4866DAD5-A012-4796-B254-4B1CF92E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285B4C"/>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285B4C"/>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customStyle="1" w:styleId="million">
    <w:name w:val="$million"/>
    <w:basedOn w:val="Normal"/>
    <w:uiPriority w:val="4"/>
    <w:rsid w:val="000A4653"/>
    <w:pPr>
      <w:spacing w:before="60" w:after="60" w:line="240" w:lineRule="auto"/>
      <w:jc w:val="center"/>
    </w:pPr>
    <w:rPr>
      <w:rFonts w:ascii="Calibri" w:eastAsia="Calibri" w:hAnsi="Calibri" w:cs="Times New Roman"/>
      <w:i/>
      <w:spacing w:val="0"/>
      <w:sz w:val="20"/>
      <w:lang w:eastAsia="en-US"/>
    </w:rPr>
  </w:style>
  <w:style w:type="paragraph" w:customStyle="1" w:styleId="Tabletextheading">
    <w:name w:val="Table text heading"/>
    <w:basedOn w:val="Normal"/>
    <w:link w:val="TabletextheadingChar"/>
    <w:uiPriority w:val="4"/>
    <w:qFormat/>
    <w:rsid w:val="000A4653"/>
    <w:pPr>
      <w:spacing w:before="60" w:after="60" w:line="240" w:lineRule="auto"/>
      <w:jc w:val="right"/>
    </w:pPr>
    <w:rPr>
      <w:rFonts w:ascii="Calibri" w:eastAsia="Calibri" w:hAnsi="Calibri" w:cs="Times New Roman"/>
      <w:color w:val="F2F2F2" w:themeColor="background1" w:themeShade="F2"/>
      <w:spacing w:val="0"/>
      <w:sz w:val="22"/>
      <w:szCs w:val="21"/>
      <w:lang w:eastAsia="en-US"/>
    </w:rPr>
  </w:style>
  <w:style w:type="character" w:customStyle="1" w:styleId="TabletextheadingChar">
    <w:name w:val="Table text heading Char"/>
    <w:link w:val="Tabletextheading"/>
    <w:uiPriority w:val="4"/>
    <w:rsid w:val="000A4653"/>
    <w:rPr>
      <w:rFonts w:ascii="Calibri" w:eastAsia="Calibri" w:hAnsi="Calibri" w:cs="Times New Roman"/>
      <w:color w:val="F2F2F2" w:themeColor="background1" w:themeShade="F2"/>
      <w:sz w:val="22"/>
      <w:szCs w:val="21"/>
      <w:lang w:eastAsia="en-US"/>
    </w:rPr>
  </w:style>
  <w:style w:type="paragraph" w:styleId="Revision">
    <w:name w:val="Revision"/>
    <w:hidden/>
    <w:uiPriority w:val="99"/>
    <w:semiHidden/>
    <w:rsid w:val="00580630"/>
    <w:pPr>
      <w:spacing w:after="0" w:line="240" w:lineRule="auto"/>
    </w:pPr>
    <w:rPr>
      <w:spacing w:val="2"/>
      <w:sz w:val="18"/>
    </w:rPr>
  </w:style>
  <w:style w:type="paragraph" w:styleId="ListParagraph">
    <w:name w:val="List Paragraph"/>
    <w:basedOn w:val="Normal"/>
    <w:uiPriority w:val="34"/>
    <w:qFormat/>
    <w:rsid w:val="00D5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B07E6D-35F1-403E-95C7-F77276BFDD2C}">
  <ds:schemaRefs>
    <ds:schemaRef ds:uri="http://schemas.openxmlformats.org/officeDocument/2006/bibliography"/>
  </ds:schemaRefs>
</ds:datastoreItem>
</file>

<file path=customXml/itemProps2.xml><?xml version="1.0" encoding="utf-8"?>
<ds:datastoreItem xmlns:ds="http://schemas.openxmlformats.org/officeDocument/2006/customXml" ds:itemID="{16CA20B8-3534-4B68-8121-B7E9763516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9</Pages>
  <Words>2432</Words>
  <Characters>13865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Natalie Maroki (DTF)</cp:lastModifiedBy>
  <cp:revision>2</cp:revision>
  <cp:lastPrinted>2016-03-03T04:13:00Z</cp:lastPrinted>
  <dcterms:created xsi:type="dcterms:W3CDTF">2022-04-28T02:49:00Z</dcterms:created>
  <dcterms:modified xsi:type="dcterms:W3CDTF">2022-04-28T02:49:00Z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2022-04-28T02:49:10Z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0c08a3c0-62e4-48e0-8c74-1c1abfd4ddfd</vt:lpwstr>
  </property>
  <property fmtid="{D5CDD505-2E9C-101B-9397-08002B2CF9AE}" pid="10" name="MSIP_Label_7158ebbd-6c5e-441f-bfc9-4eb8c11e3978_ContentBits">
    <vt:lpwstr>2</vt:lpwstr>
  </property>
</Properties>
</file>