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37" w:type="dxa"/>
        <w:tblLayout w:type="fixed"/>
        <w:tblLook w:val="0620" w:firstRow="1" w:lastRow="0" w:firstColumn="0" w:lastColumn="0" w:noHBand="1" w:noVBand="1"/>
      </w:tblPr>
      <w:tblGrid>
        <w:gridCol w:w="2293"/>
        <w:gridCol w:w="270"/>
        <w:gridCol w:w="540"/>
        <w:gridCol w:w="6134"/>
      </w:tblGrid>
      <w:tr w:rsidR="006C78FB" w:rsidRPr="00231BD3" w14:paraId="318C247C" w14:textId="77777777" w:rsidTr="00FF051E">
        <w:trPr>
          <w:cnfStyle w:val="100000000000" w:firstRow="1" w:lastRow="0" w:firstColumn="0" w:lastColumn="0" w:oddVBand="0" w:evenVBand="0" w:oddHBand="0" w:evenHBand="0" w:firstRowFirstColumn="0" w:firstRowLastColumn="0" w:lastRowFirstColumn="0" w:lastRowLastColumn="0"/>
        </w:trPr>
        <w:tc>
          <w:tcPr>
            <w:tcW w:w="2293" w:type="dxa"/>
          </w:tcPr>
          <w:p w14:paraId="2AA97092" w14:textId="35A24903" w:rsidR="006C78FB" w:rsidRPr="00231BD3" w:rsidRDefault="003258F6" w:rsidP="00B8224B">
            <w:pPr>
              <w:pStyle w:val="FRDNumber"/>
            </w:pPr>
            <w:r>
              <w:t>FRD 113</w:t>
            </w:r>
          </w:p>
        </w:tc>
        <w:tc>
          <w:tcPr>
            <w:tcW w:w="270" w:type="dxa"/>
          </w:tcPr>
          <w:p w14:paraId="41505D04" w14:textId="77777777" w:rsidR="006C78FB" w:rsidRPr="00231BD3" w:rsidRDefault="006C78FB" w:rsidP="00B8224B"/>
        </w:tc>
        <w:tc>
          <w:tcPr>
            <w:tcW w:w="540" w:type="dxa"/>
          </w:tcPr>
          <w:p w14:paraId="430D4356" w14:textId="77777777" w:rsidR="006C78FB" w:rsidRPr="00231BD3" w:rsidRDefault="006C78FB" w:rsidP="00C63FCD">
            <w:pPr>
              <w:jc w:val="center"/>
            </w:pPr>
          </w:p>
        </w:tc>
        <w:tc>
          <w:tcPr>
            <w:tcW w:w="6134" w:type="dxa"/>
          </w:tcPr>
          <w:p w14:paraId="6EDD0EC2" w14:textId="47957790" w:rsidR="006C78FB" w:rsidRPr="00231BD3" w:rsidRDefault="003258F6" w:rsidP="00B8224B">
            <w:pPr>
              <w:pStyle w:val="FRDHeader"/>
            </w:pPr>
            <w:r w:rsidRPr="003258F6">
              <w:t>Investments in Subsidiaries, Joint Ventures and Associates in Separate Financial Statements (</w:t>
            </w:r>
            <w:r w:rsidR="0073581D">
              <w:t>April</w:t>
            </w:r>
            <w:r w:rsidRPr="003258F6">
              <w:t xml:space="preserve"> 20</w:t>
            </w:r>
            <w:r w:rsidR="0073581D">
              <w:t>22</w:t>
            </w:r>
            <w:r w:rsidRPr="003258F6">
              <w:t>)</w:t>
            </w:r>
          </w:p>
        </w:tc>
      </w:tr>
      <w:tr w:rsidR="006C78FB" w:rsidRPr="00E10ADB" w14:paraId="2E839AB3" w14:textId="77777777" w:rsidTr="00B8224B">
        <w:trPr>
          <w:trHeight w:hRule="exact" w:val="120"/>
        </w:trPr>
        <w:tc>
          <w:tcPr>
            <w:tcW w:w="2293" w:type="dxa"/>
          </w:tcPr>
          <w:p w14:paraId="68607433" w14:textId="77777777" w:rsidR="006C78FB" w:rsidRPr="008A601F" w:rsidRDefault="006C78FB" w:rsidP="00B8224B">
            <w:pPr>
              <w:pStyle w:val="Tabletext"/>
            </w:pPr>
          </w:p>
        </w:tc>
        <w:tc>
          <w:tcPr>
            <w:tcW w:w="270" w:type="dxa"/>
          </w:tcPr>
          <w:p w14:paraId="5756A97C" w14:textId="77777777" w:rsidR="006C78FB" w:rsidRPr="008A601F" w:rsidRDefault="006C78FB" w:rsidP="006D66F9">
            <w:pPr>
              <w:pStyle w:val="Normalgrey"/>
            </w:pPr>
          </w:p>
        </w:tc>
        <w:tc>
          <w:tcPr>
            <w:tcW w:w="540" w:type="dxa"/>
          </w:tcPr>
          <w:p w14:paraId="32B0D589" w14:textId="77777777" w:rsidR="006C78FB" w:rsidRPr="008A601F" w:rsidRDefault="006C78FB" w:rsidP="00C63FCD">
            <w:pPr>
              <w:jc w:val="center"/>
            </w:pPr>
          </w:p>
        </w:tc>
        <w:tc>
          <w:tcPr>
            <w:tcW w:w="6134" w:type="dxa"/>
          </w:tcPr>
          <w:p w14:paraId="44FCBA4B" w14:textId="77777777" w:rsidR="006C78FB" w:rsidRPr="008A601F" w:rsidRDefault="006C78FB" w:rsidP="00B8224B"/>
        </w:tc>
      </w:tr>
      <w:tr w:rsidR="005828FE" w:rsidRPr="005828FE" w14:paraId="53AD7856" w14:textId="77777777" w:rsidTr="00B8224B">
        <w:tc>
          <w:tcPr>
            <w:tcW w:w="2293" w:type="dxa"/>
          </w:tcPr>
          <w:p w14:paraId="09D29B80" w14:textId="77777777" w:rsidR="006C78FB" w:rsidRPr="005828FE" w:rsidRDefault="006C78FB" w:rsidP="00382EE1">
            <w:pPr>
              <w:pStyle w:val="Normalgrey"/>
            </w:pPr>
            <w:r w:rsidRPr="005828FE">
              <w:t>Purpose</w:t>
            </w:r>
          </w:p>
        </w:tc>
        <w:tc>
          <w:tcPr>
            <w:tcW w:w="270" w:type="dxa"/>
          </w:tcPr>
          <w:p w14:paraId="6FA42223" w14:textId="77777777" w:rsidR="006C78FB" w:rsidRPr="005828FE" w:rsidRDefault="006C78FB" w:rsidP="00286F9A">
            <w:pPr>
              <w:pStyle w:val="Normalgrey"/>
            </w:pPr>
          </w:p>
        </w:tc>
        <w:tc>
          <w:tcPr>
            <w:tcW w:w="540" w:type="dxa"/>
          </w:tcPr>
          <w:p w14:paraId="06BE921A" w14:textId="77777777" w:rsidR="006C78FB" w:rsidRPr="005828FE" w:rsidRDefault="00C63FCD" w:rsidP="00C63FCD">
            <w:pPr>
              <w:pStyle w:val="Normalgrey"/>
              <w:jc w:val="center"/>
            </w:pPr>
            <w:r>
              <w:t>1.1</w:t>
            </w:r>
          </w:p>
        </w:tc>
        <w:tc>
          <w:tcPr>
            <w:tcW w:w="6134" w:type="dxa"/>
          </w:tcPr>
          <w:p w14:paraId="57F7ACCF" w14:textId="77777777" w:rsidR="006C78FB" w:rsidRPr="005828FE" w:rsidRDefault="00C63FCD" w:rsidP="00382EE1">
            <w:pPr>
              <w:pStyle w:val="Normalgrey"/>
            </w:pPr>
            <w:r w:rsidRPr="00C63FCD">
              <w:t>To prescribe requirements on how to account for investments in subsidiaries, joint ventures and associates if separate financial statements are presented.</w:t>
            </w:r>
          </w:p>
        </w:tc>
      </w:tr>
      <w:tr w:rsidR="006C78FB" w:rsidRPr="005828FE" w14:paraId="22B0C5D5" w14:textId="77777777" w:rsidTr="00963C94">
        <w:tc>
          <w:tcPr>
            <w:tcW w:w="2293" w:type="dxa"/>
            <w:shd w:val="clear" w:color="auto" w:fill="F2F2F2" w:themeFill="background1" w:themeFillShade="F2"/>
          </w:tcPr>
          <w:p w14:paraId="40EE4DBD" w14:textId="77777777" w:rsidR="006C78FB" w:rsidRPr="00B75AED" w:rsidRDefault="006C78FB" w:rsidP="00A516DE">
            <w:pPr>
              <w:pStyle w:val="Normalbold"/>
            </w:pPr>
            <w:r w:rsidRPr="00B75AED">
              <w:t>Application</w:t>
            </w:r>
          </w:p>
        </w:tc>
        <w:tc>
          <w:tcPr>
            <w:tcW w:w="270" w:type="dxa"/>
            <w:shd w:val="clear" w:color="auto" w:fill="F2F2F2" w:themeFill="background1" w:themeFillShade="F2"/>
          </w:tcPr>
          <w:p w14:paraId="112924FA" w14:textId="77777777" w:rsidR="006C78FB" w:rsidRPr="00AA3A8C" w:rsidRDefault="006C78FB" w:rsidP="00286F9A">
            <w:pPr>
              <w:pStyle w:val="Normalgrey"/>
              <w:rPr>
                <w:b/>
                <w:color w:val="auto"/>
              </w:rPr>
            </w:pPr>
          </w:p>
        </w:tc>
        <w:tc>
          <w:tcPr>
            <w:tcW w:w="540" w:type="dxa"/>
            <w:shd w:val="clear" w:color="auto" w:fill="F2F2F2" w:themeFill="background1" w:themeFillShade="F2"/>
          </w:tcPr>
          <w:p w14:paraId="727C5213" w14:textId="77777777" w:rsidR="006C78FB" w:rsidRPr="00AA3A8C" w:rsidRDefault="00C63FCD" w:rsidP="00C63FCD">
            <w:pPr>
              <w:pStyle w:val="Normalgrey"/>
              <w:jc w:val="center"/>
              <w:rPr>
                <w:b/>
                <w:color w:val="auto"/>
              </w:rPr>
            </w:pPr>
            <w:r w:rsidRPr="00AA3A8C">
              <w:rPr>
                <w:b/>
                <w:color w:val="auto"/>
              </w:rPr>
              <w:t>2.1</w:t>
            </w:r>
          </w:p>
        </w:tc>
        <w:tc>
          <w:tcPr>
            <w:tcW w:w="6134" w:type="dxa"/>
            <w:shd w:val="clear" w:color="auto" w:fill="F2F2F2" w:themeFill="background1" w:themeFillShade="F2"/>
          </w:tcPr>
          <w:p w14:paraId="26659924" w14:textId="77777777" w:rsidR="006C78FB" w:rsidRPr="005828FE" w:rsidRDefault="00C63FCD" w:rsidP="00A516DE">
            <w:pPr>
              <w:pStyle w:val="Normalbold"/>
            </w:pPr>
            <w:r w:rsidRPr="00C63FCD">
              <w:t xml:space="preserve">Applies to all entities defined as either a public body or a department under section 3 of the </w:t>
            </w:r>
            <w:r w:rsidRPr="00C63FCD">
              <w:rPr>
                <w:i/>
              </w:rPr>
              <w:t>Financial Management Act 1994</w:t>
            </w:r>
            <w:r w:rsidRPr="00C63FCD">
              <w:t>. Application by State owned corporations is encouraged.</w:t>
            </w:r>
          </w:p>
        </w:tc>
      </w:tr>
      <w:tr w:rsidR="006C78FB" w:rsidRPr="005828FE" w14:paraId="4E98010B" w14:textId="77777777" w:rsidTr="00963C94">
        <w:tc>
          <w:tcPr>
            <w:tcW w:w="2293" w:type="dxa"/>
            <w:shd w:val="clear" w:color="auto" w:fill="F2F2F2" w:themeFill="background1" w:themeFillShade="F2"/>
          </w:tcPr>
          <w:p w14:paraId="72A2485A" w14:textId="77777777" w:rsidR="006C78FB" w:rsidRPr="00B75AED" w:rsidRDefault="006C78FB" w:rsidP="00A516DE">
            <w:pPr>
              <w:pStyle w:val="Normalbold"/>
            </w:pPr>
            <w:r w:rsidRPr="00B75AED">
              <w:t>Operative date</w:t>
            </w:r>
          </w:p>
        </w:tc>
        <w:tc>
          <w:tcPr>
            <w:tcW w:w="270" w:type="dxa"/>
            <w:shd w:val="clear" w:color="auto" w:fill="F2F2F2" w:themeFill="background1" w:themeFillShade="F2"/>
          </w:tcPr>
          <w:p w14:paraId="56BEABF1" w14:textId="77777777" w:rsidR="006C78FB" w:rsidRPr="00AA3A8C" w:rsidRDefault="006C78FB" w:rsidP="00286F9A">
            <w:pPr>
              <w:pStyle w:val="Normalgrey"/>
              <w:rPr>
                <w:b/>
                <w:color w:val="auto"/>
              </w:rPr>
            </w:pPr>
          </w:p>
        </w:tc>
        <w:tc>
          <w:tcPr>
            <w:tcW w:w="540" w:type="dxa"/>
            <w:shd w:val="clear" w:color="auto" w:fill="F2F2F2" w:themeFill="background1" w:themeFillShade="F2"/>
          </w:tcPr>
          <w:p w14:paraId="6BD71124" w14:textId="77777777" w:rsidR="006C78FB" w:rsidRPr="00AA3A8C" w:rsidRDefault="00C63FCD" w:rsidP="00C63FCD">
            <w:pPr>
              <w:pStyle w:val="Normalgrey"/>
              <w:jc w:val="center"/>
              <w:rPr>
                <w:b/>
                <w:color w:val="auto"/>
              </w:rPr>
            </w:pPr>
            <w:r w:rsidRPr="00AA3A8C">
              <w:rPr>
                <w:b/>
                <w:color w:val="auto"/>
              </w:rPr>
              <w:t>3.1</w:t>
            </w:r>
          </w:p>
        </w:tc>
        <w:tc>
          <w:tcPr>
            <w:tcW w:w="6134" w:type="dxa"/>
            <w:shd w:val="clear" w:color="auto" w:fill="F2F2F2" w:themeFill="background1" w:themeFillShade="F2"/>
          </w:tcPr>
          <w:p w14:paraId="34B9950E" w14:textId="77777777" w:rsidR="006C78FB" w:rsidRPr="005828FE" w:rsidRDefault="00C63FCD" w:rsidP="00A516DE">
            <w:pPr>
              <w:pStyle w:val="Normalbold"/>
            </w:pPr>
            <w:r w:rsidRPr="00C63FCD">
              <w:t>Reporting periods commencing 1 July 2014.</w:t>
            </w:r>
          </w:p>
        </w:tc>
      </w:tr>
      <w:tr w:rsidR="00C63FCD" w:rsidRPr="005828FE" w14:paraId="42349711" w14:textId="77777777" w:rsidTr="00A0322D">
        <w:tc>
          <w:tcPr>
            <w:tcW w:w="2293" w:type="dxa"/>
            <w:shd w:val="clear" w:color="auto" w:fill="F2F2F2" w:themeFill="background1" w:themeFillShade="F2"/>
          </w:tcPr>
          <w:p w14:paraId="386CDD5C" w14:textId="77777777" w:rsidR="00C63FCD" w:rsidRPr="00B75AED" w:rsidRDefault="00C63FCD" w:rsidP="00A0322D">
            <w:pPr>
              <w:pStyle w:val="Normalbold"/>
            </w:pPr>
          </w:p>
        </w:tc>
        <w:tc>
          <w:tcPr>
            <w:tcW w:w="270" w:type="dxa"/>
            <w:shd w:val="clear" w:color="auto" w:fill="F2F2F2" w:themeFill="background1" w:themeFillShade="F2"/>
          </w:tcPr>
          <w:p w14:paraId="4374EE82" w14:textId="77777777" w:rsidR="00C63FCD" w:rsidRPr="00AA3A8C" w:rsidRDefault="00C63FCD" w:rsidP="00286F9A">
            <w:pPr>
              <w:pStyle w:val="Normalgrey"/>
              <w:rPr>
                <w:b/>
                <w:color w:val="auto"/>
              </w:rPr>
            </w:pPr>
          </w:p>
        </w:tc>
        <w:tc>
          <w:tcPr>
            <w:tcW w:w="540" w:type="dxa"/>
            <w:shd w:val="clear" w:color="auto" w:fill="F2F2F2" w:themeFill="background1" w:themeFillShade="F2"/>
          </w:tcPr>
          <w:p w14:paraId="77EED421" w14:textId="77777777" w:rsidR="00C63FCD" w:rsidRPr="00AA3A8C" w:rsidRDefault="00C63FCD" w:rsidP="00C63FCD">
            <w:pPr>
              <w:pStyle w:val="Normalgrey"/>
              <w:jc w:val="center"/>
              <w:rPr>
                <w:b/>
                <w:color w:val="auto"/>
              </w:rPr>
            </w:pPr>
            <w:r w:rsidRPr="00AA3A8C">
              <w:rPr>
                <w:b/>
                <w:color w:val="auto"/>
              </w:rPr>
              <w:t>3.2</w:t>
            </w:r>
          </w:p>
        </w:tc>
        <w:tc>
          <w:tcPr>
            <w:tcW w:w="6134" w:type="dxa"/>
            <w:shd w:val="clear" w:color="auto" w:fill="F2F2F2" w:themeFill="background1" w:themeFillShade="F2"/>
          </w:tcPr>
          <w:p w14:paraId="204CED34" w14:textId="1C2F6E89" w:rsidR="00FE2DD3" w:rsidRPr="00FE2DD3" w:rsidRDefault="00FE2DD3" w:rsidP="00A0322D">
            <w:pPr>
              <w:pStyle w:val="Normalbold"/>
              <w:rPr>
                <w:iCs/>
              </w:rPr>
            </w:pPr>
            <w:r w:rsidRPr="00C63FCD">
              <w:t>FRD 113</w:t>
            </w:r>
            <w:r>
              <w:t>A</w:t>
            </w:r>
            <w:r w:rsidRPr="00C63FCD">
              <w:t xml:space="preserve"> </w:t>
            </w:r>
            <w:r w:rsidRPr="00C63FCD">
              <w:rPr>
                <w:i/>
              </w:rPr>
              <w:t>Investments in Subsidiaries, Jointly Controlled Entities and Associates</w:t>
            </w:r>
            <w:r>
              <w:rPr>
                <w:i/>
              </w:rPr>
              <w:t xml:space="preserve"> </w:t>
            </w:r>
            <w:r>
              <w:rPr>
                <w:iCs/>
              </w:rPr>
              <w:t xml:space="preserve">is renamed to </w:t>
            </w:r>
            <w:r w:rsidRPr="00C63FCD">
              <w:t xml:space="preserve">FRD 113 </w:t>
            </w:r>
            <w:r w:rsidRPr="00C63FCD">
              <w:rPr>
                <w:i/>
              </w:rPr>
              <w:t>Investments in Subsidiaries, Jointly Controlled Entities and Associates</w:t>
            </w:r>
            <w:r>
              <w:rPr>
                <w:i/>
              </w:rPr>
              <w:t xml:space="preserve"> </w:t>
            </w:r>
            <w:r>
              <w:rPr>
                <w:iCs/>
              </w:rPr>
              <w:t>effective 1 April 2022.</w:t>
            </w:r>
          </w:p>
        </w:tc>
      </w:tr>
      <w:tr w:rsidR="00BC6691" w:rsidRPr="005828FE" w14:paraId="53C67D4B" w14:textId="77777777" w:rsidTr="00A0322D">
        <w:tc>
          <w:tcPr>
            <w:tcW w:w="2293" w:type="dxa"/>
            <w:shd w:val="clear" w:color="auto" w:fill="F2F2F2" w:themeFill="background1" w:themeFillShade="F2"/>
          </w:tcPr>
          <w:p w14:paraId="76944356" w14:textId="77777777" w:rsidR="00BC6691" w:rsidRPr="00B75AED" w:rsidRDefault="00BC6691" w:rsidP="00A0322D">
            <w:pPr>
              <w:pStyle w:val="Normalbold"/>
            </w:pPr>
            <w:r w:rsidRPr="00B75AED">
              <w:t>Requirements</w:t>
            </w:r>
          </w:p>
        </w:tc>
        <w:tc>
          <w:tcPr>
            <w:tcW w:w="270" w:type="dxa"/>
            <w:shd w:val="clear" w:color="auto" w:fill="F2F2F2" w:themeFill="background1" w:themeFillShade="F2"/>
          </w:tcPr>
          <w:p w14:paraId="30E8241E" w14:textId="77777777" w:rsidR="00BC6691" w:rsidRPr="00AA3A8C" w:rsidRDefault="00BC6691" w:rsidP="00286F9A">
            <w:pPr>
              <w:pStyle w:val="Normalgrey"/>
              <w:rPr>
                <w:b/>
                <w:color w:val="auto"/>
              </w:rPr>
            </w:pPr>
          </w:p>
        </w:tc>
        <w:tc>
          <w:tcPr>
            <w:tcW w:w="540" w:type="dxa"/>
            <w:shd w:val="clear" w:color="auto" w:fill="F2F2F2" w:themeFill="background1" w:themeFillShade="F2"/>
          </w:tcPr>
          <w:p w14:paraId="54BE5FB3" w14:textId="77777777" w:rsidR="00BC6691" w:rsidRPr="00AA3A8C" w:rsidRDefault="00C63FCD" w:rsidP="00C63FCD">
            <w:pPr>
              <w:pStyle w:val="Normalgrey"/>
              <w:jc w:val="center"/>
              <w:rPr>
                <w:b/>
                <w:color w:val="auto"/>
              </w:rPr>
            </w:pPr>
            <w:r w:rsidRPr="00AA3A8C">
              <w:rPr>
                <w:b/>
                <w:color w:val="auto"/>
              </w:rPr>
              <w:t>4.1</w:t>
            </w:r>
          </w:p>
        </w:tc>
        <w:tc>
          <w:tcPr>
            <w:tcW w:w="6134" w:type="dxa"/>
            <w:shd w:val="clear" w:color="auto" w:fill="F2F2F2" w:themeFill="background1" w:themeFillShade="F2"/>
          </w:tcPr>
          <w:p w14:paraId="266A36D6" w14:textId="62B042ED" w:rsidR="00BC6691" w:rsidRPr="005828FE" w:rsidRDefault="00C63FCD" w:rsidP="00A0322D">
            <w:pPr>
              <w:pStyle w:val="Normalbold"/>
            </w:pPr>
            <w:r w:rsidRPr="00C63FCD">
              <w:t xml:space="preserve">A parent entity is required to present consolidated financial statements in accordance with AASB 10 </w:t>
            </w:r>
            <w:r w:rsidRPr="00C63FCD">
              <w:rPr>
                <w:i/>
              </w:rPr>
              <w:t>Consolidated Financial Statements</w:t>
            </w:r>
            <w:r w:rsidRPr="00C63FCD">
              <w:t xml:space="preserve">, unless the entity has prior written approval from the </w:t>
            </w:r>
            <w:r w:rsidR="0075133D">
              <w:t>Assistant Treasurer</w:t>
            </w:r>
            <w:r w:rsidRPr="00C63FCD">
              <w:t xml:space="preserve"> for an exemption. The request for exemption will be considered on an exceptional basis and the request must be accompanied by a business case presented to the Department of Treasury and Finance (DTF) prior to seeking Ministerial approval. If approved, the parent entity will present separate financial statements instead of consolidated financial statements.</w:t>
            </w:r>
          </w:p>
        </w:tc>
      </w:tr>
      <w:tr w:rsidR="00C63FCD" w:rsidRPr="005828FE" w14:paraId="31AF1F7A" w14:textId="77777777" w:rsidTr="00A0322D">
        <w:tc>
          <w:tcPr>
            <w:tcW w:w="2293" w:type="dxa"/>
            <w:shd w:val="clear" w:color="auto" w:fill="F2F2F2" w:themeFill="background1" w:themeFillShade="F2"/>
          </w:tcPr>
          <w:p w14:paraId="00C18004" w14:textId="77777777" w:rsidR="00C63FCD" w:rsidRPr="00B75AED" w:rsidRDefault="00C63FCD" w:rsidP="00A0322D">
            <w:pPr>
              <w:pStyle w:val="Normalbold"/>
            </w:pPr>
          </w:p>
        </w:tc>
        <w:tc>
          <w:tcPr>
            <w:tcW w:w="270" w:type="dxa"/>
            <w:shd w:val="clear" w:color="auto" w:fill="F2F2F2" w:themeFill="background1" w:themeFillShade="F2"/>
          </w:tcPr>
          <w:p w14:paraId="1A58BDCC" w14:textId="77777777" w:rsidR="00C63FCD" w:rsidRPr="00AA3A8C" w:rsidRDefault="00C63FCD" w:rsidP="00286F9A">
            <w:pPr>
              <w:pStyle w:val="Normalgrey"/>
              <w:rPr>
                <w:b/>
                <w:color w:val="auto"/>
              </w:rPr>
            </w:pPr>
          </w:p>
        </w:tc>
        <w:tc>
          <w:tcPr>
            <w:tcW w:w="540" w:type="dxa"/>
            <w:shd w:val="clear" w:color="auto" w:fill="F2F2F2" w:themeFill="background1" w:themeFillShade="F2"/>
          </w:tcPr>
          <w:p w14:paraId="5975F242" w14:textId="77777777" w:rsidR="00C63FCD" w:rsidRPr="00AA3A8C" w:rsidRDefault="00C63FCD" w:rsidP="00C63FCD">
            <w:pPr>
              <w:pStyle w:val="Normalgrey"/>
              <w:jc w:val="center"/>
              <w:rPr>
                <w:b/>
                <w:color w:val="auto"/>
              </w:rPr>
            </w:pPr>
            <w:r w:rsidRPr="00AA3A8C">
              <w:rPr>
                <w:b/>
                <w:color w:val="auto"/>
              </w:rPr>
              <w:t>4.2</w:t>
            </w:r>
          </w:p>
        </w:tc>
        <w:tc>
          <w:tcPr>
            <w:tcW w:w="6134" w:type="dxa"/>
            <w:shd w:val="clear" w:color="auto" w:fill="F2F2F2" w:themeFill="background1" w:themeFillShade="F2"/>
          </w:tcPr>
          <w:p w14:paraId="1CDBA755" w14:textId="1F04710A" w:rsidR="00C63FCD" w:rsidRPr="005828FE" w:rsidRDefault="00C63FCD" w:rsidP="00A0322D">
            <w:pPr>
              <w:pStyle w:val="Normalbold"/>
            </w:pPr>
            <w:r w:rsidRPr="00C63FCD">
              <w:t xml:space="preserve">An entity must also seek prior written approval from the </w:t>
            </w:r>
            <w:r w:rsidR="0075133D" w:rsidRPr="0075133D">
              <w:t>Assistant Treasurer</w:t>
            </w:r>
            <w:r w:rsidRPr="00C63FCD">
              <w:t xml:space="preserve"> if it presents separate financial statements in circumstances described in paragraph 6.4 of this FRD. An entity is encouraged to consult with DTF before seeking Ministerial approval and should include reasons for presenting separate financial statements in its request for Ministerial approval.</w:t>
            </w:r>
          </w:p>
        </w:tc>
      </w:tr>
      <w:tr w:rsidR="00C63FCD" w:rsidRPr="005828FE" w14:paraId="3561879C" w14:textId="77777777" w:rsidTr="00A0322D">
        <w:tc>
          <w:tcPr>
            <w:tcW w:w="2293" w:type="dxa"/>
            <w:shd w:val="clear" w:color="auto" w:fill="F2F2F2" w:themeFill="background1" w:themeFillShade="F2"/>
          </w:tcPr>
          <w:p w14:paraId="26575C9F" w14:textId="77777777" w:rsidR="00C63FCD" w:rsidRPr="00B75AED" w:rsidRDefault="00C63FCD" w:rsidP="00A0322D">
            <w:pPr>
              <w:pStyle w:val="Normalbold"/>
            </w:pPr>
          </w:p>
        </w:tc>
        <w:tc>
          <w:tcPr>
            <w:tcW w:w="270" w:type="dxa"/>
            <w:shd w:val="clear" w:color="auto" w:fill="F2F2F2" w:themeFill="background1" w:themeFillShade="F2"/>
          </w:tcPr>
          <w:p w14:paraId="0088F650" w14:textId="77777777" w:rsidR="00C63FCD" w:rsidRPr="00AA3A8C" w:rsidRDefault="00C63FCD" w:rsidP="00286F9A">
            <w:pPr>
              <w:pStyle w:val="Normalgrey"/>
              <w:rPr>
                <w:b/>
                <w:color w:val="auto"/>
              </w:rPr>
            </w:pPr>
          </w:p>
        </w:tc>
        <w:tc>
          <w:tcPr>
            <w:tcW w:w="540" w:type="dxa"/>
            <w:shd w:val="clear" w:color="auto" w:fill="F2F2F2" w:themeFill="background1" w:themeFillShade="F2"/>
          </w:tcPr>
          <w:p w14:paraId="215E1788" w14:textId="77777777" w:rsidR="00C63FCD" w:rsidRPr="00AA3A8C" w:rsidRDefault="00C63FCD" w:rsidP="00C63FCD">
            <w:pPr>
              <w:pStyle w:val="Normalgrey"/>
              <w:jc w:val="center"/>
              <w:rPr>
                <w:b/>
                <w:color w:val="auto"/>
              </w:rPr>
            </w:pPr>
            <w:r w:rsidRPr="00AA3A8C">
              <w:rPr>
                <w:b/>
                <w:color w:val="auto"/>
              </w:rPr>
              <w:t>4.3</w:t>
            </w:r>
          </w:p>
        </w:tc>
        <w:tc>
          <w:tcPr>
            <w:tcW w:w="6134" w:type="dxa"/>
            <w:shd w:val="clear" w:color="auto" w:fill="F2F2F2" w:themeFill="background1" w:themeFillShade="F2"/>
          </w:tcPr>
          <w:p w14:paraId="31B9864A" w14:textId="77777777" w:rsidR="00C63FCD" w:rsidRPr="005828FE" w:rsidRDefault="00C63FCD" w:rsidP="00A0322D">
            <w:pPr>
              <w:pStyle w:val="Normalbold"/>
            </w:pPr>
            <w:r w:rsidRPr="00C63FCD">
              <w:t>If separate financial statements are presented, investments in subsidiaries, joint ventures and associates shall be accounted for at cost.</w:t>
            </w:r>
          </w:p>
        </w:tc>
      </w:tr>
      <w:tr w:rsidR="00C63FCD" w:rsidRPr="005828FE" w14:paraId="3A3AA058" w14:textId="77777777" w:rsidTr="00A0322D">
        <w:tc>
          <w:tcPr>
            <w:tcW w:w="2293" w:type="dxa"/>
            <w:shd w:val="clear" w:color="auto" w:fill="F2F2F2" w:themeFill="background1" w:themeFillShade="F2"/>
          </w:tcPr>
          <w:p w14:paraId="799C28C6" w14:textId="77777777" w:rsidR="00C63FCD" w:rsidRPr="00B75AED" w:rsidRDefault="00C63FCD" w:rsidP="00A0322D">
            <w:pPr>
              <w:pStyle w:val="Normalbold"/>
            </w:pPr>
          </w:p>
        </w:tc>
        <w:tc>
          <w:tcPr>
            <w:tcW w:w="270" w:type="dxa"/>
            <w:shd w:val="clear" w:color="auto" w:fill="F2F2F2" w:themeFill="background1" w:themeFillShade="F2"/>
          </w:tcPr>
          <w:p w14:paraId="76D525DB" w14:textId="77777777" w:rsidR="00C63FCD" w:rsidRPr="00AA3A8C" w:rsidRDefault="00C63FCD" w:rsidP="00286F9A">
            <w:pPr>
              <w:pStyle w:val="Normalgrey"/>
              <w:rPr>
                <w:b/>
                <w:color w:val="auto"/>
              </w:rPr>
            </w:pPr>
          </w:p>
        </w:tc>
        <w:tc>
          <w:tcPr>
            <w:tcW w:w="540" w:type="dxa"/>
            <w:shd w:val="clear" w:color="auto" w:fill="F2F2F2" w:themeFill="background1" w:themeFillShade="F2"/>
          </w:tcPr>
          <w:p w14:paraId="6A1A36C5" w14:textId="77777777" w:rsidR="00C63FCD" w:rsidRPr="00AA3A8C" w:rsidRDefault="00C63FCD" w:rsidP="00C63FCD">
            <w:pPr>
              <w:pStyle w:val="Normalgrey"/>
              <w:jc w:val="center"/>
              <w:rPr>
                <w:b/>
                <w:color w:val="auto"/>
              </w:rPr>
            </w:pPr>
            <w:r w:rsidRPr="00AA3A8C">
              <w:rPr>
                <w:b/>
                <w:color w:val="auto"/>
              </w:rPr>
              <w:t>4.4</w:t>
            </w:r>
          </w:p>
        </w:tc>
        <w:tc>
          <w:tcPr>
            <w:tcW w:w="6134" w:type="dxa"/>
            <w:shd w:val="clear" w:color="auto" w:fill="F2F2F2" w:themeFill="background1" w:themeFillShade="F2"/>
          </w:tcPr>
          <w:p w14:paraId="0AB41948" w14:textId="0871588A" w:rsidR="00C63FCD" w:rsidRPr="005828FE" w:rsidRDefault="00C63FCD" w:rsidP="00A0322D">
            <w:pPr>
              <w:pStyle w:val="Normalbold"/>
            </w:pPr>
            <w:r w:rsidRPr="00C63FCD">
              <w:t xml:space="preserve">If an entity elects to use a measurement basis other than the cost method in accordance with AASB 127 </w:t>
            </w:r>
            <w:r w:rsidRPr="00C63FCD">
              <w:rPr>
                <w:i/>
              </w:rPr>
              <w:t>Separate Financial Statements</w:t>
            </w:r>
            <w:r w:rsidRPr="00C63FCD">
              <w:t xml:space="preserve">, the entity must seek prior written approval from the </w:t>
            </w:r>
            <w:r w:rsidR="0075133D">
              <w:t>Assistant Treasurer</w:t>
            </w:r>
            <w:r w:rsidRPr="00C63FCD">
              <w:t>.</w:t>
            </w:r>
          </w:p>
        </w:tc>
      </w:tr>
      <w:tr w:rsidR="005828FE" w:rsidRPr="005828FE" w14:paraId="567A80DC" w14:textId="77777777" w:rsidTr="00B8224B">
        <w:tc>
          <w:tcPr>
            <w:tcW w:w="2293" w:type="dxa"/>
          </w:tcPr>
          <w:p w14:paraId="76262ADB" w14:textId="77777777" w:rsidR="006C78FB" w:rsidRPr="005828FE" w:rsidRDefault="006C78FB" w:rsidP="00382EE1">
            <w:pPr>
              <w:pStyle w:val="Normalgrey"/>
            </w:pPr>
            <w:r w:rsidRPr="005828FE">
              <w:t>Definitions</w:t>
            </w:r>
          </w:p>
        </w:tc>
        <w:tc>
          <w:tcPr>
            <w:tcW w:w="270" w:type="dxa"/>
          </w:tcPr>
          <w:p w14:paraId="3146FA10" w14:textId="77777777" w:rsidR="006C78FB" w:rsidRPr="005828FE" w:rsidRDefault="006C78FB" w:rsidP="00286F9A">
            <w:pPr>
              <w:pStyle w:val="Normalgrey"/>
            </w:pPr>
          </w:p>
        </w:tc>
        <w:tc>
          <w:tcPr>
            <w:tcW w:w="540" w:type="dxa"/>
          </w:tcPr>
          <w:p w14:paraId="0AF3FDE0" w14:textId="77777777" w:rsidR="006C78FB" w:rsidRPr="005828FE" w:rsidRDefault="00C63FCD" w:rsidP="00C63FCD">
            <w:pPr>
              <w:pStyle w:val="Normalgrey"/>
              <w:jc w:val="center"/>
            </w:pPr>
            <w:r>
              <w:t>5.1</w:t>
            </w:r>
          </w:p>
        </w:tc>
        <w:tc>
          <w:tcPr>
            <w:tcW w:w="6134" w:type="dxa"/>
          </w:tcPr>
          <w:p w14:paraId="4D5F277B" w14:textId="77777777" w:rsidR="006C78FB" w:rsidRPr="00E20142" w:rsidRDefault="00C63FCD" w:rsidP="00C63FCD">
            <w:pPr>
              <w:pStyle w:val="Normalgrey"/>
            </w:pPr>
            <w:r w:rsidRPr="00C63FCD">
              <w:rPr>
                <w:b/>
              </w:rPr>
              <w:t>Cost</w:t>
            </w:r>
            <w:r>
              <w:rPr>
                <w:b/>
              </w:rPr>
              <w:t xml:space="preserve"> </w:t>
            </w:r>
            <w:r w:rsidRPr="00C63FCD">
              <w:t>–</w:t>
            </w:r>
            <w:r>
              <w:t xml:space="preserve"> the amount of cash or cash equivalents paid and the fair value of the other consideration given to acquire an asset at the time of its acquisition.</w:t>
            </w:r>
          </w:p>
        </w:tc>
      </w:tr>
      <w:tr w:rsidR="00C63FCD" w:rsidRPr="005828FE" w14:paraId="7A0093FC" w14:textId="77777777" w:rsidTr="00B8224B">
        <w:tc>
          <w:tcPr>
            <w:tcW w:w="2293" w:type="dxa"/>
          </w:tcPr>
          <w:p w14:paraId="34AE5655" w14:textId="77777777" w:rsidR="00C63FCD" w:rsidRPr="005828FE" w:rsidRDefault="00C63FCD" w:rsidP="00382EE1">
            <w:pPr>
              <w:pStyle w:val="Normalgrey"/>
            </w:pPr>
          </w:p>
        </w:tc>
        <w:tc>
          <w:tcPr>
            <w:tcW w:w="270" w:type="dxa"/>
          </w:tcPr>
          <w:p w14:paraId="1F32CFA0" w14:textId="77777777" w:rsidR="00C63FCD" w:rsidRPr="005828FE" w:rsidRDefault="00C63FCD" w:rsidP="00286F9A">
            <w:pPr>
              <w:pStyle w:val="Normalgrey"/>
            </w:pPr>
          </w:p>
        </w:tc>
        <w:tc>
          <w:tcPr>
            <w:tcW w:w="540" w:type="dxa"/>
          </w:tcPr>
          <w:p w14:paraId="7B53F14E" w14:textId="77777777" w:rsidR="00C63FCD" w:rsidRPr="005828FE" w:rsidRDefault="00B4690C" w:rsidP="00C63FCD">
            <w:pPr>
              <w:pStyle w:val="Normalgrey"/>
              <w:jc w:val="center"/>
            </w:pPr>
            <w:r>
              <w:t>5.2</w:t>
            </w:r>
          </w:p>
        </w:tc>
        <w:tc>
          <w:tcPr>
            <w:tcW w:w="6134" w:type="dxa"/>
          </w:tcPr>
          <w:p w14:paraId="5E5D48C7" w14:textId="77777777" w:rsidR="00C63FCD" w:rsidRDefault="00C63FCD" w:rsidP="00C63FCD">
            <w:pPr>
              <w:pStyle w:val="Normalgrey"/>
            </w:pPr>
            <w:r>
              <w:t>Refer to Appendix A of AASB 10 for the following definitions:</w:t>
            </w:r>
          </w:p>
          <w:p w14:paraId="3BBDD57B" w14:textId="77777777" w:rsidR="00C63FCD" w:rsidRDefault="00C63FCD" w:rsidP="008C4A71">
            <w:pPr>
              <w:pStyle w:val="Bullet1grey"/>
            </w:pPr>
            <w:r w:rsidRPr="00C63FCD">
              <w:t>Consolidated financial statements</w:t>
            </w:r>
            <w:r>
              <w:t>;</w:t>
            </w:r>
          </w:p>
          <w:p w14:paraId="7CB3ABB1" w14:textId="77777777" w:rsidR="00C63FCD" w:rsidRPr="008C4A71" w:rsidRDefault="00C63FCD" w:rsidP="008C4A71">
            <w:pPr>
              <w:pStyle w:val="Bullet1grey"/>
            </w:pPr>
            <w:r w:rsidRPr="008C4A71">
              <w:t>Parent; and</w:t>
            </w:r>
          </w:p>
          <w:p w14:paraId="13CEA79B" w14:textId="77777777" w:rsidR="00C63FCD" w:rsidRPr="00E20142" w:rsidRDefault="00C63FCD" w:rsidP="008C4A71">
            <w:pPr>
              <w:pStyle w:val="Bullet1grey"/>
            </w:pPr>
            <w:r w:rsidRPr="008C4A71">
              <w:t>Subsidiary</w:t>
            </w:r>
          </w:p>
        </w:tc>
      </w:tr>
      <w:tr w:rsidR="00C63FCD" w:rsidRPr="005828FE" w14:paraId="24F4E52A" w14:textId="77777777" w:rsidTr="00B8224B">
        <w:tc>
          <w:tcPr>
            <w:tcW w:w="2293" w:type="dxa"/>
          </w:tcPr>
          <w:p w14:paraId="033A30F9" w14:textId="77777777" w:rsidR="00C63FCD" w:rsidRPr="005828FE" w:rsidRDefault="00C63FCD" w:rsidP="00382EE1">
            <w:pPr>
              <w:pStyle w:val="Normalgrey"/>
            </w:pPr>
          </w:p>
        </w:tc>
        <w:tc>
          <w:tcPr>
            <w:tcW w:w="270" w:type="dxa"/>
          </w:tcPr>
          <w:p w14:paraId="6A756ED6" w14:textId="77777777" w:rsidR="00C63FCD" w:rsidRPr="005828FE" w:rsidRDefault="00C63FCD" w:rsidP="00286F9A">
            <w:pPr>
              <w:pStyle w:val="Normalgrey"/>
            </w:pPr>
          </w:p>
        </w:tc>
        <w:tc>
          <w:tcPr>
            <w:tcW w:w="540" w:type="dxa"/>
          </w:tcPr>
          <w:p w14:paraId="3629F24B" w14:textId="77777777" w:rsidR="00C63FCD" w:rsidRPr="005828FE" w:rsidRDefault="00B4690C" w:rsidP="00C63FCD">
            <w:pPr>
              <w:pStyle w:val="Normalgrey"/>
              <w:jc w:val="center"/>
            </w:pPr>
            <w:r>
              <w:t>5.3</w:t>
            </w:r>
          </w:p>
        </w:tc>
        <w:tc>
          <w:tcPr>
            <w:tcW w:w="6134" w:type="dxa"/>
          </w:tcPr>
          <w:p w14:paraId="0240FCF8" w14:textId="77777777" w:rsidR="00C63FCD" w:rsidRDefault="00C63FCD" w:rsidP="00C63FCD">
            <w:pPr>
              <w:pStyle w:val="Normalgrey"/>
            </w:pPr>
            <w:r>
              <w:t>Refer to Appendix A of AASB 11 Joint Arrangements for the following definition:</w:t>
            </w:r>
          </w:p>
          <w:p w14:paraId="123561C8" w14:textId="77777777" w:rsidR="00C63FCD" w:rsidRPr="00C63FCD" w:rsidRDefault="00C63FCD" w:rsidP="008C4A71">
            <w:pPr>
              <w:pStyle w:val="Bullet1grey"/>
            </w:pPr>
            <w:r w:rsidRPr="00C63FCD">
              <w:t>Joint venture</w:t>
            </w:r>
          </w:p>
        </w:tc>
      </w:tr>
      <w:tr w:rsidR="00C63FCD" w:rsidRPr="005828FE" w14:paraId="2FB6B471" w14:textId="77777777" w:rsidTr="00B8224B">
        <w:tc>
          <w:tcPr>
            <w:tcW w:w="2293" w:type="dxa"/>
          </w:tcPr>
          <w:p w14:paraId="62084CE1" w14:textId="37EA0BB9" w:rsidR="00C63FCD" w:rsidRPr="005828FE" w:rsidRDefault="00C63FCD" w:rsidP="00382EE1">
            <w:pPr>
              <w:pStyle w:val="Normalgrey"/>
            </w:pPr>
          </w:p>
        </w:tc>
        <w:tc>
          <w:tcPr>
            <w:tcW w:w="270" w:type="dxa"/>
          </w:tcPr>
          <w:p w14:paraId="737A3EA8" w14:textId="77777777" w:rsidR="00C63FCD" w:rsidRPr="005828FE" w:rsidRDefault="00C63FCD" w:rsidP="00286F9A">
            <w:pPr>
              <w:pStyle w:val="Normalgrey"/>
            </w:pPr>
          </w:p>
        </w:tc>
        <w:tc>
          <w:tcPr>
            <w:tcW w:w="540" w:type="dxa"/>
          </w:tcPr>
          <w:p w14:paraId="33C2BAF4" w14:textId="77777777" w:rsidR="00C63FCD" w:rsidRPr="005828FE" w:rsidRDefault="00B4690C" w:rsidP="00C63FCD">
            <w:pPr>
              <w:pStyle w:val="Normalgrey"/>
              <w:jc w:val="center"/>
            </w:pPr>
            <w:r>
              <w:t>5.4</w:t>
            </w:r>
          </w:p>
        </w:tc>
        <w:tc>
          <w:tcPr>
            <w:tcW w:w="6134" w:type="dxa"/>
          </w:tcPr>
          <w:p w14:paraId="508AE94C" w14:textId="77777777" w:rsidR="00C63FCD" w:rsidRDefault="00C63FCD" w:rsidP="008C4A71">
            <w:pPr>
              <w:pStyle w:val="Normalgrey"/>
            </w:pPr>
            <w:r>
              <w:t>Refer to paragraph 4 of AASB 127 for the following definition:</w:t>
            </w:r>
          </w:p>
          <w:p w14:paraId="7C24ED76" w14:textId="77777777" w:rsidR="00C63FCD" w:rsidRPr="00C63FCD" w:rsidRDefault="00C63FCD" w:rsidP="008C4A71">
            <w:pPr>
              <w:pStyle w:val="Bullet1grey"/>
            </w:pPr>
            <w:r w:rsidRPr="00C63FCD">
              <w:t>Separate financial statements</w:t>
            </w:r>
          </w:p>
        </w:tc>
      </w:tr>
      <w:tr w:rsidR="00C63FCD" w:rsidRPr="005828FE" w14:paraId="27CB3475" w14:textId="77777777" w:rsidTr="00B8224B">
        <w:tc>
          <w:tcPr>
            <w:tcW w:w="2293" w:type="dxa"/>
          </w:tcPr>
          <w:p w14:paraId="0F350E2C" w14:textId="77777777" w:rsidR="00C63FCD" w:rsidRPr="005828FE" w:rsidRDefault="00C63FCD" w:rsidP="00382EE1">
            <w:pPr>
              <w:pStyle w:val="Normalgrey"/>
            </w:pPr>
          </w:p>
        </w:tc>
        <w:tc>
          <w:tcPr>
            <w:tcW w:w="270" w:type="dxa"/>
          </w:tcPr>
          <w:p w14:paraId="016D6D87" w14:textId="77777777" w:rsidR="00C63FCD" w:rsidRPr="005828FE" w:rsidRDefault="00C63FCD" w:rsidP="00286F9A">
            <w:pPr>
              <w:pStyle w:val="Normalgrey"/>
            </w:pPr>
          </w:p>
        </w:tc>
        <w:tc>
          <w:tcPr>
            <w:tcW w:w="540" w:type="dxa"/>
          </w:tcPr>
          <w:p w14:paraId="5E0F88B7" w14:textId="77777777" w:rsidR="00C63FCD" w:rsidRPr="005828FE" w:rsidRDefault="00B4690C" w:rsidP="00C63FCD">
            <w:pPr>
              <w:pStyle w:val="Normalgrey"/>
              <w:jc w:val="center"/>
            </w:pPr>
            <w:r>
              <w:t>5.5</w:t>
            </w:r>
          </w:p>
        </w:tc>
        <w:tc>
          <w:tcPr>
            <w:tcW w:w="6134" w:type="dxa"/>
          </w:tcPr>
          <w:p w14:paraId="14FCC8EC" w14:textId="77777777" w:rsidR="00C63FCD" w:rsidRDefault="00C63FCD" w:rsidP="00C63FCD">
            <w:pPr>
              <w:pStyle w:val="Normalgrey"/>
            </w:pPr>
            <w:r>
              <w:t>Refer to paragraph 3 of AASB 128 Investments in Associates and Joint Ventures for the following definitions:</w:t>
            </w:r>
          </w:p>
          <w:p w14:paraId="40B4CF04" w14:textId="77777777" w:rsidR="00C63FCD" w:rsidRDefault="00C63FCD" w:rsidP="008C4A71">
            <w:pPr>
              <w:pStyle w:val="Bullet1grey"/>
            </w:pPr>
            <w:r w:rsidRPr="00C63FCD">
              <w:t>Associate</w:t>
            </w:r>
            <w:r>
              <w:t>; and</w:t>
            </w:r>
          </w:p>
          <w:p w14:paraId="737698A7" w14:textId="77777777" w:rsidR="00C63FCD" w:rsidRPr="00C63FCD" w:rsidRDefault="00C63FCD" w:rsidP="008C4A71">
            <w:pPr>
              <w:pStyle w:val="Bullet1grey"/>
            </w:pPr>
            <w:r w:rsidRPr="00C63FCD">
              <w:t>Equity method</w:t>
            </w:r>
          </w:p>
        </w:tc>
      </w:tr>
      <w:tr w:rsidR="005828FE" w:rsidRPr="005828FE" w14:paraId="01BC9976" w14:textId="77777777" w:rsidTr="00B8224B">
        <w:tc>
          <w:tcPr>
            <w:tcW w:w="2293" w:type="dxa"/>
          </w:tcPr>
          <w:p w14:paraId="39A834A9" w14:textId="77777777" w:rsidR="006C78FB" w:rsidRPr="005828FE" w:rsidRDefault="006C78FB" w:rsidP="00382EE1">
            <w:pPr>
              <w:pStyle w:val="Normalgrey"/>
            </w:pPr>
            <w:r w:rsidRPr="005828FE">
              <w:t>Guidance</w:t>
            </w:r>
          </w:p>
        </w:tc>
        <w:tc>
          <w:tcPr>
            <w:tcW w:w="270" w:type="dxa"/>
          </w:tcPr>
          <w:p w14:paraId="04F90E2A" w14:textId="77777777" w:rsidR="006C78FB" w:rsidRPr="005828FE" w:rsidRDefault="006C78FB" w:rsidP="00286F9A">
            <w:pPr>
              <w:pStyle w:val="Normalgrey"/>
            </w:pPr>
          </w:p>
        </w:tc>
        <w:tc>
          <w:tcPr>
            <w:tcW w:w="540" w:type="dxa"/>
          </w:tcPr>
          <w:p w14:paraId="61A121C5" w14:textId="77777777" w:rsidR="006C78FB" w:rsidRPr="005828FE" w:rsidRDefault="00C63FCD" w:rsidP="00C63FCD">
            <w:pPr>
              <w:pStyle w:val="Normalgrey"/>
              <w:jc w:val="center"/>
            </w:pPr>
            <w:r>
              <w:t>6.1</w:t>
            </w:r>
          </w:p>
        </w:tc>
        <w:tc>
          <w:tcPr>
            <w:tcW w:w="6134" w:type="dxa"/>
          </w:tcPr>
          <w:p w14:paraId="7D996B76" w14:textId="77777777" w:rsidR="006C78FB" w:rsidRPr="005828FE" w:rsidRDefault="00C63FCD" w:rsidP="00C63FCD">
            <w:pPr>
              <w:pStyle w:val="Normalgrey"/>
            </w:pPr>
            <w:r w:rsidRPr="00C63FCD">
              <w:t>AASB 127 does not mandate separate financial statements to be presented. It applies when an entity elects to present separate financial statements or is required to do so.</w:t>
            </w:r>
          </w:p>
        </w:tc>
      </w:tr>
      <w:tr w:rsidR="00C63FCD" w:rsidRPr="005828FE" w14:paraId="55464140" w14:textId="77777777" w:rsidTr="00B8224B">
        <w:tc>
          <w:tcPr>
            <w:tcW w:w="2293" w:type="dxa"/>
          </w:tcPr>
          <w:p w14:paraId="3B5806A1" w14:textId="77777777" w:rsidR="00C63FCD" w:rsidRPr="005828FE" w:rsidRDefault="00C63FCD" w:rsidP="00382EE1">
            <w:pPr>
              <w:pStyle w:val="Normalgrey"/>
            </w:pPr>
          </w:p>
        </w:tc>
        <w:tc>
          <w:tcPr>
            <w:tcW w:w="270" w:type="dxa"/>
          </w:tcPr>
          <w:p w14:paraId="3B032243" w14:textId="77777777" w:rsidR="00C63FCD" w:rsidRPr="005828FE" w:rsidRDefault="00C63FCD" w:rsidP="00286F9A">
            <w:pPr>
              <w:pStyle w:val="Normalgrey"/>
            </w:pPr>
          </w:p>
        </w:tc>
        <w:tc>
          <w:tcPr>
            <w:tcW w:w="540" w:type="dxa"/>
          </w:tcPr>
          <w:p w14:paraId="024631AC" w14:textId="77777777" w:rsidR="00C63FCD" w:rsidRPr="005828FE" w:rsidRDefault="00C63FCD" w:rsidP="00C63FCD">
            <w:pPr>
              <w:pStyle w:val="Normalgrey"/>
              <w:jc w:val="center"/>
            </w:pPr>
            <w:r>
              <w:t>6.2</w:t>
            </w:r>
          </w:p>
        </w:tc>
        <w:tc>
          <w:tcPr>
            <w:tcW w:w="6134" w:type="dxa"/>
          </w:tcPr>
          <w:p w14:paraId="59EC31FB" w14:textId="77777777" w:rsidR="00C63FCD" w:rsidRPr="00565CF3" w:rsidRDefault="00C63FCD" w:rsidP="00C63FCD">
            <w:pPr>
              <w:pStyle w:val="Normalgrey"/>
            </w:pPr>
            <w:r w:rsidRPr="00C63FCD">
              <w:t>This FRD does not require entities to produce separate financial statements. However, an entity will present separate financial statements if it has been granted an exemption from presenting consolidated financial statements or if it falls under circumstances described in paragraph 6.4 of this FRD.</w:t>
            </w:r>
          </w:p>
        </w:tc>
      </w:tr>
      <w:tr w:rsidR="00C63FCD" w:rsidRPr="005828FE" w14:paraId="2AFE699B" w14:textId="77777777" w:rsidTr="00B8224B">
        <w:tc>
          <w:tcPr>
            <w:tcW w:w="2293" w:type="dxa"/>
          </w:tcPr>
          <w:p w14:paraId="034227A5" w14:textId="77777777" w:rsidR="00C63FCD" w:rsidRPr="005828FE" w:rsidRDefault="00C63FCD" w:rsidP="00382EE1">
            <w:pPr>
              <w:pStyle w:val="Normalgrey"/>
            </w:pPr>
          </w:p>
        </w:tc>
        <w:tc>
          <w:tcPr>
            <w:tcW w:w="270" w:type="dxa"/>
          </w:tcPr>
          <w:p w14:paraId="1BF78DEE" w14:textId="77777777" w:rsidR="00C63FCD" w:rsidRPr="005828FE" w:rsidRDefault="00C63FCD" w:rsidP="00286F9A">
            <w:pPr>
              <w:pStyle w:val="Normalgrey"/>
            </w:pPr>
          </w:p>
        </w:tc>
        <w:tc>
          <w:tcPr>
            <w:tcW w:w="540" w:type="dxa"/>
          </w:tcPr>
          <w:p w14:paraId="030CA4A8" w14:textId="77777777" w:rsidR="00C63FCD" w:rsidRPr="005828FE" w:rsidRDefault="00C63FCD" w:rsidP="00C63FCD">
            <w:pPr>
              <w:pStyle w:val="Normalgrey"/>
              <w:jc w:val="center"/>
            </w:pPr>
            <w:r>
              <w:t>6.3</w:t>
            </w:r>
          </w:p>
        </w:tc>
        <w:tc>
          <w:tcPr>
            <w:tcW w:w="6134" w:type="dxa"/>
          </w:tcPr>
          <w:p w14:paraId="17156633" w14:textId="28D07C52" w:rsidR="00C63FCD" w:rsidRPr="00565CF3" w:rsidRDefault="00C63FCD" w:rsidP="00C63FCD">
            <w:pPr>
              <w:pStyle w:val="Normalgrey"/>
            </w:pPr>
            <w:r w:rsidRPr="00C63FCD">
              <w:t xml:space="preserve">This FRD requires an entity to seek Ministerial approval for an exemption from presenting consolidated financial statements. Paragraph 4 or Aus4.1 of AASB 10 sets out the minimum criteria that must be met for a parent entity to apply this exemption. Nevertheless, an exemption should be considered on an exceptional basis. This FRD requires an entity to obtain approval from the </w:t>
            </w:r>
            <w:r w:rsidR="0075133D" w:rsidRPr="0075133D">
              <w:t>Assistant Treasurer</w:t>
            </w:r>
            <w:r w:rsidR="0075133D">
              <w:t xml:space="preserve"> </w:t>
            </w:r>
            <w:r w:rsidRPr="00C63FCD">
              <w:t>with a business case provided to DTF should the entity plan to seek an exemption from presenting consolidated financial statements. This is based on the presumption that presenting consolidated financial statements and reporting as one economic entity provides more meaningful and comprehensive information for users of financial statements.</w:t>
            </w:r>
          </w:p>
        </w:tc>
      </w:tr>
      <w:tr w:rsidR="00C63FCD" w:rsidRPr="005828FE" w14:paraId="389BB637" w14:textId="77777777" w:rsidTr="00B8224B">
        <w:tc>
          <w:tcPr>
            <w:tcW w:w="2293" w:type="dxa"/>
          </w:tcPr>
          <w:p w14:paraId="7D2616D4" w14:textId="77777777" w:rsidR="00C63FCD" w:rsidRPr="005828FE" w:rsidRDefault="00C63FCD" w:rsidP="00382EE1">
            <w:pPr>
              <w:pStyle w:val="Normalgrey"/>
            </w:pPr>
          </w:p>
        </w:tc>
        <w:tc>
          <w:tcPr>
            <w:tcW w:w="270" w:type="dxa"/>
          </w:tcPr>
          <w:p w14:paraId="3946B3B5" w14:textId="77777777" w:rsidR="00C63FCD" w:rsidRPr="005828FE" w:rsidRDefault="00C63FCD" w:rsidP="00286F9A">
            <w:pPr>
              <w:pStyle w:val="Normalgrey"/>
            </w:pPr>
          </w:p>
        </w:tc>
        <w:tc>
          <w:tcPr>
            <w:tcW w:w="540" w:type="dxa"/>
          </w:tcPr>
          <w:p w14:paraId="686907C9" w14:textId="77777777" w:rsidR="00C63FCD" w:rsidRPr="005828FE" w:rsidRDefault="00C63FCD" w:rsidP="00C63FCD">
            <w:pPr>
              <w:pStyle w:val="Normalgrey"/>
              <w:jc w:val="center"/>
            </w:pPr>
            <w:r>
              <w:t>6.4</w:t>
            </w:r>
          </w:p>
        </w:tc>
        <w:tc>
          <w:tcPr>
            <w:tcW w:w="6134" w:type="dxa"/>
          </w:tcPr>
          <w:p w14:paraId="205C8C7A" w14:textId="77777777" w:rsidR="00C63FCD" w:rsidRDefault="00C63FCD" w:rsidP="00C63FCD">
            <w:pPr>
              <w:pStyle w:val="Normalgrey"/>
            </w:pPr>
            <w:r>
              <w:t>Separate financial statements may also be presented under the following scenarios (subject to the approval required by this FRD):</w:t>
            </w:r>
          </w:p>
          <w:p w14:paraId="1985F1B9" w14:textId="77777777" w:rsidR="00C63FCD" w:rsidRDefault="00C63FCD" w:rsidP="00C63FCD">
            <w:pPr>
              <w:pStyle w:val="Listnumgrey"/>
            </w:pPr>
            <w:r>
              <w:t>where a parent entity presents consolidated financial statements in accordance with AASB 10 and the entity elects to present additional separate financial statements or is required to do so; or</w:t>
            </w:r>
          </w:p>
          <w:p w14:paraId="42971209" w14:textId="77777777" w:rsidR="00C63FCD" w:rsidRPr="00565CF3" w:rsidRDefault="00C63FCD" w:rsidP="00C63FCD">
            <w:pPr>
              <w:pStyle w:val="Listnumgrey"/>
            </w:pPr>
            <w:r>
              <w:t>where an investor entity has no subsidiaries but has associates or joint ventures that are accounted for using the equity method under AASB 128, the entity may present additional separate financial statements if it elects to or is required to do so. Separate financial statements are presented if the investments in associates or joint ventures are accounted for using a different basis provided in AASB 127 other than the equity method.</w:t>
            </w:r>
          </w:p>
        </w:tc>
      </w:tr>
      <w:tr w:rsidR="00C63FCD" w:rsidRPr="005828FE" w14:paraId="44B28C89" w14:textId="77777777" w:rsidTr="00B8224B">
        <w:tc>
          <w:tcPr>
            <w:tcW w:w="2293" w:type="dxa"/>
          </w:tcPr>
          <w:p w14:paraId="48AA38BE" w14:textId="77777777" w:rsidR="00C63FCD" w:rsidRPr="005828FE" w:rsidRDefault="00C63FCD" w:rsidP="00382EE1">
            <w:pPr>
              <w:pStyle w:val="Normalgrey"/>
            </w:pPr>
          </w:p>
        </w:tc>
        <w:tc>
          <w:tcPr>
            <w:tcW w:w="270" w:type="dxa"/>
          </w:tcPr>
          <w:p w14:paraId="454FA5EB" w14:textId="77777777" w:rsidR="00C63FCD" w:rsidRPr="005828FE" w:rsidRDefault="00C63FCD" w:rsidP="00286F9A">
            <w:pPr>
              <w:pStyle w:val="Normalgrey"/>
            </w:pPr>
          </w:p>
        </w:tc>
        <w:tc>
          <w:tcPr>
            <w:tcW w:w="540" w:type="dxa"/>
          </w:tcPr>
          <w:p w14:paraId="1B9CFA7F" w14:textId="77777777" w:rsidR="00C63FCD" w:rsidRPr="005828FE" w:rsidRDefault="00C63FCD" w:rsidP="00C63FCD">
            <w:pPr>
              <w:pStyle w:val="Normalgrey"/>
              <w:jc w:val="center"/>
            </w:pPr>
            <w:r>
              <w:t>6.5</w:t>
            </w:r>
          </w:p>
        </w:tc>
        <w:tc>
          <w:tcPr>
            <w:tcW w:w="6134" w:type="dxa"/>
          </w:tcPr>
          <w:p w14:paraId="7042909B" w14:textId="613E0D89" w:rsidR="00C63FCD" w:rsidRPr="00565CF3" w:rsidRDefault="00C63FCD" w:rsidP="00C63FCD">
            <w:pPr>
              <w:pStyle w:val="Normalgrey"/>
            </w:pPr>
            <w:r w:rsidRPr="00C63FCD">
              <w:t xml:space="preserve">Under both scenarios described in paragraph 6.4 above, prior written approval is required from the </w:t>
            </w:r>
            <w:r w:rsidR="0075133D" w:rsidRPr="0075133D">
              <w:t>Assistant Treasurer</w:t>
            </w:r>
            <w:r w:rsidRPr="00C63FCD">
              <w:t>.</w:t>
            </w:r>
          </w:p>
        </w:tc>
      </w:tr>
      <w:tr w:rsidR="00C63FCD" w:rsidRPr="005828FE" w14:paraId="50426FC2" w14:textId="77777777" w:rsidTr="00B8224B">
        <w:tc>
          <w:tcPr>
            <w:tcW w:w="2293" w:type="dxa"/>
          </w:tcPr>
          <w:p w14:paraId="57D8C905" w14:textId="77777777" w:rsidR="00C63FCD" w:rsidRPr="005828FE" w:rsidRDefault="00C63FCD" w:rsidP="00382EE1">
            <w:pPr>
              <w:pStyle w:val="Normalgrey"/>
            </w:pPr>
          </w:p>
        </w:tc>
        <w:tc>
          <w:tcPr>
            <w:tcW w:w="270" w:type="dxa"/>
          </w:tcPr>
          <w:p w14:paraId="32A4B463" w14:textId="77777777" w:rsidR="00C63FCD" w:rsidRPr="005828FE" w:rsidRDefault="00C63FCD" w:rsidP="00286F9A">
            <w:pPr>
              <w:pStyle w:val="Normalgrey"/>
            </w:pPr>
          </w:p>
        </w:tc>
        <w:tc>
          <w:tcPr>
            <w:tcW w:w="540" w:type="dxa"/>
          </w:tcPr>
          <w:p w14:paraId="73A8FF32" w14:textId="77777777" w:rsidR="00C63FCD" w:rsidRPr="005828FE" w:rsidRDefault="00C63FCD" w:rsidP="00C63FCD">
            <w:pPr>
              <w:pStyle w:val="Normalgrey"/>
              <w:jc w:val="center"/>
            </w:pPr>
            <w:r>
              <w:t>6.6</w:t>
            </w:r>
          </w:p>
        </w:tc>
        <w:tc>
          <w:tcPr>
            <w:tcW w:w="6134" w:type="dxa"/>
          </w:tcPr>
          <w:p w14:paraId="076FA771" w14:textId="77777777" w:rsidR="00B75AED" w:rsidRDefault="00B75AED" w:rsidP="00AA3A8C">
            <w:pPr>
              <w:pStyle w:val="Normalgreybold"/>
            </w:pPr>
            <w:r w:rsidRPr="00C63FCD">
              <w:t xml:space="preserve">Accounting in separate financial statements </w:t>
            </w:r>
          </w:p>
          <w:p w14:paraId="35531B13" w14:textId="1699055E" w:rsidR="00C63FCD" w:rsidRPr="00565CF3" w:rsidRDefault="00C63FCD" w:rsidP="00C63FCD">
            <w:pPr>
              <w:pStyle w:val="Normalgrey"/>
            </w:pPr>
            <w:r w:rsidRPr="00C63FCD">
              <w:t>AASB 127 provides choices in the methodology of accounting for investments in subsidiaries, associates and joint ventures in the separate financial statements. However, this FRD requires investments in subsidiaries, associates and joint ventures to be accounted for at cost in the separate financial statements. The choice has been limited to the cost method as it is considered as the most consistent and efficient method of reporting across Victorian Public Sector entities.</w:t>
            </w:r>
          </w:p>
        </w:tc>
      </w:tr>
      <w:tr w:rsidR="00C63FCD" w:rsidRPr="005828FE" w14:paraId="0F7AE05C" w14:textId="77777777" w:rsidTr="00B8224B">
        <w:tc>
          <w:tcPr>
            <w:tcW w:w="2293" w:type="dxa"/>
          </w:tcPr>
          <w:p w14:paraId="1FC646BC" w14:textId="77777777" w:rsidR="00C63FCD" w:rsidRPr="005828FE" w:rsidRDefault="00C63FCD" w:rsidP="00382EE1">
            <w:pPr>
              <w:pStyle w:val="Normalgrey"/>
            </w:pPr>
          </w:p>
        </w:tc>
        <w:tc>
          <w:tcPr>
            <w:tcW w:w="270" w:type="dxa"/>
          </w:tcPr>
          <w:p w14:paraId="14946B4C" w14:textId="77777777" w:rsidR="00C63FCD" w:rsidRPr="005828FE" w:rsidRDefault="00C63FCD" w:rsidP="00286F9A">
            <w:pPr>
              <w:pStyle w:val="Normalgrey"/>
            </w:pPr>
          </w:p>
        </w:tc>
        <w:tc>
          <w:tcPr>
            <w:tcW w:w="540" w:type="dxa"/>
          </w:tcPr>
          <w:p w14:paraId="1CE503A6" w14:textId="77777777" w:rsidR="00C63FCD" w:rsidRPr="005828FE" w:rsidRDefault="00C63FCD" w:rsidP="00C63FCD">
            <w:pPr>
              <w:pStyle w:val="Normalgrey"/>
              <w:jc w:val="center"/>
            </w:pPr>
            <w:r>
              <w:t>6.7</w:t>
            </w:r>
          </w:p>
        </w:tc>
        <w:tc>
          <w:tcPr>
            <w:tcW w:w="6134" w:type="dxa"/>
          </w:tcPr>
          <w:p w14:paraId="18C9C442" w14:textId="249A2001" w:rsidR="00C63FCD" w:rsidRPr="00565CF3" w:rsidRDefault="00C63FCD" w:rsidP="00C63FCD">
            <w:pPr>
              <w:pStyle w:val="Normalgrey"/>
            </w:pPr>
            <w:r w:rsidRPr="00C63FCD">
              <w:t xml:space="preserve">If an entity elects to use a different basis provided in AASB 127 other than the cost method to account for those investments, prior written approval is required from the </w:t>
            </w:r>
            <w:r w:rsidR="0075133D" w:rsidRPr="0075133D">
              <w:t>Assistant Treasurer</w:t>
            </w:r>
            <w:r w:rsidRPr="00C63FCD">
              <w:t>.</w:t>
            </w:r>
          </w:p>
        </w:tc>
      </w:tr>
      <w:tr w:rsidR="00C63FCD" w:rsidRPr="005828FE" w14:paraId="03BE6A4C" w14:textId="77777777" w:rsidTr="00B8224B">
        <w:tc>
          <w:tcPr>
            <w:tcW w:w="2293" w:type="dxa"/>
          </w:tcPr>
          <w:p w14:paraId="77FDEEBA" w14:textId="77777777" w:rsidR="00C63FCD" w:rsidRPr="005828FE" w:rsidRDefault="00C63FCD" w:rsidP="00382EE1">
            <w:pPr>
              <w:pStyle w:val="Normalgrey"/>
            </w:pPr>
          </w:p>
        </w:tc>
        <w:tc>
          <w:tcPr>
            <w:tcW w:w="270" w:type="dxa"/>
          </w:tcPr>
          <w:p w14:paraId="63BC5672" w14:textId="77777777" w:rsidR="00C63FCD" w:rsidRPr="005828FE" w:rsidRDefault="00C63FCD" w:rsidP="00286F9A">
            <w:pPr>
              <w:pStyle w:val="Normalgrey"/>
            </w:pPr>
          </w:p>
        </w:tc>
        <w:tc>
          <w:tcPr>
            <w:tcW w:w="540" w:type="dxa"/>
          </w:tcPr>
          <w:p w14:paraId="4B4D3D70" w14:textId="77777777" w:rsidR="00C63FCD" w:rsidRPr="005828FE" w:rsidRDefault="00C63FCD" w:rsidP="00C63FCD">
            <w:pPr>
              <w:pStyle w:val="Normalgrey"/>
              <w:jc w:val="center"/>
            </w:pPr>
            <w:r>
              <w:t>6.8</w:t>
            </w:r>
          </w:p>
        </w:tc>
        <w:tc>
          <w:tcPr>
            <w:tcW w:w="6134" w:type="dxa"/>
          </w:tcPr>
          <w:p w14:paraId="6D3ACC59" w14:textId="77777777" w:rsidR="00C63FCD" w:rsidRPr="00565CF3" w:rsidRDefault="00C63FCD" w:rsidP="00C63FCD">
            <w:pPr>
              <w:pStyle w:val="Normalgrey"/>
            </w:pPr>
            <w:r w:rsidRPr="00C63FCD">
              <w:t xml:space="preserve">Subsequent to the initial recognition, investments in subsidiaries, associates and joint ventures are subject to impairment assessment in accordance with AASB 136 </w:t>
            </w:r>
            <w:r w:rsidRPr="00C63FCD">
              <w:rPr>
                <w:i/>
              </w:rPr>
              <w:t>Impairment of Assets</w:t>
            </w:r>
            <w:r w:rsidRPr="00C63FCD">
              <w:t>.</w:t>
            </w:r>
          </w:p>
        </w:tc>
      </w:tr>
      <w:tr w:rsidR="00C63FCD" w:rsidRPr="005828FE" w14:paraId="3D96B17F" w14:textId="77777777" w:rsidTr="00B8224B">
        <w:tc>
          <w:tcPr>
            <w:tcW w:w="2293" w:type="dxa"/>
          </w:tcPr>
          <w:p w14:paraId="3B0091BE" w14:textId="77777777" w:rsidR="00C63FCD" w:rsidRPr="005828FE" w:rsidRDefault="00C63FCD" w:rsidP="00382EE1">
            <w:pPr>
              <w:pStyle w:val="Normalgrey"/>
            </w:pPr>
          </w:p>
        </w:tc>
        <w:tc>
          <w:tcPr>
            <w:tcW w:w="270" w:type="dxa"/>
          </w:tcPr>
          <w:p w14:paraId="1FE3FF57" w14:textId="77777777" w:rsidR="00C63FCD" w:rsidRPr="005828FE" w:rsidRDefault="00C63FCD" w:rsidP="00286F9A">
            <w:pPr>
              <w:pStyle w:val="Normalgrey"/>
            </w:pPr>
          </w:p>
        </w:tc>
        <w:tc>
          <w:tcPr>
            <w:tcW w:w="540" w:type="dxa"/>
          </w:tcPr>
          <w:p w14:paraId="08C773DE" w14:textId="77777777" w:rsidR="00C63FCD" w:rsidRPr="005828FE" w:rsidRDefault="00C63FCD" w:rsidP="00C63FCD">
            <w:pPr>
              <w:pStyle w:val="Normalgrey"/>
              <w:jc w:val="center"/>
            </w:pPr>
            <w:r>
              <w:t>6.9</w:t>
            </w:r>
          </w:p>
        </w:tc>
        <w:tc>
          <w:tcPr>
            <w:tcW w:w="6134" w:type="dxa"/>
          </w:tcPr>
          <w:p w14:paraId="66B4B528" w14:textId="77777777" w:rsidR="00C63FCD" w:rsidRPr="00565CF3" w:rsidRDefault="00C63FCD" w:rsidP="00C63FCD">
            <w:pPr>
              <w:pStyle w:val="Normalgrey"/>
            </w:pPr>
            <w:r w:rsidRPr="00C63FCD">
              <w:t xml:space="preserve">If an investment is classified as held for sale or included in a disposal group that is classified as held for sale, it shall be accounted for in accordance with AASB 5 </w:t>
            </w:r>
            <w:r w:rsidRPr="00C63FCD">
              <w:rPr>
                <w:i/>
              </w:rPr>
              <w:t>Non-current Assets Held for Sale and Discontinued Operations</w:t>
            </w:r>
            <w:r w:rsidRPr="00C63FCD">
              <w:t>.</w:t>
            </w:r>
          </w:p>
        </w:tc>
      </w:tr>
      <w:tr w:rsidR="005828FE" w:rsidRPr="005828FE" w14:paraId="76C9E33D" w14:textId="77777777" w:rsidTr="00B8224B">
        <w:tc>
          <w:tcPr>
            <w:tcW w:w="2293" w:type="dxa"/>
          </w:tcPr>
          <w:p w14:paraId="5924398A" w14:textId="77777777" w:rsidR="006C78FB" w:rsidRPr="005828FE" w:rsidRDefault="006C78FB" w:rsidP="00382EE1">
            <w:pPr>
              <w:pStyle w:val="Normalgrey"/>
            </w:pPr>
            <w:r w:rsidRPr="005828FE">
              <w:t>Relevant pronouncements</w:t>
            </w:r>
          </w:p>
        </w:tc>
        <w:tc>
          <w:tcPr>
            <w:tcW w:w="270" w:type="dxa"/>
          </w:tcPr>
          <w:p w14:paraId="5DC04C41" w14:textId="77777777" w:rsidR="006C78FB" w:rsidRPr="005828FE" w:rsidRDefault="006C78FB" w:rsidP="00286F9A">
            <w:pPr>
              <w:pStyle w:val="Normalgrey"/>
            </w:pPr>
          </w:p>
        </w:tc>
        <w:tc>
          <w:tcPr>
            <w:tcW w:w="540" w:type="dxa"/>
          </w:tcPr>
          <w:p w14:paraId="353A53BF" w14:textId="77777777" w:rsidR="006C78FB" w:rsidRPr="005828FE" w:rsidRDefault="00273ECA" w:rsidP="00C63FCD">
            <w:pPr>
              <w:pStyle w:val="Normalgrey"/>
              <w:jc w:val="center"/>
            </w:pPr>
            <w:r>
              <w:t>7.1</w:t>
            </w:r>
          </w:p>
        </w:tc>
        <w:tc>
          <w:tcPr>
            <w:tcW w:w="6134" w:type="dxa"/>
          </w:tcPr>
          <w:p w14:paraId="19ABA313" w14:textId="42AA657C" w:rsidR="00C63FCD" w:rsidRDefault="00C63FCD" w:rsidP="00C63FCD">
            <w:pPr>
              <w:pStyle w:val="Bullet1grey"/>
            </w:pPr>
            <w:r>
              <w:t xml:space="preserve">AASB 5 </w:t>
            </w:r>
            <w:r w:rsidRPr="00C63FCD">
              <w:rPr>
                <w:i/>
              </w:rPr>
              <w:t>Non-current Assets Held for Sale and Discontinued Operations</w:t>
            </w:r>
          </w:p>
          <w:p w14:paraId="689BDDD3" w14:textId="21955EA1" w:rsidR="00C63FCD" w:rsidRDefault="00C63FCD" w:rsidP="00C63FCD">
            <w:pPr>
              <w:pStyle w:val="Bullet1grey"/>
            </w:pPr>
            <w:r>
              <w:t xml:space="preserve">AASB 10 </w:t>
            </w:r>
            <w:r w:rsidRPr="00C63FCD">
              <w:rPr>
                <w:i/>
              </w:rPr>
              <w:t>Consolidated Financial Statements</w:t>
            </w:r>
            <w:r w:rsidR="00B75AED">
              <w:rPr>
                <w:rStyle w:val="FootnoteReference"/>
              </w:rPr>
              <w:footnoteReference w:id="1"/>
            </w:r>
          </w:p>
          <w:p w14:paraId="3E99E442" w14:textId="6AEC2AE6" w:rsidR="00C63FCD" w:rsidRDefault="00C63FCD" w:rsidP="00C63FCD">
            <w:pPr>
              <w:pStyle w:val="Bullet1grey"/>
            </w:pPr>
            <w:r>
              <w:t xml:space="preserve">AASB 11 </w:t>
            </w:r>
            <w:r w:rsidRPr="00C63FCD">
              <w:rPr>
                <w:i/>
              </w:rPr>
              <w:t>Joint Arrangements</w:t>
            </w:r>
            <w:r w:rsidR="00B75AED" w:rsidRPr="00AA3A8C">
              <w:rPr>
                <w:vertAlign w:val="superscript"/>
              </w:rPr>
              <w:t>1</w:t>
            </w:r>
          </w:p>
          <w:p w14:paraId="30D69470" w14:textId="2A9283E2" w:rsidR="00C63FCD" w:rsidRDefault="00C63FCD" w:rsidP="00C63FCD">
            <w:pPr>
              <w:pStyle w:val="Bullet1grey"/>
            </w:pPr>
            <w:r>
              <w:t xml:space="preserve">AASB 127 </w:t>
            </w:r>
            <w:r w:rsidRPr="00C63FCD">
              <w:rPr>
                <w:i/>
              </w:rPr>
              <w:t>Separate Financial Statements</w:t>
            </w:r>
            <w:r w:rsidR="00B75AED" w:rsidRPr="00775814">
              <w:rPr>
                <w:vertAlign w:val="superscript"/>
              </w:rPr>
              <w:t>1</w:t>
            </w:r>
          </w:p>
          <w:p w14:paraId="33096C13" w14:textId="47926CA4" w:rsidR="00C63FCD" w:rsidRDefault="00C63FCD" w:rsidP="00C63FCD">
            <w:pPr>
              <w:pStyle w:val="Bullet1grey"/>
            </w:pPr>
            <w:r>
              <w:t xml:space="preserve">AASB 128 </w:t>
            </w:r>
            <w:r w:rsidRPr="00C63FCD">
              <w:rPr>
                <w:i/>
              </w:rPr>
              <w:t>Investments in Associates and Joint Ventures</w:t>
            </w:r>
            <w:r w:rsidR="00B75AED" w:rsidRPr="00775814">
              <w:rPr>
                <w:vertAlign w:val="superscript"/>
              </w:rPr>
              <w:t>1</w:t>
            </w:r>
          </w:p>
          <w:p w14:paraId="5AFB53C7" w14:textId="2EC282F2" w:rsidR="00421F2E" w:rsidRPr="005828FE" w:rsidRDefault="00C63FCD" w:rsidP="00AA3A8C">
            <w:pPr>
              <w:pStyle w:val="Bullet1grey"/>
            </w:pPr>
            <w:r>
              <w:t xml:space="preserve">AASB 136 </w:t>
            </w:r>
            <w:r w:rsidRPr="00C63FCD">
              <w:rPr>
                <w:i/>
              </w:rPr>
              <w:t>Impairment of Assets</w:t>
            </w:r>
          </w:p>
        </w:tc>
      </w:tr>
      <w:tr w:rsidR="005828FE" w:rsidRPr="005828FE" w14:paraId="363C3A50" w14:textId="77777777" w:rsidTr="00B8224B">
        <w:tc>
          <w:tcPr>
            <w:tcW w:w="2293" w:type="dxa"/>
          </w:tcPr>
          <w:p w14:paraId="3A1F9538" w14:textId="77777777" w:rsidR="006C78FB" w:rsidRPr="005828FE" w:rsidRDefault="006C78FB" w:rsidP="00382EE1">
            <w:pPr>
              <w:pStyle w:val="Normalgrey"/>
            </w:pPr>
            <w:r w:rsidRPr="005828FE">
              <w:t>Background</w:t>
            </w:r>
          </w:p>
        </w:tc>
        <w:tc>
          <w:tcPr>
            <w:tcW w:w="270" w:type="dxa"/>
          </w:tcPr>
          <w:p w14:paraId="68AC5B22" w14:textId="77777777" w:rsidR="006C78FB" w:rsidRPr="005828FE" w:rsidRDefault="006C78FB" w:rsidP="00286F9A">
            <w:pPr>
              <w:pStyle w:val="Normalgrey"/>
            </w:pPr>
          </w:p>
        </w:tc>
        <w:tc>
          <w:tcPr>
            <w:tcW w:w="540" w:type="dxa"/>
          </w:tcPr>
          <w:p w14:paraId="373126BB" w14:textId="77777777" w:rsidR="006C78FB" w:rsidRPr="005828FE" w:rsidRDefault="00273ECA" w:rsidP="00C63FCD">
            <w:pPr>
              <w:pStyle w:val="Normalgrey"/>
              <w:jc w:val="center"/>
            </w:pPr>
            <w:r>
              <w:t>8.1</w:t>
            </w:r>
          </w:p>
        </w:tc>
        <w:tc>
          <w:tcPr>
            <w:tcW w:w="6134" w:type="dxa"/>
          </w:tcPr>
          <w:p w14:paraId="6ECC7F4A" w14:textId="77265008" w:rsidR="00740302" w:rsidRPr="005828FE" w:rsidRDefault="00B75AED" w:rsidP="00C63FCD">
            <w:pPr>
              <w:pStyle w:val="Normalgrey"/>
            </w:pPr>
            <w:r>
              <w:t xml:space="preserve">As entities still have the option to present separate financial statements in accordance with AASB 127, this FRD prescribes the circumstances in which separate financial statements may be presented and the approval process required. In addition, this FRD mandates cost as the accounting method for investments in subsidiaries, joint ventures or associates when an entity presents separate financial statements. If an entity elects to use a different basis provided in AASB 127 other than the cost method, prior written approval must be sought from the </w:t>
            </w:r>
            <w:r w:rsidR="002E0022">
              <w:t>Assistant Treasurer</w:t>
            </w:r>
            <w:r>
              <w:t>.</w:t>
            </w:r>
          </w:p>
        </w:tc>
      </w:tr>
      <w:tr w:rsidR="00B75AED" w:rsidRPr="005828FE" w14:paraId="4DB3BA44" w14:textId="77777777" w:rsidTr="00B8224B">
        <w:tc>
          <w:tcPr>
            <w:tcW w:w="2293" w:type="dxa"/>
          </w:tcPr>
          <w:p w14:paraId="5102D0A4" w14:textId="77777777" w:rsidR="00B75AED" w:rsidRPr="005828FE" w:rsidRDefault="00B75AED" w:rsidP="00382EE1">
            <w:pPr>
              <w:pStyle w:val="Normalgrey"/>
            </w:pPr>
          </w:p>
        </w:tc>
        <w:tc>
          <w:tcPr>
            <w:tcW w:w="270" w:type="dxa"/>
          </w:tcPr>
          <w:p w14:paraId="740AF8EB" w14:textId="77777777" w:rsidR="00B75AED" w:rsidRPr="005828FE" w:rsidRDefault="00B75AED" w:rsidP="00286F9A">
            <w:pPr>
              <w:pStyle w:val="Normalgrey"/>
            </w:pPr>
          </w:p>
        </w:tc>
        <w:tc>
          <w:tcPr>
            <w:tcW w:w="540" w:type="dxa"/>
          </w:tcPr>
          <w:p w14:paraId="63FC4B4D" w14:textId="198A3702" w:rsidR="00B75AED" w:rsidRDefault="00B75AED" w:rsidP="00C63FCD">
            <w:pPr>
              <w:pStyle w:val="Normalgrey"/>
              <w:jc w:val="center"/>
            </w:pPr>
            <w:r>
              <w:t>8.2</w:t>
            </w:r>
          </w:p>
        </w:tc>
        <w:tc>
          <w:tcPr>
            <w:tcW w:w="6134" w:type="dxa"/>
          </w:tcPr>
          <w:p w14:paraId="4888F92F" w14:textId="139FBBF7" w:rsidR="00B75AED" w:rsidRDefault="00B75AED" w:rsidP="00B75AED">
            <w:pPr>
              <w:pStyle w:val="Normalgrey"/>
            </w:pPr>
            <w:r>
              <w:t xml:space="preserve">FRD 113 </w:t>
            </w:r>
            <w:r w:rsidRPr="00C63FCD">
              <w:rPr>
                <w:i/>
              </w:rPr>
              <w:t>Investments in Subsidiaries, Jointly Controlled Entities and Associates</w:t>
            </w:r>
            <w:r>
              <w:t xml:space="preserve"> was issued in February 2005 and prescribed the requirements to account for investments in subsidiaries, jointly controlled entities and associates in both consolidated and separate financial statements. It was revised in:</w:t>
            </w:r>
          </w:p>
          <w:p w14:paraId="1339EFA3" w14:textId="116355C0" w:rsidR="00B75AED" w:rsidRDefault="00B75AED" w:rsidP="00B75AED">
            <w:pPr>
              <w:pStyle w:val="Bullet1grey"/>
            </w:pPr>
            <w:r>
              <w:t>May 2015 to:</w:t>
            </w:r>
          </w:p>
          <w:p w14:paraId="2A65BE7D" w14:textId="5A6AF18D" w:rsidR="00B75AED" w:rsidRDefault="002E0022" w:rsidP="00B75AED">
            <w:pPr>
              <w:pStyle w:val="Bullet2grey"/>
            </w:pPr>
            <w:r>
              <w:t xml:space="preserve">Change the </w:t>
            </w:r>
            <w:r w:rsidR="00B75AED" w:rsidRPr="002E0022">
              <w:t>name</w:t>
            </w:r>
            <w:r w:rsidR="00B75AED">
              <w:t xml:space="preserve"> the FRD to FRD 113 </w:t>
            </w:r>
            <w:r w:rsidR="00B75AED" w:rsidRPr="00C63FCD">
              <w:rPr>
                <w:i/>
              </w:rPr>
              <w:t>Investments in Subsidiaries, Joint Ventures and Associates in Separate Financial Statements</w:t>
            </w:r>
            <w:r w:rsidR="00B75AED">
              <w:rPr>
                <w:i/>
              </w:rPr>
              <w:t>;</w:t>
            </w:r>
            <w:r w:rsidR="00B75AED">
              <w:t xml:space="preserve"> and</w:t>
            </w:r>
          </w:p>
          <w:p w14:paraId="3C9185A7" w14:textId="71AD7A70" w:rsidR="00B75AED" w:rsidRDefault="002E0022" w:rsidP="00B75AED">
            <w:pPr>
              <w:pStyle w:val="Bullet2grey"/>
            </w:pPr>
            <w:r>
              <w:t xml:space="preserve">Remove the requirement to use the equity method to account for joint ventures following removal of </w:t>
            </w:r>
            <w:r w:rsidR="00B75AED">
              <w:t xml:space="preserve">the proportionate consolidation method </w:t>
            </w:r>
            <w:r>
              <w:t xml:space="preserve">from AASB 11 </w:t>
            </w:r>
            <w:r w:rsidRPr="00C63FCD">
              <w:rPr>
                <w:i/>
              </w:rPr>
              <w:t>Joint Arrangements</w:t>
            </w:r>
            <w:r>
              <w:rPr>
                <w:i/>
              </w:rPr>
              <w:t>,</w:t>
            </w:r>
            <w:r>
              <w:t xml:space="preserve"> </w:t>
            </w:r>
            <w:r w:rsidR="00B75AED">
              <w:t>only permit</w:t>
            </w:r>
            <w:r>
              <w:t>ting</w:t>
            </w:r>
            <w:r w:rsidR="00B75AED">
              <w:t xml:space="preserve"> the equity method to account for investments in joint ventures in the consolidated financial statements. </w:t>
            </w:r>
          </w:p>
          <w:p w14:paraId="60E1B398" w14:textId="34F111D6" w:rsidR="002E0022" w:rsidDel="00B75AED" w:rsidRDefault="002E0022" w:rsidP="00AA3A8C">
            <w:pPr>
              <w:pStyle w:val="Bullet1grey"/>
            </w:pPr>
            <w:r>
              <w:t>April 2022 to update references to the Minister for Finance with the Assistant Treasurer.</w:t>
            </w:r>
          </w:p>
        </w:tc>
      </w:tr>
    </w:tbl>
    <w:p w14:paraId="3F95DAD1" w14:textId="77777777" w:rsidR="00FE782F" w:rsidRDefault="00FE782F" w:rsidP="00FE782F"/>
    <w:p w14:paraId="72F84FE6" w14:textId="77777777" w:rsidR="008C63EE" w:rsidRDefault="008C63EE" w:rsidP="00FE782F"/>
    <w:sectPr w:rsidR="008C63EE" w:rsidSect="005828FE">
      <w:headerReference w:type="default" r:id="rId9"/>
      <w:footerReference w:type="even" r:id="rId10"/>
      <w:footerReference w:type="default" r:id="rId11"/>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A69E" w14:textId="77777777" w:rsidR="00E06A98" w:rsidRDefault="00E06A98" w:rsidP="002D711A">
      <w:pPr>
        <w:spacing w:after="0" w:line="240" w:lineRule="auto"/>
      </w:pPr>
      <w:r>
        <w:separator/>
      </w:r>
    </w:p>
    <w:p w14:paraId="0071CC40" w14:textId="77777777" w:rsidR="00E06A98" w:rsidRDefault="00E06A98"/>
  </w:endnote>
  <w:endnote w:type="continuationSeparator" w:id="0">
    <w:p w14:paraId="52245FE4" w14:textId="77777777" w:rsidR="00E06A98" w:rsidRDefault="00E06A98" w:rsidP="002D711A">
      <w:pPr>
        <w:spacing w:after="0" w:line="240" w:lineRule="auto"/>
      </w:pPr>
      <w:r>
        <w:continuationSeparator/>
      </w:r>
    </w:p>
    <w:p w14:paraId="587F80F6" w14:textId="77777777" w:rsidR="00E06A98" w:rsidRDefault="00E06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5281" w14:textId="77777777" w:rsidR="00014213" w:rsidRPr="00014213" w:rsidRDefault="00014213" w:rsidP="00C022F9">
    <w:pPr>
      <w:pStyle w:val="Footer"/>
    </w:pPr>
    <w:r>
      <w:drawing>
        <wp:anchor distT="0" distB="0" distL="114300" distR="114300" simplePos="0" relativeHeight="251656192" behindDoc="0" locked="0" layoutInCell="1" allowOverlap="1" wp14:anchorId="017B7B39" wp14:editId="7932DCD8">
          <wp:simplePos x="0" y="0"/>
          <wp:positionH relativeFrom="column">
            <wp:posOffset>4240861</wp:posOffset>
          </wp:positionH>
          <wp:positionV relativeFrom="page">
            <wp:posOffset>9493250</wp:posOffset>
          </wp:positionV>
          <wp:extent cx="1956435" cy="582930"/>
          <wp:effectExtent l="0" t="0" r="5715" b="762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0264E8D2" w14:textId="77777777" w:rsidR="0057703D" w:rsidRDefault="005770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0563" w14:textId="053609E6" w:rsidR="00A516DE" w:rsidRDefault="00A83A8E" w:rsidP="00A516DE">
    <w:pPr>
      <w:pStyle w:val="Spacer"/>
    </w:pPr>
    <w:r>
      <w:rPr>
        <w:noProof/>
      </w:rPr>
      <mc:AlternateContent>
        <mc:Choice Requires="wps">
          <w:drawing>
            <wp:anchor distT="0" distB="0" distL="114300" distR="114300" simplePos="0" relativeHeight="251658240" behindDoc="0" locked="0" layoutInCell="0" allowOverlap="1" wp14:anchorId="05266A91" wp14:editId="4BFBF16D">
              <wp:simplePos x="0" y="0"/>
              <wp:positionH relativeFrom="page">
                <wp:posOffset>0</wp:posOffset>
              </wp:positionH>
              <wp:positionV relativeFrom="page">
                <wp:posOffset>10227945</wp:posOffset>
              </wp:positionV>
              <wp:extent cx="7560310" cy="273050"/>
              <wp:effectExtent l="0" t="0" r="0" b="12700"/>
              <wp:wrapNone/>
              <wp:docPr id="1" name="MSIPCMae9b471da88071d1cbf8815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21122" w14:textId="7F828EA1" w:rsidR="00A83A8E" w:rsidRPr="00A83A8E" w:rsidRDefault="00A83A8E" w:rsidP="00A83A8E">
                          <w:pPr>
                            <w:spacing w:before="0" w:after="0"/>
                            <w:rPr>
                              <w:rFonts w:ascii="Calibri" w:hAnsi="Calibri" w:cs="Calibri"/>
                              <w:color w:val="000000"/>
                              <w:sz w:val="22"/>
                            </w:rPr>
                          </w:pPr>
                          <w:r w:rsidRPr="00A83A8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266A91" id="_x0000_t202" coordsize="21600,21600" o:spt="202" path="m,l,21600r21600,l21600,xe">
              <v:stroke joinstyle="miter"/>
              <v:path gradientshapeok="t" o:connecttype="rect"/>
            </v:shapetype>
            <v:shape id="MSIPCMae9b471da88071d1cbf8815b"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EP0EfsQIAAEgFAAAO&#10;AAAAAAAAAAAAAAAAAC4CAABkcnMvZTJvRG9jLnhtbFBLAQItABQABgAIAAAAIQB8dgjh3wAAAAsB&#10;AAAPAAAAAAAAAAAAAAAAAAsFAABkcnMvZG93bnJldi54bWxQSwUGAAAAAAQABADzAAAAFwYAAAAA&#10;" o:allowincell="f" filled="f" stroked="f" strokeweight=".5pt">
              <v:textbox inset="20pt,0,,0">
                <w:txbxContent>
                  <w:p w14:paraId="00321122" w14:textId="7F828EA1" w:rsidR="00A83A8E" w:rsidRPr="00A83A8E" w:rsidRDefault="00A83A8E" w:rsidP="00A83A8E">
                    <w:pPr>
                      <w:spacing w:before="0" w:after="0"/>
                      <w:rPr>
                        <w:rFonts w:ascii="Calibri" w:hAnsi="Calibri" w:cs="Calibri"/>
                        <w:color w:val="000000"/>
                        <w:sz w:val="22"/>
                      </w:rPr>
                    </w:pPr>
                    <w:r w:rsidRPr="00A83A8E">
                      <w:rPr>
                        <w:rFonts w:ascii="Calibri" w:hAnsi="Calibri" w:cs="Calibri"/>
                        <w:color w:val="000000"/>
                        <w:sz w:val="22"/>
                      </w:rPr>
                      <w:t>OFFICIAL</w:t>
                    </w:r>
                  </w:p>
                </w:txbxContent>
              </v:textbox>
              <w10:wrap anchorx="page" anchory="page"/>
            </v:shape>
          </w:pict>
        </mc:Fallback>
      </mc:AlternateContent>
    </w:r>
  </w:p>
  <w:p w14:paraId="759C6321" w14:textId="2CF62A1D" w:rsidR="0041689E" w:rsidRPr="005828FE" w:rsidRDefault="0041689E" w:rsidP="0041689E">
    <w:pPr>
      <w:pStyle w:val="Footer"/>
      <w:spacing w:before="0"/>
    </w:pPr>
    <w:r w:rsidRPr="005828FE">
      <w:rPr>
        <w:b/>
        <w:noProof w:val="0"/>
      </w:rPr>
      <w:fldChar w:fldCharType="begin"/>
    </w:r>
    <w:r w:rsidRPr="005828FE">
      <w:rPr>
        <w:b/>
      </w:rPr>
      <w:instrText xml:space="preserve"> StyleRef “</w:instrText>
    </w:r>
    <w:r w:rsidR="006C78FB" w:rsidRPr="005828FE">
      <w:rPr>
        <w:b/>
      </w:rPr>
      <w:instrText>FRD number</w:instrText>
    </w:r>
    <w:r w:rsidRPr="005828FE">
      <w:rPr>
        <w:b/>
      </w:rPr>
      <w:instrText xml:space="preserve">” </w:instrText>
    </w:r>
    <w:r w:rsidRPr="005828FE">
      <w:rPr>
        <w:b/>
        <w:noProof w:val="0"/>
      </w:rPr>
      <w:fldChar w:fldCharType="separate"/>
    </w:r>
    <w:r w:rsidR="004F1A87">
      <w:rPr>
        <w:b/>
      </w:rPr>
      <w:t>FRD 113</w:t>
    </w:r>
    <w:r w:rsidRPr="005828FE">
      <w:rPr>
        <w:b/>
      </w:rPr>
      <w:fldChar w:fldCharType="end"/>
    </w:r>
    <w:r w:rsidR="006C78FB" w:rsidRPr="005828FE">
      <w:rPr>
        <w:b/>
      </w:rPr>
      <w:t xml:space="preserve"> </w:t>
    </w:r>
    <w:r w:rsidR="006C78FB" w:rsidRPr="006C78FB">
      <w:fldChar w:fldCharType="begin"/>
    </w:r>
    <w:r w:rsidR="006C78FB" w:rsidRPr="006C78FB">
      <w:instrText xml:space="preserve"> StyleRef “FRD Header” </w:instrText>
    </w:r>
    <w:r w:rsidR="006C78FB" w:rsidRPr="006C78FB">
      <w:fldChar w:fldCharType="separate"/>
    </w:r>
    <w:r w:rsidR="004F1A87">
      <w:t>Investments in Subsidiaries, Joint Ventures and Associates in Separate Financial Statements (April 2022)</w:t>
    </w:r>
    <w:r w:rsidR="006C78FB"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sidR="00B77784">
      <w:rPr>
        <w:rStyle w:val="PageNumber"/>
        <w:color w:val="auto"/>
      </w:rPr>
      <w:t>1</w:t>
    </w:r>
    <w:r w:rsidRPr="005828FE">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E31CD" w14:textId="77777777" w:rsidR="00E06A98" w:rsidRDefault="00E06A98" w:rsidP="002D711A">
      <w:pPr>
        <w:spacing w:after="0" w:line="240" w:lineRule="auto"/>
      </w:pPr>
      <w:r>
        <w:separator/>
      </w:r>
    </w:p>
    <w:p w14:paraId="10695A12" w14:textId="77777777" w:rsidR="00E06A98" w:rsidRDefault="00E06A98"/>
  </w:footnote>
  <w:footnote w:type="continuationSeparator" w:id="0">
    <w:p w14:paraId="095D7E58" w14:textId="77777777" w:rsidR="00E06A98" w:rsidRDefault="00E06A98" w:rsidP="002D711A">
      <w:pPr>
        <w:spacing w:after="0" w:line="240" w:lineRule="auto"/>
      </w:pPr>
      <w:r>
        <w:continuationSeparator/>
      </w:r>
    </w:p>
    <w:p w14:paraId="62C4A9F8" w14:textId="77777777" w:rsidR="00E06A98" w:rsidRDefault="00E06A98"/>
  </w:footnote>
  <w:footnote w:id="1">
    <w:p w14:paraId="0138796B" w14:textId="71BFAEE8" w:rsidR="00B75AED" w:rsidRDefault="00B75AED">
      <w:pPr>
        <w:pStyle w:val="FootnoteText"/>
      </w:pPr>
      <w:r>
        <w:rPr>
          <w:rStyle w:val="FootnoteReference"/>
        </w:rPr>
        <w:footnoteRef/>
      </w:r>
      <w:r>
        <w:t xml:space="preserve"> </w:t>
      </w:r>
      <w:r w:rsidRPr="00B75AED">
        <w:t>These AASBs are operative for the not-for-profit sector for annual reporting periods beginning on or after 1 January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DBFC" w14:textId="77777777" w:rsidR="0041689E" w:rsidRPr="0041689E" w:rsidRDefault="005828FE" w:rsidP="005828FE">
    <w:pPr>
      <w:pStyle w:val="Header"/>
      <w:tabs>
        <w:tab w:val="clear" w:pos="9026"/>
      </w:tabs>
      <w:ind w:right="-694"/>
      <w:jc w:val="right"/>
    </w:pPr>
    <w:r>
      <w:rPr>
        <w:noProof/>
      </w:rPr>
      <w:drawing>
        <wp:inline distT="0" distB="0" distL="0" distR="0" wp14:anchorId="220FF77F" wp14:editId="59969914">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6A483AD8" w14:textId="77777777" w:rsidR="0057703D" w:rsidRDefault="005770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7FD44514"/>
    <w:multiLevelType w:val="multilevel"/>
    <w:tmpl w:val="0562CB6E"/>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1"/>
  </w:num>
  <w:num w:numId="2">
    <w:abstractNumId w:val="1"/>
  </w:num>
  <w:num w:numId="3">
    <w:abstractNumId w:val="1"/>
  </w:num>
  <w:num w:numId="4">
    <w:abstractNumId w:val="5"/>
  </w:num>
  <w:num w:numId="5">
    <w:abstractNumId w:val="1"/>
  </w:num>
  <w:num w:numId="6">
    <w:abstractNumId w:val="1"/>
  </w:num>
  <w:num w:numId="7">
    <w:abstractNumId w:val="1"/>
  </w:num>
  <w:num w:numId="8">
    <w:abstractNumId w:val="1"/>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0"/>
  </w:num>
  <w:num w:numId="18">
    <w:abstractNumId w:val="0"/>
  </w:num>
  <w:num w:numId="19">
    <w:abstractNumId w:val="2"/>
  </w:num>
  <w:num w:numId="20">
    <w:abstractNumId w:val="4"/>
  </w:num>
  <w:num w:numId="21">
    <w:abstractNumId w:val="4"/>
  </w:num>
  <w:num w:numId="22">
    <w:abstractNumId w:val="3"/>
  </w:num>
  <w:num w:numId="23">
    <w:abstractNumId w:val="3"/>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abstractNumId w:val="3"/>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8F6"/>
    <w:rsid w:val="0000176A"/>
    <w:rsid w:val="00012F6F"/>
    <w:rsid w:val="00014213"/>
    <w:rsid w:val="00014B55"/>
    <w:rsid w:val="00020E3E"/>
    <w:rsid w:val="00023BF3"/>
    <w:rsid w:val="00026811"/>
    <w:rsid w:val="0004356D"/>
    <w:rsid w:val="00045296"/>
    <w:rsid w:val="00075E6C"/>
    <w:rsid w:val="000B29AD"/>
    <w:rsid w:val="000C6372"/>
    <w:rsid w:val="000E392D"/>
    <w:rsid w:val="000F4288"/>
    <w:rsid w:val="000F7165"/>
    <w:rsid w:val="00102379"/>
    <w:rsid w:val="001065D6"/>
    <w:rsid w:val="00106E44"/>
    <w:rsid w:val="00117C6B"/>
    <w:rsid w:val="00121252"/>
    <w:rsid w:val="00124609"/>
    <w:rsid w:val="001254CE"/>
    <w:rsid w:val="001302DE"/>
    <w:rsid w:val="00134CEA"/>
    <w:rsid w:val="001422CC"/>
    <w:rsid w:val="00154FDB"/>
    <w:rsid w:val="001617B6"/>
    <w:rsid w:val="00165E66"/>
    <w:rsid w:val="001C7BAE"/>
    <w:rsid w:val="001E31FA"/>
    <w:rsid w:val="001E64F6"/>
    <w:rsid w:val="00204CB9"/>
    <w:rsid w:val="00215F7C"/>
    <w:rsid w:val="0021695C"/>
    <w:rsid w:val="00222BEB"/>
    <w:rsid w:val="00225E60"/>
    <w:rsid w:val="00231BD3"/>
    <w:rsid w:val="0023202C"/>
    <w:rsid w:val="00236203"/>
    <w:rsid w:val="00245043"/>
    <w:rsid w:val="00257760"/>
    <w:rsid w:val="00273ECA"/>
    <w:rsid w:val="002752C5"/>
    <w:rsid w:val="00286F9A"/>
    <w:rsid w:val="00292D36"/>
    <w:rsid w:val="00297281"/>
    <w:rsid w:val="002A4004"/>
    <w:rsid w:val="002A79B8"/>
    <w:rsid w:val="002C54E0"/>
    <w:rsid w:val="002D711A"/>
    <w:rsid w:val="002D7336"/>
    <w:rsid w:val="002E0022"/>
    <w:rsid w:val="002E3396"/>
    <w:rsid w:val="0031149C"/>
    <w:rsid w:val="00321AC8"/>
    <w:rsid w:val="003225E4"/>
    <w:rsid w:val="003258F6"/>
    <w:rsid w:val="00361426"/>
    <w:rsid w:val="00382EE1"/>
    <w:rsid w:val="00385422"/>
    <w:rsid w:val="0038771C"/>
    <w:rsid w:val="0039405B"/>
    <w:rsid w:val="003A1C92"/>
    <w:rsid w:val="003A541A"/>
    <w:rsid w:val="003A6923"/>
    <w:rsid w:val="003C2C67"/>
    <w:rsid w:val="003C5BA4"/>
    <w:rsid w:val="003E3E26"/>
    <w:rsid w:val="003F1295"/>
    <w:rsid w:val="003F76FC"/>
    <w:rsid w:val="004002EB"/>
    <w:rsid w:val="0041689E"/>
    <w:rsid w:val="00421F2E"/>
    <w:rsid w:val="004236C8"/>
    <w:rsid w:val="00427681"/>
    <w:rsid w:val="00433DB7"/>
    <w:rsid w:val="00453750"/>
    <w:rsid w:val="00456941"/>
    <w:rsid w:val="00464F7E"/>
    <w:rsid w:val="0046697B"/>
    <w:rsid w:val="004702EA"/>
    <w:rsid w:val="00482D02"/>
    <w:rsid w:val="004A7519"/>
    <w:rsid w:val="004D3518"/>
    <w:rsid w:val="004D62D6"/>
    <w:rsid w:val="004D71D7"/>
    <w:rsid w:val="004F163E"/>
    <w:rsid w:val="004F1A87"/>
    <w:rsid w:val="004F6445"/>
    <w:rsid w:val="0053416C"/>
    <w:rsid w:val="00541C2F"/>
    <w:rsid w:val="00554086"/>
    <w:rsid w:val="00563527"/>
    <w:rsid w:val="00565CF3"/>
    <w:rsid w:val="0057703D"/>
    <w:rsid w:val="0058124E"/>
    <w:rsid w:val="005828FE"/>
    <w:rsid w:val="005875A3"/>
    <w:rsid w:val="005A3416"/>
    <w:rsid w:val="005B27FE"/>
    <w:rsid w:val="005C3E6D"/>
    <w:rsid w:val="005D51F0"/>
    <w:rsid w:val="005F61DF"/>
    <w:rsid w:val="005F681F"/>
    <w:rsid w:val="006023F9"/>
    <w:rsid w:val="00610559"/>
    <w:rsid w:val="006332F6"/>
    <w:rsid w:val="006519F6"/>
    <w:rsid w:val="00652625"/>
    <w:rsid w:val="006534B2"/>
    <w:rsid w:val="0065615D"/>
    <w:rsid w:val="00657011"/>
    <w:rsid w:val="006650B5"/>
    <w:rsid w:val="006651B1"/>
    <w:rsid w:val="00665778"/>
    <w:rsid w:val="006A5B34"/>
    <w:rsid w:val="006A5F5B"/>
    <w:rsid w:val="006B2873"/>
    <w:rsid w:val="006C77A9"/>
    <w:rsid w:val="006C78FB"/>
    <w:rsid w:val="006D66F9"/>
    <w:rsid w:val="006F6693"/>
    <w:rsid w:val="0070117D"/>
    <w:rsid w:val="00707FE8"/>
    <w:rsid w:val="00724962"/>
    <w:rsid w:val="00724A0F"/>
    <w:rsid w:val="00732162"/>
    <w:rsid w:val="0073581D"/>
    <w:rsid w:val="00736732"/>
    <w:rsid w:val="00740302"/>
    <w:rsid w:val="0074281E"/>
    <w:rsid w:val="00745174"/>
    <w:rsid w:val="00750CBE"/>
    <w:rsid w:val="0075133D"/>
    <w:rsid w:val="0076502B"/>
    <w:rsid w:val="00766B5A"/>
    <w:rsid w:val="007834F2"/>
    <w:rsid w:val="00791020"/>
    <w:rsid w:val="007A5F82"/>
    <w:rsid w:val="007F1A4C"/>
    <w:rsid w:val="008022C3"/>
    <w:rsid w:val="008041E6"/>
    <w:rsid w:val="008065D2"/>
    <w:rsid w:val="0082194C"/>
    <w:rsid w:val="008220C4"/>
    <w:rsid w:val="008222FF"/>
    <w:rsid w:val="008241FF"/>
    <w:rsid w:val="008411E9"/>
    <w:rsid w:val="0084200F"/>
    <w:rsid w:val="00843B2C"/>
    <w:rsid w:val="00863669"/>
    <w:rsid w:val="008A4900"/>
    <w:rsid w:val="008B2A17"/>
    <w:rsid w:val="008C4A71"/>
    <w:rsid w:val="008C63EE"/>
    <w:rsid w:val="008D0281"/>
    <w:rsid w:val="008E3C4E"/>
    <w:rsid w:val="008F6D45"/>
    <w:rsid w:val="00942CF8"/>
    <w:rsid w:val="00957221"/>
    <w:rsid w:val="00962BE9"/>
    <w:rsid w:val="00963C94"/>
    <w:rsid w:val="009834C0"/>
    <w:rsid w:val="00986322"/>
    <w:rsid w:val="00986AAC"/>
    <w:rsid w:val="0099093E"/>
    <w:rsid w:val="009A1DA2"/>
    <w:rsid w:val="009A3704"/>
    <w:rsid w:val="009A4739"/>
    <w:rsid w:val="009A674F"/>
    <w:rsid w:val="009B199C"/>
    <w:rsid w:val="009B54C8"/>
    <w:rsid w:val="009B61F1"/>
    <w:rsid w:val="009B62E0"/>
    <w:rsid w:val="009C3D88"/>
    <w:rsid w:val="009C503D"/>
    <w:rsid w:val="009E3858"/>
    <w:rsid w:val="009E70DD"/>
    <w:rsid w:val="009F2ED9"/>
    <w:rsid w:val="009F3231"/>
    <w:rsid w:val="009F5C58"/>
    <w:rsid w:val="00A023A0"/>
    <w:rsid w:val="00A03F5F"/>
    <w:rsid w:val="00A1562B"/>
    <w:rsid w:val="00A170F4"/>
    <w:rsid w:val="00A2559E"/>
    <w:rsid w:val="00A25FD9"/>
    <w:rsid w:val="00A46BA8"/>
    <w:rsid w:val="00A47634"/>
    <w:rsid w:val="00A516DE"/>
    <w:rsid w:val="00A612FE"/>
    <w:rsid w:val="00A736BE"/>
    <w:rsid w:val="00A83A8E"/>
    <w:rsid w:val="00AA26B8"/>
    <w:rsid w:val="00AA3A8C"/>
    <w:rsid w:val="00AA4D53"/>
    <w:rsid w:val="00AB3FE2"/>
    <w:rsid w:val="00AC11CF"/>
    <w:rsid w:val="00AC4B9D"/>
    <w:rsid w:val="00AD3322"/>
    <w:rsid w:val="00AD7E4E"/>
    <w:rsid w:val="00AF3D47"/>
    <w:rsid w:val="00AF48A0"/>
    <w:rsid w:val="00AF4D58"/>
    <w:rsid w:val="00AF6666"/>
    <w:rsid w:val="00B10154"/>
    <w:rsid w:val="00B4690C"/>
    <w:rsid w:val="00B6366E"/>
    <w:rsid w:val="00B75AED"/>
    <w:rsid w:val="00B77784"/>
    <w:rsid w:val="00B81B44"/>
    <w:rsid w:val="00B9053B"/>
    <w:rsid w:val="00B93C44"/>
    <w:rsid w:val="00BC3422"/>
    <w:rsid w:val="00BC6691"/>
    <w:rsid w:val="00C015B9"/>
    <w:rsid w:val="00C022F9"/>
    <w:rsid w:val="00C032EA"/>
    <w:rsid w:val="00C04715"/>
    <w:rsid w:val="00C06EB5"/>
    <w:rsid w:val="00C1145F"/>
    <w:rsid w:val="00C637E1"/>
    <w:rsid w:val="00C63FCD"/>
    <w:rsid w:val="00C70D50"/>
    <w:rsid w:val="00C907D7"/>
    <w:rsid w:val="00C92338"/>
    <w:rsid w:val="00CA1DC8"/>
    <w:rsid w:val="00CA7C3A"/>
    <w:rsid w:val="00CB4622"/>
    <w:rsid w:val="00CC2DB2"/>
    <w:rsid w:val="00CD0307"/>
    <w:rsid w:val="00CD1647"/>
    <w:rsid w:val="00CD3D1B"/>
    <w:rsid w:val="00CF7DCA"/>
    <w:rsid w:val="00D0364F"/>
    <w:rsid w:val="00D211E9"/>
    <w:rsid w:val="00D2312F"/>
    <w:rsid w:val="00D269C1"/>
    <w:rsid w:val="00D44953"/>
    <w:rsid w:val="00D45E19"/>
    <w:rsid w:val="00D542F3"/>
    <w:rsid w:val="00D5644B"/>
    <w:rsid w:val="00D56E25"/>
    <w:rsid w:val="00D718D7"/>
    <w:rsid w:val="00D814B7"/>
    <w:rsid w:val="00D90688"/>
    <w:rsid w:val="00DA3AAD"/>
    <w:rsid w:val="00DA7832"/>
    <w:rsid w:val="00DB312B"/>
    <w:rsid w:val="00DC5654"/>
    <w:rsid w:val="00DC658F"/>
    <w:rsid w:val="00DD5EB6"/>
    <w:rsid w:val="00DE60CC"/>
    <w:rsid w:val="00E06A98"/>
    <w:rsid w:val="00E122DB"/>
    <w:rsid w:val="00E1551F"/>
    <w:rsid w:val="00E20142"/>
    <w:rsid w:val="00E26B32"/>
    <w:rsid w:val="00E30E0A"/>
    <w:rsid w:val="00E3232B"/>
    <w:rsid w:val="00E407B6"/>
    <w:rsid w:val="00E41EF1"/>
    <w:rsid w:val="00E42942"/>
    <w:rsid w:val="00E468A6"/>
    <w:rsid w:val="00E71BDF"/>
    <w:rsid w:val="00E83CA7"/>
    <w:rsid w:val="00EA03A3"/>
    <w:rsid w:val="00EC171D"/>
    <w:rsid w:val="00ED487E"/>
    <w:rsid w:val="00EE7A0D"/>
    <w:rsid w:val="00F17CE1"/>
    <w:rsid w:val="00F2115C"/>
    <w:rsid w:val="00F22ABA"/>
    <w:rsid w:val="00F23366"/>
    <w:rsid w:val="00F36B12"/>
    <w:rsid w:val="00F55AF4"/>
    <w:rsid w:val="00F60F9F"/>
    <w:rsid w:val="00F64F08"/>
    <w:rsid w:val="00F734F5"/>
    <w:rsid w:val="00F966B1"/>
    <w:rsid w:val="00F97D48"/>
    <w:rsid w:val="00FA0311"/>
    <w:rsid w:val="00FA1680"/>
    <w:rsid w:val="00FB1EC9"/>
    <w:rsid w:val="00FC42E5"/>
    <w:rsid w:val="00FD640F"/>
    <w:rsid w:val="00FD6B4C"/>
    <w:rsid w:val="00FE2DD3"/>
    <w:rsid w:val="00FE782F"/>
    <w:rsid w:val="00FF051E"/>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075927"/>
  <w15:docId w15:val="{403426FD-41B0-4BD0-A577-07DBD609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45"/>
    <w:pPr>
      <w:spacing w:before="160" w:after="100"/>
    </w:pPr>
    <w:rPr>
      <w:spacing w:val="2"/>
      <w:sz w:val="18"/>
    </w:rPr>
  </w:style>
  <w:style w:type="paragraph" w:styleId="Heading1">
    <w:name w:val="heading 1"/>
    <w:next w:val="Normal"/>
    <w:link w:val="Heading1Char"/>
    <w:uiPriority w:val="99"/>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uiPriority w:val="99"/>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B93C44"/>
    <w:pPr>
      <w:numPr>
        <w:numId w:val="8"/>
      </w:numPr>
      <w:spacing w:before="160" w:after="0" w:line="240" w:lineRule="auto"/>
      <w:contextualSpacing/>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4"/>
    <w:semiHidden/>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pPr>
      <w:numPr>
        <w:ilvl w:val="4"/>
        <w:numId w:val="16"/>
      </w:numPr>
    </w:pPr>
  </w:style>
  <w:style w:type="character" w:customStyle="1" w:styleId="Heading3Char">
    <w:name w:val="Heading 3 Char"/>
    <w:basedOn w:val="DefaultParagraphFont"/>
    <w:link w:val="Heading3"/>
    <w:semiHidden/>
    <w:rsid w:val="001302DE"/>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EC171D"/>
    <w:pPr>
      <w:numPr>
        <w:ilvl w:val="5"/>
        <w:numId w:val="16"/>
      </w:numPr>
    </w:pPr>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FB1EC9"/>
    <w:pPr>
      <w:spacing w:line="252" w:lineRule="auto"/>
      <w:ind w:left="288"/>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106E44"/>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numPr>
        <w:ilvl w:val="7"/>
        <w:numId w:val="16"/>
      </w:numPr>
      <w:spacing w:before="100"/>
      <w:contextualSpacing/>
    </w:pPr>
  </w:style>
  <w:style w:type="paragraph" w:customStyle="1" w:styleId="Listnumindent">
    <w:name w:val="List num indent"/>
    <w:basedOn w:val="Normal"/>
    <w:uiPriority w:val="7"/>
    <w:qFormat/>
    <w:rsid w:val="00EC171D"/>
    <w:pPr>
      <w:numPr>
        <w:ilvl w:val="6"/>
        <w:numId w:val="16"/>
      </w:numPr>
      <w:spacing w:before="100"/>
    </w:pPr>
  </w:style>
  <w:style w:type="paragraph" w:customStyle="1" w:styleId="Listnum">
    <w:name w:val="List num"/>
    <w:basedOn w:val="Normal"/>
    <w:uiPriority w:val="1"/>
    <w:qFormat/>
    <w:rsid w:val="00FE782F"/>
    <w:pPr>
      <w:numPr>
        <w:numId w:val="4"/>
      </w:numPr>
      <w:contextualSpacing/>
    </w:pPr>
  </w:style>
  <w:style w:type="paragraph" w:customStyle="1" w:styleId="Listnum2">
    <w:name w:val="List num 2"/>
    <w:basedOn w:val="Normal"/>
    <w:uiPriority w:val="1"/>
    <w:qFormat/>
    <w:rsid w:val="00117C6B"/>
    <w:pPr>
      <w:numPr>
        <w:ilvl w:val="1"/>
        <w:numId w:val="16"/>
      </w:num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18"/>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382EE1"/>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99093E"/>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22"/>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99093E"/>
    <w:rPr>
      <w:color w:val="4D4D4D"/>
      <w:szCs w:val="21"/>
      <w:lang w:eastAsia="en-US"/>
    </w:rPr>
  </w:style>
  <w:style w:type="paragraph" w:customStyle="1" w:styleId="Listnumgrey">
    <w:name w:val="List num grey"/>
    <w:uiPriority w:val="3"/>
    <w:qFormat/>
    <w:rsid w:val="00FA1680"/>
    <w:pPr>
      <w:numPr>
        <w:ilvl w:val="2"/>
        <w:numId w:val="16"/>
      </w:numPr>
      <w:spacing w:line="264" w:lineRule="auto"/>
    </w:pPr>
    <w:rPr>
      <w:rFonts w:eastAsiaTheme="minorHAnsi"/>
      <w:color w:val="4D4D4D"/>
      <w:spacing w:val="2"/>
      <w:sz w:val="18"/>
      <w:szCs w:val="21"/>
      <w:lang w:eastAsia="en-US"/>
    </w:rPr>
  </w:style>
  <w:style w:type="paragraph" w:customStyle="1" w:styleId="Listnum2grey">
    <w:name w:val="List num 2 grey"/>
    <w:uiPriority w:val="4"/>
    <w:qFormat/>
    <w:rsid w:val="00FA1680"/>
    <w:pPr>
      <w:numPr>
        <w:ilvl w:val="3"/>
        <w:numId w:val="16"/>
      </w:num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22"/>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paragraph" w:styleId="Revision">
    <w:name w:val="Revision"/>
    <w:hidden/>
    <w:uiPriority w:val="99"/>
    <w:semiHidden/>
    <w:rsid w:val="00A83A8E"/>
    <w:pPr>
      <w:spacing w:after="0" w:line="240" w:lineRule="auto"/>
    </w:pPr>
    <w:rPr>
      <w:spacing w:val="2"/>
      <w:sz w:val="18"/>
    </w:rPr>
  </w:style>
  <w:style w:type="paragraph" w:styleId="FootnoteText">
    <w:name w:val="footnote text"/>
    <w:basedOn w:val="Normal"/>
    <w:link w:val="FootnoteTextChar"/>
    <w:uiPriority w:val="99"/>
    <w:semiHidden/>
    <w:unhideWhenUsed/>
    <w:rsid w:val="00B75AED"/>
    <w:pPr>
      <w:spacing w:before="0" w:after="0" w:line="240" w:lineRule="auto"/>
    </w:pPr>
    <w:rPr>
      <w:sz w:val="20"/>
    </w:rPr>
  </w:style>
  <w:style w:type="character" w:customStyle="1" w:styleId="FootnoteTextChar">
    <w:name w:val="Footnote Text Char"/>
    <w:basedOn w:val="DefaultParagraphFont"/>
    <w:link w:val="FootnoteText"/>
    <w:uiPriority w:val="99"/>
    <w:semiHidden/>
    <w:rsid w:val="00B75AED"/>
    <w:rPr>
      <w:spacing w:val="2"/>
    </w:rPr>
  </w:style>
  <w:style w:type="character" w:styleId="FootnoteReference">
    <w:name w:val="footnote reference"/>
    <w:basedOn w:val="DefaultParagraphFont"/>
    <w:uiPriority w:val="99"/>
    <w:semiHidden/>
    <w:unhideWhenUsed/>
    <w:rsid w:val="00B75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A949655-7098-4CA4-8AF3-7CF62FC48E0F}">
  <ds:schemaRefs>
    <ds:schemaRef ds:uri="http://schemas.openxmlformats.org/officeDocument/2006/bibliography"/>
  </ds:schemaRefs>
</ds:datastoreItem>
</file>

<file path=customXml/itemProps2.xml><?xml version="1.0" encoding="utf-8"?>
<ds:datastoreItem xmlns:ds="http://schemas.openxmlformats.org/officeDocument/2006/customXml" ds:itemID="{91B2C025-B2D5-48F3-B725-B1299F4B20D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1</TotalTime>
  <Pages>4</Pages>
  <Words>1156</Words>
  <Characters>6593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Anlezark</dc:creator>
  <cp:lastModifiedBy>Natalie Maroki (DTF)</cp:lastModifiedBy>
  <cp:revision>2</cp:revision>
  <cp:lastPrinted>2016-03-03T04:13:00Z</cp:lastPrinted>
  <dcterms:created xsi:type="dcterms:W3CDTF">2022-04-28T02:50:00Z</dcterms:created>
  <dcterms:modified xsi:type="dcterms:W3CDTF">2022-04-28T02:50:00Z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554b25c6-201a-4259-ba48-643a70c026bd</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2022-04-28T02:50:12Z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047989e4-d23a-416e-8822-c5f01012e96c</vt:lpwstr>
  </property>
  <property fmtid="{D5CDD505-2E9C-101B-9397-08002B2CF9AE}" pid="10" name="MSIP_Label_7158ebbd-6c5e-441f-bfc9-4eb8c11e3978_ContentBits">
    <vt:lpwstr>2</vt:lpwstr>
  </property>
</Properties>
</file>