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709060E4"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54B0ABE6" w14:textId="4EDD0C16" w:rsidR="006C78FB" w:rsidRPr="00231BD3" w:rsidRDefault="00781C00" w:rsidP="00B8224B">
            <w:pPr>
              <w:pStyle w:val="FRDNumber"/>
            </w:pPr>
            <w:r w:rsidRPr="004E1ADC">
              <w:t>FRD 11</w:t>
            </w:r>
          </w:p>
        </w:tc>
        <w:tc>
          <w:tcPr>
            <w:tcW w:w="270" w:type="dxa"/>
          </w:tcPr>
          <w:p w14:paraId="18BF68C1" w14:textId="77777777" w:rsidR="006C78FB" w:rsidRPr="00231BD3" w:rsidRDefault="006C78FB" w:rsidP="00B8224B"/>
        </w:tc>
        <w:tc>
          <w:tcPr>
            <w:tcW w:w="540" w:type="dxa"/>
          </w:tcPr>
          <w:p w14:paraId="0222718F" w14:textId="77777777" w:rsidR="006C78FB" w:rsidRPr="00231BD3" w:rsidRDefault="006C78FB" w:rsidP="00B8224B"/>
        </w:tc>
        <w:tc>
          <w:tcPr>
            <w:tcW w:w="6134" w:type="dxa"/>
          </w:tcPr>
          <w:p w14:paraId="7E6B2C53" w14:textId="64F52753" w:rsidR="006C78FB" w:rsidRPr="00231BD3" w:rsidRDefault="00781C00" w:rsidP="00B8224B">
            <w:pPr>
              <w:pStyle w:val="FRDHeader"/>
            </w:pPr>
            <w:r>
              <w:t>Disclosure of e</w:t>
            </w:r>
            <w:r w:rsidRPr="007F13BB">
              <w:t xml:space="preserve">x gratia </w:t>
            </w:r>
            <w:r>
              <w:t>e</w:t>
            </w:r>
            <w:r w:rsidRPr="007F13BB">
              <w:t>xpenses</w:t>
            </w:r>
            <w:r w:rsidR="00FE388A">
              <w:t xml:space="preserve"> (</w:t>
            </w:r>
            <w:r w:rsidR="008509CE">
              <w:t>April</w:t>
            </w:r>
            <w:r w:rsidR="003B53CC">
              <w:t xml:space="preserve"> 202</w:t>
            </w:r>
            <w:r w:rsidR="008509CE">
              <w:t>2</w:t>
            </w:r>
            <w:r w:rsidR="00FE388A">
              <w:t>)</w:t>
            </w:r>
          </w:p>
        </w:tc>
      </w:tr>
      <w:tr w:rsidR="006C78FB" w:rsidRPr="00E10ADB" w14:paraId="0974F450" w14:textId="77777777" w:rsidTr="00B8224B">
        <w:trPr>
          <w:trHeight w:hRule="exact" w:val="120"/>
        </w:trPr>
        <w:tc>
          <w:tcPr>
            <w:tcW w:w="2293" w:type="dxa"/>
          </w:tcPr>
          <w:p w14:paraId="6DE1FB98" w14:textId="77777777" w:rsidR="006C78FB" w:rsidRPr="008A601F" w:rsidRDefault="006C78FB" w:rsidP="00B8224B">
            <w:pPr>
              <w:pStyle w:val="Tabletext"/>
            </w:pPr>
          </w:p>
        </w:tc>
        <w:tc>
          <w:tcPr>
            <w:tcW w:w="270" w:type="dxa"/>
          </w:tcPr>
          <w:p w14:paraId="117DDE4C" w14:textId="77777777" w:rsidR="006C78FB" w:rsidRPr="008A601F" w:rsidRDefault="006C78FB" w:rsidP="006D66F9">
            <w:pPr>
              <w:pStyle w:val="Normalgrey"/>
            </w:pPr>
          </w:p>
        </w:tc>
        <w:tc>
          <w:tcPr>
            <w:tcW w:w="540" w:type="dxa"/>
          </w:tcPr>
          <w:p w14:paraId="24C5C8A0" w14:textId="77777777" w:rsidR="006C78FB" w:rsidRPr="008A601F" w:rsidRDefault="006C78FB" w:rsidP="00B8224B"/>
        </w:tc>
        <w:tc>
          <w:tcPr>
            <w:tcW w:w="6134" w:type="dxa"/>
          </w:tcPr>
          <w:p w14:paraId="52AE72BF" w14:textId="77777777" w:rsidR="006C78FB" w:rsidRPr="008A601F" w:rsidRDefault="006C78FB" w:rsidP="00B8224B"/>
        </w:tc>
      </w:tr>
      <w:tr w:rsidR="005828FE" w:rsidRPr="005828FE" w14:paraId="1BF0805F" w14:textId="77777777" w:rsidTr="00B8224B">
        <w:tc>
          <w:tcPr>
            <w:tcW w:w="2293" w:type="dxa"/>
          </w:tcPr>
          <w:p w14:paraId="66CD5C41" w14:textId="77777777" w:rsidR="006C78FB" w:rsidRPr="005828FE" w:rsidRDefault="006C78FB" w:rsidP="00382EE1">
            <w:pPr>
              <w:pStyle w:val="Normalgrey"/>
            </w:pPr>
            <w:r w:rsidRPr="005828FE">
              <w:t>Purpose</w:t>
            </w:r>
          </w:p>
        </w:tc>
        <w:tc>
          <w:tcPr>
            <w:tcW w:w="270" w:type="dxa"/>
          </w:tcPr>
          <w:p w14:paraId="6F59167B" w14:textId="77777777" w:rsidR="006C78FB" w:rsidRPr="005828FE" w:rsidRDefault="006C78FB" w:rsidP="00781C00">
            <w:pPr>
              <w:pStyle w:val="Refnum1"/>
            </w:pPr>
          </w:p>
        </w:tc>
        <w:tc>
          <w:tcPr>
            <w:tcW w:w="540" w:type="dxa"/>
          </w:tcPr>
          <w:p w14:paraId="47C069F7" w14:textId="77777777" w:rsidR="006C78FB" w:rsidRPr="005828FE" w:rsidRDefault="006C78FB" w:rsidP="00781C00">
            <w:pPr>
              <w:pStyle w:val="Refnum2"/>
            </w:pPr>
          </w:p>
        </w:tc>
        <w:tc>
          <w:tcPr>
            <w:tcW w:w="6134" w:type="dxa"/>
          </w:tcPr>
          <w:p w14:paraId="3BADF72E" w14:textId="77777777" w:rsidR="006C78FB" w:rsidRPr="00781C00" w:rsidRDefault="00781C00" w:rsidP="00781C00">
            <w:pPr>
              <w:pStyle w:val="Normalgrey"/>
            </w:pPr>
            <w:r>
              <w:t>To prescribe the disclosure requirements for ex gratia expenses in the notes to the financial statements.</w:t>
            </w:r>
          </w:p>
        </w:tc>
      </w:tr>
      <w:tr w:rsidR="006C78FB" w:rsidRPr="005828FE" w14:paraId="7B72B0E5" w14:textId="77777777" w:rsidTr="00963C94">
        <w:tc>
          <w:tcPr>
            <w:tcW w:w="2293" w:type="dxa"/>
            <w:shd w:val="clear" w:color="auto" w:fill="F2F2F2" w:themeFill="background1" w:themeFillShade="F2"/>
          </w:tcPr>
          <w:p w14:paraId="74797C1F" w14:textId="77777777" w:rsidR="006C78FB" w:rsidRPr="00B13F15" w:rsidRDefault="006C78FB" w:rsidP="00A516DE">
            <w:pPr>
              <w:pStyle w:val="Normalbold"/>
            </w:pPr>
            <w:r w:rsidRPr="00B13F15">
              <w:t>Application</w:t>
            </w:r>
          </w:p>
        </w:tc>
        <w:tc>
          <w:tcPr>
            <w:tcW w:w="270" w:type="dxa"/>
            <w:shd w:val="clear" w:color="auto" w:fill="F2F2F2" w:themeFill="background1" w:themeFillShade="F2"/>
          </w:tcPr>
          <w:p w14:paraId="739BB9A1" w14:textId="77777777" w:rsidR="006C78FB" w:rsidRPr="009714D1" w:rsidRDefault="006C78FB" w:rsidP="00781C00">
            <w:pPr>
              <w:pStyle w:val="Refnum1grey"/>
              <w:rPr>
                <w:b/>
              </w:rPr>
            </w:pPr>
          </w:p>
        </w:tc>
        <w:tc>
          <w:tcPr>
            <w:tcW w:w="540" w:type="dxa"/>
            <w:shd w:val="clear" w:color="auto" w:fill="F2F2F2" w:themeFill="background1" w:themeFillShade="F2"/>
          </w:tcPr>
          <w:p w14:paraId="382D45CE" w14:textId="77777777" w:rsidR="006C78FB" w:rsidRPr="009714D1" w:rsidRDefault="006C78FB" w:rsidP="00781C00">
            <w:pPr>
              <w:pStyle w:val="Refnum2"/>
              <w:rPr>
                <w:b/>
              </w:rPr>
            </w:pPr>
          </w:p>
        </w:tc>
        <w:tc>
          <w:tcPr>
            <w:tcW w:w="6134" w:type="dxa"/>
            <w:shd w:val="clear" w:color="auto" w:fill="F2F2F2" w:themeFill="background1" w:themeFillShade="F2"/>
          </w:tcPr>
          <w:p w14:paraId="3BDBD477" w14:textId="77777777" w:rsidR="006C78FB" w:rsidRPr="005828FE" w:rsidRDefault="00781C00" w:rsidP="00781C00">
            <w:pPr>
              <w:pStyle w:val="Normalbold"/>
            </w:pPr>
            <w:r w:rsidRPr="004E1ADC">
              <w:t xml:space="preserve">Applies to all entities defined as either a public body or a department under section 3 of the </w:t>
            </w:r>
            <w:r w:rsidRPr="004E1ADC">
              <w:rPr>
                <w:i/>
                <w:iCs/>
              </w:rPr>
              <w:t>Financial Management Act</w:t>
            </w:r>
            <w:r w:rsidRPr="004E1ADC">
              <w:t xml:space="preserve"> </w:t>
            </w:r>
            <w:r w:rsidRPr="004E1ADC">
              <w:rPr>
                <w:i/>
              </w:rPr>
              <w:t>1994</w:t>
            </w:r>
            <w:r w:rsidRPr="004E1ADC">
              <w:t>.</w:t>
            </w:r>
          </w:p>
        </w:tc>
      </w:tr>
      <w:tr w:rsidR="006C78FB" w:rsidRPr="005828FE" w14:paraId="68461A79" w14:textId="77777777" w:rsidTr="00963C94">
        <w:tc>
          <w:tcPr>
            <w:tcW w:w="2293" w:type="dxa"/>
            <w:shd w:val="clear" w:color="auto" w:fill="F2F2F2" w:themeFill="background1" w:themeFillShade="F2"/>
          </w:tcPr>
          <w:p w14:paraId="79F92EF5" w14:textId="77777777" w:rsidR="006C78FB" w:rsidRPr="00B13F15" w:rsidRDefault="006C78FB" w:rsidP="00A516DE">
            <w:pPr>
              <w:pStyle w:val="Normalbold"/>
            </w:pPr>
            <w:r w:rsidRPr="00B13F15">
              <w:t>Operative date</w:t>
            </w:r>
          </w:p>
        </w:tc>
        <w:tc>
          <w:tcPr>
            <w:tcW w:w="270" w:type="dxa"/>
            <w:shd w:val="clear" w:color="auto" w:fill="F2F2F2" w:themeFill="background1" w:themeFillShade="F2"/>
          </w:tcPr>
          <w:p w14:paraId="678B7140" w14:textId="77777777" w:rsidR="006C78FB" w:rsidRPr="009714D1" w:rsidRDefault="006C78FB" w:rsidP="00781C00">
            <w:pPr>
              <w:pStyle w:val="Refnum1grey"/>
              <w:rPr>
                <w:b/>
              </w:rPr>
            </w:pPr>
          </w:p>
        </w:tc>
        <w:tc>
          <w:tcPr>
            <w:tcW w:w="540" w:type="dxa"/>
            <w:shd w:val="clear" w:color="auto" w:fill="F2F2F2" w:themeFill="background1" w:themeFillShade="F2"/>
          </w:tcPr>
          <w:p w14:paraId="6B849504" w14:textId="77777777" w:rsidR="006C78FB" w:rsidRPr="009714D1" w:rsidRDefault="006C78FB" w:rsidP="00781C00">
            <w:pPr>
              <w:pStyle w:val="Refnum2"/>
              <w:rPr>
                <w:b/>
              </w:rPr>
            </w:pPr>
          </w:p>
        </w:tc>
        <w:tc>
          <w:tcPr>
            <w:tcW w:w="6134" w:type="dxa"/>
            <w:shd w:val="clear" w:color="auto" w:fill="F2F2F2" w:themeFill="background1" w:themeFillShade="F2"/>
          </w:tcPr>
          <w:p w14:paraId="5855A274" w14:textId="1A186619" w:rsidR="003B53CC" w:rsidRPr="003B53CC" w:rsidRDefault="00781C00" w:rsidP="00B13F15">
            <w:pPr>
              <w:pStyle w:val="Normalbold"/>
            </w:pPr>
            <w:r w:rsidRPr="004E1ADC">
              <w:t xml:space="preserve">Reporting periods commencing </w:t>
            </w:r>
            <w:r w:rsidRPr="00CE068C">
              <w:t xml:space="preserve">on or after </w:t>
            </w:r>
            <w:r w:rsidRPr="004E1ADC">
              <w:t>1 July 201</w:t>
            </w:r>
            <w:r>
              <w:t>3</w:t>
            </w:r>
            <w:r w:rsidR="00B13F15">
              <w:t>.</w:t>
            </w:r>
          </w:p>
        </w:tc>
      </w:tr>
      <w:tr w:rsidR="00B13F15" w:rsidRPr="005828FE" w14:paraId="1DE8724B" w14:textId="77777777" w:rsidTr="00963C94">
        <w:tc>
          <w:tcPr>
            <w:tcW w:w="2293" w:type="dxa"/>
            <w:shd w:val="clear" w:color="auto" w:fill="F2F2F2" w:themeFill="background1" w:themeFillShade="F2"/>
          </w:tcPr>
          <w:p w14:paraId="3662A87A" w14:textId="77777777" w:rsidR="00B13F15" w:rsidRPr="00B13F15" w:rsidRDefault="00B13F15" w:rsidP="00A516DE">
            <w:pPr>
              <w:pStyle w:val="Normalbold"/>
            </w:pPr>
          </w:p>
        </w:tc>
        <w:tc>
          <w:tcPr>
            <w:tcW w:w="270" w:type="dxa"/>
            <w:shd w:val="clear" w:color="auto" w:fill="F2F2F2" w:themeFill="background1" w:themeFillShade="F2"/>
          </w:tcPr>
          <w:p w14:paraId="01E61A34" w14:textId="77777777" w:rsidR="00B13F15" w:rsidRPr="009714D1" w:rsidRDefault="00B13F15" w:rsidP="009714D1">
            <w:pPr>
              <w:pStyle w:val="Refnum1grey"/>
              <w:numPr>
                <w:ilvl w:val="0"/>
                <w:numId w:val="0"/>
              </w:numPr>
              <w:rPr>
                <w:b/>
              </w:rPr>
            </w:pPr>
          </w:p>
        </w:tc>
        <w:tc>
          <w:tcPr>
            <w:tcW w:w="540" w:type="dxa"/>
            <w:shd w:val="clear" w:color="auto" w:fill="F2F2F2" w:themeFill="background1" w:themeFillShade="F2"/>
          </w:tcPr>
          <w:p w14:paraId="7387F41C" w14:textId="32E64C62" w:rsidR="00B13F15" w:rsidRPr="009714D1" w:rsidRDefault="00B13F15" w:rsidP="009714D1">
            <w:pPr>
              <w:pStyle w:val="Refnum2"/>
              <w:numPr>
                <w:ilvl w:val="0"/>
                <w:numId w:val="0"/>
              </w:numPr>
              <w:ind w:left="504" w:hanging="504"/>
              <w:rPr>
                <w:b/>
              </w:rPr>
            </w:pPr>
            <w:r w:rsidRPr="009714D1">
              <w:rPr>
                <w:b/>
              </w:rPr>
              <w:t>3.2</w:t>
            </w:r>
          </w:p>
        </w:tc>
        <w:tc>
          <w:tcPr>
            <w:tcW w:w="6134" w:type="dxa"/>
            <w:shd w:val="clear" w:color="auto" w:fill="F2F2F2" w:themeFill="background1" w:themeFillShade="F2"/>
          </w:tcPr>
          <w:p w14:paraId="41ACD15B" w14:textId="7545AEC0" w:rsidR="00B13F15" w:rsidRPr="004E1ADC" w:rsidRDefault="00B13F15" w:rsidP="00B13F15">
            <w:pPr>
              <w:pStyle w:val="Normalbold"/>
            </w:pPr>
            <w:r>
              <w:t xml:space="preserve">FRD 11A </w:t>
            </w:r>
            <w:r>
              <w:rPr>
                <w:i/>
                <w:iCs/>
              </w:rPr>
              <w:t xml:space="preserve">Disclosure of ex gratia expenses </w:t>
            </w:r>
            <w:r>
              <w:t xml:space="preserve">is renamed to FRD 11 </w:t>
            </w:r>
            <w:r>
              <w:rPr>
                <w:i/>
                <w:iCs/>
              </w:rPr>
              <w:t xml:space="preserve">Disclosure of ex gratia expenses </w:t>
            </w:r>
            <w:r>
              <w:t>effective 1 April 2022.</w:t>
            </w:r>
          </w:p>
        </w:tc>
      </w:tr>
      <w:tr w:rsidR="00BC6691" w:rsidRPr="005828FE" w14:paraId="14CB2707" w14:textId="77777777" w:rsidTr="00A0322D">
        <w:tc>
          <w:tcPr>
            <w:tcW w:w="2293" w:type="dxa"/>
            <w:shd w:val="clear" w:color="auto" w:fill="F2F2F2" w:themeFill="background1" w:themeFillShade="F2"/>
          </w:tcPr>
          <w:p w14:paraId="64728818" w14:textId="77777777" w:rsidR="00BC6691" w:rsidRPr="00B13F15" w:rsidRDefault="00BC6691" w:rsidP="00A0322D">
            <w:pPr>
              <w:pStyle w:val="Normalbold"/>
            </w:pPr>
            <w:r w:rsidRPr="00B13F15">
              <w:t>Requirements</w:t>
            </w:r>
          </w:p>
        </w:tc>
        <w:tc>
          <w:tcPr>
            <w:tcW w:w="270" w:type="dxa"/>
            <w:shd w:val="clear" w:color="auto" w:fill="F2F2F2" w:themeFill="background1" w:themeFillShade="F2"/>
          </w:tcPr>
          <w:p w14:paraId="18DBEF64" w14:textId="77777777" w:rsidR="00BC6691" w:rsidRPr="009714D1" w:rsidRDefault="00BC6691" w:rsidP="00781C00">
            <w:pPr>
              <w:pStyle w:val="Refnum1grey"/>
              <w:rPr>
                <w:b/>
              </w:rPr>
            </w:pPr>
          </w:p>
        </w:tc>
        <w:tc>
          <w:tcPr>
            <w:tcW w:w="540" w:type="dxa"/>
            <w:shd w:val="clear" w:color="auto" w:fill="F2F2F2" w:themeFill="background1" w:themeFillShade="F2"/>
          </w:tcPr>
          <w:p w14:paraId="487B8DAB" w14:textId="77777777" w:rsidR="00BC6691" w:rsidRPr="009714D1" w:rsidRDefault="00BC6691" w:rsidP="00781C00">
            <w:pPr>
              <w:pStyle w:val="Refnum2"/>
              <w:rPr>
                <w:b/>
              </w:rPr>
            </w:pPr>
          </w:p>
        </w:tc>
        <w:tc>
          <w:tcPr>
            <w:tcW w:w="6134" w:type="dxa"/>
            <w:shd w:val="clear" w:color="auto" w:fill="F2F2F2" w:themeFill="background1" w:themeFillShade="F2"/>
          </w:tcPr>
          <w:p w14:paraId="46F6B7C1" w14:textId="77777777" w:rsidR="00BC6691" w:rsidRDefault="00781C00" w:rsidP="00781C00">
            <w:pPr>
              <w:pStyle w:val="Normalbold"/>
            </w:pPr>
            <w:r w:rsidRPr="004E1ADC">
              <w:t xml:space="preserve">An entity must disclose </w:t>
            </w:r>
            <w:r w:rsidRPr="00CE068C">
              <w:t>in aggregate</w:t>
            </w:r>
            <w:r w:rsidRPr="004E1ADC">
              <w:t xml:space="preserve"> the total amount of material ex gratia </w:t>
            </w:r>
            <w:r>
              <w:t xml:space="preserve">expenses </w:t>
            </w:r>
            <w:r w:rsidRPr="004E1ADC">
              <w:t xml:space="preserve">in the notes to the financial statements. The disclosure must be accompanied by a description of the nature and purpose of the </w:t>
            </w:r>
            <w:r>
              <w:t xml:space="preserve">expenses (including amounts </w:t>
            </w:r>
            <w:r w:rsidRPr="004E1ADC">
              <w:t>written off</w:t>
            </w:r>
            <w:r>
              <w:t>)</w:t>
            </w:r>
            <w:r w:rsidRPr="004E1ADC">
              <w:t>, and the relevant line item</w:t>
            </w:r>
            <w:r>
              <w:t xml:space="preserve"> or items</w:t>
            </w:r>
            <w:r w:rsidRPr="004E1ADC">
              <w:t xml:space="preserve"> to which the </w:t>
            </w:r>
            <w:r>
              <w:t xml:space="preserve">expenses </w:t>
            </w:r>
            <w:r w:rsidRPr="004E1ADC">
              <w:t>w</w:t>
            </w:r>
            <w:r>
              <w:t>ere</w:t>
            </w:r>
            <w:r w:rsidRPr="004E1ADC">
              <w:t xml:space="preserve"> recognised in the financial statements.</w:t>
            </w:r>
          </w:p>
          <w:p w14:paraId="01F450C4" w14:textId="77777777" w:rsidR="00781C00" w:rsidRPr="00781C00" w:rsidRDefault="00781C00" w:rsidP="00781C00">
            <w:pPr>
              <w:pStyle w:val="Normalbold"/>
            </w:pPr>
            <w:r w:rsidRPr="00CE068C">
              <w:t xml:space="preserve">Where an entity has </w:t>
            </w:r>
            <w:r>
              <w:t xml:space="preserve">incurred </w:t>
            </w:r>
            <w:r w:rsidRPr="00CE068C">
              <w:t>multiple ex</w:t>
            </w:r>
            <w:r w:rsidRPr="000B2070">
              <w:t> </w:t>
            </w:r>
            <w:r w:rsidRPr="00CE068C">
              <w:t xml:space="preserve">gratia </w:t>
            </w:r>
            <w:r>
              <w:t>expenses</w:t>
            </w:r>
            <w:r w:rsidRPr="004E1ADC">
              <w:t xml:space="preserve"> </w:t>
            </w:r>
            <w:r>
              <w:t xml:space="preserve">that are clearly distinguishable by </w:t>
            </w:r>
            <w:r w:rsidRPr="004E1ADC">
              <w:t xml:space="preserve">their </w:t>
            </w:r>
            <w:r w:rsidRPr="00CE068C">
              <w:t>nature</w:t>
            </w:r>
            <w:r w:rsidRPr="004E1ADC">
              <w:t xml:space="preserve"> and</w:t>
            </w:r>
            <w:r>
              <w:t>/or</w:t>
            </w:r>
            <w:r w:rsidRPr="004E1ADC">
              <w:t xml:space="preserve"> purpose, th</w:t>
            </w:r>
            <w:r>
              <w:t>e disclosure must be disaggregated to provide sufficient information to allow users to understand the different natures and/or purposes of the expenses.</w:t>
            </w:r>
            <w:r w:rsidRPr="004E1ADC">
              <w:t xml:space="preserve">  </w:t>
            </w:r>
          </w:p>
        </w:tc>
      </w:tr>
      <w:tr w:rsidR="005828FE" w:rsidRPr="005828FE" w14:paraId="66D62EE9" w14:textId="77777777" w:rsidTr="00B8224B">
        <w:tc>
          <w:tcPr>
            <w:tcW w:w="2293" w:type="dxa"/>
          </w:tcPr>
          <w:p w14:paraId="50A4F762" w14:textId="77777777" w:rsidR="006C78FB" w:rsidRPr="005828FE" w:rsidRDefault="006C78FB" w:rsidP="00382EE1">
            <w:pPr>
              <w:pStyle w:val="Normalgrey"/>
            </w:pPr>
            <w:r w:rsidRPr="005828FE">
              <w:t>Definitions</w:t>
            </w:r>
          </w:p>
        </w:tc>
        <w:tc>
          <w:tcPr>
            <w:tcW w:w="270" w:type="dxa"/>
          </w:tcPr>
          <w:p w14:paraId="63B35227" w14:textId="77777777" w:rsidR="006C78FB" w:rsidRPr="005828FE" w:rsidRDefault="006C78FB" w:rsidP="00286F9A">
            <w:pPr>
              <w:pStyle w:val="Normalgrey"/>
            </w:pPr>
          </w:p>
        </w:tc>
        <w:tc>
          <w:tcPr>
            <w:tcW w:w="540" w:type="dxa"/>
          </w:tcPr>
          <w:p w14:paraId="71637D0E" w14:textId="77777777" w:rsidR="006C78FB" w:rsidRPr="005828FE" w:rsidRDefault="00EC46A1" w:rsidP="00286F9A">
            <w:pPr>
              <w:pStyle w:val="Normalgrey"/>
            </w:pPr>
            <w:r>
              <w:t>5.1</w:t>
            </w:r>
          </w:p>
        </w:tc>
        <w:tc>
          <w:tcPr>
            <w:tcW w:w="6134" w:type="dxa"/>
          </w:tcPr>
          <w:p w14:paraId="10C16897" w14:textId="77777777" w:rsidR="00781C00" w:rsidRPr="00781C00" w:rsidRDefault="00781C00" w:rsidP="00781C00">
            <w:pPr>
              <w:pStyle w:val="Normalgrey"/>
            </w:pPr>
            <w:r w:rsidRPr="006C27D3">
              <w:rPr>
                <w:b/>
              </w:rPr>
              <w:t>Ex gratia</w:t>
            </w:r>
            <w:r w:rsidRPr="00853389">
              <w:rPr>
                <w:b/>
              </w:rPr>
              <w:t xml:space="preserve"> </w:t>
            </w:r>
            <w:r>
              <w:rPr>
                <w:b/>
              </w:rPr>
              <w:t>expenses</w:t>
            </w:r>
            <w:r>
              <w:t xml:space="preserve"> – means the voluntary payment of money or other non</w:t>
            </w:r>
            <w:r>
              <w:noBreakHyphen/>
              <w:t>monetary benefit (e.g. a write</w:t>
            </w:r>
            <w:r>
              <w:noBreakHyphen/>
              <w:t>off) that is not made either to acquire goods, services or other benefits for the entity or to meet a legal liability, or to settle or resolve a possible legal liability of or claim against the entity.</w:t>
            </w:r>
          </w:p>
        </w:tc>
      </w:tr>
      <w:tr w:rsidR="00822AAC" w:rsidRPr="005828FE" w14:paraId="48396C7E" w14:textId="77777777" w:rsidTr="00B8224B">
        <w:tc>
          <w:tcPr>
            <w:tcW w:w="2293" w:type="dxa"/>
          </w:tcPr>
          <w:p w14:paraId="41D29A7A" w14:textId="77777777" w:rsidR="00822AAC" w:rsidRPr="005828FE" w:rsidRDefault="00822AAC" w:rsidP="00382EE1">
            <w:pPr>
              <w:pStyle w:val="Normalgrey"/>
            </w:pPr>
          </w:p>
        </w:tc>
        <w:tc>
          <w:tcPr>
            <w:tcW w:w="270" w:type="dxa"/>
          </w:tcPr>
          <w:p w14:paraId="477D217F" w14:textId="77777777" w:rsidR="00822AAC" w:rsidRPr="005828FE" w:rsidRDefault="00822AAC" w:rsidP="00286F9A">
            <w:pPr>
              <w:pStyle w:val="Normalgrey"/>
            </w:pPr>
          </w:p>
        </w:tc>
        <w:tc>
          <w:tcPr>
            <w:tcW w:w="540" w:type="dxa"/>
          </w:tcPr>
          <w:p w14:paraId="267AE38C" w14:textId="77777777" w:rsidR="00822AAC" w:rsidRDefault="00822AAC" w:rsidP="00286F9A">
            <w:pPr>
              <w:pStyle w:val="Normalgrey"/>
            </w:pPr>
            <w:r>
              <w:t>5.2</w:t>
            </w:r>
          </w:p>
        </w:tc>
        <w:tc>
          <w:tcPr>
            <w:tcW w:w="6134" w:type="dxa"/>
          </w:tcPr>
          <w:p w14:paraId="5378469A" w14:textId="77777777" w:rsidR="00822AAC" w:rsidRPr="00822AAC" w:rsidRDefault="00822AAC" w:rsidP="00781C00">
            <w:pPr>
              <w:pStyle w:val="Normalgrey"/>
            </w:pPr>
            <w:r w:rsidRPr="00853389">
              <w:rPr>
                <w:b/>
              </w:rPr>
              <w:t>Nature</w:t>
            </w:r>
            <w:r>
              <w:t xml:space="preserve"> – means the types or categories of ex gratia expenses.  </w:t>
            </w:r>
          </w:p>
        </w:tc>
      </w:tr>
      <w:tr w:rsidR="00822AAC" w:rsidRPr="005828FE" w14:paraId="568FD239" w14:textId="77777777" w:rsidTr="00B8224B">
        <w:tc>
          <w:tcPr>
            <w:tcW w:w="2293" w:type="dxa"/>
          </w:tcPr>
          <w:p w14:paraId="5E0402DA" w14:textId="77777777" w:rsidR="00822AAC" w:rsidRPr="005828FE" w:rsidRDefault="00822AAC" w:rsidP="00382EE1">
            <w:pPr>
              <w:pStyle w:val="Normalgrey"/>
            </w:pPr>
          </w:p>
        </w:tc>
        <w:tc>
          <w:tcPr>
            <w:tcW w:w="270" w:type="dxa"/>
          </w:tcPr>
          <w:p w14:paraId="5AEE404F" w14:textId="77777777" w:rsidR="00822AAC" w:rsidRPr="005828FE" w:rsidRDefault="00822AAC" w:rsidP="00286F9A">
            <w:pPr>
              <w:pStyle w:val="Normalgrey"/>
            </w:pPr>
          </w:p>
        </w:tc>
        <w:tc>
          <w:tcPr>
            <w:tcW w:w="540" w:type="dxa"/>
          </w:tcPr>
          <w:p w14:paraId="0125EBBF" w14:textId="77777777" w:rsidR="00822AAC" w:rsidRDefault="00822AAC" w:rsidP="00286F9A">
            <w:pPr>
              <w:pStyle w:val="Normalgrey"/>
            </w:pPr>
            <w:r>
              <w:t>5.3</w:t>
            </w:r>
          </w:p>
        </w:tc>
        <w:tc>
          <w:tcPr>
            <w:tcW w:w="6134" w:type="dxa"/>
          </w:tcPr>
          <w:p w14:paraId="26D1B815" w14:textId="77777777" w:rsidR="00822AAC" w:rsidRPr="00853389" w:rsidRDefault="00822AAC" w:rsidP="00822AAC">
            <w:pPr>
              <w:pStyle w:val="Normalgrey"/>
              <w:rPr>
                <w:b/>
              </w:rPr>
            </w:pPr>
            <w:r w:rsidRPr="00853389">
              <w:rPr>
                <w:b/>
              </w:rPr>
              <w:t>Purpose</w:t>
            </w:r>
            <w:r>
              <w:t xml:space="preserve"> – means the circumstances for making the ex gratia expense.</w:t>
            </w:r>
          </w:p>
        </w:tc>
      </w:tr>
      <w:tr w:rsidR="005828FE" w:rsidRPr="005828FE" w14:paraId="7A2A1E8E" w14:textId="77777777" w:rsidTr="00B8224B">
        <w:tc>
          <w:tcPr>
            <w:tcW w:w="2293" w:type="dxa"/>
          </w:tcPr>
          <w:p w14:paraId="6680BCD1" w14:textId="77777777" w:rsidR="006C78FB" w:rsidRPr="005828FE" w:rsidRDefault="006C78FB" w:rsidP="00382EE1">
            <w:pPr>
              <w:pStyle w:val="Normalgrey"/>
            </w:pPr>
            <w:r w:rsidRPr="005828FE">
              <w:t>Guidance</w:t>
            </w:r>
          </w:p>
        </w:tc>
        <w:tc>
          <w:tcPr>
            <w:tcW w:w="270" w:type="dxa"/>
          </w:tcPr>
          <w:p w14:paraId="73D899DB" w14:textId="77777777" w:rsidR="006C78FB" w:rsidRPr="005828FE" w:rsidRDefault="006C78FB" w:rsidP="002056D0">
            <w:pPr>
              <w:pStyle w:val="Normalgrey"/>
            </w:pPr>
          </w:p>
        </w:tc>
        <w:tc>
          <w:tcPr>
            <w:tcW w:w="540" w:type="dxa"/>
          </w:tcPr>
          <w:p w14:paraId="57935108" w14:textId="77777777" w:rsidR="006C78FB" w:rsidRPr="005828FE" w:rsidRDefault="00EC46A1" w:rsidP="002056D0">
            <w:pPr>
              <w:pStyle w:val="Normalgrey"/>
            </w:pPr>
            <w:r>
              <w:t>6.1</w:t>
            </w:r>
          </w:p>
        </w:tc>
        <w:tc>
          <w:tcPr>
            <w:tcW w:w="6134" w:type="dxa"/>
          </w:tcPr>
          <w:p w14:paraId="49987E17" w14:textId="77777777" w:rsidR="006C78FB" w:rsidRPr="005828FE" w:rsidRDefault="00781C00" w:rsidP="009714D1">
            <w:pPr>
              <w:pStyle w:val="Normalgrey"/>
            </w:pPr>
            <w:r>
              <w:t>E</w:t>
            </w:r>
            <w:r w:rsidRPr="00CE068C">
              <w:t>x</w:t>
            </w:r>
            <w:r w:rsidRPr="000B2070">
              <w:t> </w:t>
            </w:r>
            <w:r w:rsidRPr="00CE068C">
              <w:t xml:space="preserve">gratia </w:t>
            </w:r>
            <w:r>
              <w:t>expenses are</w:t>
            </w:r>
            <w:r w:rsidRPr="00CE068C">
              <w:t xml:space="preserve"> discretionary where there is no </w:t>
            </w:r>
            <w:r>
              <w:t>obligation to provide</w:t>
            </w:r>
            <w:r w:rsidRPr="00CE068C">
              <w:t xml:space="preserve"> a payment </w:t>
            </w:r>
            <w:r>
              <w:t xml:space="preserve">of money </w:t>
            </w:r>
            <w:r w:rsidRPr="00CE068C">
              <w:t xml:space="preserve">or other benefit </w:t>
            </w:r>
            <w:r>
              <w:t>and the entity obtains no benefit from the payment</w:t>
            </w:r>
            <w:r w:rsidRPr="00CE068C">
              <w:t>.</w:t>
            </w:r>
            <w:r>
              <w:rPr>
                <w:b/>
              </w:rPr>
              <w:t xml:space="preserve"> </w:t>
            </w:r>
            <w:r>
              <w:t>The d</w:t>
            </w:r>
            <w:r w:rsidRPr="00280087">
              <w:t xml:space="preserve">ecision </w:t>
            </w:r>
            <w:r>
              <w:t>that results in an ex gratia</w:t>
            </w:r>
            <w:r w:rsidRPr="00280087">
              <w:t xml:space="preserve"> </w:t>
            </w:r>
            <w:r>
              <w:t>expense is</w:t>
            </w:r>
            <w:r w:rsidRPr="00280087">
              <w:t xml:space="preserve"> </w:t>
            </w:r>
            <w:r>
              <w:t xml:space="preserve">usually </w:t>
            </w:r>
            <w:r w:rsidRPr="00280087">
              <w:t xml:space="preserve">based on moral </w:t>
            </w:r>
            <w:r>
              <w:t xml:space="preserve">or equitable </w:t>
            </w:r>
            <w:r w:rsidRPr="00280087">
              <w:t>grounds rather than</w:t>
            </w:r>
            <w:r>
              <w:t xml:space="preserve"> a need or</w:t>
            </w:r>
            <w:r w:rsidRPr="00280087">
              <w:t xml:space="preserve"> legal obligation</w:t>
            </w:r>
            <w:r>
              <w:t xml:space="preserve"> of the entity, or to settle or resolve a possible legal liability or claim.</w:t>
            </w:r>
          </w:p>
        </w:tc>
      </w:tr>
      <w:tr w:rsidR="00781C00" w:rsidRPr="005828FE" w14:paraId="18E2B4CE" w14:textId="77777777" w:rsidTr="00B8224B">
        <w:tc>
          <w:tcPr>
            <w:tcW w:w="2293" w:type="dxa"/>
          </w:tcPr>
          <w:p w14:paraId="3CE3247F" w14:textId="77777777" w:rsidR="00781C00" w:rsidRPr="005828FE" w:rsidRDefault="00781C00" w:rsidP="00382EE1">
            <w:pPr>
              <w:pStyle w:val="Normalgrey"/>
            </w:pPr>
          </w:p>
        </w:tc>
        <w:tc>
          <w:tcPr>
            <w:tcW w:w="270" w:type="dxa"/>
          </w:tcPr>
          <w:p w14:paraId="70FC002A" w14:textId="77777777" w:rsidR="00781C00" w:rsidRPr="005828FE" w:rsidRDefault="00781C00" w:rsidP="002056D0">
            <w:pPr>
              <w:pStyle w:val="Normalgrey"/>
            </w:pPr>
          </w:p>
        </w:tc>
        <w:tc>
          <w:tcPr>
            <w:tcW w:w="540" w:type="dxa"/>
          </w:tcPr>
          <w:p w14:paraId="0E9F37E8" w14:textId="77777777" w:rsidR="00781C00" w:rsidRPr="005828FE" w:rsidRDefault="00EC46A1" w:rsidP="002056D0">
            <w:pPr>
              <w:pStyle w:val="Normalgrey"/>
            </w:pPr>
            <w:r>
              <w:t>6.2</w:t>
            </w:r>
          </w:p>
        </w:tc>
        <w:tc>
          <w:tcPr>
            <w:tcW w:w="6134" w:type="dxa"/>
          </w:tcPr>
          <w:p w14:paraId="0D308172" w14:textId="77777777" w:rsidR="00781C00" w:rsidRDefault="00781C00" w:rsidP="009714D1">
            <w:pPr>
              <w:pStyle w:val="Normalgrey"/>
            </w:pPr>
            <w:r>
              <w:t>For the purpose of the FRD, where a contract or deed of release is used as part of settling the agreed conditions of an ex gratia expense, such arrangements would not exclude the resulting expense from being classified as an ex gratia expense unless the contract or deed of release secures a benefit to the entity, e.g. bona fide settlement or resolution of a possible legal liability or claim. (For these purposes, the avoidance of possible criticism of the entity for not making an ex gratia payment does not constitute a benefit to the entity.)</w:t>
            </w:r>
          </w:p>
        </w:tc>
      </w:tr>
      <w:tr w:rsidR="00781C00" w:rsidRPr="005828FE" w14:paraId="4578FB77" w14:textId="77777777" w:rsidTr="00B8224B">
        <w:tc>
          <w:tcPr>
            <w:tcW w:w="2293" w:type="dxa"/>
          </w:tcPr>
          <w:p w14:paraId="4C3EF3C4" w14:textId="77777777" w:rsidR="00781C00" w:rsidRPr="005828FE" w:rsidRDefault="00781C00" w:rsidP="00382EE1">
            <w:pPr>
              <w:pStyle w:val="Normalgrey"/>
            </w:pPr>
          </w:p>
        </w:tc>
        <w:tc>
          <w:tcPr>
            <w:tcW w:w="270" w:type="dxa"/>
          </w:tcPr>
          <w:p w14:paraId="261A7122" w14:textId="77777777" w:rsidR="00781C00" w:rsidRPr="005828FE" w:rsidRDefault="00781C00" w:rsidP="002056D0">
            <w:pPr>
              <w:pStyle w:val="Normalgrey"/>
            </w:pPr>
          </w:p>
        </w:tc>
        <w:tc>
          <w:tcPr>
            <w:tcW w:w="540" w:type="dxa"/>
          </w:tcPr>
          <w:p w14:paraId="5F72F167" w14:textId="77777777" w:rsidR="00781C00" w:rsidRPr="005828FE" w:rsidRDefault="00EC46A1" w:rsidP="002056D0">
            <w:pPr>
              <w:pStyle w:val="Normalgrey"/>
            </w:pPr>
            <w:r>
              <w:t>6.3</w:t>
            </w:r>
          </w:p>
        </w:tc>
        <w:tc>
          <w:tcPr>
            <w:tcW w:w="6134" w:type="dxa"/>
          </w:tcPr>
          <w:p w14:paraId="57A3E444" w14:textId="15B9E8B3" w:rsidR="00781C00" w:rsidRDefault="00781C00" w:rsidP="009714D1">
            <w:pPr>
              <w:pStyle w:val="Normalgrey"/>
            </w:pPr>
            <w:r>
              <w:t xml:space="preserve">Ex gratia expenses </w:t>
            </w:r>
            <w:r w:rsidRPr="00280087">
              <w:t>may be one–off or periodic</w:t>
            </w:r>
            <w:r>
              <w:t xml:space="preserve"> and provided to individuals or other bodies such as companies.</w:t>
            </w:r>
          </w:p>
        </w:tc>
      </w:tr>
      <w:tr w:rsidR="00781C00" w:rsidRPr="005828FE" w14:paraId="295AF193" w14:textId="77777777" w:rsidTr="00B8224B">
        <w:tc>
          <w:tcPr>
            <w:tcW w:w="2293" w:type="dxa"/>
          </w:tcPr>
          <w:p w14:paraId="4D53DA3F" w14:textId="77777777" w:rsidR="00781C00" w:rsidRPr="005828FE" w:rsidRDefault="00781C00" w:rsidP="00382EE1">
            <w:pPr>
              <w:pStyle w:val="Normalgrey"/>
            </w:pPr>
          </w:p>
        </w:tc>
        <w:tc>
          <w:tcPr>
            <w:tcW w:w="270" w:type="dxa"/>
          </w:tcPr>
          <w:p w14:paraId="24E890CF" w14:textId="77777777" w:rsidR="00781C00" w:rsidRPr="005828FE" w:rsidRDefault="00781C00" w:rsidP="002056D0">
            <w:pPr>
              <w:pStyle w:val="Normalgrey"/>
            </w:pPr>
          </w:p>
        </w:tc>
        <w:tc>
          <w:tcPr>
            <w:tcW w:w="540" w:type="dxa"/>
          </w:tcPr>
          <w:p w14:paraId="09081A96" w14:textId="77777777" w:rsidR="00781C00" w:rsidRPr="005828FE" w:rsidRDefault="00EC46A1" w:rsidP="002056D0">
            <w:pPr>
              <w:pStyle w:val="Normalgrey"/>
            </w:pPr>
            <w:r>
              <w:t>6.4</w:t>
            </w:r>
          </w:p>
        </w:tc>
        <w:tc>
          <w:tcPr>
            <w:tcW w:w="6134" w:type="dxa"/>
          </w:tcPr>
          <w:p w14:paraId="16F0A79D" w14:textId="5B06CD00" w:rsidR="00781C00" w:rsidRDefault="00781C00" w:rsidP="009714D1">
            <w:pPr>
              <w:pStyle w:val="Normalgrey"/>
            </w:pPr>
            <w:r>
              <w:t>The expense incurred may result from the actual transfer of money or provision of non</w:t>
            </w:r>
            <w:r>
              <w:noBreakHyphen/>
              <w:t>monetary benefits (such as write</w:t>
            </w:r>
            <w:r>
              <w:noBreakHyphen/>
              <w:t>offs) or relate to accrued expenditure and related liabilities such as provisions and payables for future payments or benefits to be provided.</w:t>
            </w:r>
          </w:p>
        </w:tc>
      </w:tr>
      <w:tr w:rsidR="00781C00" w:rsidRPr="005828FE" w14:paraId="1949BAE9" w14:textId="77777777" w:rsidTr="00B8224B">
        <w:tc>
          <w:tcPr>
            <w:tcW w:w="2293" w:type="dxa"/>
          </w:tcPr>
          <w:p w14:paraId="20F26F71" w14:textId="77777777" w:rsidR="00781C00" w:rsidRPr="005828FE" w:rsidRDefault="00781C00" w:rsidP="00382EE1">
            <w:pPr>
              <w:pStyle w:val="Normalgrey"/>
            </w:pPr>
          </w:p>
        </w:tc>
        <w:tc>
          <w:tcPr>
            <w:tcW w:w="270" w:type="dxa"/>
          </w:tcPr>
          <w:p w14:paraId="0FAA1021" w14:textId="77777777" w:rsidR="00781C00" w:rsidRPr="005828FE" w:rsidRDefault="00781C00" w:rsidP="00781C00"/>
        </w:tc>
        <w:tc>
          <w:tcPr>
            <w:tcW w:w="540" w:type="dxa"/>
          </w:tcPr>
          <w:p w14:paraId="0A397FCF" w14:textId="77777777" w:rsidR="00781C00" w:rsidRPr="005828FE" w:rsidRDefault="00EC46A1" w:rsidP="002056D0">
            <w:pPr>
              <w:pStyle w:val="Normalgrey"/>
            </w:pPr>
            <w:r>
              <w:t>6.5</w:t>
            </w:r>
          </w:p>
        </w:tc>
        <w:tc>
          <w:tcPr>
            <w:tcW w:w="6134" w:type="dxa"/>
          </w:tcPr>
          <w:p w14:paraId="5AE8D60E" w14:textId="77777777" w:rsidR="00781C00" w:rsidRPr="00781C00" w:rsidRDefault="00781C00" w:rsidP="00781C00">
            <w:pPr>
              <w:pStyle w:val="Normalgreybold"/>
            </w:pPr>
            <w:r w:rsidRPr="004519AD">
              <w:t>Materiality</w:t>
            </w:r>
          </w:p>
          <w:p w14:paraId="3168B738" w14:textId="77777777" w:rsidR="00781C00" w:rsidRDefault="00781C00" w:rsidP="009714D1">
            <w:pPr>
              <w:pStyle w:val="Normalgrey"/>
            </w:pPr>
            <w:r w:rsidRPr="001B44B8">
              <w:t xml:space="preserve">Only </w:t>
            </w:r>
            <w:r w:rsidRPr="00CE068C">
              <w:t>ex</w:t>
            </w:r>
            <w:r w:rsidRPr="00273670">
              <w:t> </w:t>
            </w:r>
            <w:r w:rsidRPr="00CE068C">
              <w:t>gratia</w:t>
            </w:r>
            <w:r w:rsidRPr="001B44B8">
              <w:t xml:space="preserve"> expense</w:t>
            </w:r>
            <w:r>
              <w:t xml:space="preserve"> items</w:t>
            </w:r>
            <w:r w:rsidRPr="001B44B8">
              <w:t xml:space="preserve"> greater than </w:t>
            </w:r>
            <w:r>
              <w:t xml:space="preserve">or equal to </w:t>
            </w:r>
            <w:r w:rsidRPr="001B44B8">
              <w:t xml:space="preserve">$5,000 </w:t>
            </w:r>
            <w:r>
              <w:t>need</w:t>
            </w:r>
            <w:r w:rsidRPr="001B44B8">
              <w:t xml:space="preserve"> be included in </w:t>
            </w:r>
            <w:r>
              <w:t>a</w:t>
            </w:r>
            <w:r w:rsidRPr="001B44B8">
              <w:t xml:space="preserve"> disclosure</w:t>
            </w:r>
            <w:r>
              <w:t>, unless there are factors which make an expense item of less than $5,000 material in the circumstances</w:t>
            </w:r>
            <w:r w:rsidRPr="001B44B8">
              <w:t>.</w:t>
            </w:r>
          </w:p>
        </w:tc>
      </w:tr>
      <w:tr w:rsidR="00781C00" w:rsidRPr="005828FE" w14:paraId="5516078F" w14:textId="77777777" w:rsidTr="00B8224B">
        <w:tc>
          <w:tcPr>
            <w:tcW w:w="2293" w:type="dxa"/>
          </w:tcPr>
          <w:p w14:paraId="3C942EC6" w14:textId="77777777" w:rsidR="00781C00" w:rsidRPr="005828FE" w:rsidRDefault="00781C00" w:rsidP="00382EE1">
            <w:pPr>
              <w:pStyle w:val="Normalgrey"/>
            </w:pPr>
          </w:p>
        </w:tc>
        <w:tc>
          <w:tcPr>
            <w:tcW w:w="270" w:type="dxa"/>
          </w:tcPr>
          <w:p w14:paraId="1BD32944" w14:textId="77777777" w:rsidR="00781C00" w:rsidRPr="005828FE" w:rsidRDefault="00781C00" w:rsidP="00781C00"/>
        </w:tc>
        <w:tc>
          <w:tcPr>
            <w:tcW w:w="540" w:type="dxa"/>
          </w:tcPr>
          <w:p w14:paraId="0EE2C62F" w14:textId="77777777" w:rsidR="00781C00" w:rsidRPr="005828FE" w:rsidRDefault="00EC46A1" w:rsidP="002056D0">
            <w:pPr>
              <w:pStyle w:val="Normalgrey"/>
            </w:pPr>
            <w:r>
              <w:t>6.6</w:t>
            </w:r>
          </w:p>
        </w:tc>
        <w:tc>
          <w:tcPr>
            <w:tcW w:w="6134" w:type="dxa"/>
          </w:tcPr>
          <w:p w14:paraId="2CD9C08F" w14:textId="77777777" w:rsidR="00781C00" w:rsidRDefault="00781C00" w:rsidP="00781C00">
            <w:pPr>
              <w:pStyle w:val="Normalgreybold"/>
            </w:pPr>
            <w:r w:rsidRPr="00781C00">
              <w:t>Nature</w:t>
            </w:r>
          </w:p>
          <w:p w14:paraId="38BCEC5E" w14:textId="77777777" w:rsidR="00781C00" w:rsidRDefault="00781C00" w:rsidP="00FA5409">
            <w:pPr>
              <w:pStyle w:val="Normalgrey"/>
            </w:pPr>
            <w:r w:rsidRPr="00497E7C">
              <w:t xml:space="preserve">The nature of </w:t>
            </w:r>
            <w:r w:rsidRPr="00206143">
              <w:t xml:space="preserve">ex gratia </w:t>
            </w:r>
            <w:r>
              <w:t xml:space="preserve">expenses </w:t>
            </w:r>
            <w:r w:rsidRPr="00CC3EA1">
              <w:t>may take many forms</w:t>
            </w:r>
            <w:r>
              <w:t>.  P</w:t>
            </w:r>
            <w:r w:rsidRPr="004B18B5">
              <w:t xml:space="preserve">ossible </w:t>
            </w:r>
            <w:r w:rsidRPr="00CE068C">
              <w:t>types</w:t>
            </w:r>
            <w:r w:rsidRPr="004519AD">
              <w:t xml:space="preserve"> include but are not limited to:</w:t>
            </w:r>
          </w:p>
          <w:p w14:paraId="42C49163" w14:textId="77777777" w:rsidR="00781C00" w:rsidRDefault="00FA5409" w:rsidP="00FA5409">
            <w:pPr>
              <w:pStyle w:val="Bullet1grey"/>
            </w:pPr>
            <w:r w:rsidRPr="0060463D">
              <w:t>Compensation payments (for damages, personal injury or injustice)</w:t>
            </w:r>
            <w:r>
              <w:t xml:space="preserve"> where there is no legal obligation or liability to make such a payment</w:t>
            </w:r>
            <w:r w:rsidRPr="0060463D">
              <w:t>;</w:t>
            </w:r>
          </w:p>
          <w:p w14:paraId="0A0A687F" w14:textId="77777777" w:rsidR="00FA5409" w:rsidRDefault="00FA5409" w:rsidP="00FA5409">
            <w:pPr>
              <w:pStyle w:val="Bullet1grey"/>
            </w:pPr>
            <w:r w:rsidRPr="0060463D">
              <w:t>Forgiveness or waivers of debts (such as loan write</w:t>
            </w:r>
            <w:r w:rsidRPr="0060463D">
              <w:noBreakHyphen/>
              <w:t xml:space="preserve">offs) </w:t>
            </w:r>
            <w:r>
              <w:t>because they</w:t>
            </w:r>
            <w:r w:rsidRPr="0060463D">
              <w:t xml:space="preserve"> would otherwise cause financial hardship or not </w:t>
            </w:r>
            <w:r>
              <w:t xml:space="preserve">be </w:t>
            </w:r>
            <w:r w:rsidRPr="0060463D">
              <w:t>economical to pursue;</w:t>
            </w:r>
          </w:p>
          <w:p w14:paraId="4C578855" w14:textId="77777777" w:rsidR="00FA5409" w:rsidRPr="004519AD" w:rsidRDefault="00FA5409" w:rsidP="00FA5409">
            <w:pPr>
              <w:pStyle w:val="Bullet1grey"/>
            </w:pPr>
            <w:r w:rsidRPr="0060463D">
              <w:t xml:space="preserve">Gifts or other </w:t>
            </w:r>
            <w:r>
              <w:t xml:space="preserve">voluntary </w:t>
            </w:r>
            <w:r w:rsidRPr="0060463D">
              <w:t>payments in recognition of special contributions such as voluntary contributions to advisory groups or committees.</w:t>
            </w:r>
          </w:p>
        </w:tc>
      </w:tr>
      <w:tr w:rsidR="00FA5409" w:rsidRPr="005828FE" w14:paraId="0B16FA72" w14:textId="77777777" w:rsidTr="00B8224B">
        <w:tc>
          <w:tcPr>
            <w:tcW w:w="2293" w:type="dxa"/>
          </w:tcPr>
          <w:p w14:paraId="492CDB41" w14:textId="77777777" w:rsidR="00FA5409" w:rsidRPr="005828FE" w:rsidRDefault="00FA5409" w:rsidP="00382EE1">
            <w:pPr>
              <w:pStyle w:val="Normalgrey"/>
            </w:pPr>
          </w:p>
        </w:tc>
        <w:tc>
          <w:tcPr>
            <w:tcW w:w="270" w:type="dxa"/>
          </w:tcPr>
          <w:p w14:paraId="58E43271" w14:textId="77777777" w:rsidR="00FA5409" w:rsidRPr="005828FE" w:rsidRDefault="00FA5409" w:rsidP="00781C00"/>
        </w:tc>
        <w:tc>
          <w:tcPr>
            <w:tcW w:w="540" w:type="dxa"/>
          </w:tcPr>
          <w:p w14:paraId="456FED1F" w14:textId="77777777" w:rsidR="00FA5409" w:rsidRPr="005828FE" w:rsidRDefault="00EC46A1" w:rsidP="002056D0">
            <w:pPr>
              <w:pStyle w:val="Normalgrey"/>
            </w:pPr>
            <w:r>
              <w:t>6.7</w:t>
            </w:r>
          </w:p>
        </w:tc>
        <w:tc>
          <w:tcPr>
            <w:tcW w:w="6134" w:type="dxa"/>
          </w:tcPr>
          <w:p w14:paraId="71E89075" w14:textId="77777777" w:rsidR="00FA5409" w:rsidRDefault="0091338D" w:rsidP="0091338D">
            <w:pPr>
              <w:pStyle w:val="Normalgreybold"/>
            </w:pPr>
            <w:r w:rsidRPr="0091338D">
              <w:t>Purpose</w:t>
            </w:r>
          </w:p>
          <w:p w14:paraId="01FABC50" w14:textId="77777777" w:rsidR="0091338D" w:rsidRPr="0091338D" w:rsidRDefault="0091338D" w:rsidP="0091338D">
            <w:pPr>
              <w:pStyle w:val="Normalgrey"/>
            </w:pPr>
            <w:r w:rsidRPr="008A7B0E">
              <w:t xml:space="preserve">The </w:t>
            </w:r>
            <w:r w:rsidRPr="0091338D">
              <w:t>description</w:t>
            </w:r>
            <w:r>
              <w:t xml:space="preserve"> of the </w:t>
            </w:r>
            <w:r w:rsidRPr="008A7B0E">
              <w:t xml:space="preserve">purpose of ex gratia </w:t>
            </w:r>
            <w:r>
              <w:t xml:space="preserve">expenses </w:t>
            </w:r>
            <w:r w:rsidRPr="008A7B0E">
              <w:t xml:space="preserve">should inform users of the circumstances </w:t>
            </w:r>
            <w:r>
              <w:t>that led to the expenses being incurred.</w:t>
            </w:r>
          </w:p>
        </w:tc>
      </w:tr>
      <w:tr w:rsidR="0091338D" w:rsidRPr="005828FE" w14:paraId="4385C5FF" w14:textId="77777777" w:rsidTr="00B8224B">
        <w:tc>
          <w:tcPr>
            <w:tcW w:w="2293" w:type="dxa"/>
          </w:tcPr>
          <w:p w14:paraId="0B928F6F" w14:textId="77777777" w:rsidR="0091338D" w:rsidRPr="005828FE" w:rsidRDefault="0091338D" w:rsidP="00382EE1">
            <w:pPr>
              <w:pStyle w:val="Normalgrey"/>
            </w:pPr>
          </w:p>
        </w:tc>
        <w:tc>
          <w:tcPr>
            <w:tcW w:w="270" w:type="dxa"/>
          </w:tcPr>
          <w:p w14:paraId="10953949" w14:textId="77777777" w:rsidR="0091338D" w:rsidRPr="005828FE" w:rsidRDefault="0091338D" w:rsidP="00781C00"/>
        </w:tc>
        <w:tc>
          <w:tcPr>
            <w:tcW w:w="540" w:type="dxa"/>
          </w:tcPr>
          <w:p w14:paraId="47C350EE" w14:textId="77777777" w:rsidR="0091338D" w:rsidRPr="005828FE" w:rsidRDefault="00EC46A1" w:rsidP="002056D0">
            <w:pPr>
              <w:pStyle w:val="Normalgrey"/>
            </w:pPr>
            <w:r>
              <w:t>6.8</w:t>
            </w:r>
          </w:p>
        </w:tc>
        <w:tc>
          <w:tcPr>
            <w:tcW w:w="6134" w:type="dxa"/>
          </w:tcPr>
          <w:p w14:paraId="2B04A23D" w14:textId="77777777" w:rsidR="0091338D" w:rsidRDefault="0091338D" w:rsidP="0091338D">
            <w:pPr>
              <w:pStyle w:val="Normalgreybold"/>
            </w:pPr>
            <w:r>
              <w:t>Line item in financial statements</w:t>
            </w:r>
          </w:p>
          <w:p w14:paraId="6BD0C796" w14:textId="77777777" w:rsidR="0091338D" w:rsidRPr="0091338D" w:rsidRDefault="0091338D" w:rsidP="0091338D">
            <w:pPr>
              <w:pStyle w:val="Normalgrey"/>
            </w:pPr>
            <w:r>
              <w:t>The location or locations where the ex gratia expenses are recognised in the financial statements shall be referenced to the relevant line item on the comprehensive operating statement or the related expense note where applicable.</w:t>
            </w:r>
          </w:p>
        </w:tc>
      </w:tr>
      <w:tr w:rsidR="005828FE" w:rsidRPr="005828FE" w14:paraId="77A1C772" w14:textId="77777777" w:rsidTr="00B8224B">
        <w:tc>
          <w:tcPr>
            <w:tcW w:w="2293" w:type="dxa"/>
          </w:tcPr>
          <w:p w14:paraId="1810293F" w14:textId="77777777" w:rsidR="006C78FB" w:rsidRPr="005828FE" w:rsidRDefault="006C78FB" w:rsidP="00382EE1">
            <w:pPr>
              <w:pStyle w:val="Normalgrey"/>
            </w:pPr>
            <w:r w:rsidRPr="005828FE">
              <w:t>Background</w:t>
            </w:r>
          </w:p>
        </w:tc>
        <w:tc>
          <w:tcPr>
            <w:tcW w:w="270" w:type="dxa"/>
          </w:tcPr>
          <w:p w14:paraId="3F0B1D98" w14:textId="77777777" w:rsidR="006C78FB" w:rsidRPr="005828FE" w:rsidRDefault="006C78FB" w:rsidP="00286F9A">
            <w:pPr>
              <w:pStyle w:val="Normalgrey"/>
            </w:pPr>
          </w:p>
        </w:tc>
        <w:tc>
          <w:tcPr>
            <w:tcW w:w="540" w:type="dxa"/>
          </w:tcPr>
          <w:p w14:paraId="287B238A" w14:textId="77777777" w:rsidR="006C78FB" w:rsidRPr="005828FE" w:rsidRDefault="00EC46A1" w:rsidP="002056D0">
            <w:pPr>
              <w:pStyle w:val="Normalgrey"/>
            </w:pPr>
            <w:r>
              <w:t>7.1</w:t>
            </w:r>
          </w:p>
        </w:tc>
        <w:tc>
          <w:tcPr>
            <w:tcW w:w="6134" w:type="dxa"/>
          </w:tcPr>
          <w:p w14:paraId="1A317D54" w14:textId="526685D0" w:rsidR="00355A50" w:rsidRPr="0091338D" w:rsidRDefault="0091338D" w:rsidP="009714D1">
            <w:pPr>
              <w:pStyle w:val="Normalgrey"/>
            </w:pPr>
            <w:r>
              <w:t>FRD 11 was issued in November 2005 to promote good corporate governance as Australian Accounting Standards are silent on the disclosure requirements of ex gratia expenses in an entity’s financial report. This FRD enables transparency and consistency in the disclosure of ex gratia expenses across the Victorian public sector.</w:t>
            </w:r>
          </w:p>
        </w:tc>
      </w:tr>
      <w:tr w:rsidR="003B53CC" w:rsidRPr="005828FE" w14:paraId="6F38CB30" w14:textId="77777777" w:rsidTr="00B8224B">
        <w:tc>
          <w:tcPr>
            <w:tcW w:w="2293" w:type="dxa"/>
          </w:tcPr>
          <w:p w14:paraId="6649A3A3" w14:textId="77777777" w:rsidR="003B53CC" w:rsidRPr="005828FE" w:rsidRDefault="003B53CC" w:rsidP="00382EE1">
            <w:pPr>
              <w:pStyle w:val="Normalgrey"/>
            </w:pPr>
          </w:p>
        </w:tc>
        <w:tc>
          <w:tcPr>
            <w:tcW w:w="270" w:type="dxa"/>
          </w:tcPr>
          <w:p w14:paraId="321790D8" w14:textId="77777777" w:rsidR="003B53CC" w:rsidRPr="005828FE" w:rsidRDefault="003B53CC" w:rsidP="00286F9A">
            <w:pPr>
              <w:pStyle w:val="Normalgrey"/>
            </w:pPr>
          </w:p>
        </w:tc>
        <w:tc>
          <w:tcPr>
            <w:tcW w:w="540" w:type="dxa"/>
          </w:tcPr>
          <w:p w14:paraId="4D1C7859" w14:textId="693C8C92" w:rsidR="003B53CC" w:rsidRDefault="003B53CC" w:rsidP="002056D0">
            <w:pPr>
              <w:pStyle w:val="Normalgrey"/>
            </w:pPr>
            <w:r>
              <w:t>7.2</w:t>
            </w:r>
          </w:p>
        </w:tc>
        <w:tc>
          <w:tcPr>
            <w:tcW w:w="6134" w:type="dxa"/>
          </w:tcPr>
          <w:p w14:paraId="0725D76E" w14:textId="24AD9EE9" w:rsidR="003B53CC" w:rsidRPr="00574B84" w:rsidRDefault="003B53CC" w:rsidP="003B53CC">
            <w:pPr>
              <w:pStyle w:val="Normalgrey"/>
            </w:pPr>
            <w:r w:rsidRPr="00574B84">
              <w:t>This FRD was updated in:</w:t>
            </w:r>
          </w:p>
          <w:p w14:paraId="47572065" w14:textId="77777777" w:rsidR="003B53CC" w:rsidRPr="00574B84" w:rsidRDefault="003B53CC" w:rsidP="003B53CC">
            <w:pPr>
              <w:pStyle w:val="Bullet1"/>
              <w:rPr>
                <w:color w:val="4D4D4D"/>
              </w:rPr>
            </w:pPr>
            <w:r w:rsidRPr="00574B84">
              <w:rPr>
                <w:color w:val="4D4D4D"/>
              </w:rPr>
              <w:t>June 2013 to:</w:t>
            </w:r>
          </w:p>
          <w:p w14:paraId="07B7261A" w14:textId="77777777" w:rsidR="003B53CC" w:rsidRPr="00574B84" w:rsidRDefault="003B53CC" w:rsidP="003B53CC">
            <w:pPr>
              <w:pStyle w:val="Bullet2"/>
              <w:rPr>
                <w:color w:val="4D4D4D"/>
              </w:rPr>
            </w:pPr>
            <w:r w:rsidRPr="00574B84">
              <w:rPr>
                <w:color w:val="4D4D4D"/>
              </w:rPr>
              <w:t xml:space="preserve">expand the scope to capture non-monetary benefits and accrued ex gratia expenses, and introduce a materiality threshold; </w:t>
            </w:r>
          </w:p>
          <w:p w14:paraId="6F10DADD" w14:textId="77777777" w:rsidR="003B53CC" w:rsidRPr="00574B84" w:rsidRDefault="003B53CC" w:rsidP="003B53CC">
            <w:pPr>
              <w:pStyle w:val="Bullet2"/>
              <w:rPr>
                <w:color w:val="4D4D4D"/>
              </w:rPr>
            </w:pPr>
            <w:r w:rsidRPr="00574B84">
              <w:rPr>
                <w:color w:val="4D4D4D"/>
              </w:rPr>
              <w:t>require meaningful descriptions of the 'purpose' of ex gratia expenses, in addition to amount and nature;</w:t>
            </w:r>
          </w:p>
          <w:p w14:paraId="4AB70DEE" w14:textId="77777777" w:rsidR="00574B84" w:rsidRPr="00574B84" w:rsidRDefault="003B53CC" w:rsidP="003B53CC">
            <w:pPr>
              <w:pStyle w:val="Bullet2"/>
              <w:rPr>
                <w:color w:val="4D4D4D"/>
              </w:rPr>
            </w:pPr>
            <w:r w:rsidRPr="00574B84">
              <w:rPr>
                <w:color w:val="4D4D4D"/>
              </w:rPr>
              <w:t>require the disclosure of the line item to which the ex gratia expenses were recognised in the financial statements;</w:t>
            </w:r>
          </w:p>
          <w:p w14:paraId="745E9C5B" w14:textId="77777777" w:rsidR="00574B84" w:rsidRPr="00574B84" w:rsidRDefault="003B53CC" w:rsidP="00574B84">
            <w:pPr>
              <w:pStyle w:val="Bullet2"/>
              <w:rPr>
                <w:color w:val="4D4D4D"/>
              </w:rPr>
            </w:pPr>
            <w:r w:rsidRPr="00574B84">
              <w:rPr>
                <w:color w:val="4D4D4D"/>
              </w:rPr>
              <w:t>expand the definitions and guidance;</w:t>
            </w:r>
          </w:p>
          <w:p w14:paraId="5841CBEB" w14:textId="26BB7120" w:rsidR="00574B84" w:rsidRDefault="003B53CC" w:rsidP="00574B84">
            <w:pPr>
              <w:pStyle w:val="Bullet2"/>
            </w:pPr>
            <w:r w:rsidRPr="00574B84">
              <w:rPr>
                <w:color w:val="4D4D4D"/>
              </w:rPr>
              <w:t>remove the illustration in the FRD and replace with a reference to the illustration in the Model Report for Victorian Government Departments.</w:t>
            </w:r>
            <w:r w:rsidR="00574B84" w:rsidRPr="00574B84">
              <w:rPr>
                <w:color w:val="4D4D4D"/>
              </w:rPr>
              <w:t xml:space="preserve"> </w:t>
            </w:r>
          </w:p>
        </w:tc>
      </w:tr>
      <w:tr w:rsidR="00B13F15" w:rsidRPr="005828FE" w14:paraId="64FC1BCC" w14:textId="77777777" w:rsidTr="00B8224B">
        <w:tc>
          <w:tcPr>
            <w:tcW w:w="2293" w:type="dxa"/>
          </w:tcPr>
          <w:p w14:paraId="2C250DA4" w14:textId="630CB915" w:rsidR="00B13F15" w:rsidRPr="005828FE" w:rsidRDefault="00B13F15" w:rsidP="00382EE1">
            <w:pPr>
              <w:pStyle w:val="Normalgrey"/>
            </w:pPr>
            <w:r>
              <w:lastRenderedPageBreak/>
              <w:t>Model for Disclosure</w:t>
            </w:r>
          </w:p>
        </w:tc>
        <w:tc>
          <w:tcPr>
            <w:tcW w:w="270" w:type="dxa"/>
          </w:tcPr>
          <w:p w14:paraId="2489296B" w14:textId="77777777" w:rsidR="00B13F15" w:rsidRPr="005828FE" w:rsidRDefault="00B13F15" w:rsidP="00286F9A">
            <w:pPr>
              <w:pStyle w:val="Normalgrey"/>
            </w:pPr>
          </w:p>
        </w:tc>
        <w:tc>
          <w:tcPr>
            <w:tcW w:w="540" w:type="dxa"/>
          </w:tcPr>
          <w:p w14:paraId="3D06A35F" w14:textId="77777777" w:rsidR="00B13F15" w:rsidRDefault="00B13F15" w:rsidP="002056D0">
            <w:pPr>
              <w:pStyle w:val="Normalgrey"/>
            </w:pPr>
          </w:p>
        </w:tc>
        <w:tc>
          <w:tcPr>
            <w:tcW w:w="6134" w:type="dxa"/>
          </w:tcPr>
          <w:p w14:paraId="42B64183" w14:textId="0202DE96" w:rsidR="00B13F15" w:rsidRPr="00574B84" w:rsidRDefault="00B13F15" w:rsidP="003B53CC">
            <w:pPr>
              <w:pStyle w:val="Normalgrey"/>
            </w:pPr>
            <w:r w:rsidRPr="00125F24">
              <w:rPr>
                <w:i/>
              </w:rPr>
              <w:t>Model Report for Victorian Government Departments</w:t>
            </w:r>
            <w:r w:rsidRPr="00125F24">
              <w:t xml:space="preserve"> – Section </w:t>
            </w:r>
            <w:r>
              <w:t>9</w:t>
            </w:r>
            <w:r w:rsidRPr="00125F24">
              <w:t xml:space="preserve"> </w:t>
            </w:r>
            <w:r>
              <w:t>Other Disclosures</w:t>
            </w:r>
          </w:p>
        </w:tc>
      </w:tr>
    </w:tbl>
    <w:p w14:paraId="146D48A4" w14:textId="77777777" w:rsidR="00263C8C" w:rsidRDefault="00263C8C" w:rsidP="00263C8C">
      <w:pPr>
        <w:sectPr w:rsidR="00263C8C" w:rsidSect="00355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03" w:right="1440" w:bottom="1349" w:left="1440" w:header="448" w:footer="459" w:gutter="0"/>
          <w:pgNumType w:start="1"/>
          <w:cols w:space="708"/>
          <w:docGrid w:linePitch="360"/>
        </w:sectPr>
      </w:pPr>
    </w:p>
    <w:p w14:paraId="3F888888" w14:textId="77777777" w:rsidR="00FE782F" w:rsidRDefault="00FE782F" w:rsidP="00263C8C"/>
    <w:sectPr w:rsidR="00FE782F" w:rsidSect="00355A50">
      <w:type w:val="continuous"/>
      <w:pgSz w:w="11906" w:h="16838" w:code="9"/>
      <w:pgMar w:top="1803" w:right="1440" w:bottom="1349" w:left="1440" w:header="448"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1CEE" w14:textId="77777777" w:rsidR="00993ECB" w:rsidRDefault="00993ECB" w:rsidP="002D711A">
      <w:pPr>
        <w:spacing w:after="0" w:line="240" w:lineRule="auto"/>
      </w:pPr>
      <w:r>
        <w:separator/>
      </w:r>
    </w:p>
    <w:p w14:paraId="7237A223" w14:textId="77777777" w:rsidR="00993ECB" w:rsidRDefault="00993ECB"/>
  </w:endnote>
  <w:endnote w:type="continuationSeparator" w:id="0">
    <w:p w14:paraId="412DA512" w14:textId="77777777" w:rsidR="00993ECB" w:rsidRDefault="00993ECB" w:rsidP="002D711A">
      <w:pPr>
        <w:spacing w:after="0" w:line="240" w:lineRule="auto"/>
      </w:pPr>
      <w:r>
        <w:continuationSeparator/>
      </w:r>
    </w:p>
    <w:p w14:paraId="0F227EA8" w14:textId="77777777" w:rsidR="00993ECB" w:rsidRDefault="0099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3141" w14:textId="77777777" w:rsidR="00014213" w:rsidRPr="00014213" w:rsidRDefault="00014213" w:rsidP="00C022F9">
    <w:pPr>
      <w:pStyle w:val="Footer"/>
    </w:pPr>
    <w:r>
      <w:drawing>
        <wp:anchor distT="0" distB="0" distL="114300" distR="114300" simplePos="0" relativeHeight="251656192" behindDoc="0" locked="0" layoutInCell="1" allowOverlap="1" wp14:anchorId="306277CA" wp14:editId="4C9A417F">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070A905D"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53C1" w14:textId="01CC0554" w:rsidR="00A516DE" w:rsidRDefault="00574B84" w:rsidP="00A516DE">
    <w:pPr>
      <w:pStyle w:val="Spacer"/>
    </w:pPr>
    <w:r>
      <w:rPr>
        <w:noProof/>
      </w:rPr>
      <mc:AlternateContent>
        <mc:Choice Requires="wps">
          <w:drawing>
            <wp:anchor distT="0" distB="0" distL="114300" distR="114300" simplePos="0" relativeHeight="251658240" behindDoc="0" locked="0" layoutInCell="0" allowOverlap="1" wp14:anchorId="0AF5130D" wp14:editId="10294061">
              <wp:simplePos x="0" y="0"/>
              <wp:positionH relativeFrom="page">
                <wp:posOffset>0</wp:posOffset>
              </wp:positionH>
              <wp:positionV relativeFrom="page">
                <wp:posOffset>10227945</wp:posOffset>
              </wp:positionV>
              <wp:extent cx="7560310" cy="273050"/>
              <wp:effectExtent l="0" t="0" r="0" b="12700"/>
              <wp:wrapNone/>
              <wp:docPr id="1" name="MSIPCM8c524c078d3cc328d0a0254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6B12C" w14:textId="07C90FC5" w:rsidR="00574B84" w:rsidRPr="00574B84" w:rsidRDefault="00574B84" w:rsidP="00574B84">
                          <w:pPr>
                            <w:spacing w:before="0" w:after="0"/>
                            <w:rPr>
                              <w:rFonts w:ascii="Calibri" w:hAnsi="Calibri" w:cs="Calibri"/>
                              <w:color w:val="000000"/>
                              <w:sz w:val="22"/>
                            </w:rPr>
                          </w:pPr>
                          <w:r w:rsidRPr="00574B8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130D" id="_x0000_t202" coordsize="21600,21600" o:spt="202" path="m,l,21600r21600,l21600,xe">
              <v:stroke joinstyle="miter"/>
              <v:path gradientshapeok="t" o:connecttype="rect"/>
            </v:shapetype>
            <v:shape id="MSIPCM8c524c078d3cc328d0a02540"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K3Er6sQIAAEgFAAAO&#10;AAAAAAAAAAAAAAAAAC4CAABkcnMvZTJvRG9jLnhtbFBLAQItABQABgAIAAAAIQB8dgjh3wAAAAsB&#10;AAAPAAAAAAAAAAAAAAAAAAsFAABkcnMvZG93bnJldi54bWxQSwUGAAAAAAQABADzAAAAFwYAAAAA&#10;" o:allowincell="f" filled="f" stroked="f" strokeweight=".5pt">
              <v:textbox inset="20pt,0,,0">
                <w:txbxContent>
                  <w:p w14:paraId="0646B12C" w14:textId="07C90FC5" w:rsidR="00574B84" w:rsidRPr="00574B84" w:rsidRDefault="00574B84" w:rsidP="00574B84">
                    <w:pPr>
                      <w:spacing w:before="0" w:after="0"/>
                      <w:rPr>
                        <w:rFonts w:ascii="Calibri" w:hAnsi="Calibri" w:cs="Calibri"/>
                        <w:color w:val="000000"/>
                        <w:sz w:val="22"/>
                      </w:rPr>
                    </w:pPr>
                    <w:r w:rsidRPr="00574B84">
                      <w:rPr>
                        <w:rFonts w:ascii="Calibri" w:hAnsi="Calibri" w:cs="Calibri"/>
                        <w:color w:val="000000"/>
                        <w:sz w:val="22"/>
                      </w:rPr>
                      <w:t>OFFICIAL</w:t>
                    </w:r>
                  </w:p>
                </w:txbxContent>
              </v:textbox>
              <w10:wrap anchorx="page" anchory="page"/>
            </v:shape>
          </w:pict>
        </mc:Fallback>
      </mc:AlternateContent>
    </w:r>
  </w:p>
  <w:p w14:paraId="4E6DD294" w14:textId="0AFB9C75"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8631B0">
      <w:rPr>
        <w:b/>
      </w:rPr>
      <w:t>FRD 11</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8631B0">
      <w:t>Disclosure of ex gratia expenses (April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2056D0">
      <w:rPr>
        <w:rStyle w:val="PageNumber"/>
        <w:color w:val="auto"/>
      </w:rPr>
      <w:t>2</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1E69" w14:textId="77777777" w:rsidR="008631B0" w:rsidRDefault="00863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91C9" w14:textId="77777777" w:rsidR="00993ECB" w:rsidRDefault="00993ECB" w:rsidP="002D711A">
      <w:pPr>
        <w:spacing w:after="0" w:line="240" w:lineRule="auto"/>
      </w:pPr>
      <w:r>
        <w:separator/>
      </w:r>
    </w:p>
    <w:p w14:paraId="08E7B7B2" w14:textId="77777777" w:rsidR="00993ECB" w:rsidRDefault="00993ECB"/>
  </w:footnote>
  <w:footnote w:type="continuationSeparator" w:id="0">
    <w:p w14:paraId="69C68474" w14:textId="77777777" w:rsidR="00993ECB" w:rsidRDefault="00993ECB" w:rsidP="002D711A">
      <w:pPr>
        <w:spacing w:after="0" w:line="240" w:lineRule="auto"/>
      </w:pPr>
      <w:r>
        <w:continuationSeparator/>
      </w:r>
    </w:p>
    <w:p w14:paraId="7FD4530B" w14:textId="77777777" w:rsidR="00993ECB" w:rsidRDefault="00993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7AE1" w14:textId="77777777" w:rsidR="008631B0" w:rsidRDefault="00863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FF3D" w14:textId="77777777" w:rsidR="0041689E" w:rsidRPr="0041689E" w:rsidRDefault="005828FE" w:rsidP="005828FE">
    <w:pPr>
      <w:pStyle w:val="Header"/>
      <w:tabs>
        <w:tab w:val="clear" w:pos="9026"/>
      </w:tabs>
      <w:ind w:right="-694"/>
      <w:jc w:val="right"/>
    </w:pPr>
    <w:r>
      <w:rPr>
        <w:noProof/>
      </w:rPr>
      <w:drawing>
        <wp:inline distT="0" distB="0" distL="0" distR="0" wp14:anchorId="7BCC8E60" wp14:editId="717F0151">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5C189516"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11BD" w14:textId="77777777" w:rsidR="008631B0" w:rsidRDefault="00863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
  </w:num>
  <w:num w:numId="2">
    <w:abstractNumId w:val="1"/>
  </w:num>
  <w:num w:numId="3">
    <w:abstractNumId w:val="1"/>
  </w:num>
  <w:num w:numId="4">
    <w:abstractNumId w:val="5"/>
  </w:num>
  <w:num w:numId="5">
    <w:abstractNumId w:val="1"/>
  </w:num>
  <w:num w:numId="6">
    <w:abstractNumId w:val="1"/>
  </w:num>
  <w:num w:numId="7">
    <w:abstractNumId w:val="1"/>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0"/>
  </w:num>
  <w:num w:numId="19">
    <w:abstractNumId w:val="2"/>
  </w:num>
  <w:num w:numId="20">
    <w:abstractNumId w:val="4"/>
  </w:num>
  <w:num w:numId="21">
    <w:abstractNumId w:val="4"/>
  </w:num>
  <w:num w:numId="22">
    <w:abstractNumId w:val="3"/>
  </w:num>
  <w:num w:numId="23">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ECB"/>
    <w:rsid w:val="0000176A"/>
    <w:rsid w:val="00012F6F"/>
    <w:rsid w:val="00014213"/>
    <w:rsid w:val="00014B55"/>
    <w:rsid w:val="00020E3E"/>
    <w:rsid w:val="00023BF3"/>
    <w:rsid w:val="00026811"/>
    <w:rsid w:val="0004356D"/>
    <w:rsid w:val="00045296"/>
    <w:rsid w:val="00075E6C"/>
    <w:rsid w:val="00076A0B"/>
    <w:rsid w:val="000A3A8A"/>
    <w:rsid w:val="000B29AD"/>
    <w:rsid w:val="000C6372"/>
    <w:rsid w:val="000E392D"/>
    <w:rsid w:val="000F4288"/>
    <w:rsid w:val="000F7165"/>
    <w:rsid w:val="00102379"/>
    <w:rsid w:val="001065D6"/>
    <w:rsid w:val="00106E44"/>
    <w:rsid w:val="00117C6B"/>
    <w:rsid w:val="00121252"/>
    <w:rsid w:val="00124609"/>
    <w:rsid w:val="001254CE"/>
    <w:rsid w:val="001302DE"/>
    <w:rsid w:val="00134CEA"/>
    <w:rsid w:val="001422CC"/>
    <w:rsid w:val="00154FDB"/>
    <w:rsid w:val="001617B6"/>
    <w:rsid w:val="00165E66"/>
    <w:rsid w:val="00165E73"/>
    <w:rsid w:val="001C7BAE"/>
    <w:rsid w:val="001E31FA"/>
    <w:rsid w:val="001E64F6"/>
    <w:rsid w:val="00204CB9"/>
    <w:rsid w:val="002056D0"/>
    <w:rsid w:val="00215F7C"/>
    <w:rsid w:val="00222BEB"/>
    <w:rsid w:val="00225E60"/>
    <w:rsid w:val="00231BD3"/>
    <w:rsid w:val="0023202C"/>
    <w:rsid w:val="00236203"/>
    <w:rsid w:val="00245043"/>
    <w:rsid w:val="00257760"/>
    <w:rsid w:val="00263C8C"/>
    <w:rsid w:val="002752C5"/>
    <w:rsid w:val="00286F9A"/>
    <w:rsid w:val="00292D36"/>
    <w:rsid w:val="00297281"/>
    <w:rsid w:val="002A4004"/>
    <w:rsid w:val="002A79B8"/>
    <w:rsid w:val="002C54E0"/>
    <w:rsid w:val="002D711A"/>
    <w:rsid w:val="002D7336"/>
    <w:rsid w:val="002E3396"/>
    <w:rsid w:val="0031149C"/>
    <w:rsid w:val="00321AC8"/>
    <w:rsid w:val="003225E4"/>
    <w:rsid w:val="00355A50"/>
    <w:rsid w:val="00361426"/>
    <w:rsid w:val="00382EE1"/>
    <w:rsid w:val="00385422"/>
    <w:rsid w:val="0038771C"/>
    <w:rsid w:val="0039405B"/>
    <w:rsid w:val="003A1C92"/>
    <w:rsid w:val="003A541A"/>
    <w:rsid w:val="003A6923"/>
    <w:rsid w:val="003B3487"/>
    <w:rsid w:val="003B53CC"/>
    <w:rsid w:val="003C2C67"/>
    <w:rsid w:val="003C5BA4"/>
    <w:rsid w:val="003E3E26"/>
    <w:rsid w:val="003F1295"/>
    <w:rsid w:val="003F76FC"/>
    <w:rsid w:val="004002EB"/>
    <w:rsid w:val="0041689E"/>
    <w:rsid w:val="00421F2E"/>
    <w:rsid w:val="004236C8"/>
    <w:rsid w:val="00427681"/>
    <w:rsid w:val="00433DB7"/>
    <w:rsid w:val="00453750"/>
    <w:rsid w:val="00456941"/>
    <w:rsid w:val="00464F7E"/>
    <w:rsid w:val="0046697B"/>
    <w:rsid w:val="004702EA"/>
    <w:rsid w:val="00482D02"/>
    <w:rsid w:val="004A7519"/>
    <w:rsid w:val="004D3518"/>
    <w:rsid w:val="004D62D6"/>
    <w:rsid w:val="004D71D7"/>
    <w:rsid w:val="004F163E"/>
    <w:rsid w:val="004F6445"/>
    <w:rsid w:val="0053416C"/>
    <w:rsid w:val="00541C2F"/>
    <w:rsid w:val="00554086"/>
    <w:rsid w:val="00563527"/>
    <w:rsid w:val="00565CF3"/>
    <w:rsid w:val="00574B84"/>
    <w:rsid w:val="0057703D"/>
    <w:rsid w:val="0058124E"/>
    <w:rsid w:val="005828FE"/>
    <w:rsid w:val="005875A3"/>
    <w:rsid w:val="005A3416"/>
    <w:rsid w:val="005B27FE"/>
    <w:rsid w:val="005C3E6D"/>
    <w:rsid w:val="005D51F0"/>
    <w:rsid w:val="005F61DF"/>
    <w:rsid w:val="005F681F"/>
    <w:rsid w:val="006023F9"/>
    <w:rsid w:val="00610559"/>
    <w:rsid w:val="006332F6"/>
    <w:rsid w:val="006519F6"/>
    <w:rsid w:val="00652625"/>
    <w:rsid w:val="006534B2"/>
    <w:rsid w:val="0065615D"/>
    <w:rsid w:val="00657011"/>
    <w:rsid w:val="006650B5"/>
    <w:rsid w:val="006651B1"/>
    <w:rsid w:val="00665778"/>
    <w:rsid w:val="006A5B34"/>
    <w:rsid w:val="006A5F5B"/>
    <w:rsid w:val="006B2873"/>
    <w:rsid w:val="006C77A9"/>
    <w:rsid w:val="006C78FB"/>
    <w:rsid w:val="006D66F9"/>
    <w:rsid w:val="006F6693"/>
    <w:rsid w:val="0070117D"/>
    <w:rsid w:val="00707FE8"/>
    <w:rsid w:val="00724962"/>
    <w:rsid w:val="00724A0F"/>
    <w:rsid w:val="00732162"/>
    <w:rsid w:val="00736732"/>
    <w:rsid w:val="00740302"/>
    <w:rsid w:val="0074281E"/>
    <w:rsid w:val="00745174"/>
    <w:rsid w:val="00750CBE"/>
    <w:rsid w:val="00766B5A"/>
    <w:rsid w:val="00781C00"/>
    <w:rsid w:val="007834F2"/>
    <w:rsid w:val="00791020"/>
    <w:rsid w:val="007A5F82"/>
    <w:rsid w:val="007F1A4C"/>
    <w:rsid w:val="008022C3"/>
    <w:rsid w:val="008041E6"/>
    <w:rsid w:val="008065D2"/>
    <w:rsid w:val="0082194C"/>
    <w:rsid w:val="008220C4"/>
    <w:rsid w:val="008222FF"/>
    <w:rsid w:val="00822AAC"/>
    <w:rsid w:val="008241FF"/>
    <w:rsid w:val="008411E9"/>
    <w:rsid w:val="0084200F"/>
    <w:rsid w:val="00843B2C"/>
    <w:rsid w:val="008509CE"/>
    <w:rsid w:val="008631B0"/>
    <w:rsid w:val="00863669"/>
    <w:rsid w:val="008A4900"/>
    <w:rsid w:val="008B2A17"/>
    <w:rsid w:val="008C63EE"/>
    <w:rsid w:val="008D0281"/>
    <w:rsid w:val="008E3C4E"/>
    <w:rsid w:val="008F6D45"/>
    <w:rsid w:val="0091338D"/>
    <w:rsid w:val="00942CF8"/>
    <w:rsid w:val="00957221"/>
    <w:rsid w:val="00962BE9"/>
    <w:rsid w:val="00963C94"/>
    <w:rsid w:val="00964A2A"/>
    <w:rsid w:val="009714D1"/>
    <w:rsid w:val="009834C0"/>
    <w:rsid w:val="00986322"/>
    <w:rsid w:val="00986AAC"/>
    <w:rsid w:val="0099093E"/>
    <w:rsid w:val="00993ECB"/>
    <w:rsid w:val="009A1DA2"/>
    <w:rsid w:val="009A3704"/>
    <w:rsid w:val="009A4739"/>
    <w:rsid w:val="009A674F"/>
    <w:rsid w:val="009B199C"/>
    <w:rsid w:val="009B54C8"/>
    <w:rsid w:val="009B61F1"/>
    <w:rsid w:val="009B62E0"/>
    <w:rsid w:val="009C3D88"/>
    <w:rsid w:val="009C503D"/>
    <w:rsid w:val="009E3858"/>
    <w:rsid w:val="009E70DD"/>
    <w:rsid w:val="009F2ED9"/>
    <w:rsid w:val="009F3231"/>
    <w:rsid w:val="009F5C58"/>
    <w:rsid w:val="00A023A0"/>
    <w:rsid w:val="00A03F5F"/>
    <w:rsid w:val="00A1562B"/>
    <w:rsid w:val="00A170F4"/>
    <w:rsid w:val="00A2559E"/>
    <w:rsid w:val="00A25FD9"/>
    <w:rsid w:val="00A46BA8"/>
    <w:rsid w:val="00A47634"/>
    <w:rsid w:val="00A516DE"/>
    <w:rsid w:val="00A55D2D"/>
    <w:rsid w:val="00A612FE"/>
    <w:rsid w:val="00A736BE"/>
    <w:rsid w:val="00AA26B8"/>
    <w:rsid w:val="00AA4D53"/>
    <w:rsid w:val="00AB3FE2"/>
    <w:rsid w:val="00AC11CF"/>
    <w:rsid w:val="00AC4B9D"/>
    <w:rsid w:val="00AD3322"/>
    <w:rsid w:val="00AD7E4E"/>
    <w:rsid w:val="00AF3D47"/>
    <w:rsid w:val="00AF48A0"/>
    <w:rsid w:val="00AF4D58"/>
    <w:rsid w:val="00AF6666"/>
    <w:rsid w:val="00B10154"/>
    <w:rsid w:val="00B13F15"/>
    <w:rsid w:val="00B6366E"/>
    <w:rsid w:val="00B81B44"/>
    <w:rsid w:val="00B9053B"/>
    <w:rsid w:val="00B93C44"/>
    <w:rsid w:val="00BC3422"/>
    <w:rsid w:val="00BC6691"/>
    <w:rsid w:val="00C015B9"/>
    <w:rsid w:val="00C022F9"/>
    <w:rsid w:val="00C032EA"/>
    <w:rsid w:val="00C04715"/>
    <w:rsid w:val="00C06EB5"/>
    <w:rsid w:val="00C1145F"/>
    <w:rsid w:val="00C222AC"/>
    <w:rsid w:val="00C637E1"/>
    <w:rsid w:val="00C70D50"/>
    <w:rsid w:val="00C907D7"/>
    <w:rsid w:val="00C92338"/>
    <w:rsid w:val="00CA1DC8"/>
    <w:rsid w:val="00CA7C3A"/>
    <w:rsid w:val="00CB4622"/>
    <w:rsid w:val="00CC2DB2"/>
    <w:rsid w:val="00CD0307"/>
    <w:rsid w:val="00CD1647"/>
    <w:rsid w:val="00CD3D1B"/>
    <w:rsid w:val="00CF7DCA"/>
    <w:rsid w:val="00D0364F"/>
    <w:rsid w:val="00D211E9"/>
    <w:rsid w:val="00D2312F"/>
    <w:rsid w:val="00D269C1"/>
    <w:rsid w:val="00D44953"/>
    <w:rsid w:val="00D45E19"/>
    <w:rsid w:val="00D542F3"/>
    <w:rsid w:val="00D5644B"/>
    <w:rsid w:val="00D56E25"/>
    <w:rsid w:val="00D718D7"/>
    <w:rsid w:val="00D814B7"/>
    <w:rsid w:val="00D90688"/>
    <w:rsid w:val="00DA3AAD"/>
    <w:rsid w:val="00DA7832"/>
    <w:rsid w:val="00DB312B"/>
    <w:rsid w:val="00DC5654"/>
    <w:rsid w:val="00DC658F"/>
    <w:rsid w:val="00DD5EB6"/>
    <w:rsid w:val="00DE60CC"/>
    <w:rsid w:val="00E122DB"/>
    <w:rsid w:val="00E1551F"/>
    <w:rsid w:val="00E20142"/>
    <w:rsid w:val="00E26B32"/>
    <w:rsid w:val="00E30E0A"/>
    <w:rsid w:val="00E3232B"/>
    <w:rsid w:val="00E407B6"/>
    <w:rsid w:val="00E41EF1"/>
    <w:rsid w:val="00E42942"/>
    <w:rsid w:val="00E468A6"/>
    <w:rsid w:val="00E71BDF"/>
    <w:rsid w:val="00E83CA7"/>
    <w:rsid w:val="00EA03A3"/>
    <w:rsid w:val="00EC171D"/>
    <w:rsid w:val="00EC46A1"/>
    <w:rsid w:val="00ED487E"/>
    <w:rsid w:val="00EE7A0D"/>
    <w:rsid w:val="00F17CE1"/>
    <w:rsid w:val="00F2115C"/>
    <w:rsid w:val="00F22ABA"/>
    <w:rsid w:val="00F23366"/>
    <w:rsid w:val="00F36B12"/>
    <w:rsid w:val="00F55AF4"/>
    <w:rsid w:val="00F60F9F"/>
    <w:rsid w:val="00F64F08"/>
    <w:rsid w:val="00F734F5"/>
    <w:rsid w:val="00F966B1"/>
    <w:rsid w:val="00F97D48"/>
    <w:rsid w:val="00FA0311"/>
    <w:rsid w:val="00FA1680"/>
    <w:rsid w:val="00FA5409"/>
    <w:rsid w:val="00FB1EC9"/>
    <w:rsid w:val="00FC42E5"/>
    <w:rsid w:val="00FD640F"/>
    <w:rsid w:val="00FD6B4C"/>
    <w:rsid w:val="00FE388A"/>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63F8B6"/>
  <w15:docId w15:val="{14716E4D-6C11-480B-9582-C2901C8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Revision">
    <w:name w:val="Revision"/>
    <w:hidden/>
    <w:uiPriority w:val="99"/>
    <w:semiHidden/>
    <w:rsid w:val="009714D1"/>
    <w:pPr>
      <w:spacing w:after="0" w:line="240" w:lineRule="auto"/>
    </w:pPr>
    <w:rPr>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E598F1C-06C8-4F1E-8834-F27285F0D4B3}">
  <ds:schemaRefs>
    <ds:schemaRef ds:uri="http://schemas.openxmlformats.org/officeDocument/2006/bibliography"/>
  </ds:schemaRefs>
</ds:datastoreItem>
</file>

<file path=customXml/itemProps2.xml><?xml version="1.0" encoding="utf-8"?>
<ds:datastoreItem xmlns:ds="http://schemas.openxmlformats.org/officeDocument/2006/customXml" ds:itemID="{802F0078-25DE-497C-AA77-C716037A0B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TotalTime>
  <Pages>3</Pages>
  <Words>771</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Natalie Maroki (DTF)</cp:lastModifiedBy>
  <cp:revision>2</cp:revision>
  <cp:lastPrinted>2016-03-03T04:13:00Z</cp:lastPrinted>
  <dcterms:created xsi:type="dcterms:W3CDTF">2022-04-28T02:36:00Z</dcterms:created>
  <dcterms:modified xsi:type="dcterms:W3CDTF">2022-04-28T02:36:00Z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2022-04-28T02:35:50Z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6eb41a32-55d1-4573-8230-10587e72b23d</vt:lpwstr>
  </property>
  <property fmtid="{D5CDD505-2E9C-101B-9397-08002B2CF9AE}" pid="10" name="MSIP_Label_7158ebbd-6c5e-441f-bfc9-4eb8c11e3978_ContentBits">
    <vt:lpwstr>2</vt:lpwstr>
  </property>
</Properties>
</file>