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23" w:type="dxa"/>
        <w:tblLayout w:type="fixed"/>
        <w:tblLook w:val="0620" w:firstRow="1" w:lastRow="0" w:firstColumn="0" w:lastColumn="0" w:noHBand="1" w:noVBand="1"/>
      </w:tblPr>
      <w:tblGrid>
        <w:gridCol w:w="2293"/>
        <w:gridCol w:w="270"/>
        <w:gridCol w:w="540"/>
        <w:gridCol w:w="6120"/>
      </w:tblGrid>
      <w:tr w:rsidR="00493B55" w:rsidRPr="003C5E9F" w14:paraId="7EED35FA" w14:textId="77777777" w:rsidTr="00431DF9">
        <w:trPr>
          <w:cnfStyle w:val="100000000000" w:firstRow="1" w:lastRow="0" w:firstColumn="0" w:lastColumn="0" w:oddVBand="0" w:evenVBand="0" w:oddHBand="0" w:evenHBand="0" w:firstRowFirstColumn="0" w:firstRowLastColumn="0" w:lastRowFirstColumn="0" w:lastRowLastColumn="0"/>
        </w:trPr>
        <w:tc>
          <w:tcPr>
            <w:tcW w:w="2293" w:type="dxa"/>
          </w:tcPr>
          <w:p w14:paraId="18C22B86" w14:textId="427C4ADE" w:rsidR="00845688" w:rsidRPr="003C5E9F" w:rsidRDefault="00845688" w:rsidP="00DE779D">
            <w:pPr>
              <w:pStyle w:val="FRDNumber"/>
            </w:pPr>
            <w:r w:rsidRPr="002E50A4">
              <w:t>FRD</w:t>
            </w:r>
            <w:r w:rsidRPr="003C5E9F">
              <w:t xml:space="preserve"> </w:t>
            </w:r>
            <w:r w:rsidR="0045252C">
              <w:t>12</w:t>
            </w:r>
          </w:p>
        </w:tc>
        <w:tc>
          <w:tcPr>
            <w:tcW w:w="270" w:type="dxa"/>
          </w:tcPr>
          <w:p w14:paraId="6C0C7577" w14:textId="77777777" w:rsidR="00845688" w:rsidRPr="00E43EFA" w:rsidRDefault="00845688" w:rsidP="00DE779D"/>
        </w:tc>
        <w:tc>
          <w:tcPr>
            <w:tcW w:w="540" w:type="dxa"/>
          </w:tcPr>
          <w:p w14:paraId="35034281" w14:textId="77777777" w:rsidR="00845688" w:rsidRPr="00E43EFA" w:rsidRDefault="00845688" w:rsidP="00DE779D"/>
        </w:tc>
        <w:tc>
          <w:tcPr>
            <w:tcW w:w="6120" w:type="dxa"/>
          </w:tcPr>
          <w:p w14:paraId="591B1478" w14:textId="1A6A5EFA" w:rsidR="00845688" w:rsidRPr="002E50A4" w:rsidRDefault="0045252C" w:rsidP="00DE779D">
            <w:pPr>
              <w:pStyle w:val="FRDHeader"/>
            </w:pPr>
            <w:r w:rsidRPr="0045252C">
              <w:t xml:space="preserve">Disclosure of </w:t>
            </w:r>
            <w:r w:rsidR="006D231B" w:rsidRPr="0045252C">
              <w:t>major contracts</w:t>
            </w:r>
            <w:r w:rsidR="006D231B">
              <w:t xml:space="preserve"> </w:t>
            </w:r>
            <w:r w:rsidR="00B5470F">
              <w:t>(</w:t>
            </w:r>
            <w:r w:rsidR="005431FD">
              <w:t>April</w:t>
            </w:r>
            <w:r w:rsidR="006665FE">
              <w:t xml:space="preserve"> 202</w:t>
            </w:r>
            <w:r w:rsidR="005431FD">
              <w:t>2</w:t>
            </w:r>
            <w:r w:rsidR="00B5470F">
              <w:t>)</w:t>
            </w:r>
          </w:p>
        </w:tc>
      </w:tr>
      <w:tr w:rsidR="00493B55" w:rsidRPr="00E10ADB" w14:paraId="27C05237" w14:textId="77777777" w:rsidTr="00431DF9">
        <w:trPr>
          <w:trHeight w:hRule="exact" w:val="120"/>
        </w:trPr>
        <w:tc>
          <w:tcPr>
            <w:tcW w:w="2293" w:type="dxa"/>
          </w:tcPr>
          <w:p w14:paraId="6D3CB7B8" w14:textId="77777777" w:rsidR="00845688" w:rsidRPr="008A601F" w:rsidRDefault="00845688" w:rsidP="00DE779D">
            <w:pPr>
              <w:pStyle w:val="Tabletext"/>
            </w:pPr>
          </w:p>
        </w:tc>
        <w:tc>
          <w:tcPr>
            <w:tcW w:w="270" w:type="dxa"/>
          </w:tcPr>
          <w:p w14:paraId="4D611071" w14:textId="77777777" w:rsidR="00845688" w:rsidRPr="008A601F" w:rsidRDefault="00845688" w:rsidP="00DE779D"/>
        </w:tc>
        <w:tc>
          <w:tcPr>
            <w:tcW w:w="540" w:type="dxa"/>
          </w:tcPr>
          <w:p w14:paraId="1FC0AFF8" w14:textId="77777777" w:rsidR="00845688" w:rsidRPr="008A601F" w:rsidRDefault="00845688" w:rsidP="00DE779D"/>
        </w:tc>
        <w:tc>
          <w:tcPr>
            <w:tcW w:w="6120" w:type="dxa"/>
          </w:tcPr>
          <w:p w14:paraId="3E2B8CAB" w14:textId="77777777" w:rsidR="00845688" w:rsidRPr="008A601F" w:rsidRDefault="00845688" w:rsidP="00DE779D"/>
        </w:tc>
      </w:tr>
      <w:tr w:rsidR="00493B55" w:rsidRPr="00E10ADB" w14:paraId="28CCE02B" w14:textId="77777777" w:rsidTr="00431DF9">
        <w:tc>
          <w:tcPr>
            <w:tcW w:w="2293" w:type="dxa"/>
          </w:tcPr>
          <w:p w14:paraId="181ED682" w14:textId="77777777" w:rsidR="00845688" w:rsidRPr="008A601F" w:rsidRDefault="00845688" w:rsidP="00D312FB">
            <w:pPr>
              <w:pStyle w:val="Normalgrey"/>
            </w:pPr>
            <w:r w:rsidRPr="00D312FB">
              <w:t>Purpose</w:t>
            </w:r>
          </w:p>
        </w:tc>
        <w:tc>
          <w:tcPr>
            <w:tcW w:w="270" w:type="dxa"/>
          </w:tcPr>
          <w:p w14:paraId="7217FA7D" w14:textId="77777777" w:rsidR="00845688" w:rsidRPr="00B5470F" w:rsidRDefault="00845688" w:rsidP="00D312FB">
            <w:pPr>
              <w:pStyle w:val="Refnum1"/>
            </w:pPr>
          </w:p>
        </w:tc>
        <w:tc>
          <w:tcPr>
            <w:tcW w:w="540" w:type="dxa"/>
          </w:tcPr>
          <w:p w14:paraId="1CF16F45" w14:textId="77777777" w:rsidR="00845688" w:rsidRPr="00B5470F" w:rsidRDefault="00845688" w:rsidP="00D312FB">
            <w:pPr>
              <w:pStyle w:val="Refnum2"/>
            </w:pPr>
          </w:p>
        </w:tc>
        <w:tc>
          <w:tcPr>
            <w:tcW w:w="6120" w:type="dxa"/>
          </w:tcPr>
          <w:p w14:paraId="7546663B" w14:textId="77777777" w:rsidR="00845688" w:rsidRPr="00E43EFA" w:rsidRDefault="0045252C" w:rsidP="00D312FB">
            <w:pPr>
              <w:pStyle w:val="Normalgrey"/>
            </w:pPr>
            <w:r w:rsidRPr="0045252C">
              <w:t>To prescribe the disclosure requirements for major contracts in the annual report.</w:t>
            </w:r>
          </w:p>
        </w:tc>
      </w:tr>
      <w:tr w:rsidR="00493B55" w:rsidRPr="00E10ADB" w14:paraId="7B92DB79" w14:textId="77777777" w:rsidTr="00431DF9">
        <w:tc>
          <w:tcPr>
            <w:tcW w:w="2293" w:type="dxa"/>
            <w:shd w:val="clear" w:color="auto" w:fill="F2F2F2" w:themeFill="background1" w:themeFillShade="F2"/>
          </w:tcPr>
          <w:p w14:paraId="56C0997A" w14:textId="77777777" w:rsidR="00845688" w:rsidRPr="00E10ADB" w:rsidRDefault="00845688" w:rsidP="00D312FB">
            <w:pPr>
              <w:pStyle w:val="Normalbold"/>
            </w:pPr>
            <w:r>
              <w:t>Application</w:t>
            </w:r>
          </w:p>
        </w:tc>
        <w:tc>
          <w:tcPr>
            <w:tcW w:w="270" w:type="dxa"/>
            <w:shd w:val="clear" w:color="auto" w:fill="F2F2F2" w:themeFill="background1" w:themeFillShade="F2"/>
          </w:tcPr>
          <w:p w14:paraId="35CCBE94" w14:textId="77777777" w:rsidR="00845688" w:rsidRPr="00493B55" w:rsidRDefault="00845688" w:rsidP="00D312FB">
            <w:pPr>
              <w:pStyle w:val="Refnum1grey"/>
            </w:pPr>
          </w:p>
        </w:tc>
        <w:tc>
          <w:tcPr>
            <w:tcW w:w="540" w:type="dxa"/>
            <w:shd w:val="clear" w:color="auto" w:fill="F2F2F2" w:themeFill="background1" w:themeFillShade="F2"/>
          </w:tcPr>
          <w:p w14:paraId="0AB804C4" w14:textId="77777777" w:rsidR="00845688" w:rsidRPr="00472918" w:rsidRDefault="00845688" w:rsidP="00D312FB">
            <w:pPr>
              <w:pStyle w:val="Refnum2"/>
            </w:pPr>
          </w:p>
        </w:tc>
        <w:tc>
          <w:tcPr>
            <w:tcW w:w="6120" w:type="dxa"/>
            <w:shd w:val="clear" w:color="auto" w:fill="F2F2F2" w:themeFill="background1" w:themeFillShade="F2"/>
          </w:tcPr>
          <w:p w14:paraId="509B943D" w14:textId="77777777" w:rsidR="00845688" w:rsidRPr="0045252C" w:rsidRDefault="0045252C" w:rsidP="00D312FB">
            <w:pPr>
              <w:pStyle w:val="Normalbold"/>
            </w:pPr>
            <w:r w:rsidRPr="0045252C">
              <w:t xml:space="preserve">Applies to all entities defined as a department under section 3 of the </w:t>
            </w:r>
            <w:r w:rsidRPr="0045252C">
              <w:rPr>
                <w:i/>
                <w:iCs/>
              </w:rPr>
              <w:t>Financial Management Act</w:t>
            </w:r>
            <w:r w:rsidRPr="0045252C">
              <w:t xml:space="preserve"> 1994 (FMA).</w:t>
            </w:r>
          </w:p>
        </w:tc>
      </w:tr>
      <w:tr w:rsidR="005D46AB" w:rsidRPr="00E10ADB" w14:paraId="151B0B9A" w14:textId="77777777" w:rsidTr="00431DF9">
        <w:tc>
          <w:tcPr>
            <w:tcW w:w="2293" w:type="dxa"/>
            <w:shd w:val="clear" w:color="auto" w:fill="F2F2F2" w:themeFill="background1" w:themeFillShade="F2"/>
          </w:tcPr>
          <w:p w14:paraId="4BFA9FB3" w14:textId="77777777" w:rsidR="005D46AB" w:rsidRDefault="005D46AB" w:rsidP="00D312FB">
            <w:pPr>
              <w:pStyle w:val="Normalbold"/>
            </w:pPr>
            <w:r>
              <w:t>Operative d</w:t>
            </w:r>
            <w:r w:rsidRPr="00E2009B">
              <w:t>ate</w:t>
            </w:r>
          </w:p>
        </w:tc>
        <w:tc>
          <w:tcPr>
            <w:tcW w:w="270" w:type="dxa"/>
            <w:shd w:val="clear" w:color="auto" w:fill="F2F2F2" w:themeFill="background1" w:themeFillShade="F2"/>
          </w:tcPr>
          <w:p w14:paraId="68CD81D9" w14:textId="77777777" w:rsidR="005D46AB" w:rsidRPr="00493B55" w:rsidRDefault="005D46AB" w:rsidP="00D312FB">
            <w:pPr>
              <w:pStyle w:val="Refnum1grey"/>
            </w:pPr>
          </w:p>
        </w:tc>
        <w:tc>
          <w:tcPr>
            <w:tcW w:w="540" w:type="dxa"/>
            <w:shd w:val="clear" w:color="auto" w:fill="F2F2F2" w:themeFill="background1" w:themeFillShade="F2"/>
          </w:tcPr>
          <w:p w14:paraId="2EFB4A49" w14:textId="77777777" w:rsidR="005D46AB" w:rsidRPr="00472918" w:rsidRDefault="005D46AB" w:rsidP="00D312FB">
            <w:pPr>
              <w:pStyle w:val="Refnum2"/>
            </w:pPr>
          </w:p>
        </w:tc>
        <w:tc>
          <w:tcPr>
            <w:tcW w:w="6120" w:type="dxa"/>
            <w:shd w:val="clear" w:color="auto" w:fill="F2F2F2" w:themeFill="background1" w:themeFillShade="F2"/>
          </w:tcPr>
          <w:p w14:paraId="795D8DEF" w14:textId="77777777" w:rsidR="005D46AB" w:rsidRPr="0045252C" w:rsidRDefault="00FA33D1" w:rsidP="00B368D5">
            <w:pPr>
              <w:pStyle w:val="Normalbold"/>
              <w:rPr>
                <w:bCs/>
              </w:rPr>
            </w:pPr>
            <w:r w:rsidRPr="00BE2BB2">
              <w:t xml:space="preserve">Annual reporting periods commencing on or after </w:t>
            </w:r>
            <w:r>
              <w:t>1 July 2015</w:t>
            </w:r>
            <w:r w:rsidRPr="00BE2BB2">
              <w:t>.</w:t>
            </w:r>
          </w:p>
        </w:tc>
      </w:tr>
      <w:tr w:rsidR="00FA33D1" w:rsidRPr="00E10ADB" w14:paraId="4AE6DE85" w14:textId="77777777" w:rsidTr="00431DF9">
        <w:tc>
          <w:tcPr>
            <w:tcW w:w="2293" w:type="dxa"/>
            <w:shd w:val="clear" w:color="auto" w:fill="F2F2F2" w:themeFill="background1" w:themeFillShade="F2"/>
          </w:tcPr>
          <w:p w14:paraId="4998DD80" w14:textId="77777777" w:rsidR="00FA33D1" w:rsidRDefault="00FA33D1" w:rsidP="00D312FB">
            <w:pPr>
              <w:pStyle w:val="Normalgrey"/>
            </w:pPr>
          </w:p>
        </w:tc>
        <w:tc>
          <w:tcPr>
            <w:tcW w:w="270" w:type="dxa"/>
            <w:shd w:val="clear" w:color="auto" w:fill="F2F2F2" w:themeFill="background1" w:themeFillShade="F2"/>
          </w:tcPr>
          <w:p w14:paraId="08764714" w14:textId="77777777" w:rsidR="00FA33D1" w:rsidRPr="00493B55" w:rsidRDefault="00FA33D1" w:rsidP="00FA33D1"/>
        </w:tc>
        <w:tc>
          <w:tcPr>
            <w:tcW w:w="540" w:type="dxa"/>
            <w:shd w:val="clear" w:color="auto" w:fill="F2F2F2" w:themeFill="background1" w:themeFillShade="F2"/>
          </w:tcPr>
          <w:p w14:paraId="3C9179FF" w14:textId="77777777" w:rsidR="00FA33D1" w:rsidRPr="00472918" w:rsidRDefault="00FA33D1" w:rsidP="00D312FB">
            <w:pPr>
              <w:pStyle w:val="Refnum2"/>
            </w:pPr>
          </w:p>
        </w:tc>
        <w:tc>
          <w:tcPr>
            <w:tcW w:w="6120" w:type="dxa"/>
            <w:shd w:val="clear" w:color="auto" w:fill="F2F2F2" w:themeFill="background1" w:themeFillShade="F2"/>
          </w:tcPr>
          <w:p w14:paraId="3401FA2A" w14:textId="24E60D86" w:rsidR="006665FE" w:rsidRPr="006665FE" w:rsidRDefault="006665FE" w:rsidP="00D312FB">
            <w:pPr>
              <w:pStyle w:val="Normalbold"/>
            </w:pPr>
            <w:r>
              <w:t xml:space="preserve">FRD 12B </w:t>
            </w:r>
            <w:r>
              <w:rPr>
                <w:i/>
                <w:iCs/>
              </w:rPr>
              <w:t xml:space="preserve">Disclosure of major contracts </w:t>
            </w:r>
            <w:r>
              <w:t xml:space="preserve">is renamed to FRD 12 </w:t>
            </w:r>
            <w:r>
              <w:rPr>
                <w:i/>
                <w:iCs/>
              </w:rPr>
              <w:t xml:space="preserve">Disclosure of major contracts </w:t>
            </w:r>
            <w:r>
              <w:t>effective 1</w:t>
            </w:r>
            <w:r w:rsidR="00675B50">
              <w:t xml:space="preserve"> April</w:t>
            </w:r>
            <w:r>
              <w:t xml:space="preserve"> 202</w:t>
            </w:r>
            <w:r w:rsidR="00675B50">
              <w:t>2</w:t>
            </w:r>
            <w:r>
              <w:t>.</w:t>
            </w:r>
          </w:p>
        </w:tc>
      </w:tr>
      <w:tr w:rsidR="005D46AB" w:rsidRPr="00E10ADB" w14:paraId="7E00A93D" w14:textId="77777777" w:rsidTr="00431DF9">
        <w:tc>
          <w:tcPr>
            <w:tcW w:w="2293" w:type="dxa"/>
            <w:shd w:val="clear" w:color="auto" w:fill="F2F2F2" w:themeFill="background1" w:themeFillShade="F2"/>
          </w:tcPr>
          <w:p w14:paraId="15F3762D" w14:textId="77777777" w:rsidR="005D46AB" w:rsidRPr="00E10ADB" w:rsidRDefault="005D46AB" w:rsidP="00D312FB">
            <w:pPr>
              <w:pStyle w:val="Normalbold"/>
            </w:pPr>
            <w:r w:rsidRPr="00472918">
              <w:t>Requirement</w:t>
            </w:r>
            <w:r>
              <w:t>s</w:t>
            </w:r>
          </w:p>
        </w:tc>
        <w:tc>
          <w:tcPr>
            <w:tcW w:w="270" w:type="dxa"/>
            <w:shd w:val="clear" w:color="auto" w:fill="F2F2F2" w:themeFill="background1" w:themeFillShade="F2"/>
          </w:tcPr>
          <w:p w14:paraId="3809585E" w14:textId="77777777" w:rsidR="005D46AB" w:rsidRPr="00521483" w:rsidRDefault="005D46AB" w:rsidP="00D312FB">
            <w:pPr>
              <w:pStyle w:val="Refnum1grey"/>
            </w:pPr>
          </w:p>
        </w:tc>
        <w:tc>
          <w:tcPr>
            <w:tcW w:w="540" w:type="dxa"/>
            <w:shd w:val="clear" w:color="auto" w:fill="F2F2F2" w:themeFill="background1" w:themeFillShade="F2"/>
          </w:tcPr>
          <w:p w14:paraId="598FD494" w14:textId="77777777" w:rsidR="005D46AB" w:rsidRPr="00472918" w:rsidRDefault="005D46AB" w:rsidP="00D312FB">
            <w:pPr>
              <w:pStyle w:val="Refnum2"/>
            </w:pPr>
          </w:p>
        </w:tc>
        <w:tc>
          <w:tcPr>
            <w:tcW w:w="6120" w:type="dxa"/>
            <w:shd w:val="clear" w:color="auto" w:fill="F2F2F2" w:themeFill="background1" w:themeFillShade="F2"/>
          </w:tcPr>
          <w:p w14:paraId="7DDB2813" w14:textId="77777777" w:rsidR="005D46AB" w:rsidRPr="0045252C" w:rsidRDefault="005D46AB" w:rsidP="00D312FB">
            <w:pPr>
              <w:pStyle w:val="Normalbold"/>
            </w:pPr>
            <w:r w:rsidRPr="0045252C">
              <w:t xml:space="preserve">For contracts greater than $10 million, a department’s annual report </w:t>
            </w:r>
            <w:r w:rsidR="000E6BBE">
              <w:t>shall</w:t>
            </w:r>
            <w:r w:rsidR="000E6BBE" w:rsidRPr="0045252C">
              <w:t xml:space="preserve"> </w:t>
            </w:r>
            <w:r w:rsidRPr="0045252C">
              <w:t>include a statement by the Accountable Officer, advising that:</w:t>
            </w:r>
          </w:p>
          <w:p w14:paraId="5B9D59D6" w14:textId="77777777" w:rsidR="005D46AB" w:rsidRPr="00FC08AB" w:rsidRDefault="005D46AB" w:rsidP="0058637F">
            <w:pPr>
              <w:pStyle w:val="Listnum"/>
              <w:rPr>
                <w:b/>
                <w:bCs/>
              </w:rPr>
            </w:pPr>
            <w:r w:rsidRPr="00FC08AB">
              <w:rPr>
                <w:b/>
                <w:bCs/>
              </w:rPr>
              <w:t xml:space="preserve">contracts entered into during the reporting period have been disclosed in part or in full, except for certain material that falls within one or more of the criteria contained in Part IV of the </w:t>
            </w:r>
            <w:r w:rsidRPr="00FC08AB">
              <w:rPr>
                <w:b/>
                <w:bCs/>
                <w:i/>
                <w:iCs/>
              </w:rPr>
              <w:t xml:space="preserve">Freedom of Information Act </w:t>
            </w:r>
            <w:r w:rsidRPr="00FC08AB">
              <w:rPr>
                <w:b/>
                <w:bCs/>
              </w:rPr>
              <w:t>1982 (FOI Act);</w:t>
            </w:r>
          </w:p>
          <w:p w14:paraId="3E8C472D" w14:textId="77777777" w:rsidR="005D46AB" w:rsidRPr="00FC08AB" w:rsidRDefault="005D46AB" w:rsidP="0058637F">
            <w:pPr>
              <w:pStyle w:val="Listnum"/>
              <w:rPr>
                <w:b/>
                <w:bCs/>
              </w:rPr>
            </w:pPr>
            <w:r w:rsidRPr="00FC08AB">
              <w:rPr>
                <w:b/>
                <w:bCs/>
              </w:rPr>
              <w:t>brief details of the contractors and the purpose of contracts that have not been disclosed, and the date when it will be disclosed; and</w:t>
            </w:r>
          </w:p>
          <w:p w14:paraId="26935A6C" w14:textId="77777777" w:rsidR="005D46AB" w:rsidRPr="00E10ADB" w:rsidRDefault="005D46AB" w:rsidP="0058637F">
            <w:pPr>
              <w:pStyle w:val="Listnum"/>
            </w:pPr>
            <w:r w:rsidRPr="00FC08AB">
              <w:rPr>
                <w:b/>
                <w:bCs/>
              </w:rPr>
              <w:t>where the details of contracts that have been disclosed are publicly available.</w:t>
            </w:r>
          </w:p>
        </w:tc>
      </w:tr>
      <w:tr w:rsidR="005D46AB" w:rsidRPr="00E10ADB" w14:paraId="26894FC1" w14:textId="77777777" w:rsidTr="00431DF9">
        <w:tc>
          <w:tcPr>
            <w:tcW w:w="2293" w:type="dxa"/>
          </w:tcPr>
          <w:p w14:paraId="7A69785A" w14:textId="77777777" w:rsidR="005D46AB" w:rsidRPr="00E2009B" w:rsidRDefault="005D46AB" w:rsidP="00D312FB">
            <w:pPr>
              <w:pStyle w:val="Normalgrey"/>
            </w:pPr>
            <w:r w:rsidRPr="00E2009B">
              <w:t>Definitions</w:t>
            </w:r>
          </w:p>
        </w:tc>
        <w:tc>
          <w:tcPr>
            <w:tcW w:w="270" w:type="dxa"/>
          </w:tcPr>
          <w:p w14:paraId="3B3B03D1" w14:textId="77777777" w:rsidR="005D46AB" w:rsidRPr="00B5470F" w:rsidRDefault="005D46AB" w:rsidP="00D312FB">
            <w:pPr>
              <w:pStyle w:val="Refnum1"/>
            </w:pPr>
          </w:p>
        </w:tc>
        <w:tc>
          <w:tcPr>
            <w:tcW w:w="540" w:type="dxa"/>
          </w:tcPr>
          <w:p w14:paraId="620E2AC9" w14:textId="77777777" w:rsidR="005D46AB" w:rsidRPr="00B5470F" w:rsidRDefault="005D46AB" w:rsidP="00D312FB">
            <w:pPr>
              <w:pStyle w:val="Refnum2"/>
            </w:pPr>
          </w:p>
        </w:tc>
        <w:tc>
          <w:tcPr>
            <w:tcW w:w="6120" w:type="dxa"/>
          </w:tcPr>
          <w:p w14:paraId="548C5442" w14:textId="5A52F74C" w:rsidR="005D46AB" w:rsidRPr="004A576E" w:rsidRDefault="005D46AB" w:rsidP="00D312FB">
            <w:pPr>
              <w:pStyle w:val="Normalgrey"/>
              <w:rPr>
                <w:iCs/>
              </w:rPr>
            </w:pPr>
            <w:r w:rsidRPr="004A576E">
              <w:rPr>
                <w:b/>
                <w:iCs/>
              </w:rPr>
              <w:t>Accountable Officer</w:t>
            </w:r>
            <w:r w:rsidR="00FC08AB">
              <w:rPr>
                <w:iCs/>
              </w:rPr>
              <w:t xml:space="preserve"> </w:t>
            </w:r>
            <w:r w:rsidR="00FC08AB">
              <w:t>–</w:t>
            </w:r>
            <w:r w:rsidR="00FC08AB" w:rsidRPr="004A576E">
              <w:rPr>
                <w:iCs/>
              </w:rPr>
              <w:t xml:space="preserve"> </w:t>
            </w:r>
            <w:r w:rsidRPr="004A576E">
              <w:rPr>
                <w:iCs/>
              </w:rPr>
              <w:t>as defined in section 3 of the FMA.</w:t>
            </w:r>
          </w:p>
        </w:tc>
      </w:tr>
      <w:tr w:rsidR="005D46AB" w:rsidRPr="00E10ADB" w14:paraId="2C6465FC" w14:textId="77777777" w:rsidTr="00431DF9">
        <w:tc>
          <w:tcPr>
            <w:tcW w:w="2293" w:type="dxa"/>
          </w:tcPr>
          <w:p w14:paraId="7CC5688A" w14:textId="77777777" w:rsidR="005D46AB" w:rsidRPr="00E2009B" w:rsidRDefault="005D46AB" w:rsidP="00D312FB">
            <w:pPr>
              <w:pStyle w:val="Normalgrey"/>
            </w:pPr>
          </w:p>
        </w:tc>
        <w:tc>
          <w:tcPr>
            <w:tcW w:w="270" w:type="dxa"/>
          </w:tcPr>
          <w:p w14:paraId="3C4876A3" w14:textId="77777777" w:rsidR="005D46AB" w:rsidRPr="00B5470F" w:rsidRDefault="005D46AB" w:rsidP="00DB47F7">
            <w:pPr>
              <w:rPr>
                <w:color w:val="595959" w:themeColor="text1" w:themeTint="A6"/>
              </w:rPr>
            </w:pPr>
          </w:p>
        </w:tc>
        <w:tc>
          <w:tcPr>
            <w:tcW w:w="540" w:type="dxa"/>
          </w:tcPr>
          <w:p w14:paraId="42FC1279" w14:textId="77777777" w:rsidR="005D46AB" w:rsidRPr="00B5470F" w:rsidRDefault="005D46AB" w:rsidP="00D312FB">
            <w:pPr>
              <w:pStyle w:val="Refnum2"/>
            </w:pPr>
          </w:p>
        </w:tc>
        <w:tc>
          <w:tcPr>
            <w:tcW w:w="6120" w:type="dxa"/>
          </w:tcPr>
          <w:p w14:paraId="5B5D7BD4" w14:textId="635E6505" w:rsidR="005D46AB" w:rsidRPr="004A576E" w:rsidRDefault="005D46AB" w:rsidP="00D312FB">
            <w:pPr>
              <w:pStyle w:val="Normalgrey"/>
              <w:rPr>
                <w:iCs/>
              </w:rPr>
            </w:pPr>
            <w:r w:rsidRPr="004A576E">
              <w:rPr>
                <w:b/>
                <w:iCs/>
              </w:rPr>
              <w:t>Annual report</w:t>
            </w:r>
            <w:r w:rsidR="00FC08AB">
              <w:rPr>
                <w:iCs/>
              </w:rPr>
              <w:t xml:space="preserve"> </w:t>
            </w:r>
            <w:r w:rsidR="00FC08AB">
              <w:t>–</w:t>
            </w:r>
            <w:r w:rsidR="00FC08AB" w:rsidRPr="004A576E">
              <w:rPr>
                <w:iCs/>
              </w:rPr>
              <w:t xml:space="preserve"> </w:t>
            </w:r>
            <w:r w:rsidRPr="004A576E">
              <w:rPr>
                <w:iCs/>
              </w:rPr>
              <w:t>comprises a report of operations and a financial report.</w:t>
            </w:r>
          </w:p>
        </w:tc>
      </w:tr>
      <w:tr w:rsidR="005D46AB" w:rsidRPr="00E10ADB" w14:paraId="35DF04A0" w14:textId="77777777" w:rsidTr="00431DF9">
        <w:tc>
          <w:tcPr>
            <w:tcW w:w="2293" w:type="dxa"/>
          </w:tcPr>
          <w:p w14:paraId="22A93297" w14:textId="77777777" w:rsidR="005D46AB" w:rsidRPr="00E2009B" w:rsidRDefault="005D46AB" w:rsidP="00D312FB">
            <w:pPr>
              <w:pStyle w:val="Normalgrey"/>
            </w:pPr>
          </w:p>
        </w:tc>
        <w:tc>
          <w:tcPr>
            <w:tcW w:w="270" w:type="dxa"/>
          </w:tcPr>
          <w:p w14:paraId="50068D9E" w14:textId="77777777" w:rsidR="005D46AB" w:rsidRPr="00B5470F" w:rsidRDefault="005D46AB" w:rsidP="00DB47F7">
            <w:pPr>
              <w:rPr>
                <w:color w:val="595959" w:themeColor="text1" w:themeTint="A6"/>
              </w:rPr>
            </w:pPr>
          </w:p>
        </w:tc>
        <w:tc>
          <w:tcPr>
            <w:tcW w:w="540" w:type="dxa"/>
          </w:tcPr>
          <w:p w14:paraId="2673BA2C" w14:textId="77777777" w:rsidR="005D46AB" w:rsidRPr="00B5470F" w:rsidRDefault="005D46AB" w:rsidP="00D312FB">
            <w:pPr>
              <w:pStyle w:val="Refnum2"/>
            </w:pPr>
          </w:p>
        </w:tc>
        <w:tc>
          <w:tcPr>
            <w:tcW w:w="6120" w:type="dxa"/>
          </w:tcPr>
          <w:p w14:paraId="40B9E04F" w14:textId="3C01D603" w:rsidR="005D46AB" w:rsidRPr="004A576E" w:rsidRDefault="005D46AB" w:rsidP="00D312FB">
            <w:pPr>
              <w:pStyle w:val="Normalgrey"/>
              <w:rPr>
                <w:b/>
                <w:iCs/>
              </w:rPr>
            </w:pPr>
            <w:r w:rsidRPr="004A576E">
              <w:rPr>
                <w:b/>
                <w:iCs/>
              </w:rPr>
              <w:t>Financial report</w:t>
            </w:r>
            <w:r w:rsidR="00FC08AB">
              <w:rPr>
                <w:iCs/>
              </w:rPr>
              <w:t xml:space="preserve"> </w:t>
            </w:r>
            <w:r w:rsidR="00FC08AB">
              <w:t>–</w:t>
            </w:r>
            <w:r w:rsidR="00FC08AB" w:rsidRPr="004A576E">
              <w:rPr>
                <w:iCs/>
              </w:rPr>
              <w:t xml:space="preserve"> </w:t>
            </w:r>
            <w:r w:rsidRPr="004A576E">
              <w:rPr>
                <w:iCs/>
              </w:rPr>
              <w:t>comprises a statement of an Income Statement, Balance Sheet, Cash Flows Statement</w:t>
            </w:r>
            <w:r w:rsidR="004A576E">
              <w:rPr>
                <w:iCs/>
              </w:rPr>
              <w:t>,</w:t>
            </w:r>
            <w:r w:rsidRPr="004A576E">
              <w:rPr>
                <w:iCs/>
              </w:rPr>
              <w:t xml:space="preserve"> and notes to the financial statements.</w:t>
            </w:r>
          </w:p>
        </w:tc>
      </w:tr>
      <w:tr w:rsidR="005D46AB" w:rsidRPr="00E10ADB" w14:paraId="5D4C0EA3" w14:textId="77777777" w:rsidTr="00431DF9">
        <w:tc>
          <w:tcPr>
            <w:tcW w:w="2293" w:type="dxa"/>
          </w:tcPr>
          <w:p w14:paraId="47C1445E" w14:textId="77777777" w:rsidR="005D46AB" w:rsidRPr="00E2009B" w:rsidRDefault="005D46AB" w:rsidP="00D312FB">
            <w:pPr>
              <w:pStyle w:val="Normalgrey"/>
            </w:pPr>
            <w:r w:rsidRPr="00E2009B">
              <w:t>Guidance</w:t>
            </w:r>
          </w:p>
        </w:tc>
        <w:tc>
          <w:tcPr>
            <w:tcW w:w="270" w:type="dxa"/>
          </w:tcPr>
          <w:p w14:paraId="5C68A69C" w14:textId="77777777" w:rsidR="005D46AB" w:rsidRPr="00B5470F" w:rsidRDefault="005D46AB" w:rsidP="00D312FB">
            <w:pPr>
              <w:pStyle w:val="Refnum1"/>
            </w:pPr>
          </w:p>
        </w:tc>
        <w:tc>
          <w:tcPr>
            <w:tcW w:w="540" w:type="dxa"/>
          </w:tcPr>
          <w:p w14:paraId="35CC8E0E" w14:textId="77777777" w:rsidR="005D46AB" w:rsidRPr="00B5470F" w:rsidRDefault="005D46AB" w:rsidP="00D312FB">
            <w:pPr>
              <w:pStyle w:val="Refnum2"/>
            </w:pPr>
          </w:p>
        </w:tc>
        <w:tc>
          <w:tcPr>
            <w:tcW w:w="6120" w:type="dxa"/>
          </w:tcPr>
          <w:p w14:paraId="037291B2" w14:textId="77777777" w:rsidR="005D46AB" w:rsidRPr="00E2009B" w:rsidRDefault="005D46AB" w:rsidP="00D312FB">
            <w:pPr>
              <w:pStyle w:val="Normalgrey"/>
            </w:pPr>
            <w:r>
              <w:t>The Accountable Officer of each department is responsible for ensuring all contracts above $10 million are appropriately disclosed in the annual report, in accordance with this FRD.</w:t>
            </w:r>
          </w:p>
        </w:tc>
      </w:tr>
      <w:tr w:rsidR="005D46AB" w:rsidRPr="00E10ADB" w14:paraId="50DFC976" w14:textId="77777777" w:rsidTr="00431DF9">
        <w:tc>
          <w:tcPr>
            <w:tcW w:w="2293" w:type="dxa"/>
          </w:tcPr>
          <w:p w14:paraId="49DA6D2A" w14:textId="77777777" w:rsidR="005D46AB" w:rsidRPr="00E2009B" w:rsidRDefault="005D46AB" w:rsidP="00D312FB">
            <w:pPr>
              <w:pStyle w:val="Normalgrey"/>
            </w:pPr>
          </w:p>
        </w:tc>
        <w:tc>
          <w:tcPr>
            <w:tcW w:w="270" w:type="dxa"/>
          </w:tcPr>
          <w:p w14:paraId="5B9AB7F4" w14:textId="77777777" w:rsidR="005D46AB" w:rsidRPr="00B5470F" w:rsidRDefault="005D46AB" w:rsidP="00493B55">
            <w:pPr>
              <w:pStyle w:val="Normalgrey"/>
              <w:rPr>
                <w:color w:val="595959" w:themeColor="text1" w:themeTint="A6"/>
              </w:rPr>
            </w:pPr>
          </w:p>
        </w:tc>
        <w:tc>
          <w:tcPr>
            <w:tcW w:w="540" w:type="dxa"/>
          </w:tcPr>
          <w:p w14:paraId="598FE15B" w14:textId="77777777" w:rsidR="005D46AB" w:rsidRPr="00B5470F" w:rsidRDefault="005D46AB" w:rsidP="00D312FB">
            <w:pPr>
              <w:pStyle w:val="Refnum2"/>
            </w:pPr>
          </w:p>
        </w:tc>
        <w:tc>
          <w:tcPr>
            <w:tcW w:w="6120" w:type="dxa"/>
          </w:tcPr>
          <w:p w14:paraId="7FC55877" w14:textId="77777777" w:rsidR="005D46AB" w:rsidRDefault="005D46AB" w:rsidP="00B368D5">
            <w:pPr>
              <w:pStyle w:val="Normalgrey"/>
            </w:pPr>
            <w:r>
              <w:t>Disclosures can be made in either the report of operations or the financial report</w:t>
            </w:r>
            <w:r w:rsidR="005B43BA">
              <w:t xml:space="preserve">. </w:t>
            </w:r>
            <w:r>
              <w:t>However, a department should be aware that any financial report disclosures will be subject to audit by the Victorian Auditor-General.</w:t>
            </w:r>
          </w:p>
        </w:tc>
      </w:tr>
      <w:tr w:rsidR="005D46AB" w:rsidRPr="00E10ADB" w14:paraId="77F27D76" w14:textId="77777777" w:rsidTr="00431DF9">
        <w:tc>
          <w:tcPr>
            <w:tcW w:w="2293" w:type="dxa"/>
          </w:tcPr>
          <w:p w14:paraId="34409400" w14:textId="77777777" w:rsidR="005D46AB" w:rsidRPr="00E2009B" w:rsidRDefault="005D46AB" w:rsidP="00D312FB">
            <w:pPr>
              <w:pStyle w:val="Normalgrey"/>
            </w:pPr>
          </w:p>
        </w:tc>
        <w:tc>
          <w:tcPr>
            <w:tcW w:w="270" w:type="dxa"/>
          </w:tcPr>
          <w:p w14:paraId="2C7A9F90" w14:textId="77777777" w:rsidR="005D46AB" w:rsidRPr="00B5470F" w:rsidRDefault="005D46AB" w:rsidP="00493B55">
            <w:pPr>
              <w:pStyle w:val="Normalgrey"/>
              <w:rPr>
                <w:color w:val="595959" w:themeColor="text1" w:themeTint="A6"/>
              </w:rPr>
            </w:pPr>
          </w:p>
        </w:tc>
        <w:tc>
          <w:tcPr>
            <w:tcW w:w="540" w:type="dxa"/>
          </w:tcPr>
          <w:p w14:paraId="77482FCD" w14:textId="77777777" w:rsidR="005D46AB" w:rsidRPr="00B5470F" w:rsidRDefault="005D46AB" w:rsidP="00D312FB">
            <w:pPr>
              <w:pStyle w:val="Refnum2"/>
            </w:pPr>
          </w:p>
        </w:tc>
        <w:tc>
          <w:tcPr>
            <w:tcW w:w="6120" w:type="dxa"/>
          </w:tcPr>
          <w:p w14:paraId="275EB92B" w14:textId="77777777" w:rsidR="005D46AB" w:rsidRDefault="005D46AB" w:rsidP="00B368D5">
            <w:pPr>
              <w:pStyle w:val="Normalgrey"/>
            </w:pPr>
            <w:r>
              <w:t xml:space="preserve">Details </w:t>
            </w:r>
            <w:r w:rsidRPr="00B368D5">
              <w:t xml:space="preserve">of contracts that are above $10 million should be fully disclosed on the Victorian Government Contracts Publishing System, </w:t>
            </w:r>
            <w:r w:rsidRPr="00B368D5">
              <w:rPr>
                <w:u w:val="single"/>
              </w:rPr>
              <w:t>unless</w:t>
            </w:r>
            <w:r w:rsidRPr="00B368D5">
              <w:t xml:space="preserve"> the contract material is excluded from disclosure for satisfying one or more of the criteria contained in Part IV of the FOI Act.</w:t>
            </w:r>
          </w:p>
        </w:tc>
      </w:tr>
      <w:tr w:rsidR="005D46AB" w:rsidRPr="00E10ADB" w14:paraId="21E145A4" w14:textId="77777777" w:rsidTr="00431DF9">
        <w:tc>
          <w:tcPr>
            <w:tcW w:w="2293" w:type="dxa"/>
          </w:tcPr>
          <w:p w14:paraId="2CC405B7" w14:textId="77777777" w:rsidR="005D46AB" w:rsidRPr="00E2009B" w:rsidRDefault="005D46AB" w:rsidP="00D312FB">
            <w:pPr>
              <w:pStyle w:val="Normalgrey"/>
            </w:pPr>
          </w:p>
        </w:tc>
        <w:tc>
          <w:tcPr>
            <w:tcW w:w="270" w:type="dxa"/>
          </w:tcPr>
          <w:p w14:paraId="771BFC0B" w14:textId="77777777" w:rsidR="005D46AB" w:rsidRPr="00B5470F" w:rsidRDefault="005D46AB" w:rsidP="00493B55">
            <w:pPr>
              <w:pStyle w:val="Normalgrey"/>
              <w:rPr>
                <w:color w:val="595959" w:themeColor="text1" w:themeTint="A6"/>
              </w:rPr>
            </w:pPr>
          </w:p>
        </w:tc>
        <w:tc>
          <w:tcPr>
            <w:tcW w:w="540" w:type="dxa"/>
          </w:tcPr>
          <w:p w14:paraId="07A1258A" w14:textId="77777777" w:rsidR="005D46AB" w:rsidRPr="00B5470F" w:rsidRDefault="005D46AB" w:rsidP="00D312FB">
            <w:pPr>
              <w:pStyle w:val="Refnum2"/>
            </w:pPr>
          </w:p>
        </w:tc>
        <w:tc>
          <w:tcPr>
            <w:tcW w:w="6120" w:type="dxa"/>
          </w:tcPr>
          <w:p w14:paraId="4C29D634" w14:textId="77777777" w:rsidR="005D46AB" w:rsidRPr="00B5470F" w:rsidRDefault="005D46AB" w:rsidP="00B368D5">
            <w:pPr>
              <w:pStyle w:val="Normalgrey"/>
            </w:pPr>
            <w:r w:rsidRPr="00B5470F">
              <w:t xml:space="preserve">In </w:t>
            </w:r>
            <w:r w:rsidRPr="00B368D5">
              <w:t>complying</w:t>
            </w:r>
            <w:r w:rsidRPr="00B5470F">
              <w:t xml:space="preserve"> with the requirements, the Accountable Officer should have regard to the current version of the following documents and other relevant </w:t>
            </w:r>
            <w:r w:rsidRPr="00B368D5">
              <w:t>material</w:t>
            </w:r>
            <w:r w:rsidRPr="00B5470F">
              <w:t xml:space="preserve">: </w:t>
            </w:r>
          </w:p>
          <w:p w14:paraId="7C0B7622" w14:textId="77777777" w:rsidR="005D46AB" w:rsidRPr="00B5470F" w:rsidRDefault="005D46AB" w:rsidP="0058637F">
            <w:pPr>
              <w:pStyle w:val="Listnumgrey"/>
            </w:pPr>
            <w:r w:rsidRPr="005B43BA">
              <w:rPr>
                <w:i/>
              </w:rPr>
              <w:t>Ensuring Openness and Probity in Victorian Government Contracts: A Policy Statement</w:t>
            </w:r>
            <w:r w:rsidRPr="00C47D84">
              <w:t xml:space="preserve"> (11 October 2000);</w:t>
            </w:r>
            <w:r w:rsidRPr="00B5470F">
              <w:t xml:space="preserve"> </w:t>
            </w:r>
          </w:p>
          <w:p w14:paraId="5EBFF01C" w14:textId="77777777" w:rsidR="005D46AB" w:rsidRPr="00B5470F" w:rsidRDefault="005D46AB" w:rsidP="0058637F">
            <w:pPr>
              <w:pStyle w:val="Listnumgrey"/>
            </w:pPr>
            <w:r w:rsidRPr="005B43BA">
              <w:rPr>
                <w:i/>
              </w:rPr>
              <w:t>Ensuring Openness and Probity in Victorian Government Contracts: Implementation Guidelines</w:t>
            </w:r>
            <w:r w:rsidRPr="00B5470F">
              <w:t>; and</w:t>
            </w:r>
          </w:p>
          <w:p w14:paraId="046B4275" w14:textId="77777777" w:rsidR="005D46AB" w:rsidRDefault="005D46AB" w:rsidP="0058637F">
            <w:pPr>
              <w:pStyle w:val="Listnumgrey"/>
            </w:pPr>
            <w:r>
              <w:t>Victorian Government Purchasing Board</w:t>
            </w:r>
            <w:r w:rsidR="005108CE">
              <w:t xml:space="preserve"> Contract management and contract disclosure policy</w:t>
            </w:r>
            <w:r>
              <w:t>.</w:t>
            </w:r>
          </w:p>
        </w:tc>
      </w:tr>
      <w:tr w:rsidR="005D46AB" w:rsidRPr="00E10ADB" w14:paraId="195E3CED" w14:textId="77777777" w:rsidTr="00431DF9">
        <w:tc>
          <w:tcPr>
            <w:tcW w:w="2293" w:type="dxa"/>
          </w:tcPr>
          <w:p w14:paraId="5A3974D3" w14:textId="77777777" w:rsidR="005D46AB" w:rsidRPr="00E2009B" w:rsidRDefault="005D46AB" w:rsidP="00D312FB">
            <w:pPr>
              <w:pStyle w:val="Normalgrey"/>
            </w:pPr>
            <w:r w:rsidRPr="00E2009B">
              <w:lastRenderedPageBreak/>
              <w:t>Background</w:t>
            </w:r>
          </w:p>
        </w:tc>
        <w:tc>
          <w:tcPr>
            <w:tcW w:w="270" w:type="dxa"/>
          </w:tcPr>
          <w:p w14:paraId="6943B118" w14:textId="77777777" w:rsidR="005D46AB" w:rsidRPr="00521483" w:rsidRDefault="005D46AB" w:rsidP="00493B55">
            <w:pPr>
              <w:pStyle w:val="Normalgrey"/>
            </w:pPr>
          </w:p>
        </w:tc>
        <w:tc>
          <w:tcPr>
            <w:tcW w:w="540" w:type="dxa"/>
          </w:tcPr>
          <w:p w14:paraId="64EDDBE1" w14:textId="791F3CAB" w:rsidR="005D46AB" w:rsidRPr="00472918" w:rsidRDefault="004A576E" w:rsidP="00493B55">
            <w:r>
              <w:t>7.1</w:t>
            </w:r>
          </w:p>
        </w:tc>
        <w:tc>
          <w:tcPr>
            <w:tcW w:w="6120" w:type="dxa"/>
          </w:tcPr>
          <w:p w14:paraId="02051E0B" w14:textId="61B40062" w:rsidR="005B1045" w:rsidRPr="00E477A6" w:rsidRDefault="005D46AB" w:rsidP="004A576E">
            <w:pPr>
              <w:pStyle w:val="Normalgrey"/>
            </w:pPr>
            <w:r>
              <w:t>In October 2000, the Victorian Government made a policy statement announcing measures to secure an open government</w:t>
            </w:r>
            <w:r w:rsidR="005B43BA">
              <w:t xml:space="preserve">. </w:t>
            </w:r>
            <w:r>
              <w:t>One of the measures included disclosure of contracts over $10 million</w:t>
            </w:r>
            <w:r w:rsidR="005B43BA">
              <w:t xml:space="preserve">. </w:t>
            </w:r>
            <w:r>
              <w:t>This was intended to help the Government achieve its objectives of transparency in contracting processes and disclosure of contract outcomes.</w:t>
            </w:r>
          </w:p>
        </w:tc>
      </w:tr>
      <w:tr w:rsidR="004A576E" w:rsidRPr="00E10ADB" w14:paraId="05AD81A1" w14:textId="77777777" w:rsidTr="00431DF9">
        <w:tc>
          <w:tcPr>
            <w:tcW w:w="2293" w:type="dxa"/>
          </w:tcPr>
          <w:p w14:paraId="0CB835F1" w14:textId="77777777" w:rsidR="004A576E" w:rsidRPr="00E2009B" w:rsidRDefault="004A576E" w:rsidP="00D312FB">
            <w:pPr>
              <w:pStyle w:val="Normalgrey"/>
            </w:pPr>
          </w:p>
        </w:tc>
        <w:tc>
          <w:tcPr>
            <w:tcW w:w="270" w:type="dxa"/>
          </w:tcPr>
          <w:p w14:paraId="11FA1F4B" w14:textId="77777777" w:rsidR="004A576E" w:rsidRPr="00521483" w:rsidRDefault="004A576E" w:rsidP="00493B55">
            <w:pPr>
              <w:pStyle w:val="Normalgrey"/>
            </w:pPr>
          </w:p>
        </w:tc>
        <w:tc>
          <w:tcPr>
            <w:tcW w:w="540" w:type="dxa"/>
          </w:tcPr>
          <w:p w14:paraId="438F3153" w14:textId="0E6565EC" w:rsidR="004A576E" w:rsidRDefault="004A576E" w:rsidP="00493B55">
            <w:r>
              <w:t>7.2</w:t>
            </w:r>
          </w:p>
        </w:tc>
        <w:tc>
          <w:tcPr>
            <w:tcW w:w="6120" w:type="dxa"/>
          </w:tcPr>
          <w:p w14:paraId="1AAA730B" w14:textId="2FAD7A84" w:rsidR="004A576E" w:rsidRDefault="004A576E" w:rsidP="00FC08AB">
            <w:pPr>
              <w:pStyle w:val="Normalgrey"/>
            </w:pPr>
            <w:r>
              <w:t xml:space="preserve">This </w:t>
            </w:r>
            <w:r w:rsidRPr="00FC08AB">
              <w:t>FRD</w:t>
            </w:r>
            <w:r>
              <w:t xml:space="preserve"> was updated in:</w:t>
            </w:r>
          </w:p>
          <w:p w14:paraId="486C4DF1" w14:textId="77777777" w:rsidR="004A576E" w:rsidRDefault="004A576E" w:rsidP="00FC08AB">
            <w:pPr>
              <w:pStyle w:val="Bullet1grey"/>
            </w:pPr>
            <w:r>
              <w:t xml:space="preserve">July 2005 to reflect IFRS terminology. </w:t>
            </w:r>
          </w:p>
          <w:p w14:paraId="67641604" w14:textId="52209E78" w:rsidR="004A576E" w:rsidRDefault="004A576E" w:rsidP="00FC08AB">
            <w:pPr>
              <w:pStyle w:val="Bullet1grey"/>
            </w:pPr>
            <w:r>
              <w:t xml:space="preserve">June 2016 to update the reference to the Victorian Government Purchasing Board management and contract disclosure policy. Appendix A has been removed as this disclosure has been included in the </w:t>
            </w:r>
            <w:r w:rsidRPr="006665FE">
              <w:rPr>
                <w:i/>
              </w:rPr>
              <w:t>Model Report for Victorian Government Departments</w:t>
            </w:r>
          </w:p>
        </w:tc>
      </w:tr>
    </w:tbl>
    <w:p w14:paraId="4F541B07" w14:textId="77777777" w:rsidR="00D312FB" w:rsidRPr="009652F3" w:rsidRDefault="00D312FB" w:rsidP="009652F3">
      <w:pPr>
        <w:spacing w:before="0" w:after="200"/>
        <w:rPr>
          <w:rFonts w:asciiTheme="majorHAnsi" w:eastAsiaTheme="majorEastAsia" w:hAnsiTheme="majorHAnsi" w:cstheme="majorBidi"/>
          <w:b/>
          <w:bCs/>
          <w:color w:val="201547"/>
          <w:spacing w:val="-1"/>
          <w:sz w:val="36"/>
          <w:szCs w:val="28"/>
        </w:rPr>
      </w:pPr>
    </w:p>
    <w:sectPr w:rsidR="00D312FB" w:rsidRPr="009652F3" w:rsidSect="00B368D5">
      <w:footerReference w:type="default" r:id="rId9"/>
      <w:headerReference w:type="first" r:id="rId10"/>
      <w:footerReference w:type="first" r:id="rId11"/>
      <w:pgSz w:w="11906" w:h="16838" w:code="9"/>
      <w:pgMar w:top="1800" w:right="1440" w:bottom="1170" w:left="1440" w:header="461"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4C18" w14:textId="77777777" w:rsidR="00CD7D10" w:rsidRDefault="00CD7D10" w:rsidP="00493B55">
      <w:pPr>
        <w:spacing w:before="0" w:after="0"/>
      </w:pPr>
      <w:r>
        <w:separator/>
      </w:r>
    </w:p>
  </w:endnote>
  <w:endnote w:type="continuationSeparator" w:id="0">
    <w:p w14:paraId="7D7BB1D0" w14:textId="77777777" w:rsidR="00CD7D10" w:rsidRDefault="00CD7D10" w:rsidP="00493B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F043" w14:textId="1309B9BA" w:rsidR="00D312FB" w:rsidRDefault="006665FE" w:rsidP="00D312FB">
    <w:pPr>
      <w:pStyle w:val="Spacer"/>
    </w:pPr>
    <w:r>
      <w:rPr>
        <w:noProof/>
      </w:rPr>
      <mc:AlternateContent>
        <mc:Choice Requires="wps">
          <w:drawing>
            <wp:anchor distT="0" distB="0" distL="114300" distR="114300" simplePos="0" relativeHeight="251656192" behindDoc="0" locked="0" layoutInCell="0" allowOverlap="1" wp14:anchorId="7726BDED" wp14:editId="71194374">
              <wp:simplePos x="0" y="0"/>
              <wp:positionH relativeFrom="page">
                <wp:posOffset>0</wp:posOffset>
              </wp:positionH>
              <wp:positionV relativeFrom="page">
                <wp:posOffset>10227945</wp:posOffset>
              </wp:positionV>
              <wp:extent cx="7560310" cy="273050"/>
              <wp:effectExtent l="0" t="0" r="0" b="12700"/>
              <wp:wrapNone/>
              <wp:docPr id="1" name="MSIPCMfe26461a93de175a9f3a9f4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5CB70" w14:textId="0815D5FD" w:rsidR="006665FE" w:rsidRPr="006665FE" w:rsidRDefault="006665FE" w:rsidP="006665FE">
                          <w:pPr>
                            <w:spacing w:before="0" w:after="0"/>
                            <w:rPr>
                              <w:rFonts w:ascii="Calibri" w:hAnsi="Calibri" w:cs="Calibri"/>
                              <w:color w:val="000000"/>
                              <w:sz w:val="22"/>
                            </w:rPr>
                          </w:pPr>
                          <w:r w:rsidRPr="006665F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726BDED" id="_x0000_t202" coordsize="21600,21600" o:spt="202" path="m,l,21600r21600,l21600,xe">
              <v:stroke joinstyle="miter"/>
              <v:path gradientshapeok="t" o:connecttype="rect"/>
            </v:shapetype>
            <v:shape id="MSIPCMfe26461a93de175a9f3a9f4f"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3KsAIAAEgFAAAOAAAAZHJzL2Uyb0RvYy54bWysVN1v0zAQf0fif7D8wBMsST/XsnQqnQaT&#10;uq1Sh/bsOnYTKfF5trumIP53zo7bweAJ8RDnfN/3uztfXLZNTZ6FsRWonGZnKSVCcSgqtc3p14fr&#10;D+eUWMdUwWpQIqcHYenl7O2bi72eih6UUBfCEHSi7HSvc1o6p6dJYnkpGmbPQAuFQgmmYQ6vZpsU&#10;hu3Re1MnvTQdJXswhTbAhbXIveqEdBb8Sym4u5fSCkfqnGJuLpwmnBt/JrMLNt0apsuKxzTYP2TR&#10;sEph0JOrK+YY2ZnqD1dNxQ1YkO6MQ5OAlBUXoQasJktfVbMumRahFgTH6hNM9v+55XfPK0OqAntH&#10;iWINtuh2fbNa3ErRGw1GGZv0C5GNh2wi+/gNJCWFsBwR/P7uaQfu4xdmywUUortNP2S90XiU9odp&#10;/31UENW2dFF8PsARiYLHqnBl5A8nwxN/VTMuGqGONp3KNYATpqOjgxtViDY66H4rUzXMHH7TWuMM&#10;4HBGvSzaPoCOnPQUeCnkMSYyf/jZ2Gs7RYjWGkFy7SdoPU6Rb5HpW95K0/g/NpOgHKfscJos0TrC&#10;kTkeIiYZijjKeuN+Ogyjl7xYa2PdZwEN8URODWYdBoo9L63DiKh6VPHBFFxXdR2mt1Zkn9MRQh4M&#10;ThK0qBUa+hq6XD3l2k0bC9hAccC6DHRbYTW/rjD4klm3YgbXAPPF1Xb3eMgaMAhEipISzLe/8b0+&#10;TidKKdnjWuXUPu2YEZTUNwrntjccpKlfxHBDwgRikg0GeNkcuWrXLABXFocS0wqk13X1kZQGmkdc&#10;/bkPhyKmOAbN6eZILhzeUIBPBxfzeaBx5TRzS7XW3Lv2OHpMH9pHZnQE3mHL7uC4eWz6Cv9Ot+vA&#10;fOdAVqE5HtkOzgg4rmvoWXxa/Hvw6z1ovTyAs5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AA/ncqwAgAASAUAAA4A&#10;AAAAAAAAAAAAAAAALgIAAGRycy9lMm9Eb2MueG1sUEsBAi0AFAAGAAgAAAAhAHx2COHfAAAACwEA&#10;AA8AAAAAAAAAAAAAAAAACgUAAGRycy9kb3ducmV2LnhtbFBLBQYAAAAABAAEAPMAAAAWBgAAAAA=&#10;" o:allowincell="f" filled="f" stroked="f" strokeweight=".5pt">
              <v:textbox inset="20pt,0,,0">
                <w:txbxContent>
                  <w:p w14:paraId="20B5CB70" w14:textId="0815D5FD" w:rsidR="006665FE" w:rsidRPr="006665FE" w:rsidRDefault="006665FE" w:rsidP="006665FE">
                    <w:pPr>
                      <w:spacing w:before="0" w:after="0"/>
                      <w:rPr>
                        <w:rFonts w:ascii="Calibri" w:hAnsi="Calibri" w:cs="Calibri"/>
                        <w:color w:val="000000"/>
                        <w:sz w:val="22"/>
                      </w:rPr>
                    </w:pPr>
                    <w:r w:rsidRPr="006665FE">
                      <w:rPr>
                        <w:rFonts w:ascii="Calibri" w:hAnsi="Calibri" w:cs="Calibri"/>
                        <w:color w:val="000000"/>
                        <w:sz w:val="22"/>
                      </w:rPr>
                      <w:t>OFFICIAL</w:t>
                    </w:r>
                  </w:p>
                </w:txbxContent>
              </v:textbox>
              <w10:wrap anchorx="page" anchory="page"/>
            </v:shape>
          </w:pict>
        </mc:Fallback>
      </mc:AlternateContent>
    </w:r>
  </w:p>
  <w:p w14:paraId="482633E0" w14:textId="40BCE181" w:rsidR="00D312FB" w:rsidRPr="005828FE" w:rsidRDefault="00D312FB" w:rsidP="00D312FB">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BB790A">
      <w:rPr>
        <w:b/>
      </w:rPr>
      <w:t>FRD 12</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BB790A">
      <w:t>Disclosure of major contracts (April 2022)</w:t>
    </w:r>
    <w:r w:rsidRPr="006C78FB">
      <w:fldChar w:fldCharType="end"/>
    </w:r>
    <w:r w:rsidRPr="00C022F9">
      <w:tab/>
    </w:r>
    <w:r w:rsidRPr="005828FE">
      <w:t xml:space="preserve">Page </w:t>
    </w:r>
    <w:r w:rsidRPr="007212E9">
      <w:rPr>
        <w:rStyle w:val="PageNumber"/>
      </w:rPr>
      <w:fldChar w:fldCharType="begin"/>
    </w:r>
    <w:r w:rsidRPr="007212E9">
      <w:rPr>
        <w:rStyle w:val="PageNumber"/>
      </w:rPr>
      <w:instrText xml:space="preserve"> Page </w:instrText>
    </w:r>
    <w:r w:rsidRPr="007212E9">
      <w:rPr>
        <w:rStyle w:val="PageNumber"/>
      </w:rPr>
      <w:fldChar w:fldCharType="separate"/>
    </w:r>
    <w:r w:rsidR="00AB65DA">
      <w:rPr>
        <w:rStyle w:val="PageNumber"/>
      </w:rPr>
      <w:t>2</w:t>
    </w:r>
    <w:r w:rsidRPr="007212E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877C" w14:textId="3FE7BA52" w:rsidR="00D312FB" w:rsidRDefault="006665FE" w:rsidP="00D312FB">
    <w:pPr>
      <w:pStyle w:val="Spacer"/>
    </w:pPr>
    <w:r>
      <w:rPr>
        <w:noProof/>
      </w:rPr>
      <mc:AlternateContent>
        <mc:Choice Requires="wps">
          <w:drawing>
            <wp:anchor distT="0" distB="0" distL="114300" distR="114300" simplePos="0" relativeHeight="251660288" behindDoc="0" locked="0" layoutInCell="0" allowOverlap="1" wp14:anchorId="37E3B5DB" wp14:editId="095802F9">
              <wp:simplePos x="0" y="0"/>
              <wp:positionH relativeFrom="page">
                <wp:posOffset>0</wp:posOffset>
              </wp:positionH>
              <wp:positionV relativeFrom="page">
                <wp:posOffset>10227945</wp:posOffset>
              </wp:positionV>
              <wp:extent cx="7560310" cy="273050"/>
              <wp:effectExtent l="0" t="0" r="0" b="12700"/>
              <wp:wrapNone/>
              <wp:docPr id="2" name="MSIPCM624b4dbfb9598a5257ddbb81"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3D8E6" w14:textId="2C9D3A60" w:rsidR="006665FE" w:rsidRPr="006665FE" w:rsidRDefault="006665FE" w:rsidP="006665FE">
                          <w:pPr>
                            <w:spacing w:before="0" w:after="0"/>
                            <w:rPr>
                              <w:rFonts w:ascii="Calibri" w:hAnsi="Calibri" w:cs="Calibri"/>
                              <w:color w:val="000000"/>
                              <w:sz w:val="22"/>
                            </w:rPr>
                          </w:pPr>
                          <w:r w:rsidRPr="006665F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E3B5DB" id="_x0000_t202" coordsize="21600,21600" o:spt="202" path="m,l,21600r21600,l21600,xe">
              <v:stroke joinstyle="miter"/>
              <v:path gradientshapeok="t" o:connecttype="rect"/>
            </v:shapetype>
            <v:shape id="MSIPCM624b4dbfb9598a5257ddbb81"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ttQIAAFEFAAAOAAAAZHJzL2Uyb0RvYy54bWysVEtv2zAMvg/YfxB02GmtnTTOa3WKLEW2&#10;AmkbIB16lmU5NmCLqqQ07ob991GynA7dTsMuNkVSfHz8qMurtqnJs9CmApnSwXlMiZAc8kruU/rt&#10;YX02pcRYJnNWgxQpfRGGXi3ev7s8qrkYQgl1LjTBINLMjyqlpbVqHkWGl6Jh5hyUkGgsQDfM4lHv&#10;o1yzI0Zv6mgYx+PoCDpXGrgwBrXXnZEufPyiENzeF4URltQpxdqs/2r/zdw3Wlyy+V4zVVY8lMH+&#10;oYqGVRKTnkJdM8vIQVd/hGoqrsFAYc85NBEURcWF7wG7GcRvutmVTAnfC4Jj1Akm8//C8rvnrSZV&#10;ntIhJZI1OKLb3c12dTsejrJRnhXZLJlNWTJMJnmeZdMBJbkwHBH88eHpAPbTV2bKFeSiO83PBsPx&#10;ZBxfJPHFx+Agqn1pg3k6QooEw2OV2zLok1ly0m9rxkUjZH+nc1kDWKE7OQS4kbloQ4DgVGljt2wf&#10;qgl+O2QB0jN4DoL2AVTQxKfUG1H0WVH507HjqMwcQdophMm2n6FFlvd6g0o39LbQjfvjOAnakWcv&#10;J26J1hKOykmCqAzQxNE2nFzEiSdf9HpbYe1fBDTECSnVWLWnFHveGIuVoGvv4pJJWFd17flbS3JM&#10;6RhB9xdOFrxRS7zoeuhqdZJts9ZP/NRHBvkLtqehWw+j+NoBuWEOTI37gGXjjtt7/BQ1YC4IEiUl&#10;6O9/0zt/pClaKTnifqXUPB2YFpTUNxIJPExGcew20p9Q0F6YDUYjPGS9Vh6aFeDuIu+wLC86X1v3&#10;YqGhecQ3YOnSoYlJjklTmvXiyuIJDfiGcLFcehl3TzG7kTvFXWgHp4P2oX1kWgX8LU7uDvoVZPM3&#10;Y+h8u0EsDxaKys/IAdzBGXDHvfWjC2+Mexh+P3uv15dw8Qs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fucW7bUCAABR&#10;BQAADgAAAAAAAAAAAAAAAAAuAgAAZHJzL2Uyb0RvYy54bWxQSwECLQAUAAYACAAAACEAfHYI4d8A&#10;AAALAQAADwAAAAAAAAAAAAAAAAAPBQAAZHJzL2Rvd25yZXYueG1sUEsFBgAAAAAEAAQA8wAAABsG&#10;AAAAAA==&#10;" o:allowincell="f" filled="f" stroked="f" strokeweight=".5pt">
              <v:textbox inset="20pt,0,,0">
                <w:txbxContent>
                  <w:p w14:paraId="3993D8E6" w14:textId="2C9D3A60" w:rsidR="006665FE" w:rsidRPr="006665FE" w:rsidRDefault="006665FE" w:rsidP="006665FE">
                    <w:pPr>
                      <w:spacing w:before="0" w:after="0"/>
                      <w:rPr>
                        <w:rFonts w:ascii="Calibri" w:hAnsi="Calibri" w:cs="Calibri"/>
                        <w:color w:val="000000"/>
                        <w:sz w:val="22"/>
                      </w:rPr>
                    </w:pPr>
                    <w:r w:rsidRPr="006665FE">
                      <w:rPr>
                        <w:rFonts w:ascii="Calibri" w:hAnsi="Calibri" w:cs="Calibri"/>
                        <w:color w:val="000000"/>
                        <w:sz w:val="22"/>
                      </w:rPr>
                      <w:t>OFFICIAL</w:t>
                    </w:r>
                  </w:p>
                </w:txbxContent>
              </v:textbox>
              <w10:wrap anchorx="page" anchory="page"/>
            </v:shape>
          </w:pict>
        </mc:Fallback>
      </mc:AlternateContent>
    </w:r>
  </w:p>
  <w:p w14:paraId="0F797B8A" w14:textId="25A1451C" w:rsidR="00D312FB" w:rsidRPr="005828FE" w:rsidRDefault="00D312FB" w:rsidP="00D312FB">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BB790A">
      <w:rPr>
        <w:b/>
      </w:rPr>
      <w:t>FRD 12</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BB790A">
      <w:t>Disclosure of major contracts (April 2022)</w:t>
    </w:r>
    <w:r w:rsidRPr="006C78FB">
      <w:fldChar w:fldCharType="end"/>
    </w:r>
    <w:r w:rsidRPr="00C022F9">
      <w:tab/>
    </w:r>
    <w:r w:rsidRPr="005828FE">
      <w:t xml:space="preserve">Page </w:t>
    </w:r>
    <w:r w:rsidRPr="005828FE">
      <w:rPr>
        <w:rStyle w:val="PageNumber"/>
      </w:rPr>
      <w:fldChar w:fldCharType="begin"/>
    </w:r>
    <w:r w:rsidRPr="005828FE">
      <w:rPr>
        <w:rStyle w:val="PageNumber"/>
      </w:rPr>
      <w:instrText xml:space="preserve"> Page </w:instrText>
    </w:r>
    <w:r w:rsidRPr="005828FE">
      <w:rPr>
        <w:rStyle w:val="PageNumber"/>
      </w:rPr>
      <w:fldChar w:fldCharType="separate"/>
    </w:r>
    <w:r w:rsidR="00AB65DA">
      <w:rPr>
        <w:rStyle w:val="PageNumber"/>
      </w:rPr>
      <w:t>1</w:t>
    </w:r>
    <w:r w:rsidRPr="005828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BE99" w14:textId="77777777" w:rsidR="00CD7D10" w:rsidRDefault="00CD7D10" w:rsidP="00493B55">
      <w:pPr>
        <w:spacing w:before="0" w:after="0"/>
      </w:pPr>
      <w:r>
        <w:separator/>
      </w:r>
    </w:p>
  </w:footnote>
  <w:footnote w:type="continuationSeparator" w:id="0">
    <w:p w14:paraId="2284315F" w14:textId="77777777" w:rsidR="00CD7D10" w:rsidRDefault="00CD7D10" w:rsidP="00493B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127C" w14:textId="77777777" w:rsidR="00D312FB" w:rsidRPr="0041689E" w:rsidRDefault="00D312FB" w:rsidP="00D312FB">
    <w:pPr>
      <w:pStyle w:val="Header"/>
      <w:tabs>
        <w:tab w:val="clear" w:pos="9026"/>
      </w:tabs>
      <w:ind w:right="-694"/>
      <w:jc w:val="right"/>
    </w:pPr>
    <w:r>
      <w:rPr>
        <w:noProof/>
      </w:rPr>
      <w:drawing>
        <wp:inline distT="0" distB="0" distL="0" distR="0" wp14:anchorId="6D6DD97E" wp14:editId="2A3DA824">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AD0"/>
    <w:multiLevelType w:val="hybridMultilevel"/>
    <w:tmpl w:val="905A7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86228"/>
    <w:multiLevelType w:val="hybridMultilevel"/>
    <w:tmpl w:val="EE50F5DA"/>
    <w:lvl w:ilvl="0" w:tplc="04090001">
      <w:start w:val="1"/>
      <w:numFmt w:val="bullet"/>
      <w:lvlText w:val=""/>
      <w:lvlJc w:val="left"/>
      <w:pPr>
        <w:tabs>
          <w:tab w:val="num" w:pos="360"/>
        </w:tabs>
        <w:ind w:left="360" w:hanging="360"/>
      </w:pPr>
      <w:rPr>
        <w:rFonts w:ascii="Symbol" w:hAnsi="Symbol" w:hint="default"/>
      </w:rPr>
    </w:lvl>
    <w:lvl w:ilvl="1" w:tplc="F03A854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04478F"/>
    <w:multiLevelType w:val="hybridMultilevel"/>
    <w:tmpl w:val="EA80E36A"/>
    <w:lvl w:ilvl="0" w:tplc="106EB2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1C1C99"/>
    <w:multiLevelType w:val="hybridMultilevel"/>
    <w:tmpl w:val="85DA8F92"/>
    <w:lvl w:ilvl="0" w:tplc="695C59FE">
      <w:start w:val="1"/>
      <w:numFmt w:val="bullet"/>
      <w:lvlText w:val="·"/>
      <w:lvlJc w:val="left"/>
      <w:pPr>
        <w:ind w:left="1286" w:hanging="360"/>
      </w:pPr>
      <w:rPr>
        <w:rFonts w:ascii="Symbol" w:hAnsi="Symbol"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4" w15:restartNumberingAfterBreak="0">
    <w:nsid w:val="1D2375F0"/>
    <w:multiLevelType w:val="hybridMultilevel"/>
    <w:tmpl w:val="787CB63A"/>
    <w:lvl w:ilvl="0" w:tplc="156072D8">
      <w:start w:val="1"/>
      <w:numFmt w:val="bullet"/>
      <w:lvlText w:val=""/>
      <w:lvlJc w:val="left"/>
      <w:pPr>
        <w:ind w:left="720" w:hanging="360"/>
      </w:pPr>
      <w:rPr>
        <w:rFonts w:ascii="Wingdings" w:hAnsi="Wingdings" w:hint="default"/>
        <w:color w:val="59595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0234E"/>
    <w:multiLevelType w:val="hybridMultilevel"/>
    <w:tmpl w:val="55F6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311C2"/>
    <w:multiLevelType w:val="hybridMultilevel"/>
    <w:tmpl w:val="0742EA96"/>
    <w:lvl w:ilvl="0" w:tplc="12A0D8B2">
      <w:start w:val="1"/>
      <w:numFmt w:val="bullet"/>
      <w:lvlText w:val="—"/>
      <w:lvlJc w:val="left"/>
      <w:pPr>
        <w:ind w:left="720" w:hanging="360"/>
      </w:pPr>
      <w:rPr>
        <w:rFonts w:ascii="Calibri" w:hAnsi="Calibri" w:hint="default"/>
        <w:b w:val="0"/>
        <w:i w:val="0"/>
        <w:color w:val="595959"/>
        <w:sz w:val="20"/>
        <w:szCs w:val="20"/>
      </w:rPr>
    </w:lvl>
    <w:lvl w:ilvl="1" w:tplc="6AD4DBF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7B22F75"/>
    <w:multiLevelType w:val="hybridMultilevel"/>
    <w:tmpl w:val="7324BFEC"/>
    <w:lvl w:ilvl="0" w:tplc="B0261BF2">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pStyle w:val="Bullet3"/>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1962FB"/>
    <w:multiLevelType w:val="hybridMultilevel"/>
    <w:tmpl w:val="1BF862B2"/>
    <w:lvl w:ilvl="0" w:tplc="F03A8540">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8A0EBD"/>
    <w:multiLevelType w:val="hybridMultilevel"/>
    <w:tmpl w:val="17B28002"/>
    <w:lvl w:ilvl="0" w:tplc="F03A8540">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C550F8"/>
    <w:multiLevelType w:val="multilevel"/>
    <w:tmpl w:val="65CA5EC4"/>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80" w:hanging="360"/>
      </w:pPr>
      <w:rPr>
        <w:rFonts w:ascii="Symbol" w:hAnsi="Symbol" w:hint="default"/>
      </w:rPr>
    </w:lvl>
    <w:lvl w:ilvl="3">
      <w:start w:val="1"/>
      <w:numFmt w:val="lowerLetter"/>
      <w:lvlRestart w:val="1"/>
      <w:lvlText w:val="(%4)"/>
      <w:lvlJc w:val="left"/>
      <w:pPr>
        <w:ind w:left="360" w:hanging="360"/>
      </w:pPr>
      <w:rPr>
        <w:rFonts w:hint="default"/>
        <w:color w:val="5E5E5E"/>
      </w:rPr>
    </w:lvl>
    <w:lvl w:ilvl="4">
      <w:start w:val="1"/>
      <w:numFmt w:val="lowerRoman"/>
      <w:lvlText w:val="(%5)"/>
      <w:lvlJc w:val="left"/>
      <w:pPr>
        <w:ind w:left="720" w:hanging="360"/>
      </w:pPr>
      <w:rPr>
        <w:rFonts w:hint="default"/>
        <w:color w:val="5E5E5E"/>
      </w:rPr>
    </w:lvl>
    <w:lvl w:ilvl="5">
      <w:start w:val="1"/>
      <w:numFmt w:val="bullet"/>
      <w:lvlText w:val="·"/>
      <w:lvlJc w:val="left"/>
      <w:pPr>
        <w:ind w:left="1080" w:hanging="360"/>
      </w:pPr>
      <w:rPr>
        <w:rFonts w:ascii="Symbol" w:hAnsi="Symbol" w:hint="default"/>
        <w:color w:val="5E5E5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5FB2D5A"/>
    <w:multiLevelType w:val="hybridMultilevel"/>
    <w:tmpl w:val="351CF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A54A6C"/>
    <w:multiLevelType w:val="hybridMultilevel"/>
    <w:tmpl w:val="94AC0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0124D7"/>
    <w:multiLevelType w:val="multilevel"/>
    <w:tmpl w:val="997E1A04"/>
    <w:lvl w:ilvl="0">
      <w:start w:val="1"/>
      <w:numFmt w:val="decimal"/>
      <w:pStyle w:val="Refnum1"/>
      <w:suff w:val="nothing"/>
      <w:lvlText w:val="%1."/>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34F7F89"/>
    <w:multiLevelType w:val="hybridMultilevel"/>
    <w:tmpl w:val="DD48B056"/>
    <w:lvl w:ilvl="0" w:tplc="10421BCE">
      <w:start w:val="20"/>
      <w:numFmt w:val="bullet"/>
      <w:lvlText w:val="–"/>
      <w:lvlJc w:val="left"/>
      <w:pPr>
        <w:tabs>
          <w:tab w:val="num" w:pos="720"/>
        </w:tabs>
        <w:ind w:left="644" w:hanging="284"/>
      </w:pPr>
      <w:rPr>
        <w:rFonts w:ascii="Times New Roman" w:eastAsia="Times New Roman" w:hAnsi="Times New Roman" w:cs="Times New Roman" w:hint="default"/>
      </w:rPr>
    </w:lvl>
    <w:lvl w:ilvl="1" w:tplc="F03A854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FD44514"/>
    <w:multiLevelType w:val="multilevel"/>
    <w:tmpl w:val="4978FB50"/>
    <w:lvl w:ilvl="0">
      <w:start w:val="1"/>
      <w:numFmt w:val="lowerLetter"/>
      <w:pStyle w:val="Listnum"/>
      <w:lvlText w:val="(%1)"/>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Listnum2"/>
      <w:lvlText w:val="(%2)"/>
      <w:lvlJc w:val="left"/>
      <w:pPr>
        <w:tabs>
          <w:tab w:val="num" w:pos="1008"/>
        </w:tabs>
        <w:ind w:left="1008" w:hanging="504"/>
      </w:pPr>
      <w:rPr>
        <w:rFonts w:hint="default"/>
        <w:sz w:val="18"/>
      </w:rPr>
    </w:lvl>
    <w:lvl w:ilvl="2">
      <w:start w:val="1"/>
      <w:numFmt w:val="lowerLetter"/>
      <w:lvlRestart w:val="0"/>
      <w:pStyle w:val="Listnumgrey"/>
      <w:lvlText w:val="(%3)"/>
      <w:lvlJc w:val="left"/>
      <w:pPr>
        <w:tabs>
          <w:tab w:val="num" w:pos="504"/>
        </w:tabs>
        <w:ind w:left="504" w:hanging="504"/>
      </w:pPr>
      <w:rPr>
        <w:rFonts w:hint="default"/>
        <w:sz w:val="18"/>
      </w:rPr>
    </w:lvl>
    <w:lvl w:ilvl="3">
      <w:start w:val="1"/>
      <w:numFmt w:val="lowerRoman"/>
      <w:pStyle w:val="Listnum2grey"/>
      <w:lvlText w:val="(%4)"/>
      <w:lvlJc w:val="left"/>
      <w:pPr>
        <w:tabs>
          <w:tab w:val="num" w:pos="1008"/>
        </w:tabs>
        <w:ind w:left="1008" w:hanging="504"/>
      </w:pPr>
      <w:rPr>
        <w:rFonts w:hint="default"/>
        <w:sz w:val="18"/>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6"/>
  </w:num>
  <w:num w:numId="2">
    <w:abstractNumId w:val="10"/>
  </w:num>
  <w:num w:numId="3">
    <w:abstractNumId w:val="18"/>
  </w:num>
  <w:num w:numId="4">
    <w:abstractNumId w:val="7"/>
  </w:num>
  <w:num w:numId="5">
    <w:abstractNumId w:val="2"/>
  </w:num>
  <w:num w:numId="6">
    <w:abstractNumId w:val="13"/>
  </w:num>
  <w:num w:numId="7">
    <w:abstractNumId w:val="4"/>
  </w:num>
  <w:num w:numId="8">
    <w:abstractNumId w:val="3"/>
  </w:num>
  <w:num w:numId="9">
    <w:abstractNumId w:val="1"/>
  </w:num>
  <w:num w:numId="10">
    <w:abstractNumId w:val="12"/>
  </w:num>
  <w:num w:numId="11">
    <w:abstractNumId w:val="14"/>
  </w:num>
  <w:num w:numId="12">
    <w:abstractNumId w:val="11"/>
  </w:num>
  <w:num w:numId="13">
    <w:abstractNumId w:val="17"/>
  </w:num>
  <w:num w:numId="14">
    <w:abstractNumId w:val="15"/>
  </w:num>
  <w:num w:numId="15">
    <w:abstractNumId w:val="18"/>
  </w:num>
  <w:num w:numId="16">
    <w:abstractNumId w:val="8"/>
  </w:num>
  <w:num w:numId="17">
    <w:abstractNumId w:val="19"/>
  </w:num>
  <w:num w:numId="18">
    <w:abstractNumId w:val="5"/>
  </w:num>
  <w:num w:numId="19">
    <w:abstractNumId w:val="16"/>
  </w:num>
  <w:num w:numId="20">
    <w:abstractNumId w:val="16"/>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1">
    <w:abstractNumId w:val="16"/>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CBA"/>
    <w:rsid w:val="0000060C"/>
    <w:rsid w:val="00017E83"/>
    <w:rsid w:val="000415AE"/>
    <w:rsid w:val="00083CF0"/>
    <w:rsid w:val="00087CA2"/>
    <w:rsid w:val="000B2B10"/>
    <w:rsid w:val="000E660D"/>
    <w:rsid w:val="000E6BBE"/>
    <w:rsid w:val="000F73DB"/>
    <w:rsid w:val="00107158"/>
    <w:rsid w:val="00110CBF"/>
    <w:rsid w:val="001277D8"/>
    <w:rsid w:val="001B11AF"/>
    <w:rsid w:val="001D43DF"/>
    <w:rsid w:val="00231A10"/>
    <w:rsid w:val="00247933"/>
    <w:rsid w:val="002A7858"/>
    <w:rsid w:val="002C0AAC"/>
    <w:rsid w:val="002E0205"/>
    <w:rsid w:val="002F1429"/>
    <w:rsid w:val="0033131E"/>
    <w:rsid w:val="00355FA3"/>
    <w:rsid w:val="00376C4B"/>
    <w:rsid w:val="00384C25"/>
    <w:rsid w:val="003950CC"/>
    <w:rsid w:val="003A3FB2"/>
    <w:rsid w:val="003A5B95"/>
    <w:rsid w:val="003B0F23"/>
    <w:rsid w:val="00431DF9"/>
    <w:rsid w:val="0045252C"/>
    <w:rsid w:val="00485BD7"/>
    <w:rsid w:val="00493B55"/>
    <w:rsid w:val="004966B7"/>
    <w:rsid w:val="00496C38"/>
    <w:rsid w:val="004A576E"/>
    <w:rsid w:val="004C52A6"/>
    <w:rsid w:val="004D34D8"/>
    <w:rsid w:val="005108CE"/>
    <w:rsid w:val="005431FD"/>
    <w:rsid w:val="005808A4"/>
    <w:rsid w:val="0058637F"/>
    <w:rsid w:val="0058673B"/>
    <w:rsid w:val="005B1045"/>
    <w:rsid w:val="005B43BA"/>
    <w:rsid w:val="005D46AB"/>
    <w:rsid w:val="005D7B86"/>
    <w:rsid w:val="005E149B"/>
    <w:rsid w:val="005E3384"/>
    <w:rsid w:val="00621AC7"/>
    <w:rsid w:val="00645860"/>
    <w:rsid w:val="006665FE"/>
    <w:rsid w:val="00675B50"/>
    <w:rsid w:val="006902F2"/>
    <w:rsid w:val="006D231B"/>
    <w:rsid w:val="006F7E0A"/>
    <w:rsid w:val="00701743"/>
    <w:rsid w:val="007212E9"/>
    <w:rsid w:val="007263C1"/>
    <w:rsid w:val="00765193"/>
    <w:rsid w:val="00776DC4"/>
    <w:rsid w:val="00782AF0"/>
    <w:rsid w:val="00810B92"/>
    <w:rsid w:val="00845688"/>
    <w:rsid w:val="00864ED1"/>
    <w:rsid w:val="00914CBA"/>
    <w:rsid w:val="009437AF"/>
    <w:rsid w:val="0096350C"/>
    <w:rsid w:val="009652F3"/>
    <w:rsid w:val="00A33C5A"/>
    <w:rsid w:val="00A51237"/>
    <w:rsid w:val="00A6470C"/>
    <w:rsid w:val="00A743AA"/>
    <w:rsid w:val="00AB2584"/>
    <w:rsid w:val="00AB65DA"/>
    <w:rsid w:val="00AC4CE3"/>
    <w:rsid w:val="00AE6F8C"/>
    <w:rsid w:val="00B17502"/>
    <w:rsid w:val="00B27E72"/>
    <w:rsid w:val="00B368D5"/>
    <w:rsid w:val="00B5470F"/>
    <w:rsid w:val="00B57AB5"/>
    <w:rsid w:val="00BA43D8"/>
    <w:rsid w:val="00BB790A"/>
    <w:rsid w:val="00C47D84"/>
    <w:rsid w:val="00C54A06"/>
    <w:rsid w:val="00C67777"/>
    <w:rsid w:val="00C94EFF"/>
    <w:rsid w:val="00CA0845"/>
    <w:rsid w:val="00CB188C"/>
    <w:rsid w:val="00CD1A5D"/>
    <w:rsid w:val="00CD7D10"/>
    <w:rsid w:val="00D04DF0"/>
    <w:rsid w:val="00D312FB"/>
    <w:rsid w:val="00D3183C"/>
    <w:rsid w:val="00D74F30"/>
    <w:rsid w:val="00DB0C7E"/>
    <w:rsid w:val="00DB47F7"/>
    <w:rsid w:val="00E477A6"/>
    <w:rsid w:val="00EC3E3F"/>
    <w:rsid w:val="00ED0F46"/>
    <w:rsid w:val="00ED6A02"/>
    <w:rsid w:val="00F06E38"/>
    <w:rsid w:val="00F13328"/>
    <w:rsid w:val="00F20765"/>
    <w:rsid w:val="00F458C5"/>
    <w:rsid w:val="00F60EB4"/>
    <w:rsid w:val="00F74FA7"/>
    <w:rsid w:val="00FA33D1"/>
    <w:rsid w:val="00FC08AB"/>
    <w:rsid w:val="00FD591F"/>
    <w:rsid w:val="00FF0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72C2AF"/>
  <w15:docId w15:val="{14716E4D-6C11-480B-9582-C2901C8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iPriority="6"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237"/>
    <w:pPr>
      <w:spacing w:before="160" w:after="100"/>
    </w:pPr>
    <w:rPr>
      <w:rFonts w:eastAsiaTheme="minorEastAsia"/>
      <w:spacing w:val="2"/>
      <w:sz w:val="20"/>
      <w:szCs w:val="20"/>
      <w:lang w:eastAsia="en-AU"/>
    </w:rPr>
  </w:style>
  <w:style w:type="paragraph" w:styleId="Heading1">
    <w:name w:val="heading 1"/>
    <w:next w:val="Normal"/>
    <w:link w:val="Heading1Char"/>
    <w:qFormat/>
    <w:rsid w:val="00D312FB"/>
    <w:pPr>
      <w:keepNext/>
      <w:keepLines/>
      <w:spacing w:before="600" w:after="600"/>
      <w:outlineLvl w:val="0"/>
    </w:pPr>
    <w:rPr>
      <w:rFonts w:asciiTheme="majorHAnsi" w:eastAsiaTheme="majorEastAsia" w:hAnsiTheme="majorHAnsi" w:cstheme="majorBidi"/>
      <w:b/>
      <w:bCs/>
      <w:color w:val="000000" w:themeColor="text1"/>
      <w:spacing w:val="-1"/>
      <w:sz w:val="36"/>
      <w:szCs w:val="28"/>
      <w:lang w:eastAsia="en-AU"/>
    </w:rPr>
  </w:style>
  <w:style w:type="paragraph" w:styleId="Heading2">
    <w:name w:val="heading 2"/>
    <w:basedOn w:val="Normal"/>
    <w:next w:val="Normal"/>
    <w:link w:val="Heading2Char"/>
    <w:qFormat/>
    <w:rsid w:val="00D312FB"/>
    <w:pPr>
      <w:keepNext/>
      <w:keepLines/>
      <w:spacing w:after="240"/>
      <w:outlineLvl w:val="1"/>
    </w:pPr>
    <w:rPr>
      <w:rFonts w:asciiTheme="majorHAnsi" w:eastAsiaTheme="majorEastAsia" w:hAnsiTheme="majorHAnsi" w:cstheme="majorBidi"/>
      <w:b/>
      <w:bCs/>
      <w:color w:val="595959" w:themeColor="text1" w:themeTint="A6"/>
      <w:sz w:val="28"/>
      <w:szCs w:val="26"/>
    </w:rPr>
  </w:style>
  <w:style w:type="paragraph" w:styleId="Heading3">
    <w:name w:val="heading 3"/>
    <w:basedOn w:val="Normal"/>
    <w:next w:val="Normal"/>
    <w:link w:val="Heading3Char"/>
    <w:semiHidden/>
    <w:qFormat/>
    <w:rsid w:val="00D312FB"/>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qFormat/>
    <w:rsid w:val="00D312FB"/>
    <w:pPr>
      <w:keepNext/>
      <w:keepLines/>
      <w:spacing w:before="200" w:after="0"/>
      <w:outlineLvl w:val="3"/>
    </w:pPr>
    <w:rPr>
      <w:rFonts w:asciiTheme="majorHAnsi" w:eastAsiaTheme="majorEastAsia" w:hAnsiTheme="majorHAnsi" w:cstheme="majorBidi"/>
      <w:b/>
      <w:bCs/>
      <w:iCs/>
      <w:color w:val="53565A"/>
    </w:rPr>
  </w:style>
  <w:style w:type="paragraph" w:styleId="Heading7">
    <w:name w:val="heading 7"/>
    <w:basedOn w:val="Normal"/>
    <w:next w:val="Normal"/>
    <w:link w:val="Heading7Char"/>
    <w:uiPriority w:val="9"/>
    <w:semiHidden/>
    <w:qFormat/>
    <w:rsid w:val="004525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2FB"/>
    <w:rPr>
      <w:rFonts w:asciiTheme="majorHAnsi" w:eastAsiaTheme="majorEastAsia" w:hAnsiTheme="majorHAnsi" w:cstheme="majorBidi"/>
      <w:b/>
      <w:bCs/>
      <w:color w:val="000000" w:themeColor="text1"/>
      <w:spacing w:val="-1"/>
      <w:sz w:val="36"/>
      <w:szCs w:val="28"/>
      <w:lang w:eastAsia="en-AU"/>
    </w:rPr>
  </w:style>
  <w:style w:type="character" w:customStyle="1" w:styleId="Heading2Char">
    <w:name w:val="Heading 2 Char"/>
    <w:basedOn w:val="DefaultParagraphFont"/>
    <w:link w:val="Heading2"/>
    <w:rsid w:val="00D312FB"/>
    <w:rPr>
      <w:rFonts w:asciiTheme="majorHAnsi" w:eastAsiaTheme="majorEastAsia" w:hAnsiTheme="majorHAnsi" w:cstheme="majorBidi"/>
      <w:b/>
      <w:bCs/>
      <w:color w:val="595959" w:themeColor="text1" w:themeTint="A6"/>
      <w:spacing w:val="2"/>
      <w:sz w:val="28"/>
      <w:szCs w:val="26"/>
      <w:lang w:eastAsia="en-AU"/>
    </w:rPr>
  </w:style>
  <w:style w:type="paragraph" w:customStyle="1" w:styleId="Spacer">
    <w:name w:val="Spacer"/>
    <w:basedOn w:val="Normal"/>
    <w:uiPriority w:val="13"/>
    <w:qFormat/>
    <w:rsid w:val="00D312FB"/>
    <w:pPr>
      <w:spacing w:before="0" w:after="0" w:line="120" w:lineRule="atLeast"/>
    </w:pPr>
    <w:rPr>
      <w:rFonts w:eastAsia="Times New Roman" w:cs="Calibri"/>
      <w:spacing w:val="0"/>
      <w:sz w:val="10"/>
      <w:szCs w:val="22"/>
    </w:rPr>
  </w:style>
  <w:style w:type="paragraph" w:customStyle="1" w:styleId="Tabletextheading">
    <w:name w:val="Table text heading"/>
    <w:basedOn w:val="Normal"/>
    <w:link w:val="TabletextheadingChar"/>
    <w:uiPriority w:val="6"/>
    <w:qFormat/>
    <w:rsid w:val="00B27E72"/>
    <w:pPr>
      <w:jc w:val="right"/>
    </w:pPr>
    <w:rPr>
      <w:color w:val="F2F2F2" w:themeColor="background1" w:themeShade="F2"/>
    </w:rPr>
  </w:style>
  <w:style w:type="character" w:customStyle="1" w:styleId="TabletextheadingChar">
    <w:name w:val="Table text heading Char"/>
    <w:link w:val="Tabletextheading"/>
    <w:uiPriority w:val="6"/>
    <w:rsid w:val="00810B92"/>
    <w:rPr>
      <w:rFonts w:ascii="Calibri" w:eastAsia="Calibri" w:hAnsi="Calibri" w:cs="Times New Roman"/>
      <w:color w:val="F2F2F2" w:themeColor="background1" w:themeShade="F2"/>
      <w:szCs w:val="21"/>
    </w:rPr>
  </w:style>
  <w:style w:type="character" w:customStyle="1" w:styleId="Heading3Char">
    <w:name w:val="Heading 3 Char"/>
    <w:basedOn w:val="DefaultParagraphFont"/>
    <w:link w:val="Heading3"/>
    <w:semiHidden/>
    <w:rsid w:val="00A51237"/>
    <w:rPr>
      <w:rFonts w:asciiTheme="majorHAnsi" w:eastAsiaTheme="majorEastAsia" w:hAnsiTheme="majorHAnsi" w:cstheme="majorBidi"/>
      <w:b/>
      <w:bCs/>
      <w:color w:val="4F81BD" w:themeColor="accent1"/>
      <w:spacing w:val="2"/>
      <w:lang w:eastAsia="en-AU"/>
    </w:rPr>
  </w:style>
  <w:style w:type="paragraph" w:styleId="ListParagraph">
    <w:name w:val="List Paragraph"/>
    <w:basedOn w:val="Normal"/>
    <w:uiPriority w:val="34"/>
    <w:semiHidden/>
    <w:qFormat/>
    <w:rsid w:val="00A743AA"/>
    <w:pPr>
      <w:ind w:left="720"/>
      <w:contextualSpacing/>
    </w:pPr>
  </w:style>
  <w:style w:type="paragraph" w:customStyle="1" w:styleId="Bullet1">
    <w:name w:val="Bullet 1"/>
    <w:uiPriority w:val="2"/>
    <w:qFormat/>
    <w:rsid w:val="00D312FB"/>
    <w:pPr>
      <w:numPr>
        <w:numId w:val="16"/>
      </w:numPr>
      <w:spacing w:before="160" w:after="0" w:line="240" w:lineRule="auto"/>
      <w:contextualSpacing/>
    </w:pPr>
    <w:rPr>
      <w:rFonts w:eastAsia="Times New Roman" w:cs="Calibri"/>
      <w:spacing w:val="2"/>
      <w:sz w:val="20"/>
      <w:szCs w:val="20"/>
      <w:lang w:eastAsia="en-AU"/>
    </w:rPr>
  </w:style>
  <w:style w:type="paragraph" w:customStyle="1" w:styleId="Bullet2">
    <w:name w:val="Bullet 2"/>
    <w:basedOn w:val="Bullet1"/>
    <w:uiPriority w:val="2"/>
    <w:qFormat/>
    <w:rsid w:val="00D312FB"/>
    <w:pPr>
      <w:numPr>
        <w:ilvl w:val="1"/>
      </w:numPr>
      <w:spacing w:before="0"/>
    </w:pPr>
  </w:style>
  <w:style w:type="paragraph" w:customStyle="1" w:styleId="Bullet3">
    <w:name w:val="Bullet 3"/>
    <w:basedOn w:val="Normal"/>
    <w:uiPriority w:val="2"/>
    <w:qFormat/>
    <w:rsid w:val="00A743AA"/>
    <w:pPr>
      <w:numPr>
        <w:ilvl w:val="2"/>
        <w:numId w:val="2"/>
      </w:numPr>
    </w:pPr>
  </w:style>
  <w:style w:type="table" w:styleId="TableGrid">
    <w:name w:val="Table Grid"/>
    <w:basedOn w:val="TableNormal"/>
    <w:uiPriority w:val="59"/>
    <w:rsid w:val="00D312FB"/>
    <w:pPr>
      <w:spacing w:before="20" w:after="20" w:line="240" w:lineRule="auto"/>
      <w:jc w:val="right"/>
    </w:pPr>
    <w:rPr>
      <w:spacing w:val="2"/>
      <w:sz w:val="17"/>
      <w:szCs w:val="21"/>
    </w:rPr>
    <w:tblPr>
      <w:tblStyleRowBandSize w:val="1"/>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style>
  <w:style w:type="paragraph" w:customStyle="1" w:styleId="Refnum1">
    <w:name w:val="Ref num 1"/>
    <w:basedOn w:val="Normal"/>
    <w:uiPriority w:val="7"/>
    <w:rsid w:val="00D312FB"/>
    <w:pPr>
      <w:numPr>
        <w:numId w:val="19"/>
      </w:numPr>
      <w:spacing w:line="240" w:lineRule="auto"/>
    </w:pPr>
    <w:rPr>
      <w:rFonts w:eastAsia="Calibri" w:cs="Times New Roman"/>
      <w:color w:val="FFFFFF" w:themeColor="background1"/>
      <w:spacing w:val="0"/>
      <w:sz w:val="18"/>
      <w:szCs w:val="21"/>
      <w:lang w:eastAsia="en-US"/>
    </w:rPr>
  </w:style>
  <w:style w:type="paragraph" w:customStyle="1" w:styleId="Refnum2">
    <w:name w:val="Ref num 2"/>
    <w:basedOn w:val="Refnum1"/>
    <w:uiPriority w:val="7"/>
    <w:rsid w:val="00D312FB"/>
    <w:pPr>
      <w:numPr>
        <w:ilvl w:val="2"/>
      </w:numPr>
    </w:pPr>
    <w:rPr>
      <w:color w:val="auto"/>
    </w:rPr>
  </w:style>
  <w:style w:type="paragraph" w:styleId="Header">
    <w:name w:val="header"/>
    <w:basedOn w:val="Normal"/>
    <w:link w:val="HeaderChar"/>
    <w:uiPriority w:val="99"/>
    <w:semiHidden/>
    <w:rsid w:val="00D312FB"/>
    <w:pPr>
      <w:tabs>
        <w:tab w:val="center" w:pos="4513"/>
        <w:tab w:val="right" w:pos="9026"/>
      </w:tabs>
      <w:spacing w:after="0" w:line="240" w:lineRule="auto"/>
    </w:pPr>
  </w:style>
  <w:style w:type="paragraph" w:customStyle="1" w:styleId="Tabletext">
    <w:name w:val="Table text"/>
    <w:basedOn w:val="Normal"/>
    <w:uiPriority w:val="9"/>
    <w:qFormat/>
    <w:rsid w:val="00D312FB"/>
    <w:pPr>
      <w:spacing w:before="60" w:after="60" w:line="264" w:lineRule="auto"/>
    </w:pPr>
    <w:rPr>
      <w:sz w:val="17"/>
    </w:rPr>
  </w:style>
  <w:style w:type="paragraph" w:customStyle="1" w:styleId="FRDHeader">
    <w:name w:val="FRD Header"/>
    <w:basedOn w:val="Normal"/>
    <w:semiHidden/>
    <w:rsid w:val="00D312FB"/>
    <w:pPr>
      <w:spacing w:before="40" w:after="40" w:line="240" w:lineRule="auto"/>
    </w:pPr>
    <w:rPr>
      <w:rFonts w:eastAsia="Calibri" w:cs="Times New Roman"/>
      <w:color w:val="FFFFFF" w:themeColor="background1"/>
      <w:spacing w:val="0"/>
      <w:sz w:val="30"/>
      <w:szCs w:val="36"/>
      <w:lang w:eastAsia="en-US"/>
    </w:rPr>
  </w:style>
  <w:style w:type="character" w:customStyle="1" w:styleId="HeaderChar">
    <w:name w:val="Header Char"/>
    <w:basedOn w:val="DefaultParagraphFont"/>
    <w:link w:val="Header"/>
    <w:uiPriority w:val="99"/>
    <w:semiHidden/>
    <w:rsid w:val="00D312FB"/>
    <w:rPr>
      <w:rFonts w:eastAsiaTheme="minorEastAsia"/>
      <w:spacing w:val="2"/>
      <w:sz w:val="20"/>
      <w:szCs w:val="20"/>
      <w:lang w:eastAsia="en-AU"/>
    </w:rPr>
  </w:style>
  <w:style w:type="paragraph" w:customStyle="1" w:styleId="FRDNumber">
    <w:name w:val="FRD Number"/>
    <w:basedOn w:val="FRDHeader"/>
    <w:semiHidden/>
    <w:rsid w:val="00D312FB"/>
  </w:style>
  <w:style w:type="paragraph" w:customStyle="1" w:styleId="Normalgrey">
    <w:name w:val="Normal grey"/>
    <w:basedOn w:val="Normal"/>
    <w:uiPriority w:val="2"/>
    <w:unhideWhenUsed/>
    <w:qFormat/>
    <w:rsid w:val="00D312FB"/>
    <w:pPr>
      <w:spacing w:line="264" w:lineRule="auto"/>
    </w:pPr>
    <w:rPr>
      <w:rFonts w:eastAsiaTheme="minorHAnsi"/>
      <w:color w:val="4D4D4D"/>
      <w:sz w:val="18"/>
      <w:szCs w:val="18"/>
      <w:lang w:eastAsia="en-US"/>
    </w:rPr>
  </w:style>
  <w:style w:type="paragraph" w:styleId="TableofFigures">
    <w:name w:val="table of figures"/>
    <w:next w:val="Normal"/>
    <w:uiPriority w:val="8"/>
    <w:qFormat/>
    <w:rsid w:val="00B27E72"/>
    <w:pPr>
      <w:spacing w:after="0" w:line="240" w:lineRule="auto"/>
      <w:jc w:val="right"/>
    </w:pPr>
    <w:rPr>
      <w:rFonts w:ascii="Calibri" w:eastAsia="Calibri" w:hAnsi="Calibri" w:cs="Times New Roman"/>
      <w:color w:val="5E5E56"/>
      <w:sz w:val="20"/>
      <w:szCs w:val="20"/>
    </w:rPr>
  </w:style>
  <w:style w:type="paragraph" w:styleId="NormalIndent">
    <w:name w:val="Normal Indent"/>
    <w:basedOn w:val="Normal"/>
    <w:qFormat/>
    <w:rsid w:val="00D312FB"/>
    <w:pPr>
      <w:spacing w:line="252" w:lineRule="auto"/>
      <w:ind w:left="792"/>
    </w:pPr>
  </w:style>
  <w:style w:type="paragraph" w:customStyle="1" w:styleId="Bullet1grey">
    <w:name w:val="Bullet 1 grey"/>
    <w:basedOn w:val="Bullet1"/>
    <w:uiPriority w:val="3"/>
    <w:unhideWhenUsed/>
    <w:qFormat/>
    <w:rsid w:val="00D312FB"/>
    <w:rPr>
      <w:color w:val="4D4D4D"/>
      <w:sz w:val="18"/>
      <w:szCs w:val="18"/>
      <w:lang w:eastAsia="en-US"/>
    </w:rPr>
  </w:style>
  <w:style w:type="paragraph" w:customStyle="1" w:styleId="Bullet2grey">
    <w:name w:val="Bullet 2 grey"/>
    <w:basedOn w:val="Bullet2"/>
    <w:uiPriority w:val="3"/>
    <w:qFormat/>
    <w:rsid w:val="00D312FB"/>
    <w:rPr>
      <w:color w:val="4D4D4D"/>
      <w:sz w:val="18"/>
      <w:szCs w:val="21"/>
      <w:lang w:eastAsia="en-US"/>
    </w:rPr>
  </w:style>
  <w:style w:type="paragraph" w:customStyle="1" w:styleId="Bullet3grey">
    <w:name w:val="Bullet 3 grey"/>
    <w:basedOn w:val="Bullet3"/>
    <w:uiPriority w:val="3"/>
    <w:unhideWhenUsed/>
    <w:qFormat/>
    <w:rsid w:val="00C67777"/>
    <w:rPr>
      <w:color w:val="5E5E5E"/>
    </w:rPr>
  </w:style>
  <w:style w:type="paragraph" w:styleId="Footer">
    <w:name w:val="footer"/>
    <w:basedOn w:val="Normal"/>
    <w:link w:val="FooterChar"/>
    <w:uiPriority w:val="24"/>
    <w:rsid w:val="00D312FB"/>
    <w:pPr>
      <w:tabs>
        <w:tab w:val="right" w:pos="9026"/>
      </w:tabs>
      <w:spacing w:after="0" w:line="240" w:lineRule="auto"/>
    </w:pPr>
    <w:rPr>
      <w:noProof/>
      <w:sz w:val="18"/>
      <w:szCs w:val="18"/>
    </w:rPr>
  </w:style>
  <w:style w:type="character" w:customStyle="1" w:styleId="FooterChar">
    <w:name w:val="Footer Char"/>
    <w:basedOn w:val="DefaultParagraphFont"/>
    <w:link w:val="Footer"/>
    <w:uiPriority w:val="24"/>
    <w:rsid w:val="00D312FB"/>
    <w:rPr>
      <w:rFonts w:eastAsiaTheme="minorEastAsia"/>
      <w:noProof/>
      <w:spacing w:val="2"/>
      <w:sz w:val="18"/>
      <w:szCs w:val="18"/>
      <w:lang w:eastAsia="en-AU"/>
    </w:rPr>
  </w:style>
  <w:style w:type="paragraph" w:styleId="BalloonText">
    <w:name w:val="Balloon Text"/>
    <w:basedOn w:val="Normal"/>
    <w:link w:val="BalloonTextChar"/>
    <w:uiPriority w:val="99"/>
    <w:semiHidden/>
    <w:rsid w:val="00D31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2FB"/>
    <w:rPr>
      <w:rFonts w:ascii="Tahoma" w:eastAsiaTheme="minorEastAsia" w:hAnsi="Tahoma" w:cs="Tahoma"/>
      <w:spacing w:val="2"/>
      <w:sz w:val="16"/>
      <w:szCs w:val="16"/>
      <w:lang w:eastAsia="en-AU"/>
    </w:rPr>
  </w:style>
  <w:style w:type="paragraph" w:customStyle="1" w:styleId="Normalindentgrey">
    <w:name w:val="Normal indent grey"/>
    <w:basedOn w:val="Normalgrey"/>
    <w:uiPriority w:val="3"/>
    <w:unhideWhenUsed/>
    <w:qFormat/>
    <w:rsid w:val="003A3FB2"/>
    <w:pPr>
      <w:ind w:left="360"/>
    </w:pPr>
  </w:style>
  <w:style w:type="character" w:customStyle="1" w:styleId="Heading7Char">
    <w:name w:val="Heading 7 Char"/>
    <w:basedOn w:val="DefaultParagraphFont"/>
    <w:link w:val="Heading7"/>
    <w:uiPriority w:val="9"/>
    <w:semiHidden/>
    <w:rsid w:val="0045252C"/>
    <w:rPr>
      <w:rFonts w:asciiTheme="majorHAnsi" w:eastAsiaTheme="majorEastAsia" w:hAnsiTheme="majorHAnsi" w:cstheme="majorBidi"/>
      <w:i/>
      <w:iCs/>
      <w:color w:val="404040" w:themeColor="text1" w:themeTint="BF"/>
      <w:szCs w:val="21"/>
    </w:rPr>
  </w:style>
  <w:style w:type="paragraph" w:styleId="Revision">
    <w:name w:val="Revision"/>
    <w:hidden/>
    <w:uiPriority w:val="99"/>
    <w:semiHidden/>
    <w:rsid w:val="005108CE"/>
    <w:pPr>
      <w:spacing w:after="0" w:line="240" w:lineRule="auto"/>
    </w:pPr>
    <w:rPr>
      <w:rFonts w:ascii="Calibri" w:eastAsia="Calibri" w:hAnsi="Calibri" w:cs="Times New Roman"/>
      <w:color w:val="000000" w:themeColor="text1"/>
      <w:szCs w:val="21"/>
    </w:rPr>
  </w:style>
  <w:style w:type="paragraph" w:customStyle="1" w:styleId="Bulletindent">
    <w:name w:val="Bullet indent"/>
    <w:basedOn w:val="Bullet2"/>
    <w:uiPriority w:val="7"/>
    <w:qFormat/>
    <w:rsid w:val="00D312FB"/>
    <w:pPr>
      <w:numPr>
        <w:ilvl w:val="2"/>
      </w:numPr>
    </w:pPr>
  </w:style>
  <w:style w:type="paragraph" w:customStyle="1" w:styleId="Bulletindent2">
    <w:name w:val="Bullet indent 2"/>
    <w:basedOn w:val="Normal"/>
    <w:uiPriority w:val="7"/>
    <w:qFormat/>
    <w:rsid w:val="00D312FB"/>
    <w:pPr>
      <w:numPr>
        <w:ilvl w:val="3"/>
        <w:numId w:val="16"/>
      </w:numPr>
      <w:spacing w:before="100"/>
      <w:contextualSpacing/>
    </w:pPr>
  </w:style>
  <w:style w:type="character" w:styleId="PageNumber">
    <w:name w:val="page number"/>
    <w:uiPriority w:val="49"/>
    <w:semiHidden/>
    <w:rsid w:val="007212E9"/>
    <w:rPr>
      <w:b w:val="0"/>
      <w:color w:val="000000" w:themeColor="text1"/>
    </w:rPr>
  </w:style>
  <w:style w:type="character" w:customStyle="1" w:styleId="Heading4Char">
    <w:name w:val="Heading 4 Char"/>
    <w:basedOn w:val="DefaultParagraphFont"/>
    <w:link w:val="Heading4"/>
    <w:semiHidden/>
    <w:rsid w:val="00D312FB"/>
    <w:rPr>
      <w:rFonts w:asciiTheme="majorHAnsi" w:eastAsiaTheme="majorEastAsia" w:hAnsiTheme="majorHAnsi" w:cstheme="majorBidi"/>
      <w:b/>
      <w:bCs/>
      <w:iCs/>
      <w:color w:val="53565A"/>
      <w:spacing w:val="2"/>
      <w:sz w:val="20"/>
      <w:szCs w:val="20"/>
      <w:lang w:eastAsia="en-AU"/>
    </w:rPr>
  </w:style>
  <w:style w:type="table" w:styleId="LightShading">
    <w:name w:val="Light Shading"/>
    <w:basedOn w:val="TableNormal"/>
    <w:uiPriority w:val="60"/>
    <w:rsid w:val="00D312FB"/>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D312FB"/>
    <w:pPr>
      <w:spacing w:after="0" w:line="240" w:lineRule="auto"/>
    </w:pPr>
    <w:rPr>
      <w:rFonts w:eastAsiaTheme="minorEastAsia"/>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D312FB"/>
    <w:pPr>
      <w:spacing w:after="0" w:line="240" w:lineRule="auto"/>
    </w:pPr>
    <w:rPr>
      <w:rFonts w:eastAsiaTheme="minorEastAsia"/>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D312FB"/>
    <w:pPr>
      <w:tabs>
        <w:tab w:val="right" w:leader="dot" w:pos="9000"/>
      </w:tabs>
      <w:ind w:right="432"/>
    </w:pPr>
    <w:rPr>
      <w:sz w:val="24"/>
      <w:szCs w:val="24"/>
    </w:rPr>
  </w:style>
  <w:style w:type="paragraph" w:styleId="TOC2">
    <w:name w:val="toc 2"/>
    <w:next w:val="Normal"/>
    <w:uiPriority w:val="39"/>
    <w:rsid w:val="00D312FB"/>
    <w:pPr>
      <w:tabs>
        <w:tab w:val="right" w:leader="dot" w:pos="9000"/>
      </w:tabs>
      <w:spacing w:after="100"/>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D312FB"/>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312FB"/>
    <w:pPr>
      <w:spacing w:after="60" w:line="240" w:lineRule="auto"/>
    </w:pPr>
    <w:rPr>
      <w:sz w:val="16"/>
    </w:rPr>
  </w:style>
  <w:style w:type="paragraph" w:styleId="Index2">
    <w:name w:val="index 2"/>
    <w:basedOn w:val="Normal"/>
    <w:next w:val="Normal"/>
    <w:uiPriority w:val="99"/>
    <w:semiHidden/>
    <w:rsid w:val="00D312FB"/>
    <w:pPr>
      <w:spacing w:after="0" w:line="240" w:lineRule="auto"/>
      <w:ind w:left="216"/>
    </w:pPr>
    <w:rPr>
      <w:sz w:val="16"/>
      <w:szCs w:val="16"/>
    </w:rPr>
  </w:style>
  <w:style w:type="character" w:styleId="Hyperlink">
    <w:name w:val="Hyperlink"/>
    <w:basedOn w:val="DefaultParagraphFont"/>
    <w:uiPriority w:val="99"/>
    <w:rsid w:val="00F60EB4"/>
    <w:rPr>
      <w:color w:val="808080" w:themeColor="background1" w:themeShade="80"/>
      <w:u w:val="none"/>
    </w:rPr>
  </w:style>
  <w:style w:type="paragraph" w:customStyle="1" w:styleId="Heading1numbered">
    <w:name w:val="Heading 1 numbered"/>
    <w:basedOn w:val="Heading1"/>
    <w:next w:val="NormalIndent"/>
    <w:uiPriority w:val="4"/>
    <w:semiHidden/>
    <w:qFormat/>
    <w:rsid w:val="00D312FB"/>
  </w:style>
  <w:style w:type="paragraph" w:customStyle="1" w:styleId="Heading2numbered">
    <w:name w:val="Heading 2 numbered"/>
    <w:basedOn w:val="Heading2"/>
    <w:next w:val="NormalIndent"/>
    <w:uiPriority w:val="4"/>
    <w:semiHidden/>
    <w:qFormat/>
    <w:rsid w:val="00D312FB"/>
  </w:style>
  <w:style w:type="paragraph" w:customStyle="1" w:styleId="Heading3numbered">
    <w:name w:val="Heading 3 numbered"/>
    <w:basedOn w:val="Heading3"/>
    <w:next w:val="NormalIndent"/>
    <w:uiPriority w:val="4"/>
    <w:semiHidden/>
    <w:qFormat/>
    <w:rsid w:val="00D312FB"/>
    <w:pPr>
      <w:numPr>
        <w:ilvl w:val="4"/>
        <w:numId w:val="29"/>
      </w:numPr>
    </w:pPr>
  </w:style>
  <w:style w:type="paragraph" w:customStyle="1" w:styleId="Heading4numbered">
    <w:name w:val="Heading 4 numbered"/>
    <w:basedOn w:val="Heading4"/>
    <w:next w:val="NormalIndent"/>
    <w:uiPriority w:val="4"/>
    <w:semiHidden/>
    <w:qFormat/>
    <w:rsid w:val="00D312FB"/>
    <w:pPr>
      <w:numPr>
        <w:ilvl w:val="5"/>
        <w:numId w:val="29"/>
      </w:numPr>
    </w:pPr>
  </w:style>
  <w:style w:type="paragraph" w:customStyle="1" w:styleId="NoteNormal">
    <w:name w:val="Note Normal"/>
    <w:basedOn w:val="Normal"/>
    <w:uiPriority w:val="49"/>
    <w:rsid w:val="00D312FB"/>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9"/>
    <w:semiHidden/>
    <w:rsid w:val="00D312FB"/>
    <w:pPr>
      <w:spacing w:after="0" w:line="440" w:lineRule="exact"/>
    </w:pPr>
    <w:rPr>
      <w:rFonts w:asciiTheme="majorHAnsi" w:eastAsia="Times New Roman" w:hAnsiTheme="majorHAnsi" w:cstheme="majorHAnsi"/>
      <w:color w:val="4F81BD" w:themeColor="accent1"/>
      <w:spacing w:val="-2"/>
      <w:sz w:val="40"/>
      <w:szCs w:val="24"/>
      <w:lang w:eastAsia="en-AU"/>
    </w:rPr>
  </w:style>
  <w:style w:type="character" w:customStyle="1" w:styleId="SubtitleChar">
    <w:name w:val="Subtitle Char"/>
    <w:basedOn w:val="DefaultParagraphFont"/>
    <w:link w:val="Subtitle"/>
    <w:uiPriority w:val="99"/>
    <w:semiHidden/>
    <w:rsid w:val="00D312FB"/>
    <w:rPr>
      <w:rFonts w:asciiTheme="majorHAnsi" w:eastAsia="Times New Roman" w:hAnsiTheme="majorHAnsi" w:cstheme="majorHAnsi"/>
      <w:color w:val="4F81BD" w:themeColor="accent1"/>
      <w:spacing w:val="-2"/>
      <w:sz w:val="40"/>
      <w:szCs w:val="24"/>
      <w:lang w:eastAsia="en-AU"/>
    </w:rPr>
  </w:style>
  <w:style w:type="paragraph" w:customStyle="1" w:styleId="TertiaryTitle">
    <w:name w:val="Tertiary Title"/>
    <w:next w:val="Normal"/>
    <w:uiPriority w:val="99"/>
    <w:semiHidden/>
    <w:rsid w:val="00D312FB"/>
    <w:pPr>
      <w:spacing w:after="0" w:line="440" w:lineRule="exact"/>
    </w:pPr>
    <w:rPr>
      <w:rFonts w:asciiTheme="majorHAnsi" w:eastAsia="Times New Roman" w:hAnsiTheme="majorHAnsi" w:cstheme="majorHAnsi"/>
      <w:color w:val="4F81BD" w:themeColor="accent1"/>
      <w:spacing w:val="-2"/>
      <w:sz w:val="36"/>
      <w:szCs w:val="40"/>
    </w:rPr>
  </w:style>
  <w:style w:type="paragraph" w:styleId="Title">
    <w:name w:val="Title"/>
    <w:link w:val="TitleChar"/>
    <w:uiPriority w:val="99"/>
    <w:semiHidden/>
    <w:rsid w:val="00D312FB"/>
    <w:pPr>
      <w:spacing w:after="300" w:line="252" w:lineRule="auto"/>
    </w:pPr>
    <w:rPr>
      <w:rFonts w:asciiTheme="majorHAnsi" w:eastAsia="Times New Roman" w:hAnsiTheme="majorHAnsi" w:cstheme="majorHAnsi"/>
      <w:b/>
      <w:color w:val="4F81BD" w:themeColor="accent1"/>
      <w:spacing w:val="-2"/>
      <w:sz w:val="60"/>
      <w:lang w:eastAsia="en-AU"/>
    </w:rPr>
  </w:style>
  <w:style w:type="character" w:customStyle="1" w:styleId="TitleChar">
    <w:name w:val="Title Char"/>
    <w:basedOn w:val="DefaultParagraphFont"/>
    <w:link w:val="Title"/>
    <w:uiPriority w:val="99"/>
    <w:semiHidden/>
    <w:rsid w:val="00D312FB"/>
    <w:rPr>
      <w:rFonts w:asciiTheme="majorHAnsi" w:eastAsia="Times New Roman" w:hAnsiTheme="majorHAnsi" w:cstheme="majorHAnsi"/>
      <w:b/>
      <w:color w:val="4F81BD" w:themeColor="accent1"/>
      <w:spacing w:val="-2"/>
      <w:sz w:val="60"/>
      <w:lang w:eastAsia="en-AU"/>
    </w:rPr>
  </w:style>
  <w:style w:type="paragraph" w:styleId="IndexHeading">
    <w:name w:val="index heading"/>
    <w:basedOn w:val="Normal"/>
    <w:next w:val="Index1"/>
    <w:uiPriority w:val="99"/>
    <w:semiHidden/>
    <w:rsid w:val="00D312FB"/>
    <w:rPr>
      <w:rFonts w:asciiTheme="majorHAnsi" w:eastAsiaTheme="majorEastAsia" w:hAnsiTheme="majorHAnsi" w:cstheme="majorBidi"/>
      <w:b/>
      <w:bCs/>
    </w:rPr>
  </w:style>
  <w:style w:type="paragraph" w:styleId="TOCHeading">
    <w:name w:val="TOC Heading"/>
    <w:basedOn w:val="Heading1"/>
    <w:next w:val="Normal"/>
    <w:uiPriority w:val="39"/>
    <w:semiHidden/>
    <w:rsid w:val="00D312FB"/>
    <w:pPr>
      <w:spacing w:before="480" w:after="720"/>
      <w:outlineLvl w:val="9"/>
    </w:pPr>
    <w:rPr>
      <w:spacing w:val="2"/>
    </w:rPr>
  </w:style>
  <w:style w:type="paragraph" w:customStyle="1" w:styleId="NormalTight">
    <w:name w:val="Normal Tight"/>
    <w:uiPriority w:val="99"/>
    <w:semiHidden/>
    <w:rsid w:val="00D312FB"/>
    <w:pPr>
      <w:spacing w:after="0" w:line="240" w:lineRule="auto"/>
      <w:ind w:right="2366"/>
    </w:pPr>
    <w:rPr>
      <w:rFonts w:eastAsia="Times New Roman" w:cs="Calibri"/>
      <w:sz w:val="18"/>
      <w:szCs w:val="19"/>
    </w:rPr>
  </w:style>
  <w:style w:type="paragraph" w:styleId="BodyText">
    <w:name w:val="Body Text"/>
    <w:basedOn w:val="Normal"/>
    <w:link w:val="BodyTextChar"/>
    <w:uiPriority w:val="49"/>
    <w:semiHidden/>
    <w:rsid w:val="00D312FB"/>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D312FB"/>
    <w:rPr>
      <w:rFonts w:ascii="Calibri" w:eastAsia="Times New Roman" w:hAnsi="Calibri" w:cs="Calibri"/>
      <w:lang w:eastAsia="en-AU"/>
    </w:rPr>
  </w:style>
  <w:style w:type="paragraph" w:customStyle="1" w:styleId="Insidecoverspacer">
    <w:name w:val="Inside cover spacer"/>
    <w:basedOn w:val="NormalTight"/>
    <w:uiPriority w:val="99"/>
    <w:semiHidden/>
    <w:qFormat/>
    <w:rsid w:val="00D312FB"/>
    <w:pPr>
      <w:spacing w:before="5800"/>
      <w:ind w:right="1382"/>
    </w:pPr>
  </w:style>
  <w:style w:type="paragraph" w:styleId="TOC4">
    <w:name w:val="toc 4"/>
    <w:basedOn w:val="TOC1"/>
    <w:next w:val="Normal"/>
    <w:uiPriority w:val="39"/>
    <w:semiHidden/>
    <w:rsid w:val="00D312FB"/>
    <w:pPr>
      <w:ind w:left="450" w:hanging="450"/>
    </w:pPr>
    <w:rPr>
      <w:noProof/>
      <w:lang w:eastAsia="en-US"/>
    </w:rPr>
  </w:style>
  <w:style w:type="paragraph" w:styleId="TOC5">
    <w:name w:val="toc 5"/>
    <w:basedOn w:val="TOC2"/>
    <w:next w:val="Normal"/>
    <w:uiPriority w:val="39"/>
    <w:semiHidden/>
    <w:rsid w:val="00D312FB"/>
    <w:pPr>
      <w:ind w:left="1080" w:hanging="634"/>
    </w:pPr>
    <w:rPr>
      <w:lang w:eastAsia="en-US"/>
    </w:rPr>
  </w:style>
  <w:style w:type="paragraph" w:styleId="TOC6">
    <w:name w:val="toc 6"/>
    <w:basedOn w:val="TOC3"/>
    <w:next w:val="Normal"/>
    <w:uiPriority w:val="39"/>
    <w:semiHidden/>
    <w:rsid w:val="00D312FB"/>
    <w:pPr>
      <w:ind w:left="1800" w:hanging="720"/>
    </w:pPr>
    <w:rPr>
      <w:lang w:eastAsia="en-US"/>
    </w:rPr>
  </w:style>
  <w:style w:type="table" w:customStyle="1" w:styleId="DTFtexttable">
    <w:name w:val="DTF text table"/>
    <w:basedOn w:val="TableGrid"/>
    <w:uiPriority w:val="99"/>
    <w:rsid w:val="00D312FB"/>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D312F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AF1DD" w:themeFill="accent3" w:themeFillTint="33"/>
      </w:tcPr>
    </w:tblStylePr>
    <w:tblStylePr w:type="band1Vert">
      <w:pPr>
        <w:jc w:val="right"/>
      </w:pPr>
    </w:tblStylePr>
    <w:tblStylePr w:type="band2Vert">
      <w:pPr>
        <w:jc w:val="right"/>
      </w:pPr>
    </w:tblStylePr>
    <w:tblStylePr w:type="band2Horz">
      <w:tblPr/>
      <w:tcPr>
        <w:shd w:val="clear" w:color="auto" w:fill="EAF1DD"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8"/>
    <w:qFormat/>
    <w:rsid w:val="00D312FB"/>
    <w:pPr>
      <w:jc w:val="right"/>
    </w:pPr>
  </w:style>
  <w:style w:type="paragraph" w:customStyle="1" w:styleId="Listnumindent2">
    <w:name w:val="List num indent 2"/>
    <w:basedOn w:val="Normal"/>
    <w:uiPriority w:val="7"/>
    <w:qFormat/>
    <w:rsid w:val="00D312FB"/>
    <w:pPr>
      <w:numPr>
        <w:ilvl w:val="7"/>
        <w:numId w:val="29"/>
      </w:numPr>
      <w:spacing w:before="100"/>
      <w:contextualSpacing/>
    </w:pPr>
  </w:style>
  <w:style w:type="paragraph" w:customStyle="1" w:styleId="Listnumindent">
    <w:name w:val="List num indent"/>
    <w:basedOn w:val="Normal"/>
    <w:uiPriority w:val="7"/>
    <w:qFormat/>
    <w:rsid w:val="00D312FB"/>
    <w:pPr>
      <w:numPr>
        <w:ilvl w:val="6"/>
        <w:numId w:val="29"/>
      </w:numPr>
      <w:spacing w:before="100"/>
    </w:pPr>
  </w:style>
  <w:style w:type="paragraph" w:customStyle="1" w:styleId="Listnum">
    <w:name w:val="List num"/>
    <w:basedOn w:val="Normal"/>
    <w:uiPriority w:val="1"/>
    <w:qFormat/>
    <w:rsid w:val="0058637F"/>
    <w:pPr>
      <w:numPr>
        <w:numId w:val="29"/>
      </w:numPr>
      <w:contextualSpacing/>
    </w:pPr>
    <w:rPr>
      <w:sz w:val="18"/>
    </w:rPr>
  </w:style>
  <w:style w:type="paragraph" w:customStyle="1" w:styleId="Listnum2">
    <w:name w:val="List num 2"/>
    <w:basedOn w:val="Normal"/>
    <w:uiPriority w:val="1"/>
    <w:qFormat/>
    <w:rsid w:val="00D312FB"/>
    <w:pPr>
      <w:numPr>
        <w:ilvl w:val="1"/>
        <w:numId w:val="29"/>
      </w:numPr>
      <w:contextualSpacing/>
    </w:pPr>
    <w:rPr>
      <w:sz w:val="18"/>
    </w:rPr>
  </w:style>
  <w:style w:type="paragraph" w:customStyle="1" w:styleId="Tabletextcentred">
    <w:name w:val="Table text centred"/>
    <w:basedOn w:val="Tabletext"/>
    <w:uiPriority w:val="8"/>
    <w:qFormat/>
    <w:rsid w:val="00D312FB"/>
    <w:pPr>
      <w:jc w:val="center"/>
    </w:pPr>
  </w:style>
  <w:style w:type="paragraph" w:customStyle="1" w:styleId="Tableheader">
    <w:name w:val="Table header"/>
    <w:basedOn w:val="Tabletext"/>
    <w:uiPriority w:val="8"/>
    <w:qFormat/>
    <w:rsid w:val="00D312FB"/>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9"/>
    <w:rsid w:val="00D312FB"/>
    <w:pPr>
      <w:numPr>
        <w:numId w:val="18"/>
      </w:numPr>
    </w:pPr>
  </w:style>
  <w:style w:type="paragraph" w:customStyle="1" w:styleId="Tabledash">
    <w:name w:val="Table dash"/>
    <w:basedOn w:val="Tablebullet"/>
    <w:uiPriority w:val="9"/>
    <w:rsid w:val="00D312FB"/>
    <w:pPr>
      <w:numPr>
        <w:ilvl w:val="1"/>
      </w:numPr>
    </w:pPr>
  </w:style>
  <w:style w:type="paragraph" w:customStyle="1" w:styleId="Tabletextindent">
    <w:name w:val="Table text indent"/>
    <w:basedOn w:val="Tabletext"/>
    <w:uiPriority w:val="8"/>
    <w:qFormat/>
    <w:rsid w:val="00D312FB"/>
    <w:pPr>
      <w:ind w:left="288"/>
    </w:pPr>
  </w:style>
  <w:style w:type="paragraph" w:customStyle="1" w:styleId="Normalbold">
    <w:name w:val="Normal bold"/>
    <w:basedOn w:val="Normal"/>
    <w:qFormat/>
    <w:rsid w:val="00D312FB"/>
    <w:pPr>
      <w:spacing w:line="264" w:lineRule="auto"/>
    </w:pPr>
    <w:rPr>
      <w:rFonts w:eastAsiaTheme="minorHAnsi"/>
      <w:b/>
      <w:sz w:val="18"/>
      <w:szCs w:val="18"/>
      <w:lang w:eastAsia="en-US"/>
    </w:rPr>
  </w:style>
  <w:style w:type="paragraph" w:customStyle="1" w:styleId="Listnumgrey">
    <w:name w:val="List num grey"/>
    <w:basedOn w:val="Listnum"/>
    <w:uiPriority w:val="3"/>
    <w:qFormat/>
    <w:rsid w:val="00D312FB"/>
    <w:pPr>
      <w:numPr>
        <w:ilvl w:val="2"/>
      </w:numPr>
      <w:spacing w:line="264" w:lineRule="auto"/>
    </w:pPr>
    <w:rPr>
      <w:rFonts w:eastAsiaTheme="minorHAnsi"/>
      <w:color w:val="4D4D4D"/>
      <w:szCs w:val="21"/>
      <w:lang w:eastAsia="en-US"/>
    </w:rPr>
  </w:style>
  <w:style w:type="paragraph" w:customStyle="1" w:styleId="Listnum2grey">
    <w:name w:val="List num 2 grey"/>
    <w:basedOn w:val="Listnum2"/>
    <w:uiPriority w:val="4"/>
    <w:qFormat/>
    <w:rsid w:val="00D312FB"/>
    <w:pPr>
      <w:numPr>
        <w:ilvl w:val="3"/>
      </w:numPr>
      <w:spacing w:line="264" w:lineRule="auto"/>
    </w:pPr>
    <w:rPr>
      <w:rFonts w:eastAsiaTheme="minorHAnsi"/>
      <w:color w:val="4D4D4D"/>
      <w:szCs w:val="21"/>
      <w:lang w:eastAsia="en-US"/>
    </w:rPr>
  </w:style>
  <w:style w:type="paragraph" w:customStyle="1" w:styleId="Refnum1grey">
    <w:name w:val="Ref num 1 grey"/>
    <w:basedOn w:val="Refnum1"/>
    <w:uiPriority w:val="7"/>
    <w:qFormat/>
    <w:rsid w:val="00D312FB"/>
    <w:rPr>
      <w:color w:val="F2F2F2" w:themeColor="background1" w:themeShade="F2"/>
    </w:rPr>
  </w:style>
  <w:style w:type="paragraph" w:customStyle="1" w:styleId="Refnum2grey">
    <w:name w:val="Ref num 2 grey"/>
    <w:basedOn w:val="Normal"/>
    <w:rsid w:val="00D312FB"/>
    <w:pPr>
      <w:numPr>
        <w:ilvl w:val="1"/>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8AA352-6410-443E-94E4-37A051C052D1}">
  <ds:schemaRefs>
    <ds:schemaRef ds:uri="http://schemas.openxmlformats.org/officeDocument/2006/bibliography"/>
  </ds:schemaRefs>
</ds:datastoreItem>
</file>

<file path=customXml/itemProps2.xml><?xml version="1.0" encoding="utf-8"?>
<ds:datastoreItem xmlns:ds="http://schemas.openxmlformats.org/officeDocument/2006/customXml" ds:itemID="{D07986B7-56EE-4059-910A-BE23A28CB62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2</Pages>
  <Words>474</Words>
  <Characters>2703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Lam</dc:creator>
  <cp:lastModifiedBy>Natalie Maroki (DTF)</cp:lastModifiedBy>
  <cp:revision>2</cp:revision>
  <cp:lastPrinted>2016-06-07T06:11:00Z</cp:lastPrinted>
  <dcterms:created xsi:type="dcterms:W3CDTF">2022-04-28T02:36:00Z</dcterms:created>
  <dcterms:modified xsi:type="dcterms:W3CDTF">2022-04-28T02:36:00Z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0745118c-3b5b-4d59-9d85-6e3daa054494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2022-04-28T02:36:16Z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22ca23fb-4b9b-4e1a-930f-a24a1b1e76eb</vt:lpwstr>
  </property>
  <property fmtid="{D5CDD505-2E9C-101B-9397-08002B2CF9AE}" pid="10" name="MSIP_Label_7158ebbd-6c5e-441f-bfc9-4eb8c11e3978_ContentBits">
    <vt:lpwstr>2</vt:lpwstr>
  </property>
</Properties>
</file>