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237" w:type="dxa"/>
        <w:tblLayout w:type="fixed"/>
        <w:tblLook w:val="0620" w:firstRow="1" w:lastRow="0" w:firstColumn="0" w:lastColumn="0" w:noHBand="1" w:noVBand="1"/>
      </w:tblPr>
      <w:tblGrid>
        <w:gridCol w:w="2293"/>
        <w:gridCol w:w="270"/>
        <w:gridCol w:w="540"/>
        <w:gridCol w:w="6134"/>
      </w:tblGrid>
      <w:tr w:rsidR="006C78FB" w:rsidRPr="00231BD3" w14:paraId="168B5E89" w14:textId="77777777" w:rsidTr="00FF051E">
        <w:trPr>
          <w:cnfStyle w:val="100000000000" w:firstRow="1" w:lastRow="0" w:firstColumn="0" w:lastColumn="0" w:oddVBand="0" w:evenVBand="0" w:oddHBand="0" w:evenHBand="0" w:firstRowFirstColumn="0" w:firstRowLastColumn="0" w:lastRowFirstColumn="0" w:lastRowLastColumn="0"/>
        </w:trPr>
        <w:tc>
          <w:tcPr>
            <w:tcW w:w="2293" w:type="dxa"/>
          </w:tcPr>
          <w:p w14:paraId="74590342" w14:textId="1345ACCB" w:rsidR="006C78FB" w:rsidRPr="00231BD3" w:rsidRDefault="00E822F8" w:rsidP="00B8224B">
            <w:pPr>
              <w:pStyle w:val="FRDNumber"/>
            </w:pPr>
            <w:r>
              <w:rPr>
                <w:rFonts w:ascii="Arial" w:hAnsi="Arial" w:cs="Arial"/>
              </w:rPr>
              <w:t>FRD 3</w:t>
            </w:r>
          </w:p>
        </w:tc>
        <w:tc>
          <w:tcPr>
            <w:tcW w:w="270" w:type="dxa"/>
          </w:tcPr>
          <w:p w14:paraId="15DEE3F4" w14:textId="77777777" w:rsidR="006C78FB" w:rsidRPr="00231BD3" w:rsidRDefault="006C78FB" w:rsidP="00B8224B"/>
        </w:tc>
        <w:tc>
          <w:tcPr>
            <w:tcW w:w="540" w:type="dxa"/>
          </w:tcPr>
          <w:p w14:paraId="22DBCD8D" w14:textId="77777777" w:rsidR="006C78FB" w:rsidRPr="00231BD3" w:rsidRDefault="006C78FB" w:rsidP="00B8224B"/>
        </w:tc>
        <w:tc>
          <w:tcPr>
            <w:tcW w:w="6134" w:type="dxa"/>
          </w:tcPr>
          <w:p w14:paraId="65695FC1" w14:textId="7302A329" w:rsidR="006C78FB" w:rsidRPr="00231BD3" w:rsidRDefault="00E822F8" w:rsidP="00B8224B">
            <w:pPr>
              <w:pStyle w:val="FRDHeader"/>
            </w:pPr>
            <w:r>
              <w:rPr>
                <w:rFonts w:ascii="Arial" w:hAnsi="Arial" w:cs="Arial"/>
              </w:rPr>
              <w:t>Accounting for Dividends</w:t>
            </w:r>
            <w:r w:rsidR="008C707F">
              <w:rPr>
                <w:rFonts w:ascii="Arial" w:hAnsi="Arial" w:cs="Arial"/>
              </w:rPr>
              <w:t xml:space="preserve"> (</w:t>
            </w:r>
            <w:r w:rsidR="002A3E2C">
              <w:rPr>
                <w:rFonts w:ascii="Arial" w:hAnsi="Arial" w:cs="Arial"/>
              </w:rPr>
              <w:t>April</w:t>
            </w:r>
            <w:r w:rsidR="009B11DA">
              <w:rPr>
                <w:rFonts w:ascii="Arial" w:hAnsi="Arial" w:cs="Arial"/>
              </w:rPr>
              <w:t xml:space="preserve"> 202</w:t>
            </w:r>
            <w:r w:rsidR="002A3E2C">
              <w:rPr>
                <w:rFonts w:ascii="Arial" w:hAnsi="Arial" w:cs="Arial"/>
              </w:rPr>
              <w:t>2</w:t>
            </w:r>
            <w:r w:rsidR="008C707F">
              <w:rPr>
                <w:rFonts w:ascii="Arial" w:hAnsi="Arial" w:cs="Arial"/>
              </w:rPr>
              <w:t xml:space="preserve">) </w:t>
            </w:r>
          </w:p>
        </w:tc>
      </w:tr>
      <w:tr w:rsidR="006C78FB" w:rsidRPr="00E10ADB" w14:paraId="710B5DD7" w14:textId="77777777" w:rsidTr="00B8224B">
        <w:trPr>
          <w:trHeight w:hRule="exact" w:val="120"/>
        </w:trPr>
        <w:tc>
          <w:tcPr>
            <w:tcW w:w="2293" w:type="dxa"/>
          </w:tcPr>
          <w:p w14:paraId="7BB66510" w14:textId="77777777" w:rsidR="006C78FB" w:rsidRPr="008A601F" w:rsidRDefault="006C78FB" w:rsidP="00B8224B">
            <w:pPr>
              <w:pStyle w:val="Tabletext"/>
            </w:pPr>
          </w:p>
        </w:tc>
        <w:tc>
          <w:tcPr>
            <w:tcW w:w="270" w:type="dxa"/>
          </w:tcPr>
          <w:p w14:paraId="1F5018F7" w14:textId="77777777" w:rsidR="006C78FB" w:rsidRPr="008A601F" w:rsidRDefault="006C78FB" w:rsidP="006D66F9">
            <w:pPr>
              <w:pStyle w:val="Normalgrey"/>
            </w:pPr>
          </w:p>
        </w:tc>
        <w:tc>
          <w:tcPr>
            <w:tcW w:w="540" w:type="dxa"/>
          </w:tcPr>
          <w:p w14:paraId="5EDA82D6" w14:textId="77777777" w:rsidR="006C78FB" w:rsidRPr="008A601F" w:rsidRDefault="006C78FB" w:rsidP="00B8224B"/>
        </w:tc>
        <w:tc>
          <w:tcPr>
            <w:tcW w:w="6134" w:type="dxa"/>
          </w:tcPr>
          <w:p w14:paraId="7FDA340A" w14:textId="77777777" w:rsidR="006C78FB" w:rsidRPr="008A601F" w:rsidRDefault="006C78FB" w:rsidP="00B8224B"/>
        </w:tc>
      </w:tr>
      <w:tr w:rsidR="005828FE" w:rsidRPr="005828FE" w14:paraId="7DA4C92D" w14:textId="77777777" w:rsidTr="00B8224B">
        <w:tc>
          <w:tcPr>
            <w:tcW w:w="2293" w:type="dxa"/>
          </w:tcPr>
          <w:p w14:paraId="5C1BE4D5" w14:textId="77777777" w:rsidR="006C78FB" w:rsidRPr="005828FE" w:rsidRDefault="006C78FB" w:rsidP="00382EE1">
            <w:pPr>
              <w:pStyle w:val="Normalgrey"/>
            </w:pPr>
            <w:r w:rsidRPr="005828FE">
              <w:t>Purpose</w:t>
            </w:r>
          </w:p>
        </w:tc>
        <w:tc>
          <w:tcPr>
            <w:tcW w:w="270" w:type="dxa"/>
          </w:tcPr>
          <w:p w14:paraId="3526B697" w14:textId="77777777" w:rsidR="006C78FB" w:rsidRPr="005828FE" w:rsidRDefault="006C78FB" w:rsidP="00286F9A">
            <w:pPr>
              <w:pStyle w:val="Normalgrey"/>
            </w:pPr>
          </w:p>
        </w:tc>
        <w:tc>
          <w:tcPr>
            <w:tcW w:w="540" w:type="dxa"/>
          </w:tcPr>
          <w:p w14:paraId="29379852" w14:textId="77777777" w:rsidR="006C78FB" w:rsidRPr="005828FE" w:rsidRDefault="00894952" w:rsidP="006519F6">
            <w:pPr>
              <w:pStyle w:val="Normalgrey"/>
            </w:pPr>
            <w:r>
              <w:t>1.1</w:t>
            </w:r>
          </w:p>
        </w:tc>
        <w:tc>
          <w:tcPr>
            <w:tcW w:w="6134" w:type="dxa"/>
          </w:tcPr>
          <w:p w14:paraId="54DB56FB" w14:textId="77777777" w:rsidR="006C78FB" w:rsidRPr="00E822F8" w:rsidRDefault="00E822F8" w:rsidP="00E822F8">
            <w:pPr>
              <w:pStyle w:val="Normalgrey"/>
            </w:pPr>
            <w:r>
              <w:t>To mandate when a liability for dividends is recognised and how it is disclosed in the financial report.</w:t>
            </w:r>
          </w:p>
        </w:tc>
      </w:tr>
      <w:tr w:rsidR="006C78FB" w:rsidRPr="005828FE" w14:paraId="4A9C91AB" w14:textId="77777777" w:rsidTr="00963C94">
        <w:tc>
          <w:tcPr>
            <w:tcW w:w="2293" w:type="dxa"/>
            <w:shd w:val="clear" w:color="auto" w:fill="F2F2F2" w:themeFill="background1" w:themeFillShade="F2"/>
          </w:tcPr>
          <w:p w14:paraId="35C6B610" w14:textId="77777777" w:rsidR="006C78FB" w:rsidRPr="005828FE" w:rsidRDefault="006C78FB" w:rsidP="00A516DE">
            <w:pPr>
              <w:pStyle w:val="Normalbold"/>
            </w:pPr>
            <w:r w:rsidRPr="005828FE">
              <w:t>Application</w:t>
            </w:r>
          </w:p>
        </w:tc>
        <w:tc>
          <w:tcPr>
            <w:tcW w:w="270" w:type="dxa"/>
            <w:shd w:val="clear" w:color="auto" w:fill="F2F2F2" w:themeFill="background1" w:themeFillShade="F2"/>
          </w:tcPr>
          <w:p w14:paraId="23436140" w14:textId="77777777" w:rsidR="006C78FB" w:rsidRPr="008B2A17" w:rsidRDefault="006C78FB" w:rsidP="00286F9A">
            <w:pPr>
              <w:pStyle w:val="Normalgrey"/>
            </w:pPr>
          </w:p>
        </w:tc>
        <w:tc>
          <w:tcPr>
            <w:tcW w:w="540" w:type="dxa"/>
            <w:shd w:val="clear" w:color="auto" w:fill="F2F2F2" w:themeFill="background1" w:themeFillShade="F2"/>
          </w:tcPr>
          <w:p w14:paraId="6AF69B21" w14:textId="77777777" w:rsidR="006C78FB" w:rsidRPr="0059315E" w:rsidRDefault="00894952" w:rsidP="00286F9A">
            <w:pPr>
              <w:pStyle w:val="Normalgrey"/>
              <w:rPr>
                <w:b/>
                <w:bCs/>
                <w:color w:val="auto"/>
              </w:rPr>
            </w:pPr>
            <w:r w:rsidRPr="0059315E">
              <w:rPr>
                <w:b/>
                <w:bCs/>
                <w:color w:val="auto"/>
              </w:rPr>
              <w:t>2.1</w:t>
            </w:r>
          </w:p>
        </w:tc>
        <w:tc>
          <w:tcPr>
            <w:tcW w:w="6134" w:type="dxa"/>
            <w:shd w:val="clear" w:color="auto" w:fill="F2F2F2" w:themeFill="background1" w:themeFillShade="F2"/>
          </w:tcPr>
          <w:p w14:paraId="11AA3AC0" w14:textId="77777777" w:rsidR="006C78FB" w:rsidRPr="00E822F8" w:rsidRDefault="00E822F8" w:rsidP="00E822F8">
            <w:pPr>
              <w:pStyle w:val="Normalbold"/>
            </w:pPr>
            <w:r>
              <w:t xml:space="preserve">Applies to all entities defined as either a public body or a department under section 3 of the </w:t>
            </w:r>
            <w:r>
              <w:rPr>
                <w:i/>
                <w:iCs/>
              </w:rPr>
              <w:t xml:space="preserve">Financial Management Act </w:t>
            </w:r>
            <w:r>
              <w:t>1994.  Application to State-owned corporations is encouraged.</w:t>
            </w:r>
          </w:p>
        </w:tc>
      </w:tr>
      <w:tr w:rsidR="006C78FB" w:rsidRPr="005828FE" w14:paraId="0FA29E66" w14:textId="77777777" w:rsidTr="00963C94">
        <w:tc>
          <w:tcPr>
            <w:tcW w:w="2293" w:type="dxa"/>
            <w:shd w:val="clear" w:color="auto" w:fill="F2F2F2" w:themeFill="background1" w:themeFillShade="F2"/>
          </w:tcPr>
          <w:p w14:paraId="738D369E" w14:textId="77777777" w:rsidR="006C78FB" w:rsidRPr="005828FE" w:rsidRDefault="006C78FB" w:rsidP="00A516DE">
            <w:pPr>
              <w:pStyle w:val="Normalbold"/>
            </w:pPr>
            <w:r w:rsidRPr="005828FE">
              <w:t>Operative date</w:t>
            </w:r>
          </w:p>
        </w:tc>
        <w:tc>
          <w:tcPr>
            <w:tcW w:w="270" w:type="dxa"/>
            <w:shd w:val="clear" w:color="auto" w:fill="F2F2F2" w:themeFill="background1" w:themeFillShade="F2"/>
          </w:tcPr>
          <w:p w14:paraId="0B754203" w14:textId="77777777" w:rsidR="006C78FB" w:rsidRPr="008B2A17" w:rsidRDefault="006C78FB" w:rsidP="00286F9A">
            <w:pPr>
              <w:pStyle w:val="Normalgrey"/>
            </w:pPr>
          </w:p>
        </w:tc>
        <w:tc>
          <w:tcPr>
            <w:tcW w:w="540" w:type="dxa"/>
            <w:shd w:val="clear" w:color="auto" w:fill="F2F2F2" w:themeFill="background1" w:themeFillShade="F2"/>
          </w:tcPr>
          <w:p w14:paraId="2C72353F" w14:textId="77777777" w:rsidR="006C78FB" w:rsidRPr="0059315E" w:rsidRDefault="00894952" w:rsidP="00286F9A">
            <w:pPr>
              <w:pStyle w:val="Normalgrey"/>
              <w:rPr>
                <w:b/>
                <w:bCs/>
                <w:color w:val="auto"/>
              </w:rPr>
            </w:pPr>
            <w:r w:rsidRPr="0059315E">
              <w:rPr>
                <w:b/>
                <w:bCs/>
                <w:color w:val="auto"/>
              </w:rPr>
              <w:t>3.1</w:t>
            </w:r>
          </w:p>
        </w:tc>
        <w:tc>
          <w:tcPr>
            <w:tcW w:w="6134" w:type="dxa"/>
            <w:shd w:val="clear" w:color="auto" w:fill="F2F2F2" w:themeFill="background1" w:themeFillShade="F2"/>
          </w:tcPr>
          <w:p w14:paraId="0294558C" w14:textId="473A5DAC" w:rsidR="006C78FB" w:rsidRPr="005828FE" w:rsidRDefault="00E822F8" w:rsidP="0059315E">
            <w:pPr>
              <w:pStyle w:val="Normalbold"/>
            </w:pPr>
            <w:r w:rsidRPr="00E822F8">
              <w:t>Reporting periods commencing 1 July 2005.</w:t>
            </w:r>
          </w:p>
        </w:tc>
      </w:tr>
      <w:tr w:rsidR="009B11DA" w:rsidRPr="005828FE" w14:paraId="1B99C365" w14:textId="77777777" w:rsidTr="00963C94">
        <w:tc>
          <w:tcPr>
            <w:tcW w:w="2293" w:type="dxa"/>
            <w:shd w:val="clear" w:color="auto" w:fill="F2F2F2" w:themeFill="background1" w:themeFillShade="F2"/>
          </w:tcPr>
          <w:p w14:paraId="20E34BC5" w14:textId="77777777" w:rsidR="009B11DA" w:rsidRPr="005828FE" w:rsidRDefault="009B11DA" w:rsidP="00A516DE">
            <w:pPr>
              <w:pStyle w:val="Normalbold"/>
            </w:pPr>
          </w:p>
        </w:tc>
        <w:tc>
          <w:tcPr>
            <w:tcW w:w="270" w:type="dxa"/>
            <w:shd w:val="clear" w:color="auto" w:fill="F2F2F2" w:themeFill="background1" w:themeFillShade="F2"/>
          </w:tcPr>
          <w:p w14:paraId="4ADE927E" w14:textId="77777777" w:rsidR="009B11DA" w:rsidRPr="008B2A17" w:rsidRDefault="009B11DA" w:rsidP="00286F9A">
            <w:pPr>
              <w:pStyle w:val="Normalgrey"/>
            </w:pPr>
          </w:p>
        </w:tc>
        <w:tc>
          <w:tcPr>
            <w:tcW w:w="540" w:type="dxa"/>
            <w:shd w:val="clear" w:color="auto" w:fill="F2F2F2" w:themeFill="background1" w:themeFillShade="F2"/>
          </w:tcPr>
          <w:p w14:paraId="57A6C204" w14:textId="3EDFED2B" w:rsidR="009B11DA" w:rsidRPr="0059315E" w:rsidRDefault="009B11DA" w:rsidP="00286F9A">
            <w:pPr>
              <w:pStyle w:val="Normalgrey"/>
              <w:rPr>
                <w:b/>
                <w:bCs/>
                <w:color w:val="auto"/>
              </w:rPr>
            </w:pPr>
            <w:r w:rsidRPr="0059315E">
              <w:rPr>
                <w:b/>
                <w:bCs/>
                <w:color w:val="auto"/>
              </w:rPr>
              <w:t>3.2</w:t>
            </w:r>
          </w:p>
        </w:tc>
        <w:tc>
          <w:tcPr>
            <w:tcW w:w="6134" w:type="dxa"/>
            <w:shd w:val="clear" w:color="auto" w:fill="F2F2F2" w:themeFill="background1" w:themeFillShade="F2"/>
          </w:tcPr>
          <w:p w14:paraId="336DEFEA" w14:textId="69EEA1D7" w:rsidR="009B11DA" w:rsidRPr="00E822F8" w:rsidRDefault="00F511A2" w:rsidP="009B11DA">
            <w:pPr>
              <w:pStyle w:val="Bullet1"/>
              <w:numPr>
                <w:ilvl w:val="0"/>
                <w:numId w:val="0"/>
              </w:numPr>
              <w:rPr>
                <w:b/>
              </w:rPr>
            </w:pPr>
            <w:r w:rsidRPr="009B11DA">
              <w:rPr>
                <w:b/>
                <w:bCs/>
              </w:rPr>
              <w:t xml:space="preserve">FRD 3A </w:t>
            </w:r>
            <w:r w:rsidRPr="009B11DA">
              <w:rPr>
                <w:b/>
                <w:bCs/>
                <w:i/>
              </w:rPr>
              <w:t>Accounting for Dividends</w:t>
            </w:r>
            <w:r w:rsidRPr="009B11DA">
              <w:rPr>
                <w:b/>
                <w:bCs/>
              </w:rPr>
              <w:t xml:space="preserve"> is renamed to FRD 3 </w:t>
            </w:r>
            <w:r w:rsidRPr="009B11DA">
              <w:rPr>
                <w:b/>
                <w:bCs/>
                <w:i/>
              </w:rPr>
              <w:t xml:space="preserve">Accounting for Dividends </w:t>
            </w:r>
            <w:r w:rsidRPr="009B11DA">
              <w:rPr>
                <w:b/>
                <w:bCs/>
              </w:rPr>
              <w:t xml:space="preserve">effective 1 </w:t>
            </w:r>
            <w:r>
              <w:rPr>
                <w:b/>
                <w:bCs/>
              </w:rPr>
              <w:t xml:space="preserve">April </w:t>
            </w:r>
            <w:r w:rsidRPr="009B11DA">
              <w:rPr>
                <w:b/>
                <w:bCs/>
              </w:rPr>
              <w:t>202</w:t>
            </w:r>
            <w:r>
              <w:rPr>
                <w:b/>
                <w:bCs/>
              </w:rPr>
              <w:t>2</w:t>
            </w:r>
            <w:r w:rsidRPr="009B11DA">
              <w:rPr>
                <w:b/>
                <w:bCs/>
              </w:rPr>
              <w:t>.</w:t>
            </w:r>
          </w:p>
        </w:tc>
      </w:tr>
      <w:tr w:rsidR="00BC6691" w:rsidRPr="005828FE" w14:paraId="2E569933" w14:textId="77777777" w:rsidTr="00A0322D">
        <w:tc>
          <w:tcPr>
            <w:tcW w:w="2293" w:type="dxa"/>
            <w:shd w:val="clear" w:color="auto" w:fill="F2F2F2" w:themeFill="background1" w:themeFillShade="F2"/>
          </w:tcPr>
          <w:p w14:paraId="6CA36DEB" w14:textId="77777777" w:rsidR="00BC6691" w:rsidRPr="005828FE" w:rsidRDefault="00BC6691" w:rsidP="00A0322D">
            <w:pPr>
              <w:pStyle w:val="Normalbold"/>
            </w:pPr>
            <w:r w:rsidRPr="005828FE">
              <w:t>Requirement</w:t>
            </w:r>
            <w:r>
              <w:t>s</w:t>
            </w:r>
          </w:p>
        </w:tc>
        <w:tc>
          <w:tcPr>
            <w:tcW w:w="270" w:type="dxa"/>
            <w:shd w:val="clear" w:color="auto" w:fill="F2F2F2" w:themeFill="background1" w:themeFillShade="F2"/>
          </w:tcPr>
          <w:p w14:paraId="54BCD06C" w14:textId="77777777" w:rsidR="00BC6691" w:rsidRPr="008B2A17" w:rsidRDefault="00BC6691" w:rsidP="00286F9A">
            <w:pPr>
              <w:pStyle w:val="Normalgrey"/>
            </w:pPr>
          </w:p>
        </w:tc>
        <w:tc>
          <w:tcPr>
            <w:tcW w:w="540" w:type="dxa"/>
            <w:shd w:val="clear" w:color="auto" w:fill="F2F2F2" w:themeFill="background1" w:themeFillShade="F2"/>
          </w:tcPr>
          <w:p w14:paraId="6A94A968" w14:textId="77777777" w:rsidR="00BC6691" w:rsidRPr="0059315E" w:rsidRDefault="00894952" w:rsidP="00286F9A">
            <w:pPr>
              <w:pStyle w:val="Normalgrey"/>
              <w:rPr>
                <w:b/>
                <w:bCs/>
                <w:color w:val="auto"/>
              </w:rPr>
            </w:pPr>
            <w:r w:rsidRPr="0059315E">
              <w:rPr>
                <w:b/>
                <w:bCs/>
                <w:color w:val="auto"/>
              </w:rPr>
              <w:t>4.1</w:t>
            </w:r>
          </w:p>
        </w:tc>
        <w:tc>
          <w:tcPr>
            <w:tcW w:w="6134" w:type="dxa"/>
            <w:shd w:val="clear" w:color="auto" w:fill="F2F2F2" w:themeFill="background1" w:themeFillShade="F2"/>
          </w:tcPr>
          <w:p w14:paraId="6433E361" w14:textId="77777777" w:rsidR="00BC6691" w:rsidRPr="0059315E" w:rsidRDefault="00E822F8" w:rsidP="00E822F8">
            <w:pPr>
              <w:pStyle w:val="Normalbold"/>
              <w:rPr>
                <w:u w:val="single"/>
              </w:rPr>
            </w:pPr>
            <w:r w:rsidRPr="0059315E">
              <w:rPr>
                <w:u w:val="single"/>
              </w:rPr>
              <w:t>Existence</w:t>
            </w:r>
          </w:p>
          <w:p w14:paraId="35A6EFF5" w14:textId="77777777" w:rsidR="00E822F8" w:rsidRPr="00E822F8" w:rsidRDefault="00E822F8" w:rsidP="0059315E">
            <w:pPr>
              <w:pStyle w:val="Normalbold"/>
            </w:pPr>
            <w:r w:rsidRPr="00E822F8">
              <w:t>A liability for a dividend only arises once:</w:t>
            </w:r>
          </w:p>
          <w:p w14:paraId="60505D2C" w14:textId="77777777" w:rsidR="00E822F8" w:rsidRPr="0059315E" w:rsidRDefault="00E822F8" w:rsidP="0059315E">
            <w:pPr>
              <w:pStyle w:val="Bullet1"/>
              <w:rPr>
                <w:b/>
                <w:bCs/>
              </w:rPr>
            </w:pPr>
            <w:r w:rsidRPr="0059315E">
              <w:rPr>
                <w:b/>
                <w:bCs/>
              </w:rPr>
              <w:t xml:space="preserve">the Treasurer makes a formal determination (in the case of a Statutory Corporation); or </w:t>
            </w:r>
          </w:p>
          <w:p w14:paraId="061352A8" w14:textId="77777777" w:rsidR="00E822F8" w:rsidRPr="00894952" w:rsidRDefault="00E822F8" w:rsidP="0059315E">
            <w:pPr>
              <w:pStyle w:val="Bullet1"/>
            </w:pPr>
            <w:r w:rsidRPr="0059315E">
              <w:rPr>
                <w:b/>
                <w:bCs/>
              </w:rPr>
              <w:t>declared by resolution of the members (shareholders) in a general meeting (in the case of a Corporations Act Company).</w:t>
            </w:r>
          </w:p>
        </w:tc>
      </w:tr>
      <w:tr w:rsidR="00894952" w:rsidRPr="005828FE" w14:paraId="426C0C20" w14:textId="77777777" w:rsidTr="00A0322D">
        <w:tc>
          <w:tcPr>
            <w:tcW w:w="2293" w:type="dxa"/>
            <w:shd w:val="clear" w:color="auto" w:fill="F2F2F2" w:themeFill="background1" w:themeFillShade="F2"/>
          </w:tcPr>
          <w:p w14:paraId="4B400CC6" w14:textId="77777777" w:rsidR="00894952" w:rsidRPr="005828FE" w:rsidRDefault="00894952" w:rsidP="00A0322D">
            <w:pPr>
              <w:pStyle w:val="Normalbold"/>
            </w:pPr>
          </w:p>
        </w:tc>
        <w:tc>
          <w:tcPr>
            <w:tcW w:w="270" w:type="dxa"/>
            <w:shd w:val="clear" w:color="auto" w:fill="F2F2F2" w:themeFill="background1" w:themeFillShade="F2"/>
          </w:tcPr>
          <w:p w14:paraId="7336DA33" w14:textId="77777777" w:rsidR="00894952" w:rsidRPr="008B2A17" w:rsidRDefault="00894952" w:rsidP="00286F9A">
            <w:pPr>
              <w:pStyle w:val="Normalgrey"/>
            </w:pPr>
          </w:p>
        </w:tc>
        <w:tc>
          <w:tcPr>
            <w:tcW w:w="540" w:type="dxa"/>
            <w:shd w:val="clear" w:color="auto" w:fill="F2F2F2" w:themeFill="background1" w:themeFillShade="F2"/>
          </w:tcPr>
          <w:p w14:paraId="1A5DC14E" w14:textId="77777777" w:rsidR="00894952" w:rsidRPr="0059315E" w:rsidRDefault="00894952" w:rsidP="00286F9A">
            <w:pPr>
              <w:pStyle w:val="Normalgrey"/>
              <w:rPr>
                <w:b/>
                <w:bCs/>
                <w:color w:val="auto"/>
              </w:rPr>
            </w:pPr>
            <w:r w:rsidRPr="0059315E">
              <w:rPr>
                <w:b/>
                <w:bCs/>
                <w:color w:val="auto"/>
              </w:rPr>
              <w:t>4.2</w:t>
            </w:r>
          </w:p>
        </w:tc>
        <w:tc>
          <w:tcPr>
            <w:tcW w:w="6134" w:type="dxa"/>
            <w:shd w:val="clear" w:color="auto" w:fill="F2F2F2" w:themeFill="background1" w:themeFillShade="F2"/>
          </w:tcPr>
          <w:p w14:paraId="19CD7AAC" w14:textId="77777777" w:rsidR="00894952" w:rsidRPr="0059315E" w:rsidRDefault="00894952" w:rsidP="00894952">
            <w:pPr>
              <w:pStyle w:val="Normalbold"/>
              <w:rPr>
                <w:u w:val="single"/>
              </w:rPr>
            </w:pPr>
            <w:r w:rsidRPr="0059315E">
              <w:rPr>
                <w:u w:val="single"/>
              </w:rPr>
              <w:t>Recognition and Disclosure</w:t>
            </w:r>
          </w:p>
          <w:p w14:paraId="7AE7C7D6" w14:textId="77777777" w:rsidR="00894952" w:rsidRPr="00E822F8" w:rsidRDefault="00894952" w:rsidP="00894952">
            <w:pPr>
              <w:pStyle w:val="Bullet1"/>
              <w:rPr>
                <w:b/>
              </w:rPr>
            </w:pPr>
            <w:r w:rsidRPr="00E822F8">
              <w:rPr>
                <w:b/>
              </w:rPr>
              <w:t>Where the dividend arises on or before the reporting date, the dividend must be recognised as a liability.</w:t>
            </w:r>
          </w:p>
          <w:p w14:paraId="28EA5527" w14:textId="77777777" w:rsidR="00894952" w:rsidRDefault="00894952" w:rsidP="00894952">
            <w:pPr>
              <w:pStyle w:val="Bullet1"/>
              <w:rPr>
                <w:b/>
              </w:rPr>
            </w:pPr>
            <w:r w:rsidRPr="00E822F8">
              <w:rPr>
                <w:b/>
              </w:rPr>
              <w:t>Where the dividend arises after the reporting date, but before completion of the financial report, the dividend must not be recognised as a liability as at the reporting date.  Instead, the proposed dividend must be disclosed in the notes to the financial statements.</w:t>
            </w:r>
          </w:p>
          <w:p w14:paraId="40D18F1C" w14:textId="77777777" w:rsidR="00894952" w:rsidRPr="00894952" w:rsidRDefault="00894952" w:rsidP="00894952">
            <w:pPr>
              <w:pStyle w:val="Bullet1"/>
              <w:rPr>
                <w:b/>
              </w:rPr>
            </w:pPr>
            <w:r w:rsidRPr="00E822F8">
              <w:rPr>
                <w:b/>
              </w:rPr>
              <w:t>Irrespective of the timing of the determination by the Treasurer, the accounting policy for dividends must be disclosed in the notes to the financial statements.</w:t>
            </w:r>
          </w:p>
        </w:tc>
      </w:tr>
      <w:tr w:rsidR="005828FE" w:rsidRPr="005828FE" w14:paraId="3F91DB48" w14:textId="77777777" w:rsidTr="00B8224B">
        <w:tc>
          <w:tcPr>
            <w:tcW w:w="2293" w:type="dxa"/>
          </w:tcPr>
          <w:p w14:paraId="4619F121" w14:textId="77777777" w:rsidR="006C78FB" w:rsidRPr="005828FE" w:rsidRDefault="006C78FB" w:rsidP="00382EE1">
            <w:pPr>
              <w:pStyle w:val="Normalgrey"/>
            </w:pPr>
            <w:r w:rsidRPr="005828FE">
              <w:t>Definitions</w:t>
            </w:r>
          </w:p>
        </w:tc>
        <w:tc>
          <w:tcPr>
            <w:tcW w:w="270" w:type="dxa"/>
          </w:tcPr>
          <w:p w14:paraId="6C446018" w14:textId="77777777" w:rsidR="006C78FB" w:rsidRPr="005828FE" w:rsidRDefault="006C78FB" w:rsidP="00286F9A">
            <w:pPr>
              <w:pStyle w:val="Normalgrey"/>
            </w:pPr>
          </w:p>
        </w:tc>
        <w:tc>
          <w:tcPr>
            <w:tcW w:w="540" w:type="dxa"/>
          </w:tcPr>
          <w:p w14:paraId="16276225" w14:textId="77777777" w:rsidR="006C78FB" w:rsidRPr="005828FE" w:rsidRDefault="00C40DA5" w:rsidP="00286F9A">
            <w:pPr>
              <w:pStyle w:val="Normalgrey"/>
            </w:pPr>
            <w:r>
              <w:t>5.1</w:t>
            </w:r>
          </w:p>
        </w:tc>
        <w:tc>
          <w:tcPr>
            <w:tcW w:w="6134" w:type="dxa"/>
          </w:tcPr>
          <w:p w14:paraId="7FECEECB" w14:textId="77777777" w:rsidR="006C78FB" w:rsidRPr="00E20142" w:rsidRDefault="00E822F8" w:rsidP="00E822F8">
            <w:pPr>
              <w:pStyle w:val="Normalgrey"/>
            </w:pPr>
            <w:r w:rsidRPr="00E822F8">
              <w:rPr>
                <w:b/>
              </w:rPr>
              <w:t>Interim reporting period</w:t>
            </w:r>
            <w:r>
              <w:t xml:space="preserve"> – a reporting period within an annual reporting period that is shorter than that annual reporting period.</w:t>
            </w:r>
          </w:p>
        </w:tc>
      </w:tr>
      <w:tr w:rsidR="00C40DA5" w:rsidRPr="005828FE" w14:paraId="0139E2E9" w14:textId="77777777" w:rsidTr="00B8224B">
        <w:tc>
          <w:tcPr>
            <w:tcW w:w="2293" w:type="dxa"/>
          </w:tcPr>
          <w:p w14:paraId="5996249C" w14:textId="77777777" w:rsidR="00C40DA5" w:rsidRPr="005828FE" w:rsidRDefault="00C40DA5" w:rsidP="00382EE1">
            <w:pPr>
              <w:pStyle w:val="Normalgrey"/>
            </w:pPr>
          </w:p>
        </w:tc>
        <w:tc>
          <w:tcPr>
            <w:tcW w:w="270" w:type="dxa"/>
          </w:tcPr>
          <w:p w14:paraId="70074B23" w14:textId="77777777" w:rsidR="00C40DA5" w:rsidRPr="005828FE" w:rsidRDefault="00C40DA5" w:rsidP="00286F9A">
            <w:pPr>
              <w:pStyle w:val="Normalgrey"/>
            </w:pPr>
          </w:p>
        </w:tc>
        <w:tc>
          <w:tcPr>
            <w:tcW w:w="540" w:type="dxa"/>
          </w:tcPr>
          <w:p w14:paraId="62DA6F14" w14:textId="77777777" w:rsidR="00C40DA5" w:rsidRPr="005828FE" w:rsidRDefault="00C40DA5" w:rsidP="00286F9A">
            <w:pPr>
              <w:pStyle w:val="Normalgrey"/>
            </w:pPr>
            <w:r>
              <w:t>5.2</w:t>
            </w:r>
          </w:p>
        </w:tc>
        <w:tc>
          <w:tcPr>
            <w:tcW w:w="6134" w:type="dxa"/>
          </w:tcPr>
          <w:p w14:paraId="70E44BB9" w14:textId="77777777" w:rsidR="00C40DA5" w:rsidRPr="00C40DA5" w:rsidRDefault="00C40DA5" w:rsidP="00E822F8">
            <w:pPr>
              <w:pStyle w:val="Normalgrey"/>
            </w:pPr>
            <w:r w:rsidRPr="00E822F8">
              <w:rPr>
                <w:b/>
              </w:rPr>
              <w:t>Reporting date</w:t>
            </w:r>
            <w:r>
              <w:t xml:space="preserve"> – the end of the reporting period to which the financial report relates.  In the case of an interim reporting period, the reporting date is the date to which the interim financial report relates.  Commonly referred to as balance date.</w:t>
            </w:r>
          </w:p>
        </w:tc>
      </w:tr>
      <w:tr w:rsidR="00C40DA5" w:rsidRPr="005828FE" w14:paraId="0766F638" w14:textId="77777777" w:rsidTr="00B8224B">
        <w:tc>
          <w:tcPr>
            <w:tcW w:w="2293" w:type="dxa"/>
          </w:tcPr>
          <w:p w14:paraId="24C2AAEF" w14:textId="77777777" w:rsidR="00C40DA5" w:rsidRPr="005828FE" w:rsidRDefault="00C40DA5" w:rsidP="00382EE1">
            <w:pPr>
              <w:pStyle w:val="Normalgrey"/>
            </w:pPr>
          </w:p>
        </w:tc>
        <w:tc>
          <w:tcPr>
            <w:tcW w:w="270" w:type="dxa"/>
          </w:tcPr>
          <w:p w14:paraId="5B2465B2" w14:textId="77777777" w:rsidR="00C40DA5" w:rsidRPr="005828FE" w:rsidRDefault="00C40DA5" w:rsidP="00286F9A">
            <w:pPr>
              <w:pStyle w:val="Normalgrey"/>
            </w:pPr>
          </w:p>
        </w:tc>
        <w:tc>
          <w:tcPr>
            <w:tcW w:w="540" w:type="dxa"/>
          </w:tcPr>
          <w:p w14:paraId="1E5E3EF6" w14:textId="77777777" w:rsidR="00C40DA5" w:rsidRPr="005828FE" w:rsidRDefault="00C40DA5" w:rsidP="00286F9A">
            <w:pPr>
              <w:pStyle w:val="Normalgrey"/>
            </w:pPr>
            <w:r>
              <w:t>5.3</w:t>
            </w:r>
          </w:p>
        </w:tc>
        <w:tc>
          <w:tcPr>
            <w:tcW w:w="6134" w:type="dxa"/>
          </w:tcPr>
          <w:p w14:paraId="20A224B5" w14:textId="77777777" w:rsidR="00C40DA5" w:rsidRPr="00E822F8" w:rsidRDefault="00C40DA5" w:rsidP="00E822F8">
            <w:pPr>
              <w:pStyle w:val="Normalgrey"/>
              <w:rPr>
                <w:b/>
              </w:rPr>
            </w:pPr>
            <w:r w:rsidRPr="00E822F8">
              <w:rPr>
                <w:b/>
              </w:rPr>
              <w:t>Declared</w:t>
            </w:r>
            <w:r>
              <w:t xml:space="preserve"> – in the context of dividends, is considered to mean that the dividends are appropriately authorised and no longer at the discretion of the entity and that undeclared dividends do not meet the criteria of a present obligation.</w:t>
            </w:r>
          </w:p>
        </w:tc>
      </w:tr>
      <w:tr w:rsidR="005828FE" w:rsidRPr="005828FE" w14:paraId="79F55FF7" w14:textId="77777777" w:rsidTr="00B8224B">
        <w:tc>
          <w:tcPr>
            <w:tcW w:w="2293" w:type="dxa"/>
          </w:tcPr>
          <w:p w14:paraId="14007A3E" w14:textId="77777777" w:rsidR="006C78FB" w:rsidRPr="005828FE" w:rsidRDefault="006C78FB" w:rsidP="00382EE1">
            <w:pPr>
              <w:pStyle w:val="Normalgrey"/>
            </w:pPr>
            <w:r w:rsidRPr="005828FE">
              <w:lastRenderedPageBreak/>
              <w:t>Guidance</w:t>
            </w:r>
          </w:p>
        </w:tc>
        <w:tc>
          <w:tcPr>
            <w:tcW w:w="270" w:type="dxa"/>
          </w:tcPr>
          <w:p w14:paraId="715E6354" w14:textId="77777777" w:rsidR="006C78FB" w:rsidRPr="005828FE" w:rsidRDefault="006C78FB" w:rsidP="00286F9A">
            <w:pPr>
              <w:pStyle w:val="Normalgrey"/>
            </w:pPr>
          </w:p>
        </w:tc>
        <w:tc>
          <w:tcPr>
            <w:tcW w:w="540" w:type="dxa"/>
          </w:tcPr>
          <w:p w14:paraId="4D15804E" w14:textId="77777777" w:rsidR="006C78FB" w:rsidRPr="005828FE" w:rsidRDefault="00C40DA5" w:rsidP="00286F9A">
            <w:pPr>
              <w:pStyle w:val="Normalgrey"/>
            </w:pPr>
            <w:r>
              <w:t>6.1</w:t>
            </w:r>
          </w:p>
        </w:tc>
        <w:tc>
          <w:tcPr>
            <w:tcW w:w="6134" w:type="dxa"/>
          </w:tcPr>
          <w:p w14:paraId="4CE814AA" w14:textId="77777777" w:rsidR="00E822F8" w:rsidRDefault="00E822F8" w:rsidP="0059315E">
            <w:pPr>
              <w:pStyle w:val="Normalgrey"/>
            </w:pPr>
            <w:r>
              <w:t>Recognition of a liability for dividends payable will depend on the specific legislative requirements pertaining to a particular entity, the consultative process, and the actual timing of the determination/declaration.</w:t>
            </w:r>
          </w:p>
          <w:p w14:paraId="7E6D9FE9" w14:textId="77777777" w:rsidR="00E822F8" w:rsidRDefault="00E822F8" w:rsidP="0059315E">
            <w:pPr>
              <w:pStyle w:val="Normalgrey"/>
            </w:pPr>
            <w:r>
              <w:t>In the case of a Statutory Corporation a formal determination by the Treasurer occurs following consultation between an entity's Board, the relevant Minister and the Treasurer.</w:t>
            </w:r>
          </w:p>
          <w:p w14:paraId="4E9CABE6" w14:textId="77777777" w:rsidR="00E822F8" w:rsidRDefault="00E822F8" w:rsidP="0059315E">
            <w:pPr>
              <w:pStyle w:val="Normalgrey"/>
            </w:pPr>
            <w:r>
              <w:t>In the case of a Corporations Act Company the dividend is declared by resolution of the members (shareholders) in a general meeting following consultation between an entity's Board, the relevant Minister and the Treasurer.</w:t>
            </w:r>
          </w:p>
          <w:p w14:paraId="6B7B72F0" w14:textId="77777777" w:rsidR="006C78FB" w:rsidRPr="005828FE" w:rsidRDefault="00E822F8" w:rsidP="0059315E">
            <w:pPr>
              <w:pStyle w:val="Normalgrey"/>
            </w:pPr>
            <w:r>
              <w:t>Appendix 1 contains example disclosures for the financial report.</w:t>
            </w:r>
          </w:p>
        </w:tc>
      </w:tr>
      <w:tr w:rsidR="005828FE" w:rsidRPr="005828FE" w14:paraId="32B9E790" w14:textId="77777777" w:rsidTr="00B8224B">
        <w:tc>
          <w:tcPr>
            <w:tcW w:w="2293" w:type="dxa"/>
          </w:tcPr>
          <w:p w14:paraId="556F6D75" w14:textId="77777777" w:rsidR="006C78FB" w:rsidRPr="005828FE" w:rsidRDefault="006C78FB" w:rsidP="00382EE1">
            <w:pPr>
              <w:pStyle w:val="Normalgrey"/>
            </w:pPr>
            <w:r w:rsidRPr="005828FE">
              <w:t>Relevant pronouncements</w:t>
            </w:r>
          </w:p>
        </w:tc>
        <w:tc>
          <w:tcPr>
            <w:tcW w:w="270" w:type="dxa"/>
          </w:tcPr>
          <w:p w14:paraId="2EC6FC8B" w14:textId="77777777" w:rsidR="006C78FB" w:rsidRPr="005828FE" w:rsidRDefault="006C78FB" w:rsidP="00286F9A">
            <w:pPr>
              <w:pStyle w:val="Normalgrey"/>
            </w:pPr>
          </w:p>
        </w:tc>
        <w:tc>
          <w:tcPr>
            <w:tcW w:w="540" w:type="dxa"/>
          </w:tcPr>
          <w:p w14:paraId="22D32E93" w14:textId="77777777" w:rsidR="006C78FB" w:rsidRPr="005828FE" w:rsidRDefault="00C40DA5" w:rsidP="00286F9A">
            <w:pPr>
              <w:pStyle w:val="Normalgrey"/>
            </w:pPr>
            <w:r>
              <w:t>7.1</w:t>
            </w:r>
          </w:p>
        </w:tc>
        <w:tc>
          <w:tcPr>
            <w:tcW w:w="6134" w:type="dxa"/>
          </w:tcPr>
          <w:p w14:paraId="1AAE7B39" w14:textId="77777777" w:rsidR="00421F2E" w:rsidRPr="005828FE" w:rsidRDefault="00E822F8" w:rsidP="0059315E">
            <w:pPr>
              <w:pStyle w:val="Normalgrey"/>
            </w:pPr>
            <w:r>
              <w:t xml:space="preserve">AASB 137 </w:t>
            </w:r>
            <w:r w:rsidRPr="00E822F8">
              <w:t>Provisions, Contingent Liabilities and Contingent Assets</w:t>
            </w:r>
            <w:r>
              <w:t xml:space="preserve"> (July 2004).</w:t>
            </w:r>
          </w:p>
        </w:tc>
      </w:tr>
      <w:tr w:rsidR="005828FE" w:rsidRPr="005828FE" w14:paraId="64984AB0" w14:textId="77777777" w:rsidTr="00B8224B">
        <w:tc>
          <w:tcPr>
            <w:tcW w:w="2293" w:type="dxa"/>
          </w:tcPr>
          <w:p w14:paraId="20F55F73" w14:textId="77777777" w:rsidR="006C78FB" w:rsidRPr="005828FE" w:rsidRDefault="006C78FB" w:rsidP="00382EE1">
            <w:pPr>
              <w:pStyle w:val="Normalgrey"/>
            </w:pPr>
            <w:r w:rsidRPr="005828FE">
              <w:t>Background</w:t>
            </w:r>
          </w:p>
        </w:tc>
        <w:tc>
          <w:tcPr>
            <w:tcW w:w="270" w:type="dxa"/>
          </w:tcPr>
          <w:p w14:paraId="005B73FB" w14:textId="77777777" w:rsidR="006C78FB" w:rsidRPr="005828FE" w:rsidRDefault="006C78FB" w:rsidP="00286F9A">
            <w:pPr>
              <w:pStyle w:val="Normalgrey"/>
            </w:pPr>
          </w:p>
        </w:tc>
        <w:tc>
          <w:tcPr>
            <w:tcW w:w="540" w:type="dxa"/>
          </w:tcPr>
          <w:p w14:paraId="4F7D164F" w14:textId="77777777" w:rsidR="006C78FB" w:rsidRPr="005828FE" w:rsidRDefault="00C40DA5" w:rsidP="00286F9A">
            <w:pPr>
              <w:pStyle w:val="Normalgrey"/>
            </w:pPr>
            <w:r>
              <w:t>8.1</w:t>
            </w:r>
          </w:p>
        </w:tc>
        <w:tc>
          <w:tcPr>
            <w:tcW w:w="6134" w:type="dxa"/>
          </w:tcPr>
          <w:p w14:paraId="0CCDC266" w14:textId="77777777" w:rsidR="00740302" w:rsidRDefault="00E822F8" w:rsidP="0059315E">
            <w:pPr>
              <w:pStyle w:val="Normalgrey"/>
            </w:pPr>
            <w:r>
              <w:t>The Victorian Government dividend policy is to recognise dividends once they are determined by the Treasurer (in the case of a Statutory Corporation), or agreed in a general meeting (in the case of a Corporations Act company), after consultation between the Board, the relevant Minister and the Treasurer.</w:t>
            </w:r>
          </w:p>
          <w:p w14:paraId="4CA781EB" w14:textId="77777777" w:rsidR="00E822F8" w:rsidRDefault="00E822F8" w:rsidP="0059315E">
            <w:pPr>
              <w:pStyle w:val="Normalgrey"/>
            </w:pPr>
            <w:r>
              <w:t xml:space="preserve">The above requirement being consistent with AASB 137 </w:t>
            </w:r>
            <w:r>
              <w:rPr>
                <w:i/>
                <w:iCs/>
              </w:rPr>
              <w:t>Provisions, Contingent Liabilities and Contingent Assets</w:t>
            </w:r>
            <w:r>
              <w:t xml:space="preserve"> that a dividend liability must not be recognised if the dividends are still to be approved at the reporting date.</w:t>
            </w:r>
          </w:p>
          <w:p w14:paraId="512FFD6B" w14:textId="77777777" w:rsidR="00E822F8" w:rsidRDefault="00E822F8" w:rsidP="0059315E">
            <w:pPr>
              <w:pStyle w:val="Normalgrey"/>
            </w:pPr>
            <w:r>
              <w:t>In determining dividend payments the following two general benchmarks are used:</w:t>
            </w:r>
          </w:p>
          <w:p w14:paraId="3919E509" w14:textId="77777777" w:rsidR="00E822F8" w:rsidRPr="00E822F8" w:rsidRDefault="00E822F8" w:rsidP="0059315E">
            <w:pPr>
              <w:pStyle w:val="Bullet1grey"/>
            </w:pPr>
            <w:r>
              <w:t>50 percent of net profit after tax; or</w:t>
            </w:r>
          </w:p>
          <w:p w14:paraId="31746B14" w14:textId="77777777" w:rsidR="00E822F8" w:rsidRDefault="00E822F8" w:rsidP="0059315E">
            <w:pPr>
              <w:pStyle w:val="Bullet1grey"/>
            </w:pPr>
            <w:r>
              <w:t>dividends and income tax equivalent paid or payable of 65 percent of pre-tax profit.</w:t>
            </w:r>
          </w:p>
          <w:p w14:paraId="5A3CABD1" w14:textId="77777777" w:rsidR="00E822F8" w:rsidRPr="005828FE" w:rsidRDefault="00E822F8" w:rsidP="0059315E">
            <w:pPr>
              <w:pStyle w:val="Normalgrey"/>
            </w:pPr>
            <w:r>
              <w:t>Other factors which are also considered and will affect dividend payments include the views of the board of directors, reported profit, liquidity, operating cash flow and forecast cash requirements of each government business enterprise (including planned capital works), gearing and interest cover of the business, retained earnings and any other specific factors relating to individual businesses.</w:t>
            </w:r>
          </w:p>
        </w:tc>
      </w:tr>
      <w:tr w:rsidR="005828FE" w:rsidRPr="005828FE" w14:paraId="2215B96D" w14:textId="77777777" w:rsidTr="00B8224B">
        <w:tc>
          <w:tcPr>
            <w:tcW w:w="2293" w:type="dxa"/>
          </w:tcPr>
          <w:p w14:paraId="41763301" w14:textId="77777777" w:rsidR="006C78FB" w:rsidRPr="003C4D9C" w:rsidRDefault="003C4D9C" w:rsidP="003C4D9C">
            <w:pPr>
              <w:pStyle w:val="Normalgrey"/>
            </w:pPr>
            <w:r>
              <w:t>Appendix 1</w:t>
            </w:r>
          </w:p>
        </w:tc>
        <w:tc>
          <w:tcPr>
            <w:tcW w:w="270" w:type="dxa"/>
          </w:tcPr>
          <w:p w14:paraId="6E8F8ADF" w14:textId="77777777" w:rsidR="006C78FB" w:rsidRPr="005828FE" w:rsidRDefault="006C78FB" w:rsidP="00286F9A">
            <w:pPr>
              <w:pStyle w:val="Normalgrey"/>
            </w:pPr>
          </w:p>
        </w:tc>
        <w:tc>
          <w:tcPr>
            <w:tcW w:w="540" w:type="dxa"/>
          </w:tcPr>
          <w:p w14:paraId="13CF813B" w14:textId="77777777" w:rsidR="006C78FB" w:rsidRPr="005828FE" w:rsidRDefault="00C40DA5" w:rsidP="00286F9A">
            <w:pPr>
              <w:pStyle w:val="Normalgrey"/>
            </w:pPr>
            <w:r>
              <w:t>9.1</w:t>
            </w:r>
          </w:p>
        </w:tc>
        <w:tc>
          <w:tcPr>
            <w:tcW w:w="6134" w:type="dxa"/>
          </w:tcPr>
          <w:p w14:paraId="1A9D5D6C" w14:textId="77777777" w:rsidR="003C4D9C" w:rsidRPr="003C4D9C" w:rsidRDefault="003C4D9C" w:rsidP="003C4D9C">
            <w:pPr>
              <w:pStyle w:val="Normalgreybold"/>
            </w:pPr>
            <w:r>
              <w:t>Example disclosures for the financial report.</w:t>
            </w:r>
          </w:p>
        </w:tc>
      </w:tr>
      <w:tr w:rsidR="003C4D9C" w:rsidRPr="005828FE" w14:paraId="7EE90A43" w14:textId="77777777" w:rsidTr="00B8224B">
        <w:tc>
          <w:tcPr>
            <w:tcW w:w="2293" w:type="dxa"/>
          </w:tcPr>
          <w:p w14:paraId="36773F20" w14:textId="77777777" w:rsidR="003C4D9C" w:rsidRDefault="003C4D9C" w:rsidP="003C4D9C">
            <w:pPr>
              <w:pStyle w:val="Normalgrey"/>
            </w:pPr>
          </w:p>
        </w:tc>
        <w:tc>
          <w:tcPr>
            <w:tcW w:w="270" w:type="dxa"/>
          </w:tcPr>
          <w:p w14:paraId="17BD6EC4" w14:textId="77777777" w:rsidR="003C4D9C" w:rsidRPr="005828FE" w:rsidRDefault="003C4D9C" w:rsidP="00286F9A">
            <w:pPr>
              <w:pStyle w:val="Normalgrey"/>
            </w:pPr>
          </w:p>
        </w:tc>
        <w:tc>
          <w:tcPr>
            <w:tcW w:w="540" w:type="dxa"/>
          </w:tcPr>
          <w:p w14:paraId="594F1B43" w14:textId="77777777" w:rsidR="003C4D9C" w:rsidRPr="005828FE" w:rsidRDefault="003C4D9C" w:rsidP="00286F9A">
            <w:pPr>
              <w:pStyle w:val="Normalgrey"/>
            </w:pPr>
          </w:p>
        </w:tc>
        <w:tc>
          <w:tcPr>
            <w:tcW w:w="6134" w:type="dxa"/>
          </w:tcPr>
          <w:p w14:paraId="4AD5ACCF" w14:textId="77777777" w:rsidR="003C4D9C" w:rsidRDefault="003C4D9C" w:rsidP="00382EE1">
            <w:pPr>
              <w:pStyle w:val="Normalgrey"/>
            </w:pPr>
            <w:r>
              <w:t>Summary of significant accounting policies note:</w:t>
            </w:r>
          </w:p>
          <w:p w14:paraId="02536861" w14:textId="77777777" w:rsidR="003C4D9C" w:rsidRDefault="003C4D9C" w:rsidP="003C4D9C">
            <w:pPr>
              <w:pStyle w:val="Bullet1grey"/>
            </w:pPr>
            <w:r w:rsidRPr="003C4D9C">
              <w:rPr>
                <w:b/>
              </w:rPr>
              <w:t>For a Statutory Corporation</w:t>
            </w:r>
            <w:r>
              <w:t>: ‘</w:t>
            </w:r>
            <w:r w:rsidRPr="00232E62">
              <w:rPr>
                <w:i/>
              </w:rPr>
              <w:t>An obligation to pay a dividend only arises after a formal determination is made by the Treasurer following consultation between the Board, the relevant portfolio Minister and the Treasurer</w:t>
            </w:r>
            <w:r>
              <w:t>.’</w:t>
            </w:r>
          </w:p>
          <w:p w14:paraId="54D80949" w14:textId="77777777" w:rsidR="003C4D9C" w:rsidRPr="00382EE1" w:rsidRDefault="003C4D9C" w:rsidP="003C4D9C">
            <w:pPr>
              <w:pStyle w:val="Bullet1grey"/>
            </w:pPr>
            <w:r w:rsidRPr="003C4D9C">
              <w:rPr>
                <w:b/>
              </w:rPr>
              <w:t>For a Corporations Act Company</w:t>
            </w:r>
            <w:r>
              <w:t>: ‘</w:t>
            </w:r>
            <w:r w:rsidRPr="00232E62">
              <w:rPr>
                <w:i/>
              </w:rPr>
              <w:t xml:space="preserve">An obligation to pay a dividend only arises after it </w:t>
            </w:r>
            <w:r w:rsidRPr="00232E62">
              <w:rPr>
                <w:i/>
                <w:iCs/>
              </w:rPr>
              <w:t xml:space="preserve">has been declared by resolution of the members (shareholders) in a general meeting following </w:t>
            </w:r>
            <w:r w:rsidRPr="00232E62">
              <w:rPr>
                <w:i/>
              </w:rPr>
              <w:t>consultation between the Board, the relevant portfolio Minister and the Treasurer</w:t>
            </w:r>
            <w:r>
              <w:rPr>
                <w:iCs/>
              </w:rPr>
              <w:t>.</w:t>
            </w:r>
            <w:r>
              <w:t>’</w:t>
            </w:r>
          </w:p>
        </w:tc>
      </w:tr>
      <w:tr w:rsidR="003C4D9C" w:rsidRPr="005828FE" w14:paraId="5F9C515F" w14:textId="77777777" w:rsidTr="00B8224B">
        <w:tc>
          <w:tcPr>
            <w:tcW w:w="2293" w:type="dxa"/>
          </w:tcPr>
          <w:p w14:paraId="4D3BADE4" w14:textId="77777777" w:rsidR="003C4D9C" w:rsidRDefault="003C4D9C" w:rsidP="003C4D9C">
            <w:pPr>
              <w:pStyle w:val="Normalgrey"/>
            </w:pPr>
          </w:p>
        </w:tc>
        <w:tc>
          <w:tcPr>
            <w:tcW w:w="270" w:type="dxa"/>
          </w:tcPr>
          <w:p w14:paraId="058ADFEB" w14:textId="77777777" w:rsidR="003C4D9C" w:rsidRPr="005828FE" w:rsidRDefault="003C4D9C" w:rsidP="00286F9A">
            <w:pPr>
              <w:pStyle w:val="Normalgrey"/>
            </w:pPr>
          </w:p>
        </w:tc>
        <w:tc>
          <w:tcPr>
            <w:tcW w:w="540" w:type="dxa"/>
          </w:tcPr>
          <w:p w14:paraId="3BBCF6EA" w14:textId="77777777" w:rsidR="003C4D9C" w:rsidRPr="005828FE" w:rsidRDefault="003C4D9C" w:rsidP="00286F9A">
            <w:pPr>
              <w:pStyle w:val="Normalgrey"/>
            </w:pPr>
          </w:p>
        </w:tc>
        <w:tc>
          <w:tcPr>
            <w:tcW w:w="6134" w:type="dxa"/>
          </w:tcPr>
          <w:p w14:paraId="5B593FDB" w14:textId="77777777" w:rsidR="003C4D9C" w:rsidRDefault="003C4D9C" w:rsidP="003C4D9C">
            <w:pPr>
              <w:pStyle w:val="Normalgrey"/>
            </w:pPr>
            <w:r>
              <w:t>Dividends note:</w:t>
            </w:r>
          </w:p>
          <w:p w14:paraId="09F38E07" w14:textId="77777777" w:rsidR="003C4D9C" w:rsidRPr="003C4D9C" w:rsidRDefault="003C4D9C" w:rsidP="003C4D9C">
            <w:pPr>
              <w:pStyle w:val="Normalgrey"/>
            </w:pPr>
            <w:r>
              <w:t>For a Statutory Company and Corporations Act Company: ‘</w:t>
            </w:r>
            <w:r w:rsidRPr="00232E62">
              <w:rPr>
                <w:i/>
              </w:rPr>
              <w:t>The process to determine the 200X-0Y dividend has not yet been completed at the reporting date. The Board’s preliminary dividend estimate for this period is &lt;insert amount here&gt;</w:t>
            </w:r>
            <w:r>
              <w:t>’.</w:t>
            </w:r>
          </w:p>
        </w:tc>
      </w:tr>
    </w:tbl>
    <w:p w14:paraId="64C32294" w14:textId="77777777" w:rsidR="008C63EE" w:rsidRDefault="008C63EE" w:rsidP="000E310A"/>
    <w:sectPr w:rsidR="008C63EE" w:rsidSect="005828FE">
      <w:headerReference w:type="default" r:id="rId9"/>
      <w:footerReference w:type="even" r:id="rId10"/>
      <w:footerReference w:type="default" r:id="rId11"/>
      <w:pgSz w:w="11906" w:h="16838" w:code="9"/>
      <w:pgMar w:top="1802" w:right="1440" w:bottom="1350" w:left="1440" w:header="450"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C7A4" w14:textId="77777777" w:rsidR="00E822F8" w:rsidRDefault="00E822F8" w:rsidP="002D711A">
      <w:pPr>
        <w:spacing w:after="0" w:line="240" w:lineRule="auto"/>
      </w:pPr>
      <w:r>
        <w:separator/>
      </w:r>
    </w:p>
    <w:p w14:paraId="20F1C382" w14:textId="77777777" w:rsidR="00E822F8" w:rsidRDefault="00E822F8"/>
  </w:endnote>
  <w:endnote w:type="continuationSeparator" w:id="0">
    <w:p w14:paraId="184F8FB5" w14:textId="77777777" w:rsidR="00E822F8" w:rsidRDefault="00E822F8" w:rsidP="002D711A">
      <w:pPr>
        <w:spacing w:after="0" w:line="240" w:lineRule="auto"/>
      </w:pPr>
      <w:r>
        <w:continuationSeparator/>
      </w:r>
    </w:p>
    <w:p w14:paraId="3F48CBC6" w14:textId="77777777" w:rsidR="00E822F8" w:rsidRDefault="00E82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24B5" w14:textId="77777777" w:rsidR="00014213" w:rsidRPr="00014213" w:rsidRDefault="00014213" w:rsidP="00C022F9">
    <w:pPr>
      <w:pStyle w:val="Footer"/>
    </w:pPr>
    <w:r>
      <w:drawing>
        <wp:anchor distT="0" distB="0" distL="114300" distR="114300" simplePos="0" relativeHeight="251657216" behindDoc="0" locked="0" layoutInCell="1" allowOverlap="1" wp14:anchorId="0DEBEDC3" wp14:editId="2F0D0A69">
          <wp:simplePos x="0" y="0"/>
          <wp:positionH relativeFrom="column">
            <wp:posOffset>4240861</wp:posOffset>
          </wp:positionH>
          <wp:positionV relativeFrom="page">
            <wp:posOffset>9493250</wp:posOffset>
          </wp:positionV>
          <wp:extent cx="1956435" cy="582930"/>
          <wp:effectExtent l="0" t="0" r="5715" b="7620"/>
          <wp:wrapNone/>
          <wp:docPr id="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0FA4DF71" w14:textId="77777777" w:rsidR="0057703D" w:rsidRDefault="005770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A492" w14:textId="0DB68B28" w:rsidR="00A516DE" w:rsidRDefault="009B11DA" w:rsidP="00A516DE">
    <w:pPr>
      <w:pStyle w:val="Spacer"/>
    </w:pPr>
    <w:r>
      <w:rPr>
        <w:noProof/>
      </w:rPr>
      <mc:AlternateContent>
        <mc:Choice Requires="wps">
          <w:drawing>
            <wp:anchor distT="0" distB="0" distL="114300" distR="114300" simplePos="0" relativeHeight="251659264" behindDoc="0" locked="0" layoutInCell="0" allowOverlap="1" wp14:anchorId="2F05337C" wp14:editId="06EEDD96">
              <wp:simplePos x="0" y="0"/>
              <wp:positionH relativeFrom="page">
                <wp:posOffset>0</wp:posOffset>
              </wp:positionH>
              <wp:positionV relativeFrom="page">
                <wp:posOffset>10227945</wp:posOffset>
              </wp:positionV>
              <wp:extent cx="7560310" cy="273050"/>
              <wp:effectExtent l="0" t="0" r="0" b="12700"/>
              <wp:wrapNone/>
              <wp:docPr id="1" name="MSIPCM777247f7986fa19d8141d79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1A1AB4" w14:textId="5D690E69" w:rsidR="009B11DA" w:rsidRPr="009B11DA" w:rsidRDefault="009B11DA" w:rsidP="009B11DA">
                          <w:pPr>
                            <w:spacing w:before="0" w:after="0"/>
                            <w:rPr>
                              <w:rFonts w:ascii="Calibri" w:hAnsi="Calibri" w:cs="Calibri"/>
                              <w:color w:val="000000"/>
                              <w:sz w:val="22"/>
                            </w:rPr>
                          </w:pPr>
                          <w:r w:rsidRPr="009B11D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F05337C" id="_x0000_t202" coordsize="21600,21600" o:spt="202" path="m,l,21600r21600,l21600,xe">
              <v:stroke joinstyle="miter"/>
              <v:path gradientshapeok="t" o:connecttype="rect"/>
            </v:shapetype>
            <v:shape id="MSIPCM777247f7986fa19d8141d79b"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n9qeB7UCAABI&#10;BQAADgAAAAAAAAAAAAAAAAAuAgAAZHJzL2Uyb0RvYy54bWxQSwECLQAUAAYACAAAACEAfHYI4d8A&#10;AAALAQAADwAAAAAAAAAAAAAAAAAPBQAAZHJzL2Rvd25yZXYueG1sUEsFBgAAAAAEAAQA8wAAABsG&#10;AAAAAA==&#10;" o:allowincell="f" filled="f" stroked="f" strokeweight=".5pt">
              <v:textbox inset="20pt,0,,0">
                <w:txbxContent>
                  <w:p w14:paraId="061A1AB4" w14:textId="5D690E69" w:rsidR="009B11DA" w:rsidRPr="009B11DA" w:rsidRDefault="009B11DA" w:rsidP="009B11DA">
                    <w:pPr>
                      <w:spacing w:before="0" w:after="0"/>
                      <w:rPr>
                        <w:rFonts w:ascii="Calibri" w:hAnsi="Calibri" w:cs="Calibri"/>
                        <w:color w:val="000000"/>
                        <w:sz w:val="22"/>
                      </w:rPr>
                    </w:pPr>
                    <w:r w:rsidRPr="009B11DA">
                      <w:rPr>
                        <w:rFonts w:ascii="Calibri" w:hAnsi="Calibri" w:cs="Calibri"/>
                        <w:color w:val="000000"/>
                        <w:sz w:val="22"/>
                      </w:rPr>
                      <w:t>OFFICIAL</w:t>
                    </w:r>
                  </w:p>
                </w:txbxContent>
              </v:textbox>
              <w10:wrap anchorx="page" anchory="page"/>
            </v:shape>
          </w:pict>
        </mc:Fallback>
      </mc:AlternateContent>
    </w:r>
  </w:p>
  <w:p w14:paraId="7BAC42A9" w14:textId="4EAB4A1F" w:rsidR="0041689E" w:rsidRPr="005828FE" w:rsidRDefault="0041689E" w:rsidP="0041689E">
    <w:pPr>
      <w:pStyle w:val="Footer"/>
      <w:spacing w:before="0"/>
    </w:pPr>
    <w:r w:rsidRPr="005828FE">
      <w:rPr>
        <w:b/>
        <w:noProof w:val="0"/>
      </w:rPr>
      <w:fldChar w:fldCharType="begin"/>
    </w:r>
    <w:r w:rsidRPr="005828FE">
      <w:rPr>
        <w:b/>
      </w:rPr>
      <w:instrText xml:space="preserve"> StyleRef “</w:instrText>
    </w:r>
    <w:r w:rsidR="006C78FB" w:rsidRPr="005828FE">
      <w:rPr>
        <w:b/>
      </w:rPr>
      <w:instrText>FRD number</w:instrText>
    </w:r>
    <w:r w:rsidRPr="005828FE">
      <w:rPr>
        <w:b/>
      </w:rPr>
      <w:instrText xml:space="preserve">” </w:instrText>
    </w:r>
    <w:r w:rsidRPr="005828FE">
      <w:rPr>
        <w:b/>
        <w:noProof w:val="0"/>
      </w:rPr>
      <w:fldChar w:fldCharType="separate"/>
    </w:r>
    <w:r w:rsidR="00AB039B">
      <w:rPr>
        <w:b/>
      </w:rPr>
      <w:t>FRD 3</w:t>
    </w:r>
    <w:r w:rsidRPr="005828FE">
      <w:rPr>
        <w:b/>
      </w:rPr>
      <w:fldChar w:fldCharType="end"/>
    </w:r>
    <w:r w:rsidR="006C78FB" w:rsidRPr="005828FE">
      <w:rPr>
        <w:b/>
      </w:rPr>
      <w:t xml:space="preserve"> </w:t>
    </w:r>
    <w:r w:rsidR="006C78FB" w:rsidRPr="006C78FB">
      <w:fldChar w:fldCharType="begin"/>
    </w:r>
    <w:r w:rsidR="006C78FB" w:rsidRPr="006C78FB">
      <w:instrText xml:space="preserve"> StyleRef “FRD Header” </w:instrText>
    </w:r>
    <w:r w:rsidR="006C78FB" w:rsidRPr="006C78FB">
      <w:fldChar w:fldCharType="separate"/>
    </w:r>
    <w:r w:rsidR="00AB039B">
      <w:t>Accounting for Dividends (April 2022)</w:t>
    </w:r>
    <w:r w:rsidR="006C78FB"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sidR="008C707F">
      <w:rPr>
        <w:rStyle w:val="PageNumber"/>
        <w:color w:val="auto"/>
      </w:rPr>
      <w:t>1</w:t>
    </w:r>
    <w:r w:rsidRPr="005828FE">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26521" w14:textId="77777777" w:rsidR="00E822F8" w:rsidRDefault="00E822F8" w:rsidP="002D711A">
      <w:pPr>
        <w:spacing w:after="0" w:line="240" w:lineRule="auto"/>
      </w:pPr>
      <w:r>
        <w:separator/>
      </w:r>
    </w:p>
    <w:p w14:paraId="35BE62E7" w14:textId="77777777" w:rsidR="00E822F8" w:rsidRDefault="00E822F8"/>
  </w:footnote>
  <w:footnote w:type="continuationSeparator" w:id="0">
    <w:p w14:paraId="658DF528" w14:textId="77777777" w:rsidR="00E822F8" w:rsidRDefault="00E822F8" w:rsidP="002D711A">
      <w:pPr>
        <w:spacing w:after="0" w:line="240" w:lineRule="auto"/>
      </w:pPr>
      <w:r>
        <w:continuationSeparator/>
      </w:r>
    </w:p>
    <w:p w14:paraId="1202E596" w14:textId="77777777" w:rsidR="00E822F8" w:rsidRDefault="00E822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5C1C" w14:textId="77777777" w:rsidR="0041689E" w:rsidRPr="0041689E" w:rsidRDefault="005828FE" w:rsidP="005828FE">
    <w:pPr>
      <w:pStyle w:val="Header"/>
      <w:tabs>
        <w:tab w:val="clear" w:pos="9026"/>
      </w:tabs>
      <w:ind w:right="-694"/>
      <w:jc w:val="right"/>
    </w:pPr>
    <w:r>
      <w:rPr>
        <w:noProof/>
      </w:rPr>
      <w:drawing>
        <wp:inline distT="0" distB="0" distL="0" distR="0" wp14:anchorId="54095CD0" wp14:editId="063A8423">
          <wp:extent cx="813816" cy="4663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082761C3" w14:textId="77777777" w:rsidR="0057703D" w:rsidRDefault="005770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2BC"/>
    <w:multiLevelType w:val="hybridMultilevel"/>
    <w:tmpl w:val="D1069024"/>
    <w:lvl w:ilvl="0" w:tplc="41E2D856">
      <w:start w:val="1"/>
      <w:numFmt w:val="bullet"/>
      <w:lvlText w:val=""/>
      <w:lvlJc w:val="left"/>
      <w:pPr>
        <w:tabs>
          <w:tab w:val="num" w:pos="360"/>
        </w:tabs>
        <w:ind w:left="360" w:hanging="360"/>
      </w:pPr>
      <w:rPr>
        <w:rFonts w:ascii="Symbol" w:hAnsi="Symbol" w:hint="default"/>
      </w:rPr>
    </w:lvl>
    <w:lvl w:ilvl="1" w:tplc="21DA116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C0124D7"/>
    <w:multiLevelType w:val="multilevel"/>
    <w:tmpl w:val="576071D4"/>
    <w:lvl w:ilvl="0">
      <w:start w:val="1"/>
      <w:numFmt w:val="decimal"/>
      <w:pStyle w:val="Refnum1"/>
      <w:suff w:val="nothing"/>
      <w:lvlText w:val="%1."/>
      <w:lvlJc w:val="left"/>
      <w:pPr>
        <w:ind w:left="0" w:firstLine="0"/>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7FD44514"/>
    <w:multiLevelType w:val="multilevel"/>
    <w:tmpl w:val="0562CB6E"/>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rFonts w:hint="default"/>
      </w:rPr>
    </w:lvl>
    <w:lvl w:ilvl="3">
      <w:start w:val="1"/>
      <w:numFmt w:val="lowerRoman"/>
      <w:pStyle w:val="Listnum2grey"/>
      <w:lvlText w:val="(%4)"/>
      <w:lvlJc w:val="left"/>
      <w:pPr>
        <w:tabs>
          <w:tab w:val="num" w:pos="1008"/>
        </w:tabs>
        <w:ind w:left="1008" w:hanging="504"/>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2"/>
  </w:num>
  <w:num w:numId="2">
    <w:abstractNumId w:val="2"/>
  </w:num>
  <w:num w:numId="3">
    <w:abstractNumId w:val="2"/>
  </w:num>
  <w:num w:numId="4">
    <w:abstractNumId w:val="6"/>
  </w:num>
  <w:num w:numId="5">
    <w:abstractNumId w:val="2"/>
  </w:num>
  <w:num w:numId="6">
    <w:abstractNumId w:val="2"/>
  </w:num>
  <w:num w:numId="7">
    <w:abstractNumId w:val="2"/>
  </w:num>
  <w:num w:numId="8">
    <w:abstractNumId w:val="2"/>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
  </w:num>
  <w:num w:numId="18">
    <w:abstractNumId w:val="1"/>
  </w:num>
  <w:num w:numId="19">
    <w:abstractNumId w:val="3"/>
  </w:num>
  <w:num w:numId="20">
    <w:abstractNumId w:val="5"/>
  </w:num>
  <w:num w:numId="21">
    <w:abstractNumId w:val="5"/>
  </w:num>
  <w:num w:numId="22">
    <w:abstractNumId w:val="4"/>
  </w:num>
  <w:num w:numId="23">
    <w:abstractNumId w:val="4"/>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4">
    <w:abstractNumId w:val="4"/>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22F8"/>
    <w:rsid w:val="0000176A"/>
    <w:rsid w:val="00012F6F"/>
    <w:rsid w:val="00014213"/>
    <w:rsid w:val="00014B55"/>
    <w:rsid w:val="00020E3E"/>
    <w:rsid w:val="00023BF3"/>
    <w:rsid w:val="00026811"/>
    <w:rsid w:val="0004356D"/>
    <w:rsid w:val="00045296"/>
    <w:rsid w:val="00075E6C"/>
    <w:rsid w:val="000B29AD"/>
    <w:rsid w:val="000B5EB2"/>
    <w:rsid w:val="000C6372"/>
    <w:rsid w:val="000E310A"/>
    <w:rsid w:val="000E392D"/>
    <w:rsid w:val="000F4288"/>
    <w:rsid w:val="000F7165"/>
    <w:rsid w:val="00102379"/>
    <w:rsid w:val="001065D6"/>
    <w:rsid w:val="00106E44"/>
    <w:rsid w:val="00117C6B"/>
    <w:rsid w:val="00121252"/>
    <w:rsid w:val="00124609"/>
    <w:rsid w:val="001254CE"/>
    <w:rsid w:val="001302DE"/>
    <w:rsid w:val="00134CEA"/>
    <w:rsid w:val="001422CC"/>
    <w:rsid w:val="00154FDB"/>
    <w:rsid w:val="001617B6"/>
    <w:rsid w:val="00165E66"/>
    <w:rsid w:val="001C7BAE"/>
    <w:rsid w:val="001E31FA"/>
    <w:rsid w:val="001E496F"/>
    <w:rsid w:val="001E64F6"/>
    <w:rsid w:val="001E656A"/>
    <w:rsid w:val="00204CB9"/>
    <w:rsid w:val="00215F7C"/>
    <w:rsid w:val="00222BEB"/>
    <w:rsid w:val="00225E60"/>
    <w:rsid w:val="00231BD3"/>
    <w:rsid w:val="0023202C"/>
    <w:rsid w:val="00232E62"/>
    <w:rsid w:val="00236203"/>
    <w:rsid w:val="00245043"/>
    <w:rsid w:val="00257760"/>
    <w:rsid w:val="002752C5"/>
    <w:rsid w:val="00286F9A"/>
    <w:rsid w:val="00292D36"/>
    <w:rsid w:val="00297281"/>
    <w:rsid w:val="002A3E2C"/>
    <w:rsid w:val="002A4004"/>
    <w:rsid w:val="002A79B8"/>
    <w:rsid w:val="002C54E0"/>
    <w:rsid w:val="002D711A"/>
    <w:rsid w:val="002D7336"/>
    <w:rsid w:val="002E3396"/>
    <w:rsid w:val="0031149C"/>
    <w:rsid w:val="00321AC8"/>
    <w:rsid w:val="003225E4"/>
    <w:rsid w:val="00361426"/>
    <w:rsid w:val="00382EE1"/>
    <w:rsid w:val="00385422"/>
    <w:rsid w:val="0038771C"/>
    <w:rsid w:val="0039405B"/>
    <w:rsid w:val="003A1C92"/>
    <w:rsid w:val="003A541A"/>
    <w:rsid w:val="003A6923"/>
    <w:rsid w:val="003C2C67"/>
    <w:rsid w:val="003C4D9C"/>
    <w:rsid w:val="003C5BA4"/>
    <w:rsid w:val="003E3E26"/>
    <w:rsid w:val="003F1295"/>
    <w:rsid w:val="003F76FC"/>
    <w:rsid w:val="004002EB"/>
    <w:rsid w:val="0041689E"/>
    <w:rsid w:val="00421F2E"/>
    <w:rsid w:val="004236C8"/>
    <w:rsid w:val="00427681"/>
    <w:rsid w:val="00433DB7"/>
    <w:rsid w:val="00453750"/>
    <w:rsid w:val="00456941"/>
    <w:rsid w:val="00464F7E"/>
    <w:rsid w:val="0046697B"/>
    <w:rsid w:val="004702EA"/>
    <w:rsid w:val="00482D02"/>
    <w:rsid w:val="004A4010"/>
    <w:rsid w:val="004A7519"/>
    <w:rsid w:val="004D3518"/>
    <w:rsid w:val="004D62D6"/>
    <w:rsid w:val="004D71D7"/>
    <w:rsid w:val="004F163E"/>
    <w:rsid w:val="004F6445"/>
    <w:rsid w:val="0053416C"/>
    <w:rsid w:val="00541C2F"/>
    <w:rsid w:val="00554086"/>
    <w:rsid w:val="00563527"/>
    <w:rsid w:val="00565CF3"/>
    <w:rsid w:val="0057703D"/>
    <w:rsid w:val="0058124E"/>
    <w:rsid w:val="005828FE"/>
    <w:rsid w:val="005875A3"/>
    <w:rsid w:val="0059315E"/>
    <w:rsid w:val="005A3416"/>
    <w:rsid w:val="005B27FE"/>
    <w:rsid w:val="005C3E6D"/>
    <w:rsid w:val="005D51F0"/>
    <w:rsid w:val="005F61DF"/>
    <w:rsid w:val="005F681F"/>
    <w:rsid w:val="006023F9"/>
    <w:rsid w:val="00610559"/>
    <w:rsid w:val="006332F6"/>
    <w:rsid w:val="006519F6"/>
    <w:rsid w:val="00652625"/>
    <w:rsid w:val="006534B2"/>
    <w:rsid w:val="0065615D"/>
    <w:rsid w:val="00657011"/>
    <w:rsid w:val="006650B5"/>
    <w:rsid w:val="006651B1"/>
    <w:rsid w:val="00665778"/>
    <w:rsid w:val="006A5B34"/>
    <w:rsid w:val="006A5F5B"/>
    <w:rsid w:val="006B2873"/>
    <w:rsid w:val="006C77A9"/>
    <w:rsid w:val="006C78FB"/>
    <w:rsid w:val="006D66F9"/>
    <w:rsid w:val="006F6693"/>
    <w:rsid w:val="0070117D"/>
    <w:rsid w:val="00707FE8"/>
    <w:rsid w:val="00724962"/>
    <w:rsid w:val="00724A0F"/>
    <w:rsid w:val="00732162"/>
    <w:rsid w:val="00736732"/>
    <w:rsid w:val="00740302"/>
    <w:rsid w:val="0074281E"/>
    <w:rsid w:val="00745174"/>
    <w:rsid w:val="00750CBE"/>
    <w:rsid w:val="00766B5A"/>
    <w:rsid w:val="007834F2"/>
    <w:rsid w:val="00791020"/>
    <w:rsid w:val="007A5F82"/>
    <w:rsid w:val="007F1A4C"/>
    <w:rsid w:val="008022C3"/>
    <w:rsid w:val="008041E6"/>
    <w:rsid w:val="008065D2"/>
    <w:rsid w:val="0082194C"/>
    <w:rsid w:val="008220C4"/>
    <w:rsid w:val="008222FF"/>
    <w:rsid w:val="008241FF"/>
    <w:rsid w:val="008411E9"/>
    <w:rsid w:val="0084200F"/>
    <w:rsid w:val="00843B2C"/>
    <w:rsid w:val="00863669"/>
    <w:rsid w:val="00894952"/>
    <w:rsid w:val="008A4900"/>
    <w:rsid w:val="008B2A17"/>
    <w:rsid w:val="008C63EE"/>
    <w:rsid w:val="008C707F"/>
    <w:rsid w:val="008D0281"/>
    <w:rsid w:val="008E3C4E"/>
    <w:rsid w:val="008F6D45"/>
    <w:rsid w:val="00942CF8"/>
    <w:rsid w:val="00957221"/>
    <w:rsid w:val="00962BE9"/>
    <w:rsid w:val="00963C94"/>
    <w:rsid w:val="009834C0"/>
    <w:rsid w:val="00986322"/>
    <w:rsid w:val="00986AAC"/>
    <w:rsid w:val="0099093E"/>
    <w:rsid w:val="009A1DA2"/>
    <w:rsid w:val="009A3704"/>
    <w:rsid w:val="009A4739"/>
    <w:rsid w:val="009A674F"/>
    <w:rsid w:val="009B11DA"/>
    <w:rsid w:val="009B199C"/>
    <w:rsid w:val="009B54C8"/>
    <w:rsid w:val="009B61F1"/>
    <w:rsid w:val="009B62E0"/>
    <w:rsid w:val="009C3D88"/>
    <w:rsid w:val="009C503D"/>
    <w:rsid w:val="009E3858"/>
    <w:rsid w:val="009E70DD"/>
    <w:rsid w:val="009F2ED9"/>
    <w:rsid w:val="009F3231"/>
    <w:rsid w:val="009F5C58"/>
    <w:rsid w:val="00A023A0"/>
    <w:rsid w:val="00A03F5F"/>
    <w:rsid w:val="00A1562B"/>
    <w:rsid w:val="00A170F4"/>
    <w:rsid w:val="00A2559E"/>
    <w:rsid w:val="00A25FD9"/>
    <w:rsid w:val="00A46BA8"/>
    <w:rsid w:val="00A47634"/>
    <w:rsid w:val="00A516DE"/>
    <w:rsid w:val="00A612FE"/>
    <w:rsid w:val="00A736BE"/>
    <w:rsid w:val="00AA26B8"/>
    <w:rsid w:val="00AA4D53"/>
    <w:rsid w:val="00AB039B"/>
    <w:rsid w:val="00AB3FE2"/>
    <w:rsid w:val="00AC11CF"/>
    <w:rsid w:val="00AC4B9D"/>
    <w:rsid w:val="00AD3322"/>
    <w:rsid w:val="00AD7E4E"/>
    <w:rsid w:val="00AF3D47"/>
    <w:rsid w:val="00AF48A0"/>
    <w:rsid w:val="00AF4D58"/>
    <w:rsid w:val="00AF6666"/>
    <w:rsid w:val="00B10154"/>
    <w:rsid w:val="00B6366E"/>
    <w:rsid w:val="00B81B44"/>
    <w:rsid w:val="00B9053B"/>
    <w:rsid w:val="00B93C44"/>
    <w:rsid w:val="00BC3422"/>
    <w:rsid w:val="00BC6691"/>
    <w:rsid w:val="00C015B9"/>
    <w:rsid w:val="00C022F9"/>
    <w:rsid w:val="00C032EA"/>
    <w:rsid w:val="00C04715"/>
    <w:rsid w:val="00C06EB5"/>
    <w:rsid w:val="00C1145F"/>
    <w:rsid w:val="00C40DA5"/>
    <w:rsid w:val="00C637E1"/>
    <w:rsid w:val="00C70D50"/>
    <w:rsid w:val="00C907D7"/>
    <w:rsid w:val="00C92338"/>
    <w:rsid w:val="00CA1DC8"/>
    <w:rsid w:val="00CA7C3A"/>
    <w:rsid w:val="00CB4622"/>
    <w:rsid w:val="00CC2DB2"/>
    <w:rsid w:val="00CD0307"/>
    <w:rsid w:val="00CD1647"/>
    <w:rsid w:val="00CD3D1B"/>
    <w:rsid w:val="00CF7DCA"/>
    <w:rsid w:val="00D0364F"/>
    <w:rsid w:val="00D211E9"/>
    <w:rsid w:val="00D2312F"/>
    <w:rsid w:val="00D269C1"/>
    <w:rsid w:val="00D44953"/>
    <w:rsid w:val="00D45E19"/>
    <w:rsid w:val="00D542F3"/>
    <w:rsid w:val="00D5644B"/>
    <w:rsid w:val="00D56E25"/>
    <w:rsid w:val="00D718D7"/>
    <w:rsid w:val="00D814B7"/>
    <w:rsid w:val="00D90688"/>
    <w:rsid w:val="00DA3AAD"/>
    <w:rsid w:val="00DA7832"/>
    <w:rsid w:val="00DB312B"/>
    <w:rsid w:val="00DC5654"/>
    <w:rsid w:val="00DC658F"/>
    <w:rsid w:val="00DD5EB6"/>
    <w:rsid w:val="00DE60CC"/>
    <w:rsid w:val="00E122DB"/>
    <w:rsid w:val="00E1551F"/>
    <w:rsid w:val="00E20142"/>
    <w:rsid w:val="00E26B32"/>
    <w:rsid w:val="00E30E0A"/>
    <w:rsid w:val="00E3232B"/>
    <w:rsid w:val="00E407B6"/>
    <w:rsid w:val="00E41EF1"/>
    <w:rsid w:val="00E42942"/>
    <w:rsid w:val="00E468A6"/>
    <w:rsid w:val="00E71BDF"/>
    <w:rsid w:val="00E822F8"/>
    <w:rsid w:val="00E83CA7"/>
    <w:rsid w:val="00EA03A3"/>
    <w:rsid w:val="00EC171D"/>
    <w:rsid w:val="00ED487E"/>
    <w:rsid w:val="00EE7A0D"/>
    <w:rsid w:val="00F17CE1"/>
    <w:rsid w:val="00F2115C"/>
    <w:rsid w:val="00F22ABA"/>
    <w:rsid w:val="00F23366"/>
    <w:rsid w:val="00F36B12"/>
    <w:rsid w:val="00F511A2"/>
    <w:rsid w:val="00F55AF4"/>
    <w:rsid w:val="00F60F9F"/>
    <w:rsid w:val="00F64F08"/>
    <w:rsid w:val="00F734F5"/>
    <w:rsid w:val="00F907C5"/>
    <w:rsid w:val="00F966B1"/>
    <w:rsid w:val="00F97D48"/>
    <w:rsid w:val="00FA0311"/>
    <w:rsid w:val="00FA1680"/>
    <w:rsid w:val="00FB1EC9"/>
    <w:rsid w:val="00FC42E5"/>
    <w:rsid w:val="00FD640F"/>
    <w:rsid w:val="00FD6B4C"/>
    <w:rsid w:val="00FE782F"/>
    <w:rsid w:val="00FF051E"/>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1DA70A"/>
  <w15:docId w15:val="{14716E4D-6C11-480B-9582-C2901C84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45"/>
    <w:pPr>
      <w:spacing w:before="160" w:after="100"/>
    </w:pPr>
    <w:rPr>
      <w:spacing w:val="2"/>
      <w:sz w:val="18"/>
    </w:rPr>
  </w:style>
  <w:style w:type="paragraph" w:styleId="Heading1">
    <w:name w:val="heading 1"/>
    <w:next w:val="Normal"/>
    <w:link w:val="Heading1Char"/>
    <w:uiPriority w:val="99"/>
    <w:rsid w:val="00E20142"/>
    <w:pPr>
      <w:keepNext/>
      <w:keepLines/>
      <w:spacing w:before="600" w:after="60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uiPriority w:val="99"/>
    <w:rsid w:val="00E20142"/>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semiHidden/>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semiHidden/>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uiPriority w:val="99"/>
    <w:rsid w:val="00962BE9"/>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uiPriority w:val="99"/>
    <w:rsid w:val="00962BE9"/>
    <w:rPr>
      <w:rFonts w:asciiTheme="majorHAnsi" w:eastAsiaTheme="majorEastAsia" w:hAnsiTheme="majorHAnsi" w:cstheme="majorBidi"/>
      <w:b/>
      <w:bCs/>
      <w:color w:val="7F7F7F" w:themeColor="text1" w:themeTint="80"/>
      <w:spacing w:val="2"/>
      <w:sz w:val="28"/>
      <w:szCs w:val="26"/>
    </w:rPr>
  </w:style>
  <w:style w:type="paragraph" w:customStyle="1" w:styleId="Bullet1">
    <w:name w:val="Bullet 1"/>
    <w:uiPriority w:val="2"/>
    <w:qFormat/>
    <w:rsid w:val="00B93C44"/>
    <w:pPr>
      <w:numPr>
        <w:numId w:val="8"/>
      </w:numPr>
      <w:spacing w:before="160" w:after="0" w:line="240" w:lineRule="auto"/>
      <w:contextualSpacing/>
    </w:pPr>
    <w:rPr>
      <w:rFonts w:eastAsia="Times New Roman" w:cs="Calibri"/>
      <w:spacing w:val="2"/>
      <w:sz w:val="18"/>
    </w:rPr>
  </w:style>
  <w:style w:type="paragraph" w:customStyle="1" w:styleId="Bullet2">
    <w:name w:val="Bullet 2"/>
    <w:basedOn w:val="Bullet1"/>
    <w:uiPriority w:val="2"/>
    <w:qFormat/>
    <w:rsid w:val="0099093E"/>
    <w:pPr>
      <w:numPr>
        <w:ilvl w:val="1"/>
      </w:numPr>
      <w:spacing w:before="0"/>
    </w:pPr>
  </w:style>
  <w:style w:type="paragraph" w:customStyle="1" w:styleId="Bulletindent">
    <w:name w:val="Bullet indent"/>
    <w:basedOn w:val="Bullet2"/>
    <w:uiPriority w:val="7"/>
    <w:qFormat/>
    <w:rsid w:val="00EC171D"/>
    <w:pPr>
      <w:numPr>
        <w:ilvl w:val="2"/>
      </w:numPr>
    </w:pPr>
  </w:style>
  <w:style w:type="paragraph" w:customStyle="1" w:styleId="Heading1numbered">
    <w:name w:val="Heading 1 numbered"/>
    <w:basedOn w:val="Heading1"/>
    <w:next w:val="NormalIndent"/>
    <w:uiPriority w:val="4"/>
    <w:semiHidden/>
    <w:qFormat/>
    <w:rsid w:val="00EC171D"/>
  </w:style>
  <w:style w:type="paragraph" w:customStyle="1" w:styleId="Heading2numbered">
    <w:name w:val="Heading 2 numbered"/>
    <w:basedOn w:val="Heading2"/>
    <w:next w:val="NormalIndent"/>
    <w:uiPriority w:val="4"/>
    <w:semiHidden/>
    <w:qFormat/>
    <w:rsid w:val="00EC171D"/>
  </w:style>
  <w:style w:type="paragraph" w:customStyle="1" w:styleId="Heading3numbered">
    <w:name w:val="Heading 3 numbered"/>
    <w:basedOn w:val="Heading3"/>
    <w:next w:val="NormalIndent"/>
    <w:uiPriority w:val="4"/>
    <w:semiHidden/>
    <w:qFormat/>
    <w:rsid w:val="00EC171D"/>
    <w:pPr>
      <w:numPr>
        <w:ilvl w:val="4"/>
        <w:numId w:val="16"/>
      </w:numPr>
    </w:pPr>
  </w:style>
  <w:style w:type="character" w:customStyle="1" w:styleId="Heading3Char">
    <w:name w:val="Heading 3 Char"/>
    <w:basedOn w:val="DefaultParagraphFont"/>
    <w:link w:val="Heading3"/>
    <w:semiHidden/>
    <w:rsid w:val="001302DE"/>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EC171D"/>
    <w:pPr>
      <w:numPr>
        <w:ilvl w:val="5"/>
        <w:numId w:val="16"/>
      </w:numPr>
    </w:pPr>
  </w:style>
  <w:style w:type="character" w:customStyle="1" w:styleId="Heading4Char">
    <w:name w:val="Heading 4 Char"/>
    <w:basedOn w:val="DefaultParagraphFont"/>
    <w:link w:val="Heading4"/>
    <w:semiHidden/>
    <w:rsid w:val="001302DE"/>
    <w:rPr>
      <w:rFonts w:asciiTheme="majorHAnsi" w:eastAsiaTheme="majorEastAsia" w:hAnsiTheme="majorHAnsi" w:cstheme="majorBidi"/>
      <w:b/>
      <w:bCs/>
      <w:iCs/>
      <w:color w:val="53565A"/>
      <w:spacing w:val="2"/>
    </w:rPr>
  </w:style>
  <w:style w:type="paragraph" w:styleId="NormalIndent">
    <w:name w:val="Normal Indent"/>
    <w:basedOn w:val="Normal"/>
    <w:qFormat/>
    <w:rsid w:val="00FB1EC9"/>
    <w:pPr>
      <w:spacing w:line="252" w:lineRule="auto"/>
      <w:ind w:left="288"/>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F23366"/>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semiHidden/>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semiHidden/>
    <w:rsid w:val="00F23366"/>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7"/>
    <w:qFormat/>
    <w:rsid w:val="00EC171D"/>
    <w:pPr>
      <w:numPr>
        <w:ilvl w:val="3"/>
        <w:numId w:val="8"/>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745174"/>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106E44"/>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9"/>
    <w:qFormat/>
    <w:rsid w:val="00652625"/>
    <w:pPr>
      <w:spacing w:before="60" w:after="60" w:line="264" w:lineRule="auto"/>
    </w:pPr>
    <w:rPr>
      <w:sz w:val="17"/>
    </w:rPr>
  </w:style>
  <w:style w:type="paragraph" w:customStyle="1" w:styleId="Tabletextright">
    <w:name w:val="Table text right"/>
    <w:basedOn w:val="Tabletext"/>
    <w:uiPriority w:val="8"/>
    <w:qFormat/>
    <w:rsid w:val="00EC171D"/>
    <w:pPr>
      <w:jc w:val="right"/>
    </w:pPr>
  </w:style>
  <w:style w:type="paragraph" w:customStyle="1" w:styleId="Listnumindent2">
    <w:name w:val="List num indent 2"/>
    <w:basedOn w:val="Normal"/>
    <w:uiPriority w:val="7"/>
    <w:qFormat/>
    <w:rsid w:val="00EC171D"/>
    <w:pPr>
      <w:numPr>
        <w:ilvl w:val="7"/>
        <w:numId w:val="16"/>
      </w:numPr>
      <w:spacing w:before="100"/>
      <w:contextualSpacing/>
    </w:pPr>
  </w:style>
  <w:style w:type="paragraph" w:customStyle="1" w:styleId="Listnumindent">
    <w:name w:val="List num indent"/>
    <w:basedOn w:val="Normal"/>
    <w:uiPriority w:val="7"/>
    <w:qFormat/>
    <w:rsid w:val="00EC171D"/>
    <w:pPr>
      <w:numPr>
        <w:ilvl w:val="6"/>
        <w:numId w:val="16"/>
      </w:numPr>
      <w:spacing w:before="100"/>
    </w:pPr>
  </w:style>
  <w:style w:type="paragraph" w:customStyle="1" w:styleId="Listnum">
    <w:name w:val="List num"/>
    <w:basedOn w:val="Normal"/>
    <w:uiPriority w:val="1"/>
    <w:qFormat/>
    <w:rsid w:val="00FE782F"/>
    <w:pPr>
      <w:numPr>
        <w:numId w:val="4"/>
      </w:numPr>
      <w:contextualSpacing/>
    </w:pPr>
  </w:style>
  <w:style w:type="paragraph" w:customStyle="1" w:styleId="Listnum2">
    <w:name w:val="List num 2"/>
    <w:basedOn w:val="Normal"/>
    <w:uiPriority w:val="1"/>
    <w:qFormat/>
    <w:rsid w:val="00117C6B"/>
    <w:pPr>
      <w:numPr>
        <w:ilvl w:val="1"/>
        <w:numId w:val="16"/>
      </w:numPr>
      <w:contextualSpacing/>
    </w:pPr>
  </w:style>
  <w:style w:type="paragraph" w:customStyle="1" w:styleId="Tabletextcentred">
    <w:name w:val="Table text centred"/>
    <w:basedOn w:val="Tabletext"/>
    <w:uiPriority w:val="8"/>
    <w:qFormat/>
    <w:rsid w:val="00EC171D"/>
    <w:pPr>
      <w:jc w:val="center"/>
    </w:pPr>
  </w:style>
  <w:style w:type="paragraph" w:customStyle="1" w:styleId="Tableheader">
    <w:name w:val="Table header"/>
    <w:basedOn w:val="Tabletext"/>
    <w:uiPriority w:val="8"/>
    <w:qFormat/>
    <w:rsid w:val="0000176A"/>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D211E9"/>
    <w:pPr>
      <w:numPr>
        <w:numId w:val="18"/>
      </w:numPr>
    </w:pPr>
  </w:style>
  <w:style w:type="paragraph" w:customStyle="1" w:styleId="Tabledash">
    <w:name w:val="Table dash"/>
    <w:basedOn w:val="Tablebullet"/>
    <w:uiPriority w:val="9"/>
    <w:rsid w:val="00D211E9"/>
    <w:pPr>
      <w:numPr>
        <w:ilvl w:val="1"/>
      </w:numPr>
    </w:pPr>
  </w:style>
  <w:style w:type="paragraph" w:customStyle="1" w:styleId="Tabletextindent">
    <w:name w:val="Table text indent"/>
    <w:basedOn w:val="Tabletext"/>
    <w:uiPriority w:val="8"/>
    <w:qFormat/>
    <w:rsid w:val="00D211E9"/>
    <w:pPr>
      <w:ind w:left="288"/>
    </w:pPr>
  </w:style>
  <w:style w:type="paragraph" w:customStyle="1" w:styleId="FRDHeader">
    <w:name w:val="FRD Header"/>
    <w:basedOn w:val="Normal"/>
    <w:semiHidden/>
    <w:rsid w:val="00E122DB"/>
    <w:pPr>
      <w:spacing w:before="40" w:after="40" w:line="240" w:lineRule="auto"/>
    </w:pPr>
    <w:rPr>
      <w:rFonts w:eastAsia="Calibri" w:cs="Times New Roman"/>
      <w:color w:val="FFFFFF" w:themeColor="background1"/>
      <w:spacing w:val="0"/>
      <w:sz w:val="30"/>
      <w:szCs w:val="36"/>
      <w:lang w:eastAsia="en-US"/>
    </w:rPr>
  </w:style>
  <w:style w:type="paragraph" w:customStyle="1" w:styleId="FRDNumber">
    <w:name w:val="FRD Number"/>
    <w:basedOn w:val="FRDHeader"/>
    <w:semiHidden/>
    <w:rsid w:val="00E122DB"/>
  </w:style>
  <w:style w:type="paragraph" w:customStyle="1" w:styleId="Normalgrey">
    <w:name w:val="Normal grey"/>
    <w:basedOn w:val="Normal"/>
    <w:uiPriority w:val="2"/>
    <w:qFormat/>
    <w:rsid w:val="00382EE1"/>
    <w:pPr>
      <w:spacing w:line="264" w:lineRule="auto"/>
    </w:pPr>
    <w:rPr>
      <w:rFonts w:eastAsiaTheme="minorHAnsi"/>
      <w:color w:val="4D4D4D"/>
      <w:szCs w:val="18"/>
      <w:lang w:eastAsia="en-US"/>
    </w:rPr>
  </w:style>
  <w:style w:type="paragraph" w:customStyle="1" w:styleId="Bullet1grey">
    <w:name w:val="Bullet 1 grey"/>
    <w:basedOn w:val="Bullet1"/>
    <w:uiPriority w:val="3"/>
    <w:qFormat/>
    <w:rsid w:val="0099093E"/>
    <w:rPr>
      <w:color w:val="4D4D4D"/>
      <w:szCs w:val="18"/>
      <w:lang w:eastAsia="en-US"/>
    </w:rPr>
  </w:style>
  <w:style w:type="paragraph" w:customStyle="1" w:styleId="Normalbold">
    <w:name w:val="Normal bold"/>
    <w:basedOn w:val="Normal"/>
    <w:qFormat/>
    <w:rsid w:val="00A516DE"/>
    <w:pPr>
      <w:spacing w:line="264" w:lineRule="auto"/>
    </w:pPr>
    <w:rPr>
      <w:rFonts w:eastAsiaTheme="minorHAnsi"/>
      <w:b/>
      <w:szCs w:val="18"/>
      <w:lang w:eastAsia="en-US"/>
    </w:rPr>
  </w:style>
  <w:style w:type="paragraph" w:customStyle="1" w:styleId="Refnum1">
    <w:name w:val="Ref num 1"/>
    <w:basedOn w:val="Normal"/>
    <w:uiPriority w:val="7"/>
    <w:rsid w:val="00DD5EB6"/>
    <w:pPr>
      <w:numPr>
        <w:numId w:val="22"/>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957221"/>
    <w:pPr>
      <w:numPr>
        <w:ilvl w:val="2"/>
      </w:numPr>
    </w:pPr>
    <w:rPr>
      <w:color w:val="auto"/>
    </w:rPr>
  </w:style>
  <w:style w:type="paragraph" w:customStyle="1" w:styleId="Bullet2grey">
    <w:name w:val="Bullet 2 grey"/>
    <w:basedOn w:val="Bullet2"/>
    <w:uiPriority w:val="3"/>
    <w:qFormat/>
    <w:rsid w:val="0099093E"/>
    <w:rPr>
      <w:color w:val="4D4D4D"/>
      <w:szCs w:val="21"/>
      <w:lang w:eastAsia="en-US"/>
    </w:rPr>
  </w:style>
  <w:style w:type="paragraph" w:customStyle="1" w:styleId="Listnumgrey">
    <w:name w:val="List num grey"/>
    <w:uiPriority w:val="3"/>
    <w:qFormat/>
    <w:rsid w:val="00FA1680"/>
    <w:pPr>
      <w:numPr>
        <w:ilvl w:val="2"/>
        <w:numId w:val="16"/>
      </w:numPr>
      <w:spacing w:line="264" w:lineRule="auto"/>
    </w:pPr>
    <w:rPr>
      <w:rFonts w:eastAsiaTheme="minorHAnsi"/>
      <w:color w:val="4D4D4D"/>
      <w:spacing w:val="2"/>
      <w:sz w:val="18"/>
      <w:szCs w:val="21"/>
      <w:lang w:eastAsia="en-US"/>
    </w:rPr>
  </w:style>
  <w:style w:type="paragraph" w:customStyle="1" w:styleId="Listnum2grey">
    <w:name w:val="List num 2 grey"/>
    <w:uiPriority w:val="4"/>
    <w:qFormat/>
    <w:rsid w:val="00FA1680"/>
    <w:pPr>
      <w:numPr>
        <w:ilvl w:val="3"/>
        <w:numId w:val="16"/>
      </w:numPr>
      <w:spacing w:line="264" w:lineRule="auto"/>
    </w:pPr>
    <w:rPr>
      <w:rFonts w:eastAsiaTheme="minorHAnsi"/>
      <w:color w:val="4D4D4D"/>
      <w:spacing w:val="2"/>
      <w:sz w:val="18"/>
      <w:szCs w:val="21"/>
      <w:lang w:eastAsia="en-US"/>
    </w:rPr>
  </w:style>
  <w:style w:type="paragraph" w:customStyle="1" w:styleId="Refnum1grey">
    <w:name w:val="Ref num 1 grey"/>
    <w:basedOn w:val="Refnum1"/>
    <w:uiPriority w:val="7"/>
    <w:qFormat/>
    <w:rsid w:val="00DD5EB6"/>
    <w:rPr>
      <w:color w:val="F2F2F2" w:themeColor="background1" w:themeShade="F2"/>
    </w:rPr>
  </w:style>
  <w:style w:type="paragraph" w:customStyle="1" w:styleId="Refnum2grey">
    <w:name w:val="Ref num 2 grey"/>
    <w:basedOn w:val="Normal"/>
    <w:rsid w:val="006B2873"/>
    <w:pPr>
      <w:numPr>
        <w:ilvl w:val="1"/>
        <w:numId w:val="22"/>
      </w:numPr>
    </w:pPr>
  </w:style>
  <w:style w:type="paragraph" w:customStyle="1" w:styleId="Normalgreybold">
    <w:name w:val="Normal grey bold"/>
    <w:basedOn w:val="Normalgrey"/>
    <w:qFormat/>
    <w:rsid w:val="00E20142"/>
    <w:rPr>
      <w:b/>
    </w:rPr>
  </w:style>
  <w:style w:type="paragraph" w:customStyle="1" w:styleId="NormalIndentgrey">
    <w:name w:val="Normal Indent grey"/>
    <w:basedOn w:val="NormalIndent"/>
    <w:qFormat/>
    <w:rsid w:val="00FE782F"/>
    <w:rPr>
      <w:color w:val="4D4D4D"/>
      <w:szCs w:val="21"/>
    </w:rPr>
  </w:style>
  <w:style w:type="paragraph" w:styleId="Caption">
    <w:name w:val="caption"/>
    <w:basedOn w:val="Normal"/>
    <w:next w:val="Normal"/>
    <w:uiPriority w:val="99"/>
    <w:rsid w:val="004F6445"/>
    <w:pPr>
      <w:spacing w:before="0" w:after="200" w:line="240" w:lineRule="auto"/>
    </w:pPr>
    <w:rPr>
      <w:b/>
      <w:bCs/>
      <w:szCs w:val="18"/>
    </w:rPr>
  </w:style>
  <w:style w:type="paragraph" w:customStyle="1" w:styleId="Tablechartdiagramheading">
    <w:name w:val="Table/chart/diagram heading"/>
    <w:uiPriority w:val="99"/>
    <w:qFormat/>
    <w:rsid w:val="004F6445"/>
    <w:pPr>
      <w:tabs>
        <w:tab w:val="left" w:pos="1080"/>
      </w:tabs>
      <w:spacing w:before="160" w:after="100"/>
    </w:pPr>
    <w:rPr>
      <w:b/>
      <w:bCs/>
      <w:color w:val="404040" w:themeColor="text1" w:themeTint="BF"/>
      <w:spacing w:val="2"/>
      <w:sz w:val="18"/>
      <w:szCs w:val="18"/>
    </w:rPr>
  </w:style>
  <w:style w:type="character" w:styleId="CommentReference">
    <w:name w:val="annotation reference"/>
    <w:basedOn w:val="DefaultParagraphFont"/>
    <w:uiPriority w:val="99"/>
    <w:semiHidden/>
    <w:unhideWhenUsed/>
    <w:rsid w:val="001E656A"/>
    <w:rPr>
      <w:sz w:val="16"/>
      <w:szCs w:val="16"/>
    </w:rPr>
  </w:style>
  <w:style w:type="paragraph" w:styleId="CommentText">
    <w:name w:val="annotation text"/>
    <w:basedOn w:val="Normal"/>
    <w:link w:val="CommentTextChar"/>
    <w:uiPriority w:val="99"/>
    <w:semiHidden/>
    <w:unhideWhenUsed/>
    <w:rsid w:val="001E656A"/>
    <w:pPr>
      <w:spacing w:line="240" w:lineRule="auto"/>
    </w:pPr>
    <w:rPr>
      <w:sz w:val="20"/>
    </w:rPr>
  </w:style>
  <w:style w:type="character" w:customStyle="1" w:styleId="CommentTextChar">
    <w:name w:val="Comment Text Char"/>
    <w:basedOn w:val="DefaultParagraphFont"/>
    <w:link w:val="CommentText"/>
    <w:uiPriority w:val="99"/>
    <w:semiHidden/>
    <w:rsid w:val="001E656A"/>
    <w:rPr>
      <w:spacing w:val="2"/>
    </w:rPr>
  </w:style>
  <w:style w:type="paragraph" w:styleId="CommentSubject">
    <w:name w:val="annotation subject"/>
    <w:basedOn w:val="CommentText"/>
    <w:next w:val="CommentText"/>
    <w:link w:val="CommentSubjectChar"/>
    <w:uiPriority w:val="99"/>
    <w:semiHidden/>
    <w:unhideWhenUsed/>
    <w:rsid w:val="001E656A"/>
    <w:rPr>
      <w:b/>
      <w:bCs/>
    </w:rPr>
  </w:style>
  <w:style w:type="character" w:customStyle="1" w:styleId="CommentSubjectChar">
    <w:name w:val="Comment Subject Char"/>
    <w:basedOn w:val="CommentTextChar"/>
    <w:link w:val="CommentSubject"/>
    <w:uiPriority w:val="99"/>
    <w:semiHidden/>
    <w:rsid w:val="001E656A"/>
    <w:rPr>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75329C4-18C5-4007-B71E-4F38D84359BC}">
  <ds:schemaRefs>
    <ds:schemaRef ds:uri="http://schemas.openxmlformats.org/officeDocument/2006/bibliography"/>
  </ds:schemaRefs>
</ds:datastoreItem>
</file>

<file path=customXml/itemProps2.xml><?xml version="1.0" encoding="utf-8"?>
<ds:datastoreItem xmlns:ds="http://schemas.openxmlformats.org/officeDocument/2006/customXml" ds:itemID="{0CC467CC-ADD5-47C1-B698-0626A6F9B46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FRD template.dotx</Template>
  <TotalTime>1</TotalTime>
  <Pages>3</Pages>
  <Words>725</Words>
  <Characters>4137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Natalie Maroki (DTF)</cp:lastModifiedBy>
  <cp:revision>2</cp:revision>
  <cp:lastPrinted>2016-03-03T04:13:00Z</cp:lastPrinted>
  <dcterms:created xsi:type="dcterms:W3CDTF">2022-04-28T02:53:00Z</dcterms:created>
  <dcterms:modified xsi:type="dcterms:W3CDTF">2022-04-28T02:53:00Z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554b25c6-201a-4259-ba48-643a70c026bd</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2022-04-28T02:52:59Z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5b759899-9aa0-4e65-afd2-984c9302fb96</vt:lpwstr>
  </property>
  <property fmtid="{D5CDD505-2E9C-101B-9397-08002B2CF9AE}" pid="10" name="MSIP_Label_7158ebbd-6c5e-441f-bfc9-4eb8c11e3978_ContentBits">
    <vt:lpwstr>2</vt:lpwstr>
  </property>
</Properties>
</file>