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TFtexttable"/>
        <w:tblW w:w="9237" w:type="dxa"/>
        <w:tblLayout w:type="fixed"/>
        <w:tblLook w:val="0620" w:firstRow="1" w:lastRow="0" w:firstColumn="0" w:lastColumn="0" w:noHBand="1" w:noVBand="1"/>
      </w:tblPr>
      <w:tblGrid>
        <w:gridCol w:w="2293"/>
        <w:gridCol w:w="270"/>
        <w:gridCol w:w="540"/>
        <w:gridCol w:w="6134"/>
      </w:tblGrid>
      <w:tr w:rsidR="006C78FB" w:rsidRPr="003C5E9F" w14:paraId="678056FC" w14:textId="77777777" w:rsidTr="00A72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3" w:type="dxa"/>
          </w:tcPr>
          <w:p w14:paraId="2B697B30" w14:textId="6C20A6CB" w:rsidR="006C78FB" w:rsidRPr="003C5E9F" w:rsidRDefault="006C78FB" w:rsidP="00A72C43">
            <w:pPr>
              <w:pStyle w:val="FRDNumber"/>
            </w:pPr>
            <w:r w:rsidRPr="002E50A4">
              <w:t>FRD</w:t>
            </w:r>
            <w:r w:rsidRPr="003C5E9F">
              <w:t xml:space="preserve"> </w:t>
            </w:r>
            <w:r w:rsidR="00F97D92">
              <w:t>7</w:t>
            </w:r>
          </w:p>
        </w:tc>
        <w:tc>
          <w:tcPr>
            <w:tcW w:w="270" w:type="dxa"/>
          </w:tcPr>
          <w:p w14:paraId="08A7BA48" w14:textId="77777777" w:rsidR="006C78FB" w:rsidRPr="00E43EFA" w:rsidRDefault="006C78FB" w:rsidP="00B8224B"/>
        </w:tc>
        <w:tc>
          <w:tcPr>
            <w:tcW w:w="540" w:type="dxa"/>
          </w:tcPr>
          <w:p w14:paraId="25A20777" w14:textId="77777777" w:rsidR="006C78FB" w:rsidRPr="00E43EFA" w:rsidRDefault="006C78FB" w:rsidP="00B8224B"/>
        </w:tc>
        <w:tc>
          <w:tcPr>
            <w:tcW w:w="6134" w:type="dxa"/>
          </w:tcPr>
          <w:p w14:paraId="5405399E" w14:textId="1A9C430B" w:rsidR="006C78FB" w:rsidRPr="00E63A3C" w:rsidRDefault="00F97D92" w:rsidP="00AE5EFC">
            <w:pPr>
              <w:pStyle w:val="FRDHeader"/>
            </w:pPr>
            <w:r>
              <w:t>E</w:t>
            </w:r>
            <w:r w:rsidRPr="00F97D92">
              <w:t xml:space="preserve">arly </w:t>
            </w:r>
            <w:r w:rsidR="00574914" w:rsidRPr="00F97D92">
              <w:t>adoption of authoritative acc</w:t>
            </w:r>
            <w:r w:rsidR="00574914">
              <w:t xml:space="preserve">ounting pronouncements </w:t>
            </w:r>
            <w:r w:rsidR="00CE2A93">
              <w:t>(</w:t>
            </w:r>
            <w:r w:rsidR="00495623">
              <w:t>April</w:t>
            </w:r>
            <w:r w:rsidR="003B1DA1">
              <w:t xml:space="preserve"> 202</w:t>
            </w:r>
            <w:r w:rsidR="00495623">
              <w:t>2</w:t>
            </w:r>
            <w:r w:rsidRPr="00F97D92">
              <w:t>)</w:t>
            </w:r>
          </w:p>
        </w:tc>
      </w:tr>
      <w:tr w:rsidR="006C78FB" w:rsidRPr="00E10ADB" w14:paraId="4061D314" w14:textId="77777777" w:rsidTr="00A72C43">
        <w:trPr>
          <w:trHeight w:hRule="exact" w:val="120"/>
        </w:trPr>
        <w:tc>
          <w:tcPr>
            <w:tcW w:w="2293" w:type="dxa"/>
          </w:tcPr>
          <w:p w14:paraId="4195F3AA" w14:textId="77777777" w:rsidR="006C78FB" w:rsidRPr="008A601F" w:rsidRDefault="006C78FB" w:rsidP="00B8224B">
            <w:pPr>
              <w:pStyle w:val="Tabletext"/>
            </w:pPr>
          </w:p>
        </w:tc>
        <w:tc>
          <w:tcPr>
            <w:tcW w:w="270" w:type="dxa"/>
          </w:tcPr>
          <w:p w14:paraId="30B18CBD" w14:textId="77777777" w:rsidR="006C78FB" w:rsidRPr="008A601F" w:rsidRDefault="006C78FB" w:rsidP="00B8224B"/>
        </w:tc>
        <w:tc>
          <w:tcPr>
            <w:tcW w:w="540" w:type="dxa"/>
          </w:tcPr>
          <w:p w14:paraId="2670E92E" w14:textId="77777777" w:rsidR="006C78FB" w:rsidRPr="008A601F" w:rsidRDefault="006C78FB" w:rsidP="00B8224B"/>
        </w:tc>
        <w:tc>
          <w:tcPr>
            <w:tcW w:w="6134" w:type="dxa"/>
          </w:tcPr>
          <w:p w14:paraId="54AE5E3B" w14:textId="77777777" w:rsidR="006C78FB" w:rsidRPr="008A601F" w:rsidRDefault="006C78FB" w:rsidP="00B8224B"/>
        </w:tc>
      </w:tr>
      <w:tr w:rsidR="00F97D92" w:rsidRPr="005828FE" w14:paraId="133D060D" w14:textId="77777777" w:rsidTr="00A72C43">
        <w:tc>
          <w:tcPr>
            <w:tcW w:w="2293" w:type="dxa"/>
          </w:tcPr>
          <w:p w14:paraId="03EB7159" w14:textId="77777777" w:rsidR="00F97D92" w:rsidRPr="00883BB0" w:rsidRDefault="00F97D92" w:rsidP="00A72C43">
            <w:pPr>
              <w:pStyle w:val="Normalgrey"/>
            </w:pPr>
            <w:r w:rsidRPr="00883BB0">
              <w:t>Purpose</w:t>
            </w:r>
          </w:p>
        </w:tc>
        <w:tc>
          <w:tcPr>
            <w:tcW w:w="270" w:type="dxa"/>
          </w:tcPr>
          <w:p w14:paraId="7A6816F4" w14:textId="77777777" w:rsidR="00F97D92" w:rsidRPr="00883BB0" w:rsidRDefault="00F97D92" w:rsidP="00A72C43">
            <w:pPr>
              <w:pStyle w:val="Normalgrey"/>
            </w:pPr>
          </w:p>
        </w:tc>
        <w:tc>
          <w:tcPr>
            <w:tcW w:w="540" w:type="dxa"/>
          </w:tcPr>
          <w:p w14:paraId="0645949E" w14:textId="77777777" w:rsidR="00F97D92" w:rsidRPr="00883BB0" w:rsidRDefault="00F97D92" w:rsidP="00A72C43">
            <w:pPr>
              <w:pStyle w:val="Normalgrey"/>
            </w:pPr>
            <w:r w:rsidRPr="00883BB0">
              <w:t>1.1</w:t>
            </w:r>
          </w:p>
        </w:tc>
        <w:tc>
          <w:tcPr>
            <w:tcW w:w="6134" w:type="dxa"/>
          </w:tcPr>
          <w:p w14:paraId="36631C2F" w14:textId="77777777" w:rsidR="00F97D92" w:rsidRPr="00883BB0" w:rsidRDefault="00F97D92" w:rsidP="00A72C43">
            <w:pPr>
              <w:pStyle w:val="Normalgrey"/>
            </w:pPr>
            <w:r w:rsidRPr="00883BB0">
              <w:t>To prescribe the requirements and provide guidance regarding early adoption of an authoritative accounting pronouncement.</w:t>
            </w:r>
          </w:p>
        </w:tc>
      </w:tr>
      <w:tr w:rsidR="00F97D92" w:rsidRPr="005828FE" w14:paraId="6C70905A" w14:textId="77777777" w:rsidTr="00574914">
        <w:tc>
          <w:tcPr>
            <w:tcW w:w="2293" w:type="dxa"/>
            <w:shd w:val="clear" w:color="auto" w:fill="F2F2F2" w:themeFill="background1" w:themeFillShade="F2"/>
          </w:tcPr>
          <w:p w14:paraId="271DE56F" w14:textId="77777777" w:rsidR="00F97D92" w:rsidRPr="003B0387" w:rsidRDefault="00F97D92" w:rsidP="00A72C43">
            <w:pPr>
              <w:pStyle w:val="Normalbold"/>
            </w:pPr>
            <w:r w:rsidRPr="003B0387">
              <w:t>Application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40F79C74" w14:textId="77777777" w:rsidR="00F97D92" w:rsidRPr="003B0387" w:rsidRDefault="00F97D92" w:rsidP="0095457B">
            <w:pPr>
              <w:pStyle w:val="Refnum1grey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7639F2C4" w14:textId="77777777" w:rsidR="00F97D92" w:rsidRPr="00B57079" w:rsidRDefault="00F97D92" w:rsidP="00A72C43">
            <w:pPr>
              <w:pStyle w:val="Normalbold"/>
              <w:rPr>
                <w:b w:val="0"/>
              </w:rPr>
            </w:pPr>
            <w:r w:rsidRPr="00B57079">
              <w:rPr>
                <w:b w:val="0"/>
              </w:rPr>
              <w:t>2.1</w:t>
            </w:r>
          </w:p>
        </w:tc>
        <w:tc>
          <w:tcPr>
            <w:tcW w:w="6134" w:type="dxa"/>
            <w:shd w:val="clear" w:color="auto" w:fill="F2F2F2" w:themeFill="background1" w:themeFillShade="F2"/>
          </w:tcPr>
          <w:p w14:paraId="2823473C" w14:textId="77777777" w:rsidR="00F97D92" w:rsidRPr="00D962D0" w:rsidRDefault="00F97D92" w:rsidP="00A72C43">
            <w:pPr>
              <w:pStyle w:val="Normalbold"/>
            </w:pPr>
            <w:r w:rsidRPr="00D962D0">
              <w:t xml:space="preserve">Applies to all entities defined as either a public body or a department under section 3 of the </w:t>
            </w:r>
            <w:r w:rsidRPr="00D962D0">
              <w:rPr>
                <w:i/>
                <w:iCs/>
              </w:rPr>
              <w:t>Financial Management Act</w:t>
            </w:r>
            <w:r w:rsidRPr="00D962D0">
              <w:t xml:space="preserve"> </w:t>
            </w:r>
            <w:r w:rsidRPr="00A72C43">
              <w:rPr>
                <w:i/>
              </w:rPr>
              <w:t>1994</w:t>
            </w:r>
            <w:r w:rsidRPr="00D962D0">
              <w:t>.</w:t>
            </w:r>
          </w:p>
        </w:tc>
      </w:tr>
      <w:tr w:rsidR="00F97D92" w:rsidRPr="005828FE" w14:paraId="6BFD1537" w14:textId="77777777" w:rsidTr="00574914">
        <w:tc>
          <w:tcPr>
            <w:tcW w:w="2293" w:type="dxa"/>
            <w:shd w:val="clear" w:color="auto" w:fill="F2F2F2" w:themeFill="background1" w:themeFillShade="F2"/>
          </w:tcPr>
          <w:p w14:paraId="355EB871" w14:textId="77777777" w:rsidR="00F97D92" w:rsidRPr="003B0387" w:rsidRDefault="00F97D92" w:rsidP="00A72C43">
            <w:pPr>
              <w:pStyle w:val="Normalbold"/>
            </w:pPr>
            <w:r>
              <w:t>Operative date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0DD6A8B0" w14:textId="77777777" w:rsidR="00F97D92" w:rsidRPr="003B0387" w:rsidRDefault="00F97D92" w:rsidP="0095457B">
            <w:pPr>
              <w:pStyle w:val="Refnum1grey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7F120F0C" w14:textId="77777777" w:rsidR="00F97D92" w:rsidRPr="00B57079" w:rsidRDefault="00F97D92" w:rsidP="00A72C43">
            <w:pPr>
              <w:pStyle w:val="Normalbold"/>
              <w:rPr>
                <w:b w:val="0"/>
              </w:rPr>
            </w:pPr>
            <w:r w:rsidRPr="00B57079">
              <w:rPr>
                <w:b w:val="0"/>
              </w:rPr>
              <w:t>3.1</w:t>
            </w:r>
          </w:p>
        </w:tc>
        <w:tc>
          <w:tcPr>
            <w:tcW w:w="6134" w:type="dxa"/>
            <w:shd w:val="clear" w:color="auto" w:fill="F2F2F2" w:themeFill="background1" w:themeFillShade="F2"/>
          </w:tcPr>
          <w:p w14:paraId="72D83884" w14:textId="77777777" w:rsidR="00F97D92" w:rsidRPr="00D962D0" w:rsidRDefault="00F97D92" w:rsidP="00A72C43">
            <w:pPr>
              <w:pStyle w:val="Normalbold"/>
            </w:pPr>
            <w:r>
              <w:t>Reporting periods commencing 1 July 2015.</w:t>
            </w:r>
          </w:p>
        </w:tc>
      </w:tr>
      <w:tr w:rsidR="00F97D92" w:rsidRPr="005828FE" w14:paraId="7D1B1944" w14:textId="77777777" w:rsidTr="00574914">
        <w:tc>
          <w:tcPr>
            <w:tcW w:w="2293" w:type="dxa"/>
            <w:shd w:val="clear" w:color="auto" w:fill="F2F2F2" w:themeFill="background1" w:themeFillShade="F2"/>
          </w:tcPr>
          <w:p w14:paraId="6723C328" w14:textId="77777777" w:rsidR="00F97D92" w:rsidRDefault="00F97D92" w:rsidP="00A72C43">
            <w:pPr>
              <w:pStyle w:val="Normalbold"/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6202D030" w14:textId="77777777" w:rsidR="00F97D92" w:rsidRPr="003B0387" w:rsidRDefault="00F97D92" w:rsidP="00A72C43">
            <w:pPr>
              <w:pStyle w:val="Normalbold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0F9A88B" w14:textId="77777777" w:rsidR="00F97D92" w:rsidRPr="00B57079" w:rsidRDefault="00F97D92" w:rsidP="00A72C43">
            <w:pPr>
              <w:pStyle w:val="Normalbold"/>
              <w:rPr>
                <w:b w:val="0"/>
              </w:rPr>
            </w:pPr>
            <w:r w:rsidRPr="00B57079">
              <w:rPr>
                <w:b w:val="0"/>
              </w:rPr>
              <w:t>3.2</w:t>
            </w:r>
          </w:p>
        </w:tc>
        <w:tc>
          <w:tcPr>
            <w:tcW w:w="6134" w:type="dxa"/>
            <w:shd w:val="clear" w:color="auto" w:fill="F2F2F2" w:themeFill="background1" w:themeFillShade="F2"/>
          </w:tcPr>
          <w:p w14:paraId="24C38D93" w14:textId="40E5695B" w:rsidR="00B7607D" w:rsidRPr="00D962D0" w:rsidRDefault="00B7607D" w:rsidP="00A72C43">
            <w:pPr>
              <w:pStyle w:val="Normalbold"/>
            </w:pPr>
            <w:r>
              <w:t xml:space="preserve">FRD 7B </w:t>
            </w:r>
            <w:r w:rsidRPr="00196FD4">
              <w:rPr>
                <w:i/>
              </w:rPr>
              <w:t>Early Adoption of Authoritative Accounting Pronouncements</w:t>
            </w:r>
            <w:r>
              <w:t xml:space="preserve"> is renamed to FRD 7 </w:t>
            </w:r>
            <w:r w:rsidRPr="00196FD4">
              <w:rPr>
                <w:i/>
              </w:rPr>
              <w:t>Early Adoption of Authoritative Accounting Pronouncements</w:t>
            </w:r>
            <w:r>
              <w:t xml:space="preserve"> effective 1 </w:t>
            </w:r>
            <w:r w:rsidR="004440DD">
              <w:t>April</w:t>
            </w:r>
            <w:r>
              <w:t xml:space="preserve"> 202</w:t>
            </w:r>
            <w:r w:rsidR="004440DD">
              <w:t>2</w:t>
            </w:r>
            <w:r>
              <w:t>.</w:t>
            </w:r>
          </w:p>
        </w:tc>
      </w:tr>
      <w:tr w:rsidR="00F97D92" w:rsidRPr="005828FE" w14:paraId="00F7B2D4" w14:textId="77777777" w:rsidTr="00574914">
        <w:tc>
          <w:tcPr>
            <w:tcW w:w="2293" w:type="dxa"/>
            <w:shd w:val="clear" w:color="auto" w:fill="F2F2F2" w:themeFill="background1" w:themeFillShade="F2"/>
          </w:tcPr>
          <w:p w14:paraId="13A52FE1" w14:textId="77777777" w:rsidR="00F97D92" w:rsidRPr="003B0387" w:rsidRDefault="00F97D92" w:rsidP="00A72C43">
            <w:pPr>
              <w:pStyle w:val="Normalbold"/>
            </w:pPr>
            <w:r>
              <w:t>Requirements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432A8D0D" w14:textId="77777777" w:rsidR="00F97D92" w:rsidRPr="003B0387" w:rsidRDefault="00F97D92" w:rsidP="0095457B">
            <w:pPr>
              <w:pStyle w:val="Refnum1grey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5271FC0C" w14:textId="77777777" w:rsidR="00F97D92" w:rsidRPr="00B57079" w:rsidRDefault="00F97D92" w:rsidP="00A72C43">
            <w:pPr>
              <w:pStyle w:val="Normalbold"/>
              <w:rPr>
                <w:b w:val="0"/>
              </w:rPr>
            </w:pPr>
            <w:r w:rsidRPr="00B57079">
              <w:rPr>
                <w:b w:val="0"/>
              </w:rPr>
              <w:t>4.1</w:t>
            </w:r>
          </w:p>
        </w:tc>
        <w:tc>
          <w:tcPr>
            <w:tcW w:w="6134" w:type="dxa"/>
            <w:shd w:val="clear" w:color="auto" w:fill="F2F2F2" w:themeFill="background1" w:themeFillShade="F2"/>
          </w:tcPr>
          <w:p w14:paraId="79DF2768" w14:textId="77777777" w:rsidR="00F97D92" w:rsidRPr="00153F69" w:rsidRDefault="00F97D92" w:rsidP="00A72C43">
            <w:pPr>
              <w:pStyle w:val="Normalbold"/>
            </w:pPr>
            <w:r w:rsidRPr="00D962D0">
              <w:t xml:space="preserve">An entity must not early adopt an authoritative accounting pronouncement such as an Australian accounting standard and Urgent Issues Group Consensus View </w:t>
            </w:r>
            <w:r w:rsidRPr="00D962D0">
              <w:rPr>
                <w:u w:val="single"/>
              </w:rPr>
              <w:t>except</w:t>
            </w:r>
            <w:r w:rsidRPr="00D962D0">
              <w:t xml:space="preserve"> in rare circumstances where early adoption is appropriate, subject to approval as outlined below.</w:t>
            </w:r>
          </w:p>
        </w:tc>
      </w:tr>
      <w:tr w:rsidR="00F97D92" w:rsidRPr="005828FE" w14:paraId="5D9800BC" w14:textId="77777777" w:rsidTr="00574914">
        <w:tc>
          <w:tcPr>
            <w:tcW w:w="2293" w:type="dxa"/>
            <w:shd w:val="clear" w:color="auto" w:fill="F2F2F2" w:themeFill="background1" w:themeFillShade="F2"/>
          </w:tcPr>
          <w:p w14:paraId="39940DD0" w14:textId="77777777" w:rsidR="00F97D92" w:rsidRDefault="00F97D92" w:rsidP="00A72C43">
            <w:pPr>
              <w:pStyle w:val="Normalbold"/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7FE2B123" w14:textId="77777777" w:rsidR="00F97D92" w:rsidRPr="003B0387" w:rsidRDefault="00F97D92" w:rsidP="00A72C43">
            <w:pPr>
              <w:pStyle w:val="Normalbold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36B28972" w14:textId="77777777" w:rsidR="00F97D92" w:rsidRPr="00B57079" w:rsidRDefault="00F97D92" w:rsidP="00A72C43">
            <w:pPr>
              <w:pStyle w:val="Normalbold"/>
              <w:rPr>
                <w:b w:val="0"/>
              </w:rPr>
            </w:pPr>
            <w:r w:rsidRPr="00B57079">
              <w:rPr>
                <w:b w:val="0"/>
              </w:rPr>
              <w:t>4.2</w:t>
            </w:r>
          </w:p>
        </w:tc>
        <w:tc>
          <w:tcPr>
            <w:tcW w:w="6134" w:type="dxa"/>
            <w:shd w:val="clear" w:color="auto" w:fill="F2F2F2" w:themeFill="background1" w:themeFillShade="F2"/>
          </w:tcPr>
          <w:p w14:paraId="7A4FAC75" w14:textId="3C07A040" w:rsidR="00F97D92" w:rsidRPr="00153F69" w:rsidRDefault="00F97D92" w:rsidP="00A72C43">
            <w:pPr>
              <w:pStyle w:val="Normalbold"/>
            </w:pPr>
            <w:r w:rsidRPr="00D962D0">
              <w:t xml:space="preserve">An entity must obtain approval from the </w:t>
            </w:r>
            <w:r w:rsidR="003B1DA1">
              <w:t>Assistant Treasurer</w:t>
            </w:r>
            <w:r w:rsidRPr="00D962D0">
              <w:t xml:space="preserve"> prior to the early adoption of a pronouncement (refer </w:t>
            </w:r>
            <w:r>
              <w:t>to P</w:t>
            </w:r>
            <w:r w:rsidRPr="00D962D0">
              <w:t>rocedure below).</w:t>
            </w:r>
          </w:p>
        </w:tc>
      </w:tr>
      <w:tr w:rsidR="00F97D92" w:rsidRPr="005828FE" w14:paraId="5EA91144" w14:textId="77777777" w:rsidTr="00574914">
        <w:tc>
          <w:tcPr>
            <w:tcW w:w="2293" w:type="dxa"/>
            <w:shd w:val="clear" w:color="auto" w:fill="F2F2F2" w:themeFill="background1" w:themeFillShade="F2"/>
          </w:tcPr>
          <w:p w14:paraId="2B610C6E" w14:textId="77777777" w:rsidR="00F97D92" w:rsidRDefault="00F97D92" w:rsidP="00A72C43">
            <w:pPr>
              <w:pStyle w:val="Normalbold"/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14:paraId="4526B386" w14:textId="77777777" w:rsidR="00F97D92" w:rsidRPr="003B0387" w:rsidRDefault="00F97D92" w:rsidP="00A72C43">
            <w:pPr>
              <w:pStyle w:val="Normalbold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78C1F42B" w14:textId="77777777" w:rsidR="00F97D92" w:rsidRPr="00B57079" w:rsidRDefault="00F97D92" w:rsidP="00A72C43">
            <w:pPr>
              <w:pStyle w:val="Normalbold"/>
              <w:rPr>
                <w:b w:val="0"/>
              </w:rPr>
            </w:pPr>
            <w:r w:rsidRPr="00B57079">
              <w:rPr>
                <w:b w:val="0"/>
              </w:rPr>
              <w:t>4.3</w:t>
            </w:r>
          </w:p>
        </w:tc>
        <w:tc>
          <w:tcPr>
            <w:tcW w:w="6134" w:type="dxa"/>
            <w:shd w:val="clear" w:color="auto" w:fill="F2F2F2" w:themeFill="background1" w:themeFillShade="F2"/>
          </w:tcPr>
          <w:p w14:paraId="43C10351" w14:textId="77777777" w:rsidR="00F97D92" w:rsidRPr="00D962D0" w:rsidRDefault="00F97D92" w:rsidP="00A72C43">
            <w:pPr>
              <w:pStyle w:val="Normalbold"/>
            </w:pPr>
            <w:r w:rsidRPr="00D962D0">
              <w:t>Where an entity is permitted to early adopt a pronouncement, it must apply all the requirements of the pronouncement</w:t>
            </w:r>
            <w:r w:rsidR="00AE5EFC">
              <w:t xml:space="preserve">. </w:t>
            </w:r>
            <w:r w:rsidRPr="00D962D0">
              <w:t>Consequently, an entity must not selectively apply sections of a pronouncement.</w:t>
            </w:r>
          </w:p>
        </w:tc>
      </w:tr>
      <w:tr w:rsidR="00F97D92" w:rsidRPr="005828FE" w14:paraId="16A28DCE" w14:textId="77777777" w:rsidTr="00A72C43">
        <w:tc>
          <w:tcPr>
            <w:tcW w:w="2293" w:type="dxa"/>
          </w:tcPr>
          <w:p w14:paraId="17084B8D" w14:textId="77777777" w:rsidR="00F97D92" w:rsidRPr="00883BB0" w:rsidRDefault="00F97D92" w:rsidP="00A72C43">
            <w:pPr>
              <w:pStyle w:val="Normalgrey"/>
            </w:pPr>
            <w:r w:rsidRPr="00883BB0">
              <w:t>Procedure</w:t>
            </w:r>
          </w:p>
        </w:tc>
        <w:tc>
          <w:tcPr>
            <w:tcW w:w="270" w:type="dxa"/>
          </w:tcPr>
          <w:p w14:paraId="34471EA4" w14:textId="77777777" w:rsidR="00F97D92" w:rsidRPr="00883BB0" w:rsidRDefault="00F97D92" w:rsidP="0095457B">
            <w:pPr>
              <w:pStyle w:val="Refnum1"/>
            </w:pPr>
          </w:p>
        </w:tc>
        <w:tc>
          <w:tcPr>
            <w:tcW w:w="540" w:type="dxa"/>
          </w:tcPr>
          <w:p w14:paraId="276F38D2" w14:textId="77777777" w:rsidR="00F97D92" w:rsidRPr="00883BB0" w:rsidRDefault="00F97D92" w:rsidP="00A72C43">
            <w:pPr>
              <w:pStyle w:val="Normalgrey"/>
            </w:pPr>
            <w:r w:rsidRPr="00883BB0">
              <w:t>5.1</w:t>
            </w:r>
          </w:p>
        </w:tc>
        <w:tc>
          <w:tcPr>
            <w:tcW w:w="6134" w:type="dxa"/>
          </w:tcPr>
          <w:p w14:paraId="70E38F73" w14:textId="68D230A1" w:rsidR="00F97D92" w:rsidRPr="00112172" w:rsidRDefault="00F97D92" w:rsidP="00A72C43">
            <w:pPr>
              <w:pStyle w:val="Normalgrey"/>
            </w:pPr>
            <w:r w:rsidRPr="00112172">
              <w:t xml:space="preserve">An entity must, in writing, seek the </w:t>
            </w:r>
            <w:r w:rsidR="003B1DA1" w:rsidRPr="00112172">
              <w:t>Assistant Treasurer’s</w:t>
            </w:r>
            <w:r w:rsidRPr="00112172">
              <w:t xml:space="preserve"> approval to early adopt an accounting pronouncement and include the following information in its request:</w:t>
            </w:r>
          </w:p>
          <w:p w14:paraId="650333B3" w14:textId="77777777" w:rsidR="00F97D92" w:rsidRPr="00112172" w:rsidRDefault="00F97D92" w:rsidP="005A2A4F">
            <w:pPr>
              <w:pStyle w:val="Bullet1grey"/>
              <w:rPr>
                <w:snapToGrid w:val="0"/>
                <w:lang w:val="en-US"/>
              </w:rPr>
            </w:pPr>
            <w:r w:rsidRPr="00112172">
              <w:rPr>
                <w:snapToGrid w:val="0"/>
                <w:lang w:val="en-US"/>
              </w:rPr>
              <w:t>nature and reason for the early adoption; and</w:t>
            </w:r>
          </w:p>
          <w:p w14:paraId="46E33CDC" w14:textId="77777777" w:rsidR="00F97D92" w:rsidRPr="00112172" w:rsidRDefault="00F97D92" w:rsidP="00F97D92">
            <w:pPr>
              <w:pStyle w:val="Bullet1grey"/>
              <w:rPr>
                <w:snapToGrid w:val="0"/>
                <w:lang w:val="en-US"/>
              </w:rPr>
            </w:pPr>
            <w:r w:rsidRPr="00112172">
              <w:rPr>
                <w:snapToGrid w:val="0"/>
                <w:lang w:val="en-US"/>
              </w:rPr>
              <w:t>a comparison of the financial effects of applying the existing pronouncement and the early adoption.</w:t>
            </w:r>
          </w:p>
        </w:tc>
      </w:tr>
      <w:tr w:rsidR="00F97D92" w:rsidRPr="005828FE" w14:paraId="3E3A6B55" w14:textId="77777777" w:rsidTr="00A72C43">
        <w:tc>
          <w:tcPr>
            <w:tcW w:w="2293" w:type="dxa"/>
          </w:tcPr>
          <w:p w14:paraId="7526CF0E" w14:textId="77777777" w:rsidR="00F97D92" w:rsidRPr="00883BB0" w:rsidRDefault="00F97D92" w:rsidP="00A72C43">
            <w:pPr>
              <w:pStyle w:val="Normalgrey"/>
            </w:pPr>
          </w:p>
        </w:tc>
        <w:tc>
          <w:tcPr>
            <w:tcW w:w="270" w:type="dxa"/>
          </w:tcPr>
          <w:p w14:paraId="6CE24744" w14:textId="77777777" w:rsidR="00F97D92" w:rsidRPr="00883BB0" w:rsidRDefault="00F97D92" w:rsidP="00A72C43">
            <w:pPr>
              <w:pStyle w:val="Normalgrey"/>
            </w:pPr>
          </w:p>
        </w:tc>
        <w:tc>
          <w:tcPr>
            <w:tcW w:w="540" w:type="dxa"/>
          </w:tcPr>
          <w:p w14:paraId="3FD4ED38" w14:textId="77777777" w:rsidR="00F97D92" w:rsidRPr="00883BB0" w:rsidRDefault="00F97D92" w:rsidP="00A72C43">
            <w:pPr>
              <w:pStyle w:val="Normalgrey"/>
            </w:pPr>
            <w:r w:rsidRPr="00883BB0">
              <w:t>5.2</w:t>
            </w:r>
          </w:p>
        </w:tc>
        <w:tc>
          <w:tcPr>
            <w:tcW w:w="6134" w:type="dxa"/>
          </w:tcPr>
          <w:p w14:paraId="669D5E60" w14:textId="77777777" w:rsidR="00F97D92" w:rsidRPr="00112172" w:rsidRDefault="00F97D92" w:rsidP="00A72C43">
            <w:pPr>
              <w:pStyle w:val="Normalgrey"/>
              <w:rPr>
                <w:snapToGrid w:val="0"/>
                <w:lang w:val="en-US"/>
              </w:rPr>
            </w:pPr>
            <w:r w:rsidRPr="00112172">
              <w:rPr>
                <w:snapToGrid w:val="0"/>
                <w:lang w:val="en-US"/>
              </w:rPr>
              <w:t>The request should be forwarded to the Director, Budget and Financial Management, DTF, at least one month prior to the commencement of the relevant reporting period.</w:t>
            </w:r>
          </w:p>
        </w:tc>
      </w:tr>
      <w:tr w:rsidR="00F97D92" w:rsidRPr="005828FE" w14:paraId="6F39CAA9" w14:textId="77777777" w:rsidTr="00A72C43">
        <w:tc>
          <w:tcPr>
            <w:tcW w:w="2293" w:type="dxa"/>
          </w:tcPr>
          <w:p w14:paraId="62346947" w14:textId="77777777" w:rsidR="00F97D92" w:rsidRPr="00883BB0" w:rsidRDefault="00F97D92" w:rsidP="00A72C43">
            <w:pPr>
              <w:pStyle w:val="Normalgrey"/>
            </w:pPr>
          </w:p>
        </w:tc>
        <w:tc>
          <w:tcPr>
            <w:tcW w:w="270" w:type="dxa"/>
          </w:tcPr>
          <w:p w14:paraId="0FB7BAFD" w14:textId="77777777" w:rsidR="00F97D92" w:rsidRPr="00883BB0" w:rsidRDefault="00F97D92" w:rsidP="00A72C43">
            <w:pPr>
              <w:pStyle w:val="Normalgrey"/>
            </w:pPr>
          </w:p>
        </w:tc>
        <w:tc>
          <w:tcPr>
            <w:tcW w:w="540" w:type="dxa"/>
          </w:tcPr>
          <w:p w14:paraId="168D287F" w14:textId="77777777" w:rsidR="00F97D92" w:rsidRPr="00A72C43" w:rsidRDefault="00F97D92" w:rsidP="00A72C43">
            <w:pPr>
              <w:pStyle w:val="Normalgrey"/>
            </w:pPr>
            <w:r w:rsidRPr="00883BB0">
              <w:t>5.3</w:t>
            </w:r>
          </w:p>
        </w:tc>
        <w:tc>
          <w:tcPr>
            <w:tcW w:w="6134" w:type="dxa"/>
          </w:tcPr>
          <w:p w14:paraId="40574689" w14:textId="62A0835A" w:rsidR="00F97D92" w:rsidRPr="00112172" w:rsidRDefault="00F97D92" w:rsidP="00A72C43">
            <w:pPr>
              <w:pStyle w:val="Normalgrey"/>
              <w:rPr>
                <w:snapToGrid w:val="0"/>
                <w:lang w:val="en-US"/>
              </w:rPr>
            </w:pPr>
            <w:r w:rsidRPr="00112172">
              <w:rPr>
                <w:snapToGrid w:val="0"/>
                <w:lang w:val="en-US"/>
              </w:rPr>
              <w:t xml:space="preserve">In certain circumstances the </w:t>
            </w:r>
            <w:r w:rsidR="003B1DA1" w:rsidRPr="00112172">
              <w:rPr>
                <w:snapToGrid w:val="0"/>
                <w:lang w:val="en-US"/>
              </w:rPr>
              <w:t>Assistant Treasurer</w:t>
            </w:r>
            <w:r w:rsidRPr="00112172">
              <w:rPr>
                <w:snapToGrid w:val="0"/>
                <w:lang w:val="en-US"/>
              </w:rPr>
              <w:t xml:space="preserve"> may direct the general early adoption of an authoritative pronouncement.</w:t>
            </w:r>
          </w:p>
        </w:tc>
      </w:tr>
      <w:tr w:rsidR="00F97D92" w:rsidRPr="005828FE" w14:paraId="5802789A" w14:textId="77777777" w:rsidTr="00A72C43">
        <w:tc>
          <w:tcPr>
            <w:tcW w:w="2293" w:type="dxa"/>
          </w:tcPr>
          <w:p w14:paraId="1720ADE2" w14:textId="77777777" w:rsidR="00F97D92" w:rsidRPr="00883BB0" w:rsidRDefault="00F97D92" w:rsidP="00A72C43">
            <w:pPr>
              <w:pStyle w:val="Normalgrey"/>
            </w:pPr>
            <w:r w:rsidRPr="00883BB0">
              <w:t>Background</w:t>
            </w:r>
          </w:p>
        </w:tc>
        <w:tc>
          <w:tcPr>
            <w:tcW w:w="270" w:type="dxa"/>
          </w:tcPr>
          <w:p w14:paraId="5BBB6D93" w14:textId="77777777" w:rsidR="00F97D92" w:rsidRPr="00883BB0" w:rsidRDefault="00F97D92" w:rsidP="00A72C43">
            <w:pPr>
              <w:pStyle w:val="Normalgrey"/>
            </w:pPr>
          </w:p>
        </w:tc>
        <w:tc>
          <w:tcPr>
            <w:tcW w:w="540" w:type="dxa"/>
          </w:tcPr>
          <w:p w14:paraId="40677C44" w14:textId="1803C410" w:rsidR="00F97D92" w:rsidRPr="00883BB0" w:rsidRDefault="002F32A3" w:rsidP="009208F8">
            <w:pPr>
              <w:pStyle w:val="Normalgrey"/>
            </w:pPr>
            <w:r>
              <w:t>6.1</w:t>
            </w:r>
          </w:p>
        </w:tc>
        <w:tc>
          <w:tcPr>
            <w:tcW w:w="6134" w:type="dxa"/>
          </w:tcPr>
          <w:p w14:paraId="5D170AB4" w14:textId="2C0E153F" w:rsidR="00F97D92" w:rsidRPr="00112172" w:rsidRDefault="00F97D92" w:rsidP="00F3547F">
            <w:pPr>
              <w:pStyle w:val="Bullet1grey"/>
              <w:numPr>
                <w:ilvl w:val="0"/>
                <w:numId w:val="0"/>
              </w:numPr>
            </w:pPr>
            <w:r w:rsidRPr="00112172">
              <w:t xml:space="preserve">AASB 1 </w:t>
            </w:r>
            <w:r w:rsidRPr="00112172">
              <w:rPr>
                <w:i/>
                <w:iCs/>
              </w:rPr>
              <w:t>First</w:t>
            </w:r>
            <w:r w:rsidR="00AE5EFC" w:rsidRPr="00112172">
              <w:rPr>
                <w:i/>
                <w:iCs/>
              </w:rPr>
              <w:noBreakHyphen/>
            </w:r>
            <w:r w:rsidRPr="00112172">
              <w:rPr>
                <w:i/>
                <w:iCs/>
              </w:rPr>
              <w:t>time Adoption of Australian Equivalents to International Financial Reporting Standards</w:t>
            </w:r>
            <w:r w:rsidRPr="00112172">
              <w:t xml:space="preserve"> paragraph 8 permits an entity to apply a new Standard that is not yet mandatory if that Standard permits early application. However</w:t>
            </w:r>
            <w:r w:rsidR="002F32A3" w:rsidRPr="00112172">
              <w:t>,</w:t>
            </w:r>
            <w:r w:rsidRPr="00112172">
              <w:t xml:space="preserve"> it is noted that the early adoption of a pronouncement prior to consultation and approval may result in inconsistent application and/or non</w:t>
            </w:r>
            <w:r w:rsidR="00AE5EFC" w:rsidRPr="00112172">
              <w:noBreakHyphen/>
            </w:r>
            <w:r w:rsidRPr="00112172">
              <w:t>compliance with the required accounting policies and financial reporting requirements across the Victorian public sector.</w:t>
            </w:r>
          </w:p>
        </w:tc>
      </w:tr>
      <w:tr w:rsidR="00F97D92" w:rsidRPr="005828FE" w14:paraId="655A6758" w14:textId="77777777" w:rsidTr="00A72C43">
        <w:tc>
          <w:tcPr>
            <w:tcW w:w="2293" w:type="dxa"/>
          </w:tcPr>
          <w:p w14:paraId="71D98448" w14:textId="77777777" w:rsidR="00F97D92" w:rsidRPr="00883BB0" w:rsidRDefault="00F97D92" w:rsidP="00A72C43">
            <w:pPr>
              <w:pStyle w:val="Normalgrey"/>
            </w:pPr>
          </w:p>
        </w:tc>
        <w:tc>
          <w:tcPr>
            <w:tcW w:w="270" w:type="dxa"/>
          </w:tcPr>
          <w:p w14:paraId="40B4C447" w14:textId="7C5BFCF8" w:rsidR="00F97D92" w:rsidRPr="00883BB0" w:rsidRDefault="00F97D92" w:rsidP="00A72C43">
            <w:pPr>
              <w:pStyle w:val="Normalgrey"/>
            </w:pPr>
          </w:p>
        </w:tc>
        <w:tc>
          <w:tcPr>
            <w:tcW w:w="540" w:type="dxa"/>
          </w:tcPr>
          <w:p w14:paraId="71DAB706" w14:textId="7932E384" w:rsidR="00F97D92" w:rsidRPr="00883BB0" w:rsidRDefault="00112172" w:rsidP="009208F8">
            <w:pPr>
              <w:pStyle w:val="Normalgrey"/>
            </w:pPr>
            <w:r>
              <w:t>6.2</w:t>
            </w:r>
          </w:p>
        </w:tc>
        <w:tc>
          <w:tcPr>
            <w:tcW w:w="6134" w:type="dxa"/>
          </w:tcPr>
          <w:p w14:paraId="072DE762" w14:textId="3D199988" w:rsidR="0034299E" w:rsidRPr="00112172" w:rsidRDefault="0034299E" w:rsidP="0034299E">
            <w:pPr>
              <w:pStyle w:val="Normalgrey"/>
            </w:pPr>
            <w:r w:rsidRPr="00112172">
              <w:t xml:space="preserve">This FRD was </w:t>
            </w:r>
            <w:r w:rsidR="006D4738">
              <w:t>revised</w:t>
            </w:r>
            <w:r w:rsidRPr="00112172">
              <w:t xml:space="preserve"> in: </w:t>
            </w:r>
          </w:p>
          <w:p w14:paraId="1AB6D107" w14:textId="08775F9A" w:rsidR="009208F8" w:rsidRPr="00112172" w:rsidRDefault="00F97D92" w:rsidP="00B56E16">
            <w:pPr>
              <w:pStyle w:val="Bullet1grey"/>
            </w:pPr>
            <w:r w:rsidRPr="00112172">
              <w:t xml:space="preserve">January 2016 to remove references to FRD 101 </w:t>
            </w:r>
            <w:r w:rsidRPr="00112172">
              <w:rPr>
                <w:i/>
              </w:rPr>
              <w:t>First Time Adoption</w:t>
            </w:r>
            <w:r w:rsidRPr="00112172">
              <w:t xml:space="preserve"> and AASB 1 </w:t>
            </w:r>
            <w:r w:rsidRPr="00112172">
              <w:rPr>
                <w:i/>
              </w:rPr>
              <w:t>First</w:t>
            </w:r>
            <w:r w:rsidR="00AE5EFC" w:rsidRPr="00112172">
              <w:rPr>
                <w:i/>
              </w:rPr>
              <w:noBreakHyphen/>
            </w:r>
            <w:r w:rsidRPr="00112172">
              <w:rPr>
                <w:i/>
              </w:rPr>
              <w:t>time Adoption of Australian Equivalents to International Financial Reporting Standards</w:t>
            </w:r>
            <w:r w:rsidRPr="00112172">
              <w:t xml:space="preserve"> as all Victorian public sector entities have completed the transition to Australian Equivalents to International Financial Reporting Standards. </w:t>
            </w:r>
          </w:p>
          <w:p w14:paraId="6EAC5C36" w14:textId="68FB0EBE" w:rsidR="009208F8" w:rsidRPr="00AC1E8B" w:rsidRDefault="00D841DD">
            <w:pPr>
              <w:pStyle w:val="Bullet1grey"/>
            </w:pPr>
            <w:r>
              <w:t>April</w:t>
            </w:r>
            <w:r w:rsidR="009208F8" w:rsidRPr="00112172">
              <w:t xml:space="preserve"> 202</w:t>
            </w:r>
            <w:r>
              <w:t>2</w:t>
            </w:r>
            <w:r w:rsidR="009208F8" w:rsidRPr="00112172">
              <w:t xml:space="preserve"> to update references </w:t>
            </w:r>
            <w:r w:rsidR="002F32A3" w:rsidRPr="00112172">
              <w:t>from</w:t>
            </w:r>
            <w:r w:rsidR="009208F8" w:rsidRPr="00112172">
              <w:t xml:space="preserve"> the Minister for Finance to the Assistant Treasurer</w:t>
            </w:r>
            <w:r w:rsidR="00F3547F" w:rsidRPr="00AC1E8B">
              <w:t>.</w:t>
            </w:r>
          </w:p>
        </w:tc>
      </w:tr>
    </w:tbl>
    <w:p w14:paraId="583B922E" w14:textId="77777777" w:rsidR="00F97D92" w:rsidRPr="00A72C43" w:rsidRDefault="00F97D92" w:rsidP="00A72C43">
      <w:pPr>
        <w:spacing w:before="0"/>
        <w:rPr>
          <w:sz w:val="4"/>
          <w:szCs w:val="4"/>
        </w:rPr>
      </w:pPr>
    </w:p>
    <w:sectPr w:rsidR="00F97D92" w:rsidRPr="00A72C43" w:rsidSect="005828F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802" w:right="1440" w:bottom="1350" w:left="1440" w:header="450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3817" w14:textId="77777777" w:rsidR="00E63A3C" w:rsidRDefault="00E63A3C" w:rsidP="002D711A">
      <w:pPr>
        <w:spacing w:after="0" w:line="240" w:lineRule="auto"/>
      </w:pPr>
      <w:r>
        <w:separator/>
      </w:r>
    </w:p>
    <w:p w14:paraId="63BFAED5" w14:textId="77777777" w:rsidR="00E63A3C" w:rsidRDefault="00E63A3C"/>
  </w:endnote>
  <w:endnote w:type="continuationSeparator" w:id="0">
    <w:p w14:paraId="49E21E9B" w14:textId="77777777" w:rsidR="00E63A3C" w:rsidRDefault="00E63A3C" w:rsidP="002D711A">
      <w:pPr>
        <w:spacing w:after="0" w:line="240" w:lineRule="auto"/>
      </w:pPr>
      <w:r>
        <w:continuationSeparator/>
      </w:r>
    </w:p>
    <w:p w14:paraId="02BCFD60" w14:textId="77777777" w:rsidR="00E63A3C" w:rsidRDefault="00E63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AB98" w14:textId="77777777" w:rsidR="0057703D" w:rsidRDefault="0057703D" w:rsidP="00AE5EFC">
    <w:pPr>
      <w:spacing w:before="0" w:after="0"/>
      <w:rPr>
        <w:rFonts w:ascii="Arial" w:hAnsi="Arial" w:cs="Arial"/>
        <w:b/>
        <w:color w:val="3F3F3F"/>
      </w:rPr>
    </w:pPr>
    <w:bookmarkStart w:id="0" w:name="aliashNonProtectiveMarki1FooterEvenPages"/>
  </w:p>
  <w:bookmarkEnd w:id="0"/>
  <w:p w14:paraId="5A44CAD9" w14:textId="77777777" w:rsidR="00AE5EFC" w:rsidRDefault="00AE5E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FBE9" w14:textId="040C7529" w:rsidR="00AE5EFC" w:rsidRDefault="00B56E16" w:rsidP="00A516DE">
    <w:pPr>
      <w:pStyle w:val="Spac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F74DE7" wp14:editId="3D1680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924447282f2ddbf18194c44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BDAB63" w14:textId="140B6939" w:rsidR="00B56E16" w:rsidRPr="00B56E16" w:rsidRDefault="00B56E16" w:rsidP="00B56E16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B56E16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74DE7" id="_x0000_t202" coordsize="21600,21600" o:spt="202" path="m,l,21600r21600,l21600,xe">
              <v:stroke joinstyle="miter"/>
              <v:path gradientshapeok="t" o:connecttype="rect"/>
            </v:shapetype>
            <v:shape id="MSIPCM6924447282f2ddbf18194c44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5Gzmmr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24BDAB63" w14:textId="140B6939" w:rsidR="00B56E16" w:rsidRPr="00B56E16" w:rsidRDefault="00B56E16" w:rsidP="00B56E16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B56E16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DAD118" w14:textId="3DE2EB36" w:rsidR="0041689E" w:rsidRPr="005828FE" w:rsidRDefault="0041689E" w:rsidP="0041689E">
    <w:pPr>
      <w:pStyle w:val="Footer"/>
      <w:spacing w:before="0"/>
    </w:pPr>
    <w:r w:rsidRPr="005828FE">
      <w:rPr>
        <w:b/>
        <w:noProof w:val="0"/>
      </w:rPr>
      <w:fldChar w:fldCharType="begin"/>
    </w:r>
    <w:r w:rsidRPr="005828FE">
      <w:rPr>
        <w:b/>
      </w:rPr>
      <w:instrText xml:space="preserve"> StyleRef “</w:instrText>
    </w:r>
    <w:r w:rsidR="006C78FB" w:rsidRPr="005828FE">
      <w:rPr>
        <w:b/>
      </w:rPr>
      <w:instrText>FRD number</w:instrText>
    </w:r>
    <w:r w:rsidRPr="005828FE">
      <w:rPr>
        <w:b/>
      </w:rPr>
      <w:instrText xml:space="preserve">” </w:instrText>
    </w:r>
    <w:r w:rsidRPr="005828FE">
      <w:rPr>
        <w:b/>
        <w:noProof w:val="0"/>
      </w:rPr>
      <w:fldChar w:fldCharType="separate"/>
    </w:r>
    <w:r w:rsidR="00B904F5">
      <w:rPr>
        <w:b/>
      </w:rPr>
      <w:t>FRD 7</w:t>
    </w:r>
    <w:r w:rsidRPr="005828FE">
      <w:rPr>
        <w:b/>
      </w:rPr>
      <w:fldChar w:fldCharType="end"/>
    </w:r>
    <w:r w:rsidR="006C78FB" w:rsidRPr="005828FE">
      <w:rPr>
        <w:b/>
      </w:rPr>
      <w:t xml:space="preserve"> </w:t>
    </w:r>
    <w:r w:rsidR="006C78FB" w:rsidRPr="006C78FB">
      <w:fldChar w:fldCharType="begin"/>
    </w:r>
    <w:r w:rsidR="006C78FB" w:rsidRPr="006C78FB">
      <w:instrText xml:space="preserve"> StyleRef “FRD Header” </w:instrText>
    </w:r>
    <w:r w:rsidR="006C78FB" w:rsidRPr="006C78FB">
      <w:fldChar w:fldCharType="separate"/>
    </w:r>
    <w:r w:rsidR="00B904F5">
      <w:t>Early adoption of authoritative accounting pronouncements (April 2022)</w:t>
    </w:r>
    <w:r w:rsidR="006C78FB" w:rsidRPr="006C78FB">
      <w:fldChar w:fldCharType="end"/>
    </w:r>
    <w:r w:rsidRPr="00C022F9">
      <w:tab/>
    </w:r>
    <w:r w:rsidRPr="005828FE">
      <w:t xml:space="preserve">Page </w:t>
    </w:r>
    <w:r w:rsidRPr="005828FE">
      <w:rPr>
        <w:rStyle w:val="PageNumber"/>
        <w:color w:val="auto"/>
      </w:rPr>
      <w:fldChar w:fldCharType="begin"/>
    </w:r>
    <w:r w:rsidRPr="005828FE">
      <w:rPr>
        <w:rStyle w:val="PageNumber"/>
        <w:color w:val="auto"/>
      </w:rPr>
      <w:instrText xml:space="preserve"> Page </w:instrText>
    </w:r>
    <w:r w:rsidRPr="005828FE">
      <w:rPr>
        <w:rStyle w:val="PageNumber"/>
        <w:color w:val="auto"/>
      </w:rPr>
      <w:fldChar w:fldCharType="separate"/>
    </w:r>
    <w:r w:rsidR="0095457B">
      <w:rPr>
        <w:rStyle w:val="PageNumber"/>
        <w:color w:val="auto"/>
      </w:rPr>
      <w:t>1</w:t>
    </w:r>
    <w:r w:rsidRPr="005828FE">
      <w:rPr>
        <w:rStyle w:val="PageNumber"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696A" w14:textId="77777777" w:rsidR="00AE5EFC" w:rsidRDefault="00AE5EFC" w:rsidP="00AE5EFC">
    <w:pPr>
      <w:pStyle w:val="Footer"/>
      <w:spacing w:before="0"/>
      <w:rPr>
        <w:rFonts w:ascii="Arial" w:hAnsi="Arial" w:cs="Arial"/>
        <w:b/>
        <w:color w:val="3F3F3F"/>
        <w:sz w:val="20"/>
      </w:rPr>
    </w:pPr>
    <w:bookmarkStart w:id="1" w:name="aliashNonProtectiveMarki1FooterFirstPage"/>
  </w:p>
  <w:bookmarkEnd w:id="1"/>
  <w:p w14:paraId="500D0FF4" w14:textId="77777777" w:rsidR="00AE5EFC" w:rsidRDefault="00AE5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C82E" w14:textId="77777777" w:rsidR="00E63A3C" w:rsidRDefault="00E63A3C" w:rsidP="002D711A">
      <w:pPr>
        <w:spacing w:after="0" w:line="240" w:lineRule="auto"/>
      </w:pPr>
      <w:r>
        <w:separator/>
      </w:r>
    </w:p>
    <w:p w14:paraId="0F033B8B" w14:textId="77777777" w:rsidR="00E63A3C" w:rsidRDefault="00E63A3C"/>
  </w:footnote>
  <w:footnote w:type="continuationSeparator" w:id="0">
    <w:p w14:paraId="2487CBB6" w14:textId="77777777" w:rsidR="00E63A3C" w:rsidRDefault="00E63A3C" w:rsidP="002D711A">
      <w:pPr>
        <w:spacing w:after="0" w:line="240" w:lineRule="auto"/>
      </w:pPr>
      <w:r>
        <w:continuationSeparator/>
      </w:r>
    </w:p>
    <w:p w14:paraId="089EBF2C" w14:textId="77777777" w:rsidR="00E63A3C" w:rsidRDefault="00E63A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CC02" w14:textId="77777777" w:rsidR="0041689E" w:rsidRPr="0041689E" w:rsidRDefault="005828FE" w:rsidP="005828FE">
    <w:pPr>
      <w:pStyle w:val="Header"/>
      <w:tabs>
        <w:tab w:val="clear" w:pos="9026"/>
      </w:tabs>
      <w:ind w:right="-694"/>
      <w:jc w:val="right"/>
    </w:pPr>
    <w:r>
      <w:rPr>
        <w:noProof/>
      </w:rPr>
      <w:drawing>
        <wp:inline distT="0" distB="0" distL="0" distR="0" wp14:anchorId="50877259" wp14:editId="773AAF26">
          <wp:extent cx="813816" cy="466344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logo black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816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6F5E11" w14:textId="77777777" w:rsidR="0057703D" w:rsidRDefault="005770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B86"/>
    <w:multiLevelType w:val="hybridMultilevel"/>
    <w:tmpl w:val="464AD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C99"/>
    <w:multiLevelType w:val="hybridMultilevel"/>
    <w:tmpl w:val="85DA8F92"/>
    <w:lvl w:ilvl="0" w:tplc="695C59FE">
      <w:start w:val="1"/>
      <w:numFmt w:val="bullet"/>
      <w:lvlText w:val="·"/>
      <w:lvlJc w:val="left"/>
      <w:pPr>
        <w:ind w:left="12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8E11A5E"/>
    <w:multiLevelType w:val="hybridMultilevel"/>
    <w:tmpl w:val="CAC8F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62E4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56FFD"/>
    <w:multiLevelType w:val="multilevel"/>
    <w:tmpl w:val="0EA8B9BE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023FB8"/>
    <w:multiLevelType w:val="hybridMultilevel"/>
    <w:tmpl w:val="3506A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6D3A6A"/>
    <w:multiLevelType w:val="multilevel"/>
    <w:tmpl w:val="7B804CF0"/>
    <w:lvl w:ilvl="0">
      <w:start w:val="1"/>
      <w:numFmt w:val="bullet"/>
      <w:pStyle w:val="Bullet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vanish w:val="0"/>
        <w:color w:val="auto"/>
        <w:sz w:val="18"/>
        <w:szCs w:val="18"/>
      </w:rPr>
    </w:lvl>
    <w:lvl w:ilvl="1">
      <w:start w:val="1"/>
      <w:numFmt w:val="bullet"/>
      <w:pStyle w:val="Bullet2"/>
      <w:lvlText w:val="–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vanish w:val="0"/>
        <w:color w:val="4D4D4D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152"/>
        </w:tabs>
        <w:ind w:left="1152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4AC35A9B"/>
    <w:multiLevelType w:val="multilevel"/>
    <w:tmpl w:val="03925288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0124D7"/>
    <w:multiLevelType w:val="multilevel"/>
    <w:tmpl w:val="4D60BBCA"/>
    <w:lvl w:ilvl="0">
      <w:start w:val="1"/>
      <w:numFmt w:val="decimal"/>
      <w:pStyle w:val="Refnum1"/>
      <w:suff w:val="nothing"/>
      <w:lvlText w:val="%1."/>
      <w:lvlJc w:val="left"/>
      <w:pPr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efnum2grey"/>
      <w:suff w:val="nothing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F2F2F2" w:themeColor="background1" w:themeShade="F2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efnum2"/>
      <w:lvlText w:val="%1.%3"/>
      <w:lvlJc w:val="left"/>
      <w:pPr>
        <w:ind w:left="50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80" w:hanging="576"/>
      </w:pPr>
      <w:rPr>
        <w:rFonts w:hint="default"/>
      </w:rPr>
    </w:lvl>
    <w:lvl w:ilvl="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C334F7"/>
    <w:multiLevelType w:val="multilevel"/>
    <w:tmpl w:val="E9D8919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FFFFFF" w:themeColor="background1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50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80" w:hanging="576"/>
      </w:pPr>
      <w:rPr>
        <w:rFonts w:hint="default"/>
      </w:rPr>
    </w:lvl>
    <w:lvl w:ilvl="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D44514"/>
    <w:multiLevelType w:val="multilevel"/>
    <w:tmpl w:val="827E8410"/>
    <w:lvl w:ilvl="0">
      <w:start w:val="1"/>
      <w:numFmt w:val="lowerLetter"/>
      <w:pStyle w:val="Listnum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2"/>
        </w:tabs>
        <w:ind w:left="792" w:hanging="792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3"/>
  </w:num>
  <w:num w:numId="18">
    <w:abstractNumId w:val="3"/>
  </w:num>
  <w:num w:numId="19">
    <w:abstractNumId w:val="6"/>
  </w:num>
  <w:num w:numId="20">
    <w:abstractNumId w:val="8"/>
  </w:num>
  <w:num w:numId="21">
    <w:abstractNumId w:val="2"/>
  </w:num>
  <w:num w:numId="22">
    <w:abstractNumId w:val="4"/>
  </w:num>
  <w:num w:numId="23">
    <w:abstractNumId w:val="1"/>
  </w:num>
  <w:num w:numId="24">
    <w:abstractNumId w:val="7"/>
  </w:num>
  <w:num w:numId="25">
    <w:abstractNumId w:val="7"/>
    <w:lvlOverride w:ilvl="0">
      <w:lvl w:ilvl="0">
        <w:start w:val="1"/>
        <w:numFmt w:val="decimal"/>
        <w:pStyle w:val="Refnum1"/>
        <w:suff w:val="nothing"/>
        <w:lvlText w:val="%1.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FFFFFF" w:themeColor="background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Refnum2grey"/>
        <w:suff w:val="nothing"/>
        <w:lvlText w:val="%2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F2F2F2" w:themeColor="background1" w:themeShade="F2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Refnum2"/>
        <w:lvlText w:val="%1.%3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080" w:hanging="576"/>
        </w:pPr>
        <w:rPr>
          <w:rFonts w:hint="default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decimal"/>
        <w:pStyle w:val="Refnum1"/>
        <w:suff w:val="nothing"/>
        <w:lvlText w:val="%1.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FFFFFF" w:themeColor="background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Refnum2grey"/>
        <w:suff w:val="nothing"/>
        <w:lvlText w:val="%2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F2F2F2" w:themeColor="background1" w:themeShade="F2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Refnum2"/>
        <w:lvlText w:val="%1.%3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080" w:hanging="576"/>
        </w:pPr>
        <w:rPr>
          <w:rFonts w:hint="default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3C"/>
    <w:rsid w:val="00012F6F"/>
    <w:rsid w:val="00014213"/>
    <w:rsid w:val="00014B55"/>
    <w:rsid w:val="00020E3E"/>
    <w:rsid w:val="00023BF3"/>
    <w:rsid w:val="00026811"/>
    <w:rsid w:val="0004356D"/>
    <w:rsid w:val="00045296"/>
    <w:rsid w:val="00075E6C"/>
    <w:rsid w:val="000B29AD"/>
    <w:rsid w:val="000B650C"/>
    <w:rsid w:val="000C6372"/>
    <w:rsid w:val="000E392D"/>
    <w:rsid w:val="000F4288"/>
    <w:rsid w:val="000F42F5"/>
    <w:rsid w:val="000F7165"/>
    <w:rsid w:val="00102379"/>
    <w:rsid w:val="001065D6"/>
    <w:rsid w:val="00112172"/>
    <w:rsid w:val="00121252"/>
    <w:rsid w:val="00124609"/>
    <w:rsid w:val="001254CE"/>
    <w:rsid w:val="00134CEA"/>
    <w:rsid w:val="001422CC"/>
    <w:rsid w:val="001617B6"/>
    <w:rsid w:val="00165E66"/>
    <w:rsid w:val="001C7BAE"/>
    <w:rsid w:val="001E31FA"/>
    <w:rsid w:val="001E64F6"/>
    <w:rsid w:val="00222BEB"/>
    <w:rsid w:val="00225E60"/>
    <w:rsid w:val="0023202C"/>
    <w:rsid w:val="00236203"/>
    <w:rsid w:val="00245043"/>
    <w:rsid w:val="00257760"/>
    <w:rsid w:val="002735B1"/>
    <w:rsid w:val="00292D36"/>
    <w:rsid w:val="00297281"/>
    <w:rsid w:val="002C54E0"/>
    <w:rsid w:val="002D711A"/>
    <w:rsid w:val="002D7336"/>
    <w:rsid w:val="002E3396"/>
    <w:rsid w:val="002F32A3"/>
    <w:rsid w:val="0031149C"/>
    <w:rsid w:val="0034299E"/>
    <w:rsid w:val="00375AF1"/>
    <w:rsid w:val="00382EE1"/>
    <w:rsid w:val="0038771C"/>
    <w:rsid w:val="0039405B"/>
    <w:rsid w:val="003A1C92"/>
    <w:rsid w:val="003A541A"/>
    <w:rsid w:val="003A6923"/>
    <w:rsid w:val="003B1DA1"/>
    <w:rsid w:val="003C2C67"/>
    <w:rsid w:val="003C5BA4"/>
    <w:rsid w:val="003E3E26"/>
    <w:rsid w:val="003F1295"/>
    <w:rsid w:val="003F76FC"/>
    <w:rsid w:val="004002EB"/>
    <w:rsid w:val="0041689E"/>
    <w:rsid w:val="004236C8"/>
    <w:rsid w:val="00427681"/>
    <w:rsid w:val="00433DB7"/>
    <w:rsid w:val="004440DD"/>
    <w:rsid w:val="00453750"/>
    <w:rsid w:val="00456941"/>
    <w:rsid w:val="004702EA"/>
    <w:rsid w:val="00482D02"/>
    <w:rsid w:val="00495623"/>
    <w:rsid w:val="004A7519"/>
    <w:rsid w:val="004D3518"/>
    <w:rsid w:val="004D62D6"/>
    <w:rsid w:val="0053416C"/>
    <w:rsid w:val="00541C2F"/>
    <w:rsid w:val="00563527"/>
    <w:rsid w:val="00565CF3"/>
    <w:rsid w:val="00574914"/>
    <w:rsid w:val="0057703D"/>
    <w:rsid w:val="0058124E"/>
    <w:rsid w:val="005828FE"/>
    <w:rsid w:val="005875A3"/>
    <w:rsid w:val="005A2A4F"/>
    <w:rsid w:val="005A3416"/>
    <w:rsid w:val="005B27FE"/>
    <w:rsid w:val="005C3E6D"/>
    <w:rsid w:val="005F61DF"/>
    <w:rsid w:val="006023F9"/>
    <w:rsid w:val="00610559"/>
    <w:rsid w:val="006332F6"/>
    <w:rsid w:val="00652625"/>
    <w:rsid w:val="006534B2"/>
    <w:rsid w:val="0065615D"/>
    <w:rsid w:val="00657011"/>
    <w:rsid w:val="006650B5"/>
    <w:rsid w:val="006651B1"/>
    <w:rsid w:val="00665778"/>
    <w:rsid w:val="006A5B34"/>
    <w:rsid w:val="006A5F5B"/>
    <w:rsid w:val="006C77A9"/>
    <w:rsid w:val="006C78FB"/>
    <w:rsid w:val="006D4738"/>
    <w:rsid w:val="006F6693"/>
    <w:rsid w:val="00707FE8"/>
    <w:rsid w:val="00724962"/>
    <w:rsid w:val="00724A0F"/>
    <w:rsid w:val="00732162"/>
    <w:rsid w:val="00736732"/>
    <w:rsid w:val="00750CBE"/>
    <w:rsid w:val="00766B5A"/>
    <w:rsid w:val="007834F2"/>
    <w:rsid w:val="00791020"/>
    <w:rsid w:val="007A5F82"/>
    <w:rsid w:val="007D29DA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A4900"/>
    <w:rsid w:val="008D0281"/>
    <w:rsid w:val="008E3C4E"/>
    <w:rsid w:val="008F6D45"/>
    <w:rsid w:val="009208F8"/>
    <w:rsid w:val="0095457B"/>
    <w:rsid w:val="00963C94"/>
    <w:rsid w:val="009834C0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516DE"/>
    <w:rsid w:val="00A612FE"/>
    <w:rsid w:val="00A72C43"/>
    <w:rsid w:val="00AA26B8"/>
    <w:rsid w:val="00AA4D53"/>
    <w:rsid w:val="00AB3FE2"/>
    <w:rsid w:val="00AC1E8B"/>
    <w:rsid w:val="00AD3322"/>
    <w:rsid w:val="00AD7E4E"/>
    <w:rsid w:val="00AE5EFC"/>
    <w:rsid w:val="00AF3D47"/>
    <w:rsid w:val="00AF4D58"/>
    <w:rsid w:val="00AF6666"/>
    <w:rsid w:val="00B10154"/>
    <w:rsid w:val="00B41332"/>
    <w:rsid w:val="00B56E16"/>
    <w:rsid w:val="00B57079"/>
    <w:rsid w:val="00B7607D"/>
    <w:rsid w:val="00B81B44"/>
    <w:rsid w:val="00B904F5"/>
    <w:rsid w:val="00B9053B"/>
    <w:rsid w:val="00BC3422"/>
    <w:rsid w:val="00BC6691"/>
    <w:rsid w:val="00BD4890"/>
    <w:rsid w:val="00C015B9"/>
    <w:rsid w:val="00C022F9"/>
    <w:rsid w:val="00C032D3"/>
    <w:rsid w:val="00C032EA"/>
    <w:rsid w:val="00C06EB5"/>
    <w:rsid w:val="00C1145F"/>
    <w:rsid w:val="00C637E1"/>
    <w:rsid w:val="00C70D50"/>
    <w:rsid w:val="00C907D7"/>
    <w:rsid w:val="00C92338"/>
    <w:rsid w:val="00CA7C3A"/>
    <w:rsid w:val="00CB4622"/>
    <w:rsid w:val="00CC2DB2"/>
    <w:rsid w:val="00CD0307"/>
    <w:rsid w:val="00CD3D1B"/>
    <w:rsid w:val="00CE2A93"/>
    <w:rsid w:val="00CF7DCA"/>
    <w:rsid w:val="00D211E9"/>
    <w:rsid w:val="00D2312F"/>
    <w:rsid w:val="00D269C1"/>
    <w:rsid w:val="00D44953"/>
    <w:rsid w:val="00D542F3"/>
    <w:rsid w:val="00D5644B"/>
    <w:rsid w:val="00D56E25"/>
    <w:rsid w:val="00D718D7"/>
    <w:rsid w:val="00D814B7"/>
    <w:rsid w:val="00D841DD"/>
    <w:rsid w:val="00D90688"/>
    <w:rsid w:val="00DA3AAD"/>
    <w:rsid w:val="00DB312B"/>
    <w:rsid w:val="00DC5654"/>
    <w:rsid w:val="00DC658F"/>
    <w:rsid w:val="00DE60CC"/>
    <w:rsid w:val="00E03917"/>
    <w:rsid w:val="00E26B32"/>
    <w:rsid w:val="00E3232B"/>
    <w:rsid w:val="00E407B6"/>
    <w:rsid w:val="00E41EF1"/>
    <w:rsid w:val="00E42942"/>
    <w:rsid w:val="00E468A6"/>
    <w:rsid w:val="00E63A3C"/>
    <w:rsid w:val="00E71BDF"/>
    <w:rsid w:val="00E83CA7"/>
    <w:rsid w:val="00EC171D"/>
    <w:rsid w:val="00ED487E"/>
    <w:rsid w:val="00EE7A0D"/>
    <w:rsid w:val="00F17CE1"/>
    <w:rsid w:val="00F2115C"/>
    <w:rsid w:val="00F22ABA"/>
    <w:rsid w:val="00F3547F"/>
    <w:rsid w:val="00F36B12"/>
    <w:rsid w:val="00F60F9F"/>
    <w:rsid w:val="00F64F08"/>
    <w:rsid w:val="00F734F5"/>
    <w:rsid w:val="00F966B1"/>
    <w:rsid w:val="00F97D48"/>
    <w:rsid w:val="00F97D92"/>
    <w:rsid w:val="00FA0311"/>
    <w:rsid w:val="00FC42E5"/>
    <w:rsid w:val="00FC4738"/>
    <w:rsid w:val="00FD640F"/>
    <w:rsid w:val="00FD6B4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3440F60"/>
  <w15:docId w15:val="{010C3446-3B99-4B17-8840-E38C26E0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57B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95457B"/>
    <w:pPr>
      <w:keepNext/>
      <w:keepLines/>
      <w:spacing w:before="600" w:after="88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95457B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5457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9545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9545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5457B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95457B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95457B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5457B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95457B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95457B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95457B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95457B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95457B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95457B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95457B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2"/>
    <w:qFormat/>
    <w:rsid w:val="0095457B"/>
    <w:pPr>
      <w:numPr>
        <w:numId w:val="1"/>
      </w:numPr>
      <w:spacing w:before="160" w:after="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2"/>
    <w:qFormat/>
    <w:rsid w:val="0095457B"/>
    <w:pPr>
      <w:numPr>
        <w:ilvl w:val="1"/>
      </w:numPr>
      <w:spacing w:before="0"/>
    </w:pPr>
  </w:style>
  <w:style w:type="paragraph" w:customStyle="1" w:styleId="Bulletindent">
    <w:name w:val="Bullet indent"/>
    <w:basedOn w:val="Bullet2"/>
    <w:uiPriority w:val="7"/>
    <w:qFormat/>
    <w:rsid w:val="0095457B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4"/>
    <w:qFormat/>
    <w:rsid w:val="0095457B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4"/>
    <w:qFormat/>
    <w:rsid w:val="0095457B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4"/>
    <w:qFormat/>
    <w:rsid w:val="0095457B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95457B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4"/>
    <w:qFormat/>
    <w:rsid w:val="0095457B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95457B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qFormat/>
    <w:rsid w:val="0095457B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95457B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95457B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9"/>
    <w:rsid w:val="0095457B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5457B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9"/>
    <w:rsid w:val="0095457B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40"/>
      <w:lang w:eastAsia="en-US"/>
    </w:rPr>
  </w:style>
  <w:style w:type="paragraph" w:styleId="Title">
    <w:name w:val="Title"/>
    <w:link w:val="TitleChar"/>
    <w:uiPriority w:val="99"/>
    <w:rsid w:val="0095457B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95457B"/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5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7B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7"/>
    <w:qFormat/>
    <w:rsid w:val="0095457B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95457B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954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57B"/>
    <w:rPr>
      <w:spacing w:val="2"/>
    </w:rPr>
  </w:style>
  <w:style w:type="paragraph" w:styleId="Footer">
    <w:name w:val="footer"/>
    <w:basedOn w:val="Normal"/>
    <w:link w:val="FooterChar"/>
    <w:uiPriority w:val="24"/>
    <w:rsid w:val="0095457B"/>
    <w:pPr>
      <w:tabs>
        <w:tab w:val="right" w:pos="9026"/>
      </w:tabs>
      <w:spacing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95457B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95457B"/>
    <w:rPr>
      <w:b w:val="0"/>
      <w:color w:val="4C4C4C"/>
    </w:rPr>
  </w:style>
  <w:style w:type="paragraph" w:styleId="TOCHeading">
    <w:name w:val="TOC Heading"/>
    <w:basedOn w:val="Heading1"/>
    <w:next w:val="Normal"/>
    <w:uiPriority w:val="39"/>
    <w:rsid w:val="0095457B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95457B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95457B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5457B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95457B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95457B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95457B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95457B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95457B"/>
    <w:pPr>
      <w:spacing w:before="30" w:after="30" w:line="264" w:lineRule="auto"/>
      <w:jc w:val="left"/>
    </w:pPr>
    <w:rPr>
      <w:sz w:val="18"/>
    </w:rPr>
    <w:tblPr>
      <w:tblBorders>
        <w:bottom w:val="single" w:sz="12" w:space="0" w:color="auto"/>
      </w:tblBorders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FFFFF" w:themeFill="background1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95457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9"/>
    <w:qFormat/>
    <w:rsid w:val="0095457B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8"/>
    <w:qFormat/>
    <w:rsid w:val="0095457B"/>
    <w:pPr>
      <w:jc w:val="right"/>
    </w:pPr>
  </w:style>
  <w:style w:type="paragraph" w:customStyle="1" w:styleId="Listnumindent2">
    <w:name w:val="List num indent 2"/>
    <w:basedOn w:val="Normal"/>
    <w:uiPriority w:val="7"/>
    <w:qFormat/>
    <w:rsid w:val="0095457B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7"/>
    <w:qFormat/>
    <w:rsid w:val="0095457B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95457B"/>
    <w:pPr>
      <w:numPr>
        <w:numId w:val="4"/>
      </w:numPr>
      <w:contextualSpacing/>
    </w:pPr>
    <w:rPr>
      <w:sz w:val="18"/>
    </w:rPr>
  </w:style>
  <w:style w:type="paragraph" w:customStyle="1" w:styleId="Listnum2">
    <w:name w:val="List num 2"/>
    <w:basedOn w:val="Normal"/>
    <w:uiPriority w:val="1"/>
    <w:qFormat/>
    <w:rsid w:val="0095457B"/>
    <w:pPr>
      <w:numPr>
        <w:ilvl w:val="1"/>
        <w:numId w:val="4"/>
      </w:numPr>
      <w:contextualSpacing/>
    </w:pPr>
    <w:rPr>
      <w:sz w:val="18"/>
    </w:rPr>
  </w:style>
  <w:style w:type="paragraph" w:customStyle="1" w:styleId="Tabletextcentred">
    <w:name w:val="Table text centred"/>
    <w:basedOn w:val="Tabletext"/>
    <w:uiPriority w:val="8"/>
    <w:qFormat/>
    <w:rsid w:val="0095457B"/>
    <w:pPr>
      <w:jc w:val="center"/>
    </w:pPr>
  </w:style>
  <w:style w:type="paragraph" w:customStyle="1" w:styleId="Tableheader">
    <w:name w:val="Table header"/>
    <w:basedOn w:val="Tabletext"/>
    <w:uiPriority w:val="8"/>
    <w:qFormat/>
    <w:rsid w:val="0095457B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9"/>
    <w:rsid w:val="0095457B"/>
    <w:pPr>
      <w:numPr>
        <w:numId w:val="17"/>
      </w:numPr>
    </w:pPr>
  </w:style>
  <w:style w:type="paragraph" w:customStyle="1" w:styleId="Tabledash">
    <w:name w:val="Table dash"/>
    <w:basedOn w:val="Tablebullet"/>
    <w:uiPriority w:val="9"/>
    <w:rsid w:val="0095457B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8"/>
    <w:qFormat/>
    <w:rsid w:val="0095457B"/>
    <w:pPr>
      <w:ind w:left="288"/>
    </w:pPr>
  </w:style>
  <w:style w:type="paragraph" w:customStyle="1" w:styleId="FRDHeader">
    <w:name w:val="FRD Header"/>
    <w:basedOn w:val="Normal"/>
    <w:semiHidden/>
    <w:rsid w:val="0095457B"/>
    <w:pPr>
      <w:spacing w:before="40" w:after="40" w:line="240" w:lineRule="auto"/>
    </w:pPr>
    <w:rPr>
      <w:rFonts w:eastAsia="Calibri" w:cs="Times New Roman"/>
      <w:color w:val="FFFFFF" w:themeColor="background1"/>
      <w:spacing w:val="0"/>
      <w:sz w:val="30"/>
      <w:szCs w:val="36"/>
      <w:lang w:eastAsia="en-US"/>
    </w:rPr>
  </w:style>
  <w:style w:type="paragraph" w:customStyle="1" w:styleId="FRDNumber">
    <w:name w:val="FRD Number"/>
    <w:basedOn w:val="FRDHeader"/>
    <w:semiHidden/>
    <w:rsid w:val="0095457B"/>
  </w:style>
  <w:style w:type="paragraph" w:customStyle="1" w:styleId="Normalgrey">
    <w:name w:val="Normal grey"/>
    <w:basedOn w:val="Normal"/>
    <w:uiPriority w:val="2"/>
    <w:unhideWhenUsed/>
    <w:qFormat/>
    <w:rsid w:val="0095457B"/>
    <w:pPr>
      <w:spacing w:line="264" w:lineRule="auto"/>
    </w:pPr>
    <w:rPr>
      <w:rFonts w:eastAsiaTheme="minorHAnsi"/>
      <w:color w:val="4D4D4D"/>
      <w:sz w:val="18"/>
      <w:szCs w:val="18"/>
      <w:lang w:eastAsia="en-US"/>
    </w:rPr>
  </w:style>
  <w:style w:type="paragraph" w:customStyle="1" w:styleId="Bullet1grey">
    <w:name w:val="Bullet 1 grey"/>
    <w:basedOn w:val="Bullet1"/>
    <w:uiPriority w:val="3"/>
    <w:unhideWhenUsed/>
    <w:qFormat/>
    <w:rsid w:val="0095457B"/>
    <w:rPr>
      <w:color w:val="4D4D4D"/>
      <w:sz w:val="18"/>
      <w:szCs w:val="18"/>
      <w:lang w:eastAsia="en-US"/>
    </w:rPr>
  </w:style>
  <w:style w:type="paragraph" w:customStyle="1" w:styleId="Normalbold">
    <w:name w:val="Normal bold"/>
    <w:basedOn w:val="Normal"/>
    <w:qFormat/>
    <w:rsid w:val="0095457B"/>
    <w:pPr>
      <w:spacing w:line="264" w:lineRule="auto"/>
    </w:pPr>
    <w:rPr>
      <w:rFonts w:eastAsiaTheme="minorHAnsi"/>
      <w:b/>
      <w:sz w:val="18"/>
      <w:szCs w:val="18"/>
      <w:lang w:eastAsia="en-US"/>
    </w:rPr>
  </w:style>
  <w:style w:type="paragraph" w:customStyle="1" w:styleId="Refnum1">
    <w:name w:val="Ref num 1"/>
    <w:basedOn w:val="Normal"/>
    <w:uiPriority w:val="7"/>
    <w:rsid w:val="0095457B"/>
    <w:pPr>
      <w:numPr>
        <w:numId w:val="24"/>
      </w:numPr>
      <w:spacing w:line="240" w:lineRule="auto"/>
    </w:pPr>
    <w:rPr>
      <w:rFonts w:eastAsia="Calibri" w:cs="Times New Roman"/>
      <w:color w:val="FFFFFF" w:themeColor="background1"/>
      <w:spacing w:val="0"/>
      <w:sz w:val="18"/>
      <w:szCs w:val="21"/>
      <w:lang w:eastAsia="en-US"/>
    </w:rPr>
  </w:style>
  <w:style w:type="paragraph" w:customStyle="1" w:styleId="Refnum2">
    <w:name w:val="Ref num 2"/>
    <w:basedOn w:val="Refnum1"/>
    <w:uiPriority w:val="7"/>
    <w:rsid w:val="0095457B"/>
    <w:pPr>
      <w:numPr>
        <w:ilvl w:val="2"/>
      </w:numPr>
    </w:pPr>
    <w:rPr>
      <w:color w:val="auto"/>
    </w:rPr>
  </w:style>
  <w:style w:type="paragraph" w:customStyle="1" w:styleId="Bullet2grey">
    <w:name w:val="Bullet 2 grey"/>
    <w:basedOn w:val="Bullet2"/>
    <w:uiPriority w:val="3"/>
    <w:qFormat/>
    <w:rsid w:val="0095457B"/>
    <w:rPr>
      <w:color w:val="4D4D4D"/>
      <w:sz w:val="18"/>
      <w:szCs w:val="21"/>
      <w:lang w:eastAsia="en-US"/>
    </w:rPr>
  </w:style>
  <w:style w:type="paragraph" w:customStyle="1" w:styleId="Listnumgrey">
    <w:name w:val="List num grey"/>
    <w:basedOn w:val="Listnum"/>
    <w:uiPriority w:val="3"/>
    <w:qFormat/>
    <w:rsid w:val="0095457B"/>
    <w:pPr>
      <w:spacing w:line="264" w:lineRule="auto"/>
    </w:pPr>
    <w:rPr>
      <w:rFonts w:eastAsiaTheme="minorHAnsi"/>
      <w:color w:val="4D4D4D"/>
      <w:szCs w:val="21"/>
      <w:lang w:eastAsia="en-US"/>
    </w:rPr>
  </w:style>
  <w:style w:type="paragraph" w:customStyle="1" w:styleId="Listnum2grey">
    <w:name w:val="List num 2 grey"/>
    <w:basedOn w:val="Listnum2"/>
    <w:uiPriority w:val="4"/>
    <w:qFormat/>
    <w:rsid w:val="0095457B"/>
    <w:pPr>
      <w:spacing w:line="264" w:lineRule="auto"/>
    </w:pPr>
    <w:rPr>
      <w:rFonts w:eastAsiaTheme="minorHAnsi"/>
      <w:color w:val="4D4D4D"/>
      <w:szCs w:val="21"/>
      <w:lang w:eastAsia="en-US"/>
    </w:rPr>
  </w:style>
  <w:style w:type="paragraph" w:customStyle="1" w:styleId="Refnum1grey">
    <w:name w:val="Ref num 1 grey"/>
    <w:basedOn w:val="Refnum1"/>
    <w:uiPriority w:val="7"/>
    <w:qFormat/>
    <w:rsid w:val="0095457B"/>
    <w:rPr>
      <w:color w:val="F2F2F2" w:themeColor="background1" w:themeShade="F2"/>
    </w:rPr>
  </w:style>
  <w:style w:type="paragraph" w:customStyle="1" w:styleId="Refnum2grey">
    <w:name w:val="Ref num 2 grey"/>
    <w:basedOn w:val="Normal"/>
    <w:rsid w:val="0095457B"/>
    <w:pPr>
      <w:numPr>
        <w:ilvl w:val="1"/>
        <w:numId w:val="2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C4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73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738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738"/>
    <w:rPr>
      <w:b/>
      <w:bCs/>
      <w:spacing w:val="2"/>
    </w:rPr>
  </w:style>
  <w:style w:type="paragraph" w:styleId="Revision">
    <w:name w:val="Revision"/>
    <w:hidden/>
    <w:uiPriority w:val="99"/>
    <w:semiHidden/>
    <w:rsid w:val="00B56E16"/>
    <w:pPr>
      <w:spacing w:after="0" w:line="240" w:lineRule="auto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FRD%20template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BB73E3-C239-42F5-BD82-5EFA34ED0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87871-D715-42EE-9552-77DB0B6932A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FRD template.dotx</Template>
  <TotalTime>0</TotalTime>
  <Pages>2</Pages>
  <Words>418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Marsal</dc:creator>
  <cp:lastModifiedBy>Natalie Maroki (DTF)</cp:lastModifiedBy>
  <cp:revision>2</cp:revision>
  <cp:lastPrinted>2016-03-03T04:13:00Z</cp:lastPrinted>
  <dcterms:created xsi:type="dcterms:W3CDTF">2022-04-28T02:53:00Z</dcterms:created>
  <dcterms:modified xsi:type="dcterms:W3CDTF">2022-04-28T02:53:00Z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554b25c6-201a-4259-ba48-643a70c026bd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2022-04-28T02:53:26Z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3bf31dc5-9b58-482d-b73f-e8b0b2e0d973</vt:lpwstr>
  </property>
  <property fmtid="{D5CDD505-2E9C-101B-9397-08002B2CF9AE}" pid="10" name="MSIP_Label_7158ebbd-6c5e-441f-bfc9-4eb8c11e3978_ContentBits">
    <vt:lpwstr>2</vt:lpwstr>
  </property>
</Properties>
</file>