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37" w:type="dxa"/>
        <w:tblLayout w:type="fixed"/>
        <w:tblLook w:val="0620" w:firstRow="1" w:lastRow="0" w:firstColumn="0" w:lastColumn="0" w:noHBand="1" w:noVBand="1"/>
      </w:tblPr>
      <w:tblGrid>
        <w:gridCol w:w="2293"/>
        <w:gridCol w:w="270"/>
        <w:gridCol w:w="540"/>
        <w:gridCol w:w="6134"/>
      </w:tblGrid>
      <w:tr w:rsidR="006C78FB" w:rsidRPr="00231BD3" w14:paraId="113B34AB" w14:textId="77777777" w:rsidTr="00FF051E">
        <w:trPr>
          <w:cnfStyle w:val="100000000000" w:firstRow="1" w:lastRow="0" w:firstColumn="0" w:lastColumn="0" w:oddVBand="0" w:evenVBand="0" w:oddHBand="0" w:evenHBand="0" w:firstRowFirstColumn="0" w:firstRowLastColumn="0" w:lastRowFirstColumn="0" w:lastRowLastColumn="0"/>
        </w:trPr>
        <w:tc>
          <w:tcPr>
            <w:tcW w:w="2293" w:type="dxa"/>
          </w:tcPr>
          <w:p w14:paraId="6A2E6238" w14:textId="31A26C91" w:rsidR="006C78FB" w:rsidRPr="00231BD3" w:rsidRDefault="00025BFB" w:rsidP="00404E28">
            <w:pPr>
              <w:pStyle w:val="FRDNumber"/>
            </w:pPr>
            <w:r>
              <w:t xml:space="preserve">FRD </w:t>
            </w:r>
            <w:r w:rsidR="00404E28">
              <w:t>9</w:t>
            </w:r>
          </w:p>
        </w:tc>
        <w:tc>
          <w:tcPr>
            <w:tcW w:w="270" w:type="dxa"/>
          </w:tcPr>
          <w:p w14:paraId="107AE706" w14:textId="77777777" w:rsidR="006C78FB" w:rsidRPr="00231BD3" w:rsidRDefault="006C78FB" w:rsidP="00B8224B"/>
        </w:tc>
        <w:tc>
          <w:tcPr>
            <w:tcW w:w="540" w:type="dxa"/>
          </w:tcPr>
          <w:p w14:paraId="55FD7B23" w14:textId="77777777" w:rsidR="006C78FB" w:rsidRPr="00231BD3" w:rsidRDefault="006C78FB" w:rsidP="00B8224B"/>
        </w:tc>
        <w:tc>
          <w:tcPr>
            <w:tcW w:w="6134" w:type="dxa"/>
          </w:tcPr>
          <w:p w14:paraId="7869E320" w14:textId="0BC42120" w:rsidR="006C78FB" w:rsidRPr="00025BFB" w:rsidRDefault="00025BFB" w:rsidP="008B188A">
            <w:pPr>
              <w:pStyle w:val="FRDHeader"/>
            </w:pPr>
            <w:r>
              <w:t xml:space="preserve">Departmental disclosure of administered assets and liabilities by activity </w:t>
            </w:r>
            <w:r w:rsidR="008B188A">
              <w:t>(</w:t>
            </w:r>
            <w:r w:rsidR="00195C38">
              <w:t>April</w:t>
            </w:r>
            <w:r w:rsidR="00D45F3E">
              <w:t> </w:t>
            </w:r>
            <w:r w:rsidR="00404E28">
              <w:t>20</w:t>
            </w:r>
            <w:r w:rsidR="00195C38">
              <w:t>22</w:t>
            </w:r>
            <w:r>
              <w:t>)</w:t>
            </w:r>
          </w:p>
        </w:tc>
      </w:tr>
      <w:tr w:rsidR="006C78FB" w:rsidRPr="00E10ADB" w14:paraId="3026CCB1" w14:textId="77777777" w:rsidTr="00B8224B">
        <w:trPr>
          <w:trHeight w:hRule="exact" w:val="120"/>
        </w:trPr>
        <w:tc>
          <w:tcPr>
            <w:tcW w:w="2293" w:type="dxa"/>
          </w:tcPr>
          <w:p w14:paraId="27604948" w14:textId="77777777" w:rsidR="006C78FB" w:rsidRPr="008A601F" w:rsidRDefault="006C78FB" w:rsidP="00B8224B">
            <w:pPr>
              <w:pStyle w:val="Tabletext"/>
            </w:pPr>
          </w:p>
        </w:tc>
        <w:tc>
          <w:tcPr>
            <w:tcW w:w="270" w:type="dxa"/>
          </w:tcPr>
          <w:p w14:paraId="33E81BBC" w14:textId="77777777" w:rsidR="006C78FB" w:rsidRPr="008A601F" w:rsidRDefault="006C78FB" w:rsidP="006D66F9">
            <w:pPr>
              <w:pStyle w:val="Normalgrey"/>
            </w:pPr>
          </w:p>
        </w:tc>
        <w:tc>
          <w:tcPr>
            <w:tcW w:w="540" w:type="dxa"/>
          </w:tcPr>
          <w:p w14:paraId="6A7CC732" w14:textId="77777777" w:rsidR="006C78FB" w:rsidRPr="008A601F" w:rsidRDefault="006C78FB" w:rsidP="00B8224B"/>
        </w:tc>
        <w:tc>
          <w:tcPr>
            <w:tcW w:w="6134" w:type="dxa"/>
          </w:tcPr>
          <w:p w14:paraId="4FF2C971" w14:textId="77777777" w:rsidR="006C78FB" w:rsidRPr="008A601F" w:rsidRDefault="006C78FB" w:rsidP="00B8224B"/>
        </w:tc>
      </w:tr>
      <w:tr w:rsidR="005828FE" w:rsidRPr="005828FE" w14:paraId="3F0FD295" w14:textId="77777777" w:rsidTr="00B8224B">
        <w:tc>
          <w:tcPr>
            <w:tcW w:w="2293" w:type="dxa"/>
          </w:tcPr>
          <w:p w14:paraId="5B877791" w14:textId="77777777" w:rsidR="006C78FB" w:rsidRPr="00025BFB" w:rsidRDefault="006C78FB" w:rsidP="00025BFB">
            <w:pPr>
              <w:pStyle w:val="Normalgrey"/>
            </w:pPr>
            <w:r w:rsidRPr="005828FE">
              <w:t>Purpose</w:t>
            </w:r>
          </w:p>
        </w:tc>
        <w:tc>
          <w:tcPr>
            <w:tcW w:w="270" w:type="dxa"/>
          </w:tcPr>
          <w:p w14:paraId="7702EAA3" w14:textId="77777777" w:rsidR="006C78FB" w:rsidRPr="005828FE" w:rsidRDefault="006C78FB" w:rsidP="00286F9A">
            <w:pPr>
              <w:pStyle w:val="Normalgrey"/>
            </w:pPr>
          </w:p>
        </w:tc>
        <w:tc>
          <w:tcPr>
            <w:tcW w:w="540" w:type="dxa"/>
          </w:tcPr>
          <w:p w14:paraId="45F05DCF" w14:textId="77777777" w:rsidR="006C78FB" w:rsidRPr="005828FE" w:rsidRDefault="00404E28" w:rsidP="006519F6">
            <w:pPr>
              <w:pStyle w:val="Normalgrey"/>
            </w:pPr>
            <w:r>
              <w:t>1.1</w:t>
            </w:r>
          </w:p>
        </w:tc>
        <w:tc>
          <w:tcPr>
            <w:tcW w:w="6134" w:type="dxa"/>
          </w:tcPr>
          <w:p w14:paraId="314BABF0" w14:textId="77777777" w:rsidR="006C78FB" w:rsidRPr="00025BFB" w:rsidRDefault="00025BFB" w:rsidP="00025BFB">
            <w:pPr>
              <w:pStyle w:val="Normalgrey"/>
            </w:pPr>
            <w:r>
              <w:t>To prescribe the disclosure of administered assets and liabilities in the financial report of all departments.</w:t>
            </w:r>
          </w:p>
        </w:tc>
      </w:tr>
      <w:tr w:rsidR="006C78FB" w:rsidRPr="005828FE" w14:paraId="3A279941" w14:textId="77777777" w:rsidTr="00963C94">
        <w:tc>
          <w:tcPr>
            <w:tcW w:w="2293" w:type="dxa"/>
            <w:shd w:val="clear" w:color="auto" w:fill="F2F2F2" w:themeFill="background1" w:themeFillShade="F2"/>
          </w:tcPr>
          <w:p w14:paraId="5D0E610A" w14:textId="77777777" w:rsidR="006C78FB" w:rsidRPr="005828FE" w:rsidRDefault="006C78FB" w:rsidP="00A516DE">
            <w:pPr>
              <w:pStyle w:val="Normalbold"/>
            </w:pPr>
            <w:r w:rsidRPr="005828FE">
              <w:t>Application</w:t>
            </w:r>
          </w:p>
        </w:tc>
        <w:tc>
          <w:tcPr>
            <w:tcW w:w="270" w:type="dxa"/>
            <w:shd w:val="clear" w:color="auto" w:fill="F2F2F2" w:themeFill="background1" w:themeFillShade="F2"/>
          </w:tcPr>
          <w:p w14:paraId="0BAD9E58" w14:textId="77777777" w:rsidR="006C78FB" w:rsidRPr="008B2A17" w:rsidRDefault="006C78FB" w:rsidP="00286F9A">
            <w:pPr>
              <w:pStyle w:val="Normalgrey"/>
            </w:pPr>
          </w:p>
        </w:tc>
        <w:tc>
          <w:tcPr>
            <w:tcW w:w="540" w:type="dxa"/>
            <w:shd w:val="clear" w:color="auto" w:fill="F2F2F2" w:themeFill="background1" w:themeFillShade="F2"/>
          </w:tcPr>
          <w:p w14:paraId="1EA0440D" w14:textId="77777777" w:rsidR="006C78FB" w:rsidRPr="000C588D" w:rsidRDefault="00404E28" w:rsidP="00286F9A">
            <w:pPr>
              <w:pStyle w:val="Normalgrey"/>
              <w:rPr>
                <w:b/>
                <w:bCs/>
              </w:rPr>
            </w:pPr>
            <w:r w:rsidRPr="000C588D">
              <w:rPr>
                <w:b/>
                <w:bCs/>
              </w:rPr>
              <w:t>2.1</w:t>
            </w:r>
          </w:p>
        </w:tc>
        <w:tc>
          <w:tcPr>
            <w:tcW w:w="6134" w:type="dxa"/>
            <w:shd w:val="clear" w:color="auto" w:fill="F2F2F2" w:themeFill="background1" w:themeFillShade="F2"/>
          </w:tcPr>
          <w:p w14:paraId="055F7567" w14:textId="77777777" w:rsidR="006C78FB" w:rsidRPr="00025BFB" w:rsidRDefault="00025BFB" w:rsidP="00025BFB">
            <w:pPr>
              <w:pStyle w:val="Normalbold"/>
            </w:pPr>
            <w:r>
              <w:t xml:space="preserve">Applies to all entities defined as a department under section 3 of the </w:t>
            </w:r>
            <w:r>
              <w:rPr>
                <w:i/>
                <w:iCs/>
              </w:rPr>
              <w:t xml:space="preserve">Financial Management Act </w:t>
            </w:r>
            <w:r>
              <w:t>1994. Voluntary application for public bodies.</w:t>
            </w:r>
          </w:p>
        </w:tc>
      </w:tr>
      <w:tr w:rsidR="00025BFB" w:rsidRPr="00025BFB" w14:paraId="45D8C900" w14:textId="77777777" w:rsidTr="00963C94">
        <w:tc>
          <w:tcPr>
            <w:tcW w:w="2293" w:type="dxa"/>
            <w:shd w:val="clear" w:color="auto" w:fill="F2F2F2" w:themeFill="background1" w:themeFillShade="F2"/>
          </w:tcPr>
          <w:p w14:paraId="1C2F2C3B" w14:textId="77777777" w:rsidR="00025BFB" w:rsidRPr="005828FE" w:rsidRDefault="00025BFB" w:rsidP="00A516DE">
            <w:pPr>
              <w:pStyle w:val="Normalbold"/>
            </w:pPr>
            <w:r w:rsidRPr="005828FE">
              <w:t>Operative date</w:t>
            </w:r>
          </w:p>
        </w:tc>
        <w:tc>
          <w:tcPr>
            <w:tcW w:w="270" w:type="dxa"/>
            <w:shd w:val="clear" w:color="auto" w:fill="F2F2F2" w:themeFill="background1" w:themeFillShade="F2"/>
          </w:tcPr>
          <w:p w14:paraId="58C09033" w14:textId="77777777" w:rsidR="00025BFB" w:rsidRPr="008B2A17" w:rsidRDefault="00025BFB" w:rsidP="00286F9A">
            <w:pPr>
              <w:pStyle w:val="Normalgrey"/>
            </w:pPr>
          </w:p>
        </w:tc>
        <w:tc>
          <w:tcPr>
            <w:tcW w:w="540" w:type="dxa"/>
            <w:shd w:val="clear" w:color="auto" w:fill="F2F2F2" w:themeFill="background1" w:themeFillShade="F2"/>
          </w:tcPr>
          <w:p w14:paraId="6E68DA47" w14:textId="77777777" w:rsidR="00025BFB" w:rsidRPr="000C588D" w:rsidRDefault="00404E28" w:rsidP="00286F9A">
            <w:pPr>
              <w:pStyle w:val="Normalgrey"/>
              <w:rPr>
                <w:b/>
                <w:bCs/>
              </w:rPr>
            </w:pPr>
            <w:r w:rsidRPr="000C588D">
              <w:rPr>
                <w:b/>
                <w:bCs/>
              </w:rPr>
              <w:t>3.1</w:t>
            </w:r>
          </w:p>
        </w:tc>
        <w:tc>
          <w:tcPr>
            <w:tcW w:w="6134" w:type="dxa"/>
            <w:shd w:val="clear" w:color="auto" w:fill="F2F2F2" w:themeFill="background1" w:themeFillShade="F2"/>
          </w:tcPr>
          <w:p w14:paraId="6B55638B" w14:textId="35ABEEE9" w:rsidR="00025BFB" w:rsidRPr="00025BFB" w:rsidRDefault="00025BFB" w:rsidP="00404E28">
            <w:pPr>
              <w:pStyle w:val="Bullet1"/>
              <w:numPr>
                <w:ilvl w:val="0"/>
                <w:numId w:val="0"/>
              </w:numPr>
              <w:rPr>
                <w:b/>
              </w:rPr>
            </w:pPr>
            <w:r w:rsidRPr="00025BFB">
              <w:rPr>
                <w:b/>
              </w:rPr>
              <w:t xml:space="preserve">Reporting periods commencing 1 July </w:t>
            </w:r>
            <w:r w:rsidR="00404E28" w:rsidRPr="00025BFB">
              <w:rPr>
                <w:b/>
              </w:rPr>
              <w:t>20</w:t>
            </w:r>
            <w:r w:rsidR="00404E28">
              <w:rPr>
                <w:b/>
              </w:rPr>
              <w:t>16</w:t>
            </w:r>
            <w:r w:rsidRPr="00025BFB">
              <w:rPr>
                <w:b/>
              </w:rPr>
              <w:t>.</w:t>
            </w:r>
          </w:p>
        </w:tc>
      </w:tr>
      <w:tr w:rsidR="00147648" w:rsidRPr="00025BFB" w14:paraId="1304DA43" w14:textId="77777777" w:rsidTr="00963C94">
        <w:tc>
          <w:tcPr>
            <w:tcW w:w="2293" w:type="dxa"/>
            <w:shd w:val="clear" w:color="auto" w:fill="F2F2F2" w:themeFill="background1" w:themeFillShade="F2"/>
          </w:tcPr>
          <w:p w14:paraId="6286F160" w14:textId="77777777" w:rsidR="00147648" w:rsidRPr="005828FE" w:rsidRDefault="00147648" w:rsidP="00A516DE">
            <w:pPr>
              <w:pStyle w:val="Normalbold"/>
            </w:pPr>
          </w:p>
        </w:tc>
        <w:tc>
          <w:tcPr>
            <w:tcW w:w="270" w:type="dxa"/>
            <w:shd w:val="clear" w:color="auto" w:fill="F2F2F2" w:themeFill="background1" w:themeFillShade="F2"/>
          </w:tcPr>
          <w:p w14:paraId="6DE6DDCB" w14:textId="77777777" w:rsidR="00147648" w:rsidRPr="008B2A17" w:rsidRDefault="00147648" w:rsidP="00286F9A">
            <w:pPr>
              <w:pStyle w:val="Normalgrey"/>
            </w:pPr>
          </w:p>
        </w:tc>
        <w:tc>
          <w:tcPr>
            <w:tcW w:w="540" w:type="dxa"/>
            <w:shd w:val="clear" w:color="auto" w:fill="F2F2F2" w:themeFill="background1" w:themeFillShade="F2"/>
          </w:tcPr>
          <w:p w14:paraId="4CD7A07E" w14:textId="1AA249A9" w:rsidR="00147648" w:rsidRPr="000C588D" w:rsidRDefault="00147648" w:rsidP="00286F9A">
            <w:pPr>
              <w:pStyle w:val="Normalgrey"/>
              <w:rPr>
                <w:b/>
                <w:bCs/>
              </w:rPr>
            </w:pPr>
            <w:r w:rsidRPr="000C588D">
              <w:rPr>
                <w:b/>
                <w:bCs/>
              </w:rPr>
              <w:t>3.2</w:t>
            </w:r>
          </w:p>
        </w:tc>
        <w:tc>
          <w:tcPr>
            <w:tcW w:w="6134" w:type="dxa"/>
            <w:shd w:val="clear" w:color="auto" w:fill="F2F2F2" w:themeFill="background1" w:themeFillShade="F2"/>
          </w:tcPr>
          <w:p w14:paraId="0734E369" w14:textId="6E579E46" w:rsidR="00147648" w:rsidRPr="00025BFB" w:rsidRDefault="00147648" w:rsidP="00404E28">
            <w:pPr>
              <w:pStyle w:val="Bullet1"/>
              <w:numPr>
                <w:ilvl w:val="0"/>
                <w:numId w:val="0"/>
              </w:numPr>
              <w:rPr>
                <w:b/>
              </w:rPr>
            </w:pPr>
            <w:r>
              <w:rPr>
                <w:b/>
              </w:rPr>
              <w:t xml:space="preserve">FRD 9B </w:t>
            </w:r>
            <w:r>
              <w:rPr>
                <w:b/>
                <w:i/>
              </w:rPr>
              <w:t>Departmental Disclosure of Administered Assets and Liabilities by Activity</w:t>
            </w:r>
            <w:r>
              <w:rPr>
                <w:b/>
              </w:rPr>
              <w:t xml:space="preserve"> is renamed to FRD 9 </w:t>
            </w:r>
            <w:r>
              <w:rPr>
                <w:b/>
                <w:i/>
              </w:rPr>
              <w:t>Departmental Disclosure of Administered Assets</w:t>
            </w:r>
            <w:r>
              <w:rPr>
                <w:b/>
              </w:rPr>
              <w:t xml:space="preserve"> effective 1 April 2022</w:t>
            </w:r>
            <w:r w:rsidRPr="00025BFB">
              <w:rPr>
                <w:b/>
              </w:rPr>
              <w:t>.</w:t>
            </w:r>
          </w:p>
        </w:tc>
      </w:tr>
      <w:tr w:rsidR="00025BFB" w:rsidRPr="005828FE" w14:paraId="7B916C74" w14:textId="77777777" w:rsidTr="00A0322D">
        <w:tc>
          <w:tcPr>
            <w:tcW w:w="2293" w:type="dxa"/>
            <w:shd w:val="clear" w:color="auto" w:fill="F2F2F2" w:themeFill="background1" w:themeFillShade="F2"/>
          </w:tcPr>
          <w:p w14:paraId="28A3E86E" w14:textId="77777777" w:rsidR="00025BFB" w:rsidRPr="005828FE" w:rsidRDefault="00025BFB" w:rsidP="00A0322D">
            <w:pPr>
              <w:pStyle w:val="Normalbold"/>
            </w:pPr>
            <w:r w:rsidRPr="005828FE">
              <w:t>Requirement</w:t>
            </w:r>
            <w:r>
              <w:t>s</w:t>
            </w:r>
          </w:p>
        </w:tc>
        <w:tc>
          <w:tcPr>
            <w:tcW w:w="270" w:type="dxa"/>
            <w:shd w:val="clear" w:color="auto" w:fill="F2F2F2" w:themeFill="background1" w:themeFillShade="F2"/>
          </w:tcPr>
          <w:p w14:paraId="33189F3A" w14:textId="77777777" w:rsidR="00025BFB" w:rsidRPr="008B2A17" w:rsidRDefault="00025BFB" w:rsidP="00286F9A">
            <w:pPr>
              <w:pStyle w:val="Normalgrey"/>
            </w:pPr>
          </w:p>
        </w:tc>
        <w:tc>
          <w:tcPr>
            <w:tcW w:w="540" w:type="dxa"/>
            <w:shd w:val="clear" w:color="auto" w:fill="F2F2F2" w:themeFill="background1" w:themeFillShade="F2"/>
          </w:tcPr>
          <w:p w14:paraId="52A130B0" w14:textId="77777777" w:rsidR="00025BFB" w:rsidRPr="000C588D" w:rsidRDefault="00404E28" w:rsidP="00286F9A">
            <w:pPr>
              <w:pStyle w:val="Normalgrey"/>
              <w:rPr>
                <w:b/>
                <w:bCs/>
              </w:rPr>
            </w:pPr>
            <w:r w:rsidRPr="000C588D">
              <w:rPr>
                <w:b/>
                <w:bCs/>
              </w:rPr>
              <w:t>4.1</w:t>
            </w:r>
          </w:p>
        </w:tc>
        <w:tc>
          <w:tcPr>
            <w:tcW w:w="6134" w:type="dxa"/>
            <w:shd w:val="clear" w:color="auto" w:fill="F2F2F2" w:themeFill="background1" w:themeFillShade="F2"/>
          </w:tcPr>
          <w:p w14:paraId="0CD5A7C2" w14:textId="77777777" w:rsidR="00025BFB" w:rsidRPr="00025BFB" w:rsidRDefault="00025BFB" w:rsidP="00ED4EEB">
            <w:pPr>
              <w:pStyle w:val="Normalbold"/>
            </w:pPr>
            <w:r w:rsidRPr="00DD6805">
              <w:t>The financial report of an entity must disclose the balances of each major class of administered revenues, expenses, assets and liabilities on an activity basis, where they can be reliably attributed to the activity.</w:t>
            </w:r>
            <w:r>
              <w:t xml:space="preserve"> </w:t>
            </w:r>
          </w:p>
        </w:tc>
      </w:tr>
      <w:tr w:rsidR="0078270F" w:rsidRPr="005828FE" w14:paraId="5A7368A8" w14:textId="77777777" w:rsidTr="0078270F">
        <w:tc>
          <w:tcPr>
            <w:tcW w:w="2293" w:type="dxa"/>
            <w:shd w:val="clear" w:color="auto" w:fill="auto"/>
          </w:tcPr>
          <w:p w14:paraId="14FA9A13" w14:textId="77777777" w:rsidR="0078270F" w:rsidRPr="005828FE" w:rsidRDefault="0078270F" w:rsidP="00A0322D">
            <w:pPr>
              <w:pStyle w:val="Normalbold"/>
            </w:pPr>
            <w:r w:rsidRPr="005828FE">
              <w:t>Guidance</w:t>
            </w:r>
          </w:p>
        </w:tc>
        <w:tc>
          <w:tcPr>
            <w:tcW w:w="270" w:type="dxa"/>
            <w:shd w:val="clear" w:color="auto" w:fill="auto"/>
          </w:tcPr>
          <w:p w14:paraId="6CF58F29" w14:textId="77777777" w:rsidR="0078270F" w:rsidRPr="008B2A17" w:rsidRDefault="0078270F" w:rsidP="00286F9A">
            <w:pPr>
              <w:pStyle w:val="Normalgrey"/>
            </w:pPr>
          </w:p>
        </w:tc>
        <w:tc>
          <w:tcPr>
            <w:tcW w:w="540" w:type="dxa"/>
            <w:shd w:val="clear" w:color="auto" w:fill="auto"/>
          </w:tcPr>
          <w:p w14:paraId="238203F1" w14:textId="77777777" w:rsidR="0078270F" w:rsidRDefault="0078270F" w:rsidP="00286F9A">
            <w:pPr>
              <w:pStyle w:val="Normalgrey"/>
            </w:pPr>
            <w:r>
              <w:t>5.1</w:t>
            </w:r>
          </w:p>
        </w:tc>
        <w:tc>
          <w:tcPr>
            <w:tcW w:w="6134" w:type="dxa"/>
            <w:shd w:val="clear" w:color="auto" w:fill="auto"/>
          </w:tcPr>
          <w:p w14:paraId="4DDE0BB1" w14:textId="08DCD628" w:rsidR="009A2E61" w:rsidRDefault="009A2E61" w:rsidP="000C588D">
            <w:pPr>
              <w:pStyle w:val="Normalgrey"/>
            </w:pPr>
            <w:r w:rsidRPr="009A2E61">
              <w:t xml:space="preserve">AASB </w:t>
            </w:r>
            <w:r w:rsidR="00D017C2">
              <w:t xml:space="preserve">1050 </w:t>
            </w:r>
            <w:r w:rsidR="00D017C2">
              <w:rPr>
                <w:i/>
              </w:rPr>
              <w:t>Administered Items</w:t>
            </w:r>
            <w:r w:rsidR="0078270F">
              <w:t xml:space="preserve"> paragraph </w:t>
            </w:r>
            <w:r w:rsidR="00D017C2">
              <w:t>7</w:t>
            </w:r>
            <w:r w:rsidR="0078270F">
              <w:t xml:space="preserve"> requires the disclosure of each major class of administered revenues, expenses, assets and liabilities. </w:t>
            </w:r>
          </w:p>
        </w:tc>
      </w:tr>
      <w:tr w:rsidR="0078270F" w:rsidRPr="005828FE" w14:paraId="0D3F8A66" w14:textId="77777777" w:rsidTr="0078270F">
        <w:tc>
          <w:tcPr>
            <w:tcW w:w="2293" w:type="dxa"/>
            <w:shd w:val="clear" w:color="auto" w:fill="auto"/>
          </w:tcPr>
          <w:p w14:paraId="1882C954" w14:textId="77777777" w:rsidR="0078270F" w:rsidRPr="005828FE" w:rsidRDefault="0078270F" w:rsidP="00A0322D">
            <w:pPr>
              <w:pStyle w:val="Normalbold"/>
            </w:pPr>
          </w:p>
        </w:tc>
        <w:tc>
          <w:tcPr>
            <w:tcW w:w="270" w:type="dxa"/>
            <w:shd w:val="clear" w:color="auto" w:fill="auto"/>
          </w:tcPr>
          <w:p w14:paraId="6C725C40" w14:textId="77777777" w:rsidR="0078270F" w:rsidRPr="008B2A17" w:rsidRDefault="0078270F" w:rsidP="00286F9A">
            <w:pPr>
              <w:pStyle w:val="Normalgrey"/>
            </w:pPr>
          </w:p>
        </w:tc>
        <w:tc>
          <w:tcPr>
            <w:tcW w:w="540" w:type="dxa"/>
            <w:shd w:val="clear" w:color="auto" w:fill="auto"/>
          </w:tcPr>
          <w:p w14:paraId="7A4A010D" w14:textId="77777777" w:rsidR="0078270F" w:rsidRDefault="0078270F" w:rsidP="00286F9A">
            <w:pPr>
              <w:pStyle w:val="Normalgrey"/>
            </w:pPr>
            <w:r>
              <w:t>5.2</w:t>
            </w:r>
          </w:p>
        </w:tc>
        <w:tc>
          <w:tcPr>
            <w:tcW w:w="6134" w:type="dxa"/>
            <w:shd w:val="clear" w:color="auto" w:fill="auto"/>
          </w:tcPr>
          <w:p w14:paraId="04174F08" w14:textId="77777777" w:rsidR="0078270F" w:rsidRDefault="0078270F" w:rsidP="000C588D">
            <w:pPr>
              <w:pStyle w:val="Normalgrey"/>
            </w:pPr>
            <w:r>
              <w:t xml:space="preserve">This FRD extends </w:t>
            </w:r>
            <w:r w:rsidR="009A2E61">
              <w:t>AASB 1050’s</w:t>
            </w:r>
            <w:r>
              <w:t xml:space="preserve"> disclosure requirement for administered revenues and expenses to include disclosure on a major activity basis for administered assets and liabilities.</w:t>
            </w:r>
          </w:p>
        </w:tc>
      </w:tr>
      <w:tr w:rsidR="0078270F" w:rsidRPr="005828FE" w14:paraId="6898A771" w14:textId="77777777" w:rsidTr="0078270F">
        <w:tc>
          <w:tcPr>
            <w:tcW w:w="2293" w:type="dxa"/>
            <w:shd w:val="clear" w:color="auto" w:fill="auto"/>
          </w:tcPr>
          <w:p w14:paraId="59AD3023" w14:textId="77777777" w:rsidR="0078270F" w:rsidRPr="005828FE" w:rsidRDefault="0078270F" w:rsidP="00A0322D">
            <w:pPr>
              <w:pStyle w:val="Normalbold"/>
            </w:pPr>
          </w:p>
        </w:tc>
        <w:tc>
          <w:tcPr>
            <w:tcW w:w="270" w:type="dxa"/>
            <w:shd w:val="clear" w:color="auto" w:fill="auto"/>
          </w:tcPr>
          <w:p w14:paraId="641C9AAF" w14:textId="77777777" w:rsidR="0078270F" w:rsidRPr="008B2A17" w:rsidRDefault="0078270F" w:rsidP="00286F9A">
            <w:pPr>
              <w:pStyle w:val="Normalgrey"/>
            </w:pPr>
          </w:p>
        </w:tc>
        <w:tc>
          <w:tcPr>
            <w:tcW w:w="540" w:type="dxa"/>
            <w:shd w:val="clear" w:color="auto" w:fill="auto"/>
          </w:tcPr>
          <w:p w14:paraId="386721F6" w14:textId="77777777" w:rsidR="0078270F" w:rsidRDefault="0078270F" w:rsidP="009A2E61">
            <w:pPr>
              <w:pStyle w:val="Normalgrey"/>
            </w:pPr>
            <w:r>
              <w:t>5.3</w:t>
            </w:r>
          </w:p>
        </w:tc>
        <w:tc>
          <w:tcPr>
            <w:tcW w:w="6134" w:type="dxa"/>
            <w:shd w:val="clear" w:color="auto" w:fill="auto"/>
          </w:tcPr>
          <w:p w14:paraId="678EB3E8" w14:textId="77777777" w:rsidR="0078270F" w:rsidRDefault="0078270F" w:rsidP="000C588D">
            <w:pPr>
              <w:pStyle w:val="Normalgrey"/>
            </w:pPr>
            <w:r>
              <w:t>Departments should only disclose administered activities on major activity basis when such allocations can be reliably attributed to the outputs. Where a department cannot determine an allocation on a reliable basis it should both discuss the matter with its auditor and advise the Department of Treasury and Finance of the outcome of those discussions before finalisation of the financial report.</w:t>
            </w:r>
          </w:p>
        </w:tc>
      </w:tr>
      <w:tr w:rsidR="00025BFB" w:rsidRPr="005828FE" w14:paraId="1A9B38BF" w14:textId="77777777" w:rsidTr="00B8224B">
        <w:tc>
          <w:tcPr>
            <w:tcW w:w="2293" w:type="dxa"/>
          </w:tcPr>
          <w:p w14:paraId="4D829D10" w14:textId="77777777" w:rsidR="00025BFB" w:rsidRPr="005828FE" w:rsidRDefault="00025BFB" w:rsidP="00382EE1">
            <w:pPr>
              <w:pStyle w:val="Normalgrey"/>
            </w:pPr>
            <w:r w:rsidRPr="005828FE">
              <w:t>Relevant pronouncements</w:t>
            </w:r>
          </w:p>
        </w:tc>
        <w:tc>
          <w:tcPr>
            <w:tcW w:w="270" w:type="dxa"/>
          </w:tcPr>
          <w:p w14:paraId="26D03A91" w14:textId="77777777" w:rsidR="00025BFB" w:rsidRPr="005828FE" w:rsidRDefault="00025BFB" w:rsidP="00286F9A">
            <w:pPr>
              <w:pStyle w:val="Normalgrey"/>
            </w:pPr>
          </w:p>
        </w:tc>
        <w:tc>
          <w:tcPr>
            <w:tcW w:w="540" w:type="dxa"/>
          </w:tcPr>
          <w:p w14:paraId="1D6398A8" w14:textId="77777777" w:rsidR="00025BFB" w:rsidRPr="005828FE" w:rsidRDefault="00B26B4D" w:rsidP="00286F9A">
            <w:pPr>
              <w:pStyle w:val="Normalgrey"/>
            </w:pPr>
            <w:r>
              <w:t>6.1</w:t>
            </w:r>
          </w:p>
        </w:tc>
        <w:tc>
          <w:tcPr>
            <w:tcW w:w="6134" w:type="dxa"/>
          </w:tcPr>
          <w:p w14:paraId="10E41F8E" w14:textId="260BC259" w:rsidR="00025BFB" w:rsidRPr="005828FE" w:rsidRDefault="00025BFB" w:rsidP="000C588D">
            <w:pPr>
              <w:pStyle w:val="Normalgrey"/>
            </w:pPr>
            <w:r>
              <w:t>AAS</w:t>
            </w:r>
            <w:r w:rsidR="00AE56AF">
              <w:t>B</w:t>
            </w:r>
            <w:r>
              <w:t xml:space="preserve"> </w:t>
            </w:r>
            <w:r w:rsidR="00AE56AF">
              <w:t xml:space="preserve">1050 </w:t>
            </w:r>
            <w:r w:rsidR="00AE56AF">
              <w:rPr>
                <w:i/>
              </w:rPr>
              <w:t>Administered Items</w:t>
            </w:r>
          </w:p>
        </w:tc>
      </w:tr>
      <w:tr w:rsidR="00025BFB" w:rsidRPr="005828FE" w14:paraId="42F7CCD7" w14:textId="77777777" w:rsidTr="00B8224B">
        <w:tc>
          <w:tcPr>
            <w:tcW w:w="2293" w:type="dxa"/>
          </w:tcPr>
          <w:p w14:paraId="4FDCA6AA" w14:textId="77777777" w:rsidR="00025BFB" w:rsidRPr="005828FE" w:rsidRDefault="00025BFB" w:rsidP="00382EE1">
            <w:pPr>
              <w:pStyle w:val="Normalgrey"/>
            </w:pPr>
            <w:r w:rsidRPr="005828FE">
              <w:t>Background</w:t>
            </w:r>
          </w:p>
        </w:tc>
        <w:tc>
          <w:tcPr>
            <w:tcW w:w="270" w:type="dxa"/>
          </w:tcPr>
          <w:p w14:paraId="5EF2B933" w14:textId="77777777" w:rsidR="00025BFB" w:rsidRPr="005828FE" w:rsidRDefault="00025BFB" w:rsidP="00286F9A">
            <w:pPr>
              <w:pStyle w:val="Normalgrey"/>
            </w:pPr>
          </w:p>
        </w:tc>
        <w:tc>
          <w:tcPr>
            <w:tcW w:w="540" w:type="dxa"/>
          </w:tcPr>
          <w:p w14:paraId="20B7B385" w14:textId="77777777" w:rsidR="00025BFB" w:rsidRPr="005828FE" w:rsidRDefault="00B26B4D" w:rsidP="00286F9A">
            <w:pPr>
              <w:pStyle w:val="Normalgrey"/>
            </w:pPr>
            <w:r>
              <w:t>7.1</w:t>
            </w:r>
          </w:p>
        </w:tc>
        <w:tc>
          <w:tcPr>
            <w:tcW w:w="6134" w:type="dxa"/>
          </w:tcPr>
          <w:p w14:paraId="2B2B9B76" w14:textId="027574EC" w:rsidR="00AE56AF" w:rsidRPr="005828FE" w:rsidRDefault="00025BFB" w:rsidP="000C588D">
            <w:pPr>
              <w:pStyle w:val="Normalgrey"/>
            </w:pPr>
            <w:r>
              <w:t xml:space="preserve">Disclosure by activity provides users of financial statements with further information on the functions that government departments conduct on behalf of the government in an agency capacity. The disclosure of these administered functions has been extended beyond those contained in </w:t>
            </w:r>
            <w:r w:rsidR="00B26B4D">
              <w:t>AASB 1050</w:t>
            </w:r>
            <w:r>
              <w:t xml:space="preserve"> to provide additional information and enable users to conduct</w:t>
            </w:r>
            <w:r>
              <w:rPr>
                <w:color w:val="FF0000"/>
              </w:rPr>
              <w:t>,</w:t>
            </w:r>
            <w:r>
              <w:t xml:space="preserve"> review and assess the department’s performance and accountability</w:t>
            </w:r>
            <w:r w:rsidR="00B26B4D">
              <w:t>.</w:t>
            </w:r>
          </w:p>
        </w:tc>
      </w:tr>
      <w:tr w:rsidR="00B26B4D" w:rsidRPr="005828FE" w14:paraId="2774C868" w14:textId="77777777" w:rsidTr="00B8224B">
        <w:tc>
          <w:tcPr>
            <w:tcW w:w="2293" w:type="dxa"/>
          </w:tcPr>
          <w:p w14:paraId="377A3F2E" w14:textId="77777777" w:rsidR="00B26B4D" w:rsidRPr="005828FE" w:rsidRDefault="00B26B4D" w:rsidP="00382EE1">
            <w:pPr>
              <w:pStyle w:val="Normalgrey"/>
            </w:pPr>
          </w:p>
        </w:tc>
        <w:tc>
          <w:tcPr>
            <w:tcW w:w="270" w:type="dxa"/>
          </w:tcPr>
          <w:p w14:paraId="67D690D7" w14:textId="77777777" w:rsidR="00B26B4D" w:rsidRPr="005828FE" w:rsidRDefault="00B26B4D" w:rsidP="00286F9A">
            <w:pPr>
              <w:pStyle w:val="Normalgrey"/>
            </w:pPr>
          </w:p>
        </w:tc>
        <w:tc>
          <w:tcPr>
            <w:tcW w:w="540" w:type="dxa"/>
          </w:tcPr>
          <w:p w14:paraId="2D7F6CBC" w14:textId="77777777" w:rsidR="00B26B4D" w:rsidRDefault="00B26B4D" w:rsidP="00286F9A">
            <w:pPr>
              <w:pStyle w:val="Normalgrey"/>
            </w:pPr>
            <w:r>
              <w:t>7.2</w:t>
            </w:r>
          </w:p>
        </w:tc>
        <w:tc>
          <w:tcPr>
            <w:tcW w:w="6134" w:type="dxa"/>
          </w:tcPr>
          <w:p w14:paraId="6F51AE22" w14:textId="247D6894" w:rsidR="00B26B4D" w:rsidRDefault="00B26B4D" w:rsidP="000C588D">
            <w:pPr>
              <w:pStyle w:val="Normalgrey"/>
            </w:pPr>
            <w:r>
              <w:t>This FRD was first issued in November 2005. It was revised in:</w:t>
            </w:r>
          </w:p>
          <w:p w14:paraId="2B925287" w14:textId="22F69DFF" w:rsidR="009374B1" w:rsidRPr="009374B1" w:rsidRDefault="0088340A" w:rsidP="000C588D">
            <w:pPr>
              <w:pStyle w:val="Bullet1grey"/>
            </w:pPr>
            <w:r w:rsidRPr="009374B1">
              <w:t>May</w:t>
            </w:r>
            <w:r w:rsidR="002F4E1F" w:rsidRPr="009374B1">
              <w:t xml:space="preserve"> </w:t>
            </w:r>
            <w:r w:rsidR="00B26B4D" w:rsidRPr="009374B1">
              <w:t xml:space="preserve">2017 to update references to reflect the reporting requirements relocated from AAS 29 to AASB 1050. The example disclosure in </w:t>
            </w:r>
            <w:r w:rsidR="00147648" w:rsidRPr="009374B1">
              <w:t>A</w:t>
            </w:r>
            <w:r w:rsidR="00B26B4D" w:rsidRPr="009374B1">
              <w:t xml:space="preserve">ppendix A was removed, and reference was made to the illustrative disclosure in the </w:t>
            </w:r>
            <w:r w:rsidR="00B26B4D" w:rsidRPr="000C588D">
              <w:t>Model Report</w:t>
            </w:r>
            <w:r w:rsidR="00B26B4D" w:rsidRPr="009374B1">
              <w:t xml:space="preserve">.  </w:t>
            </w:r>
          </w:p>
        </w:tc>
      </w:tr>
      <w:tr w:rsidR="00147648" w:rsidRPr="005828FE" w14:paraId="15E8A54A" w14:textId="77777777" w:rsidTr="00B8224B">
        <w:tc>
          <w:tcPr>
            <w:tcW w:w="2293" w:type="dxa"/>
          </w:tcPr>
          <w:p w14:paraId="320CADFD" w14:textId="27A4681F" w:rsidR="00147648" w:rsidRPr="005828FE" w:rsidRDefault="00147648" w:rsidP="00147648">
            <w:pPr>
              <w:pStyle w:val="Normalgrey"/>
            </w:pPr>
            <w:r w:rsidRPr="009932F2">
              <w:t>Model for Disclosure</w:t>
            </w:r>
          </w:p>
        </w:tc>
        <w:tc>
          <w:tcPr>
            <w:tcW w:w="270" w:type="dxa"/>
          </w:tcPr>
          <w:p w14:paraId="2B7BA06C" w14:textId="77777777" w:rsidR="00147648" w:rsidRPr="005828FE" w:rsidRDefault="00147648" w:rsidP="00147648">
            <w:pPr>
              <w:pStyle w:val="Normalgrey"/>
            </w:pPr>
          </w:p>
        </w:tc>
        <w:tc>
          <w:tcPr>
            <w:tcW w:w="540" w:type="dxa"/>
          </w:tcPr>
          <w:p w14:paraId="40C61D16" w14:textId="02C01F5C" w:rsidR="00147648" w:rsidRDefault="00147648" w:rsidP="00147648">
            <w:pPr>
              <w:pStyle w:val="Normalgrey"/>
            </w:pPr>
            <w:r>
              <w:t>8.1</w:t>
            </w:r>
          </w:p>
        </w:tc>
        <w:tc>
          <w:tcPr>
            <w:tcW w:w="6134" w:type="dxa"/>
          </w:tcPr>
          <w:p w14:paraId="0B56A445" w14:textId="38CC172E" w:rsidR="00147648" w:rsidRDefault="00147648" w:rsidP="00147648">
            <w:pPr>
              <w:pStyle w:val="Normalgrey"/>
            </w:pPr>
            <w:r w:rsidRPr="001B6CA3">
              <w:rPr>
                <w:i/>
              </w:rPr>
              <w:t>Model Report for Victorian Government Departments</w:t>
            </w:r>
            <w:r>
              <w:t xml:space="preserve"> – Section 4 Disaggregates Financial Information by Output</w:t>
            </w:r>
          </w:p>
        </w:tc>
      </w:tr>
    </w:tbl>
    <w:p w14:paraId="133E4F20" w14:textId="77777777" w:rsidR="00934A98" w:rsidRDefault="00934A98" w:rsidP="00934A98">
      <w:pPr>
        <w:sectPr w:rsidR="00934A98" w:rsidSect="00734A7C">
          <w:headerReference w:type="default" r:id="rId9"/>
          <w:footerReference w:type="even" r:id="rId10"/>
          <w:footerReference w:type="default" r:id="rId11"/>
          <w:pgSz w:w="11906" w:h="16838" w:code="9"/>
          <w:pgMar w:top="1802" w:right="1440" w:bottom="1350" w:left="1440" w:header="450" w:footer="461" w:gutter="0"/>
          <w:pgNumType w:start="1"/>
          <w:cols w:space="708"/>
          <w:docGrid w:linePitch="360"/>
        </w:sectPr>
      </w:pPr>
    </w:p>
    <w:p w14:paraId="586E292F" w14:textId="77777777" w:rsidR="00934A98" w:rsidRDefault="00934A98">
      <w:pPr>
        <w:pStyle w:val="Spacer"/>
      </w:pPr>
    </w:p>
    <w:sectPr w:rsidR="00934A98" w:rsidSect="006A0BB8">
      <w:headerReference w:type="default" r:id="rId12"/>
      <w:footerReference w:type="even" r:id="rId13"/>
      <w:footerReference w:type="default" r:id="rId14"/>
      <w:type w:val="continuous"/>
      <w:pgSz w:w="11906" w:h="16838" w:code="9"/>
      <w:pgMar w:top="1151" w:right="1440" w:bottom="1151" w:left="1440" w:header="448" w:footer="4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EDB0" w14:textId="77777777" w:rsidR="006B110E" w:rsidRDefault="006B110E" w:rsidP="002D711A">
      <w:pPr>
        <w:spacing w:after="0" w:line="240" w:lineRule="auto"/>
      </w:pPr>
      <w:r>
        <w:separator/>
      </w:r>
    </w:p>
    <w:p w14:paraId="437964D6" w14:textId="77777777" w:rsidR="006B110E" w:rsidRDefault="006B110E"/>
  </w:endnote>
  <w:endnote w:type="continuationSeparator" w:id="0">
    <w:p w14:paraId="57F625C5" w14:textId="77777777" w:rsidR="006B110E" w:rsidRDefault="006B110E" w:rsidP="002D711A">
      <w:pPr>
        <w:spacing w:after="0" w:line="240" w:lineRule="auto"/>
      </w:pPr>
      <w:r>
        <w:continuationSeparator/>
      </w:r>
    </w:p>
    <w:p w14:paraId="1913D25B" w14:textId="77777777" w:rsidR="006B110E" w:rsidRDefault="006B1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2B33" w14:textId="77777777" w:rsidR="00934A98" w:rsidRPr="00014213" w:rsidRDefault="00934A98" w:rsidP="00C022F9">
    <w:pPr>
      <w:pStyle w:val="Footer"/>
    </w:pPr>
    <w:r>
      <w:drawing>
        <wp:anchor distT="0" distB="0" distL="114300" distR="114300" simplePos="0" relativeHeight="251657216" behindDoc="0" locked="0" layoutInCell="1" allowOverlap="1" wp14:anchorId="511F898A" wp14:editId="41EC44F4">
          <wp:simplePos x="0" y="0"/>
          <wp:positionH relativeFrom="column">
            <wp:posOffset>4240861</wp:posOffset>
          </wp:positionH>
          <wp:positionV relativeFrom="page">
            <wp:posOffset>9493250</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0AD310DB" w14:textId="77777777" w:rsidR="00934A98" w:rsidRDefault="00934A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EDF1" w14:textId="70F9562F" w:rsidR="00934A98" w:rsidRDefault="002E4629" w:rsidP="00A516DE">
    <w:pPr>
      <w:pStyle w:val="Spacer"/>
    </w:pPr>
    <w:r>
      <w:rPr>
        <w:noProof/>
      </w:rPr>
      <mc:AlternateContent>
        <mc:Choice Requires="wps">
          <w:drawing>
            <wp:anchor distT="0" distB="0" distL="114300" distR="114300" simplePos="0" relativeHeight="251660288" behindDoc="0" locked="0" layoutInCell="0" allowOverlap="1" wp14:anchorId="286C3978" wp14:editId="78775C25">
              <wp:simplePos x="0" y="0"/>
              <wp:positionH relativeFrom="page">
                <wp:posOffset>0</wp:posOffset>
              </wp:positionH>
              <wp:positionV relativeFrom="page">
                <wp:posOffset>10227945</wp:posOffset>
              </wp:positionV>
              <wp:extent cx="7560310" cy="273050"/>
              <wp:effectExtent l="0" t="0" r="0" b="12700"/>
              <wp:wrapNone/>
              <wp:docPr id="1" name="MSIPCMa23e4e6aa3bafa8e3cac98b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60FCA4" w14:textId="1D12D6AA" w:rsidR="002E4629" w:rsidRPr="002E4629" w:rsidRDefault="002E4629" w:rsidP="002E4629">
                          <w:pPr>
                            <w:spacing w:before="0" w:after="0"/>
                            <w:rPr>
                              <w:rFonts w:ascii="Calibri" w:hAnsi="Calibri" w:cs="Calibri"/>
                              <w:color w:val="000000"/>
                              <w:sz w:val="22"/>
                            </w:rPr>
                          </w:pPr>
                          <w:r w:rsidRPr="002E462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6C3978" id="_x0000_t202" coordsize="21600,21600" o:spt="202" path="m,l,21600r21600,l21600,xe">
              <v:stroke joinstyle="miter"/>
              <v:path gradientshapeok="t" o:connecttype="rect"/>
            </v:shapetype>
            <v:shape id="MSIPCMa23e4e6aa3bafa8e3cac98b9"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FWoCMCwAgAASAUAAA4A&#10;AAAAAAAAAAAAAAAALgIAAGRycy9lMm9Eb2MueG1sUEsBAi0AFAAGAAgAAAAhAHx2COHfAAAACwEA&#10;AA8AAAAAAAAAAAAAAAAACgUAAGRycy9kb3ducmV2LnhtbFBLBQYAAAAABAAEAPMAAAAWBgAAAAA=&#10;" o:allowincell="f" filled="f" stroked="f" strokeweight=".5pt">
              <v:textbox inset="20pt,0,,0">
                <w:txbxContent>
                  <w:p w14:paraId="4060FCA4" w14:textId="1D12D6AA" w:rsidR="002E4629" w:rsidRPr="002E4629" w:rsidRDefault="002E4629" w:rsidP="002E4629">
                    <w:pPr>
                      <w:spacing w:before="0" w:after="0"/>
                      <w:rPr>
                        <w:rFonts w:ascii="Calibri" w:hAnsi="Calibri" w:cs="Calibri"/>
                        <w:color w:val="000000"/>
                        <w:sz w:val="22"/>
                      </w:rPr>
                    </w:pPr>
                    <w:r w:rsidRPr="002E4629">
                      <w:rPr>
                        <w:rFonts w:ascii="Calibri" w:hAnsi="Calibri" w:cs="Calibri"/>
                        <w:color w:val="000000"/>
                        <w:sz w:val="22"/>
                      </w:rPr>
                      <w:t>OFFICIAL</w:t>
                    </w:r>
                  </w:p>
                </w:txbxContent>
              </v:textbox>
              <w10:wrap anchorx="page" anchory="page"/>
            </v:shape>
          </w:pict>
        </mc:Fallback>
      </mc:AlternateContent>
    </w:r>
  </w:p>
  <w:p w14:paraId="70EFEC92" w14:textId="20F0206C" w:rsidR="00934A98" w:rsidRPr="005828FE" w:rsidRDefault="00934A98" w:rsidP="0041689E">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9751FC">
      <w:rPr>
        <w:b/>
      </w:rPr>
      <w:t>FRD 9</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9751FC">
      <w:t>Departmental disclosure of administered assets and liabilities by activity (April 2022)</w:t>
    </w:r>
    <w:r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88340A">
      <w:rPr>
        <w:rStyle w:val="PageNumber"/>
        <w:color w:val="auto"/>
      </w:rPr>
      <w:t>1</w:t>
    </w:r>
    <w:r w:rsidRPr="005828FE">
      <w:rPr>
        <w:rStyle w:val="PageNumbe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7D1E" w14:textId="77777777" w:rsidR="00014213" w:rsidRPr="00014213" w:rsidRDefault="00014213" w:rsidP="00C022F9">
    <w:pPr>
      <w:pStyle w:val="Footer"/>
    </w:pPr>
    <w:r>
      <w:drawing>
        <wp:anchor distT="0" distB="0" distL="114300" distR="114300" simplePos="0" relativeHeight="251667456" behindDoc="0" locked="0" layoutInCell="1" allowOverlap="1" wp14:anchorId="201E2BF8" wp14:editId="40898F14">
          <wp:simplePos x="0" y="0"/>
          <wp:positionH relativeFrom="column">
            <wp:posOffset>4240861</wp:posOffset>
          </wp:positionH>
          <wp:positionV relativeFrom="page">
            <wp:posOffset>9493250</wp:posOffset>
          </wp:positionV>
          <wp:extent cx="1956435" cy="582930"/>
          <wp:effectExtent l="0" t="0" r="5715" b="762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0C93E389" w14:textId="77777777" w:rsidR="0057703D" w:rsidRDefault="005770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7FB3" w14:textId="1160D980" w:rsidR="00A516DE" w:rsidRDefault="002E4629" w:rsidP="00A516DE">
    <w:pPr>
      <w:pStyle w:val="Spacer"/>
    </w:pPr>
    <w:r>
      <w:rPr>
        <w:noProof/>
      </w:rPr>
      <mc:AlternateContent>
        <mc:Choice Requires="wps">
          <w:drawing>
            <wp:anchor distT="0" distB="0" distL="114300" distR="114300" simplePos="0" relativeHeight="251671552" behindDoc="0" locked="0" layoutInCell="0" allowOverlap="1" wp14:anchorId="4B84B04F" wp14:editId="5AE329B4">
              <wp:simplePos x="0" y="0"/>
              <wp:positionH relativeFrom="page">
                <wp:posOffset>0</wp:posOffset>
              </wp:positionH>
              <wp:positionV relativeFrom="page">
                <wp:posOffset>10228183</wp:posOffset>
              </wp:positionV>
              <wp:extent cx="7560310" cy="273050"/>
              <wp:effectExtent l="0" t="0" r="0" b="12700"/>
              <wp:wrapNone/>
              <wp:docPr id="3" name="MSIPCM4f784ea4a1bb9b1787a55c48"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D737C1" w14:textId="193BBDDF" w:rsidR="002E4629" w:rsidRPr="002E4629" w:rsidRDefault="002E4629" w:rsidP="002E4629">
                          <w:pPr>
                            <w:spacing w:before="0" w:after="0"/>
                            <w:rPr>
                              <w:rFonts w:ascii="Calibri" w:hAnsi="Calibri" w:cs="Calibri"/>
                              <w:color w:val="000000"/>
                              <w:sz w:val="22"/>
                            </w:rPr>
                          </w:pPr>
                          <w:r w:rsidRPr="002E462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84B04F" id="_x0000_t202" coordsize="21600,21600" o:spt="202" path="m,l,21600r21600,l21600,xe">
              <v:stroke joinstyle="miter"/>
              <v:path gradientshapeok="t" o:connecttype="rect"/>
            </v:shapetype>
            <v:shape id="MSIPCM4f784ea4a1bb9b1787a55c48" o:spid="_x0000_s1027" type="#_x0000_t202" alt="{&quot;HashCode&quot;:-1267603503,&quot;Height&quot;:841.0,&quot;Width&quot;:595.0,&quot;Placement&quot;:&quot;Footer&quot;,&quot;Index&quot;:&quot;Primary&quot;,&quot;Section&quot;:2,&quot;Top&quot;:0.0,&quot;Left&quot;:0.0}" style="position:absolute;margin-left:0;margin-top:805.35pt;width:595.3pt;height:21.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Nhsjg7UCAABP&#10;BQAADgAAAAAAAAAAAAAAAAAuAgAAZHJzL2Uyb0RvYy54bWxQSwECLQAUAAYACAAAACEAfHYI4d8A&#10;AAALAQAADwAAAAAAAAAAAAAAAAAPBQAAZHJzL2Rvd25yZXYueG1sUEsFBgAAAAAEAAQA8wAAABsG&#10;AAAAAA==&#10;" o:allowincell="f" filled="f" stroked="f" strokeweight=".5pt">
              <v:textbox inset="20pt,0,,0">
                <w:txbxContent>
                  <w:p w14:paraId="6ED737C1" w14:textId="193BBDDF" w:rsidR="002E4629" w:rsidRPr="002E4629" w:rsidRDefault="002E4629" w:rsidP="002E4629">
                    <w:pPr>
                      <w:spacing w:before="0" w:after="0"/>
                      <w:rPr>
                        <w:rFonts w:ascii="Calibri" w:hAnsi="Calibri" w:cs="Calibri"/>
                        <w:color w:val="000000"/>
                        <w:sz w:val="22"/>
                      </w:rPr>
                    </w:pPr>
                    <w:r w:rsidRPr="002E4629">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D083" w14:textId="77777777" w:rsidR="006B110E" w:rsidRDefault="006B110E" w:rsidP="002D711A">
      <w:pPr>
        <w:spacing w:after="0" w:line="240" w:lineRule="auto"/>
      </w:pPr>
      <w:r>
        <w:separator/>
      </w:r>
    </w:p>
    <w:p w14:paraId="4001DC4D" w14:textId="77777777" w:rsidR="006B110E" w:rsidRDefault="006B110E"/>
  </w:footnote>
  <w:footnote w:type="continuationSeparator" w:id="0">
    <w:p w14:paraId="53EF8F03" w14:textId="77777777" w:rsidR="006B110E" w:rsidRDefault="006B110E" w:rsidP="002D711A">
      <w:pPr>
        <w:spacing w:after="0" w:line="240" w:lineRule="auto"/>
      </w:pPr>
      <w:r>
        <w:continuationSeparator/>
      </w:r>
    </w:p>
    <w:p w14:paraId="284E5536" w14:textId="77777777" w:rsidR="006B110E" w:rsidRDefault="006B1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B7B0" w14:textId="77777777" w:rsidR="00934A98" w:rsidRPr="0041689E" w:rsidRDefault="00934A98" w:rsidP="005828FE">
    <w:pPr>
      <w:pStyle w:val="Header"/>
      <w:tabs>
        <w:tab w:val="clear" w:pos="9026"/>
      </w:tabs>
      <w:ind w:right="-694"/>
      <w:jc w:val="right"/>
    </w:pPr>
    <w:r>
      <w:rPr>
        <w:noProof/>
      </w:rPr>
      <w:drawing>
        <wp:inline distT="0" distB="0" distL="0" distR="0" wp14:anchorId="494CAA85" wp14:editId="1D368F2E">
          <wp:extent cx="813816" cy="466344"/>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9332" w14:textId="77777777" w:rsidR="0041689E" w:rsidRPr="0041689E" w:rsidRDefault="0041689E" w:rsidP="005828FE">
    <w:pPr>
      <w:pStyle w:val="Header"/>
      <w:tabs>
        <w:tab w:val="clear" w:pos="9026"/>
      </w:tabs>
      <w:ind w:right="-69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5DC"/>
    <w:multiLevelType w:val="hybridMultilevel"/>
    <w:tmpl w:val="C05E703E"/>
    <w:lvl w:ilvl="0" w:tplc="FCA4B5BE">
      <w:start w:val="1"/>
      <w:numFmt w:val="lowerLetter"/>
      <w:lvlText w:val="(%1)"/>
      <w:lvlJc w:val="left"/>
      <w:pPr>
        <w:tabs>
          <w:tab w:val="num" w:pos="360"/>
        </w:tabs>
        <w:ind w:left="360" w:hanging="360"/>
      </w:pPr>
      <w:rPr>
        <w:rFonts w:ascii="Arial Unicode MS" w:hAnsi="Arial Unicode MS" w:cs="Arial Unicode M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5AE2E0B"/>
    <w:multiLevelType w:val="hybridMultilevel"/>
    <w:tmpl w:val="24982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7067BF"/>
    <w:multiLevelType w:val="hybridMultilevel"/>
    <w:tmpl w:val="B276F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875DB3"/>
    <w:multiLevelType w:val="hybridMultilevel"/>
    <w:tmpl w:val="B62E7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996057"/>
    <w:multiLevelType w:val="hybridMultilevel"/>
    <w:tmpl w:val="476C4D7A"/>
    <w:lvl w:ilvl="0" w:tplc="41E2D8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2F0DFD"/>
    <w:multiLevelType w:val="hybridMultilevel"/>
    <w:tmpl w:val="C4CC5086"/>
    <w:lvl w:ilvl="0" w:tplc="41E2D8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873EE5"/>
    <w:multiLevelType w:val="hybridMultilevel"/>
    <w:tmpl w:val="3D4E6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6"/>
  </w:num>
  <w:num w:numId="2">
    <w:abstractNumId w:val="6"/>
  </w:num>
  <w:num w:numId="3">
    <w:abstractNumId w:val="6"/>
  </w:num>
  <w:num w:numId="4">
    <w:abstractNumId w:val="12"/>
  </w:num>
  <w:num w:numId="5">
    <w:abstractNumId w:val="6"/>
  </w:num>
  <w:num w:numId="6">
    <w:abstractNumId w:val="6"/>
  </w:num>
  <w:num w:numId="7">
    <w:abstractNumId w:val="6"/>
  </w:num>
  <w:num w:numId="8">
    <w:abstractNumId w:val="6"/>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2"/>
  </w:num>
  <w:num w:numId="18">
    <w:abstractNumId w:val="2"/>
  </w:num>
  <w:num w:numId="19">
    <w:abstractNumId w:val="7"/>
  </w:num>
  <w:num w:numId="20">
    <w:abstractNumId w:val="11"/>
  </w:num>
  <w:num w:numId="21">
    <w:abstractNumId w:val="11"/>
  </w:num>
  <w:num w:numId="22">
    <w:abstractNumId w:val="10"/>
  </w:num>
  <w:num w:numId="23">
    <w:abstractNumId w:val="10"/>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abstractNumId w:val="10"/>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0"/>
  </w:num>
  <w:num w:numId="29">
    <w:abstractNumId w:val="8"/>
  </w:num>
  <w:num w:numId="30">
    <w:abstractNumId w:val="9"/>
  </w:num>
  <w:num w:numId="31">
    <w:abstractNumId w:val="3"/>
  </w:num>
  <w:num w:numId="32">
    <w:abstractNumId w:val="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BFB"/>
    <w:rsid w:val="0000176A"/>
    <w:rsid w:val="00004CC9"/>
    <w:rsid w:val="00012F6F"/>
    <w:rsid w:val="00014213"/>
    <w:rsid w:val="00014B55"/>
    <w:rsid w:val="00020E3E"/>
    <w:rsid w:val="00023BF3"/>
    <w:rsid w:val="00025BFB"/>
    <w:rsid w:val="00026811"/>
    <w:rsid w:val="0004356D"/>
    <w:rsid w:val="00045296"/>
    <w:rsid w:val="00075E6C"/>
    <w:rsid w:val="000B29AD"/>
    <w:rsid w:val="000C588D"/>
    <w:rsid w:val="000C6372"/>
    <w:rsid w:val="000E00D3"/>
    <w:rsid w:val="000E392D"/>
    <w:rsid w:val="000E7963"/>
    <w:rsid w:val="000F4288"/>
    <w:rsid w:val="000F4E93"/>
    <w:rsid w:val="000F7165"/>
    <w:rsid w:val="00102379"/>
    <w:rsid w:val="001065D6"/>
    <w:rsid w:val="00106E44"/>
    <w:rsid w:val="00117C6B"/>
    <w:rsid w:val="00121252"/>
    <w:rsid w:val="00124609"/>
    <w:rsid w:val="001254CE"/>
    <w:rsid w:val="001302DE"/>
    <w:rsid w:val="00131BB0"/>
    <w:rsid w:val="00134CEA"/>
    <w:rsid w:val="001422CC"/>
    <w:rsid w:val="00147648"/>
    <w:rsid w:val="00154FDB"/>
    <w:rsid w:val="001617B6"/>
    <w:rsid w:val="00165E66"/>
    <w:rsid w:val="00181B97"/>
    <w:rsid w:val="00195C38"/>
    <w:rsid w:val="001C7BAE"/>
    <w:rsid w:val="001E31FA"/>
    <w:rsid w:val="001E64F6"/>
    <w:rsid w:val="00204CB9"/>
    <w:rsid w:val="00205AFE"/>
    <w:rsid w:val="00215F7C"/>
    <w:rsid w:val="0022203A"/>
    <w:rsid w:val="00222BEB"/>
    <w:rsid w:val="00225E60"/>
    <w:rsid w:val="00231BD3"/>
    <w:rsid w:val="0023202C"/>
    <w:rsid w:val="00236203"/>
    <w:rsid w:val="00245043"/>
    <w:rsid w:val="00257760"/>
    <w:rsid w:val="00263356"/>
    <w:rsid w:val="00267D6F"/>
    <w:rsid w:val="002752C5"/>
    <w:rsid w:val="00286F9A"/>
    <w:rsid w:val="00292D36"/>
    <w:rsid w:val="00297281"/>
    <w:rsid w:val="002A4004"/>
    <w:rsid w:val="002A79B8"/>
    <w:rsid w:val="002C54E0"/>
    <w:rsid w:val="002D711A"/>
    <w:rsid w:val="002D7336"/>
    <w:rsid w:val="002E3396"/>
    <w:rsid w:val="002E4629"/>
    <w:rsid w:val="002F4E1F"/>
    <w:rsid w:val="002F6147"/>
    <w:rsid w:val="0031149C"/>
    <w:rsid w:val="00321AC8"/>
    <w:rsid w:val="003225E4"/>
    <w:rsid w:val="003236B4"/>
    <w:rsid w:val="00361426"/>
    <w:rsid w:val="00366707"/>
    <w:rsid w:val="00382EE1"/>
    <w:rsid w:val="00385422"/>
    <w:rsid w:val="0038771C"/>
    <w:rsid w:val="0039405B"/>
    <w:rsid w:val="003A1C92"/>
    <w:rsid w:val="003A541A"/>
    <w:rsid w:val="003A6923"/>
    <w:rsid w:val="003C2C67"/>
    <w:rsid w:val="003C5BA4"/>
    <w:rsid w:val="003E3E26"/>
    <w:rsid w:val="003F0C60"/>
    <w:rsid w:val="003F1295"/>
    <w:rsid w:val="003F76FC"/>
    <w:rsid w:val="004002EB"/>
    <w:rsid w:val="00404E28"/>
    <w:rsid w:val="0041689E"/>
    <w:rsid w:val="00421F2E"/>
    <w:rsid w:val="004236C8"/>
    <w:rsid w:val="00427681"/>
    <w:rsid w:val="00433DB7"/>
    <w:rsid w:val="00453750"/>
    <w:rsid w:val="00456941"/>
    <w:rsid w:val="00464F7E"/>
    <w:rsid w:val="0046697B"/>
    <w:rsid w:val="004702EA"/>
    <w:rsid w:val="00482D02"/>
    <w:rsid w:val="004A7519"/>
    <w:rsid w:val="004B306A"/>
    <w:rsid w:val="004D3518"/>
    <w:rsid w:val="004D62D6"/>
    <w:rsid w:val="004D71D7"/>
    <w:rsid w:val="004D77A6"/>
    <w:rsid w:val="004E550B"/>
    <w:rsid w:val="004F163E"/>
    <w:rsid w:val="004F6445"/>
    <w:rsid w:val="0053416C"/>
    <w:rsid w:val="00541C2F"/>
    <w:rsid w:val="00554086"/>
    <w:rsid w:val="005556C9"/>
    <w:rsid w:val="00563527"/>
    <w:rsid w:val="00565CF3"/>
    <w:rsid w:val="0057703D"/>
    <w:rsid w:val="0058124E"/>
    <w:rsid w:val="005828FE"/>
    <w:rsid w:val="005875A3"/>
    <w:rsid w:val="005A3416"/>
    <w:rsid w:val="005B27FE"/>
    <w:rsid w:val="005C3E6D"/>
    <w:rsid w:val="005C624A"/>
    <w:rsid w:val="005D51F0"/>
    <w:rsid w:val="005F61DF"/>
    <w:rsid w:val="005F681F"/>
    <w:rsid w:val="006023F9"/>
    <w:rsid w:val="00610559"/>
    <w:rsid w:val="006332F6"/>
    <w:rsid w:val="006519F6"/>
    <w:rsid w:val="00652625"/>
    <w:rsid w:val="006534B2"/>
    <w:rsid w:val="0065615D"/>
    <w:rsid w:val="00657011"/>
    <w:rsid w:val="006650B5"/>
    <w:rsid w:val="006651B1"/>
    <w:rsid w:val="00665778"/>
    <w:rsid w:val="006A0BB8"/>
    <w:rsid w:val="006A5B34"/>
    <w:rsid w:val="006A5F5B"/>
    <w:rsid w:val="006B110E"/>
    <w:rsid w:val="006B2873"/>
    <w:rsid w:val="006C4A83"/>
    <w:rsid w:val="006C77A9"/>
    <w:rsid w:val="006C78FB"/>
    <w:rsid w:val="006D66F9"/>
    <w:rsid w:val="006F6693"/>
    <w:rsid w:val="0070117D"/>
    <w:rsid w:val="00707FE8"/>
    <w:rsid w:val="00724962"/>
    <w:rsid w:val="00724A0F"/>
    <w:rsid w:val="00732162"/>
    <w:rsid w:val="00734A7C"/>
    <w:rsid w:val="00736732"/>
    <w:rsid w:val="00740302"/>
    <w:rsid w:val="0074281E"/>
    <w:rsid w:val="00745174"/>
    <w:rsid w:val="00750CBE"/>
    <w:rsid w:val="00766B5A"/>
    <w:rsid w:val="0078270F"/>
    <w:rsid w:val="007834F2"/>
    <w:rsid w:val="00791020"/>
    <w:rsid w:val="007A5F82"/>
    <w:rsid w:val="007F1A4C"/>
    <w:rsid w:val="007F5CB4"/>
    <w:rsid w:val="007F6028"/>
    <w:rsid w:val="008022C3"/>
    <w:rsid w:val="008041E6"/>
    <w:rsid w:val="008065D2"/>
    <w:rsid w:val="0082194C"/>
    <w:rsid w:val="008220C4"/>
    <w:rsid w:val="008222FF"/>
    <w:rsid w:val="008241FF"/>
    <w:rsid w:val="00826652"/>
    <w:rsid w:val="008411E9"/>
    <w:rsid w:val="0084200F"/>
    <w:rsid w:val="00843B2C"/>
    <w:rsid w:val="00863669"/>
    <w:rsid w:val="0088340A"/>
    <w:rsid w:val="008A4900"/>
    <w:rsid w:val="008B0932"/>
    <w:rsid w:val="008B188A"/>
    <w:rsid w:val="008B2A17"/>
    <w:rsid w:val="008C63EE"/>
    <w:rsid w:val="008D0281"/>
    <w:rsid w:val="008E3C4E"/>
    <w:rsid w:val="008F6D45"/>
    <w:rsid w:val="00934A98"/>
    <w:rsid w:val="009374B1"/>
    <w:rsid w:val="00942CF8"/>
    <w:rsid w:val="00957221"/>
    <w:rsid w:val="00962BE9"/>
    <w:rsid w:val="00963C94"/>
    <w:rsid w:val="009751FC"/>
    <w:rsid w:val="009834C0"/>
    <w:rsid w:val="00986322"/>
    <w:rsid w:val="00986AAC"/>
    <w:rsid w:val="0099093E"/>
    <w:rsid w:val="009A1DA2"/>
    <w:rsid w:val="009A2E61"/>
    <w:rsid w:val="009A3704"/>
    <w:rsid w:val="009A4739"/>
    <w:rsid w:val="009A674F"/>
    <w:rsid w:val="009B199C"/>
    <w:rsid w:val="009B54C8"/>
    <w:rsid w:val="009B61F1"/>
    <w:rsid w:val="009B62E0"/>
    <w:rsid w:val="009C3D88"/>
    <w:rsid w:val="009C503D"/>
    <w:rsid w:val="009E3858"/>
    <w:rsid w:val="009E70DD"/>
    <w:rsid w:val="009F2ED9"/>
    <w:rsid w:val="009F3231"/>
    <w:rsid w:val="009F5C58"/>
    <w:rsid w:val="00A023A0"/>
    <w:rsid w:val="00A03F5F"/>
    <w:rsid w:val="00A1562B"/>
    <w:rsid w:val="00A170F4"/>
    <w:rsid w:val="00A2559E"/>
    <w:rsid w:val="00A25FD9"/>
    <w:rsid w:val="00A46BA8"/>
    <w:rsid w:val="00A47634"/>
    <w:rsid w:val="00A516DE"/>
    <w:rsid w:val="00A612FE"/>
    <w:rsid w:val="00A736BE"/>
    <w:rsid w:val="00AA26B8"/>
    <w:rsid w:val="00AA4D53"/>
    <w:rsid w:val="00AB3FE2"/>
    <w:rsid w:val="00AC11CF"/>
    <w:rsid w:val="00AC4B9D"/>
    <w:rsid w:val="00AD3322"/>
    <w:rsid w:val="00AD7E4E"/>
    <w:rsid w:val="00AE56AF"/>
    <w:rsid w:val="00AF3D47"/>
    <w:rsid w:val="00AF48A0"/>
    <w:rsid w:val="00AF4D58"/>
    <w:rsid w:val="00AF6666"/>
    <w:rsid w:val="00B10154"/>
    <w:rsid w:val="00B16F89"/>
    <w:rsid w:val="00B26B4D"/>
    <w:rsid w:val="00B6366E"/>
    <w:rsid w:val="00B81B44"/>
    <w:rsid w:val="00B9053B"/>
    <w:rsid w:val="00B93C44"/>
    <w:rsid w:val="00BC0AA3"/>
    <w:rsid w:val="00BC1CCA"/>
    <w:rsid w:val="00BC3422"/>
    <w:rsid w:val="00BC6691"/>
    <w:rsid w:val="00BD1230"/>
    <w:rsid w:val="00C015B9"/>
    <w:rsid w:val="00C022F9"/>
    <w:rsid w:val="00C032EA"/>
    <w:rsid w:val="00C04715"/>
    <w:rsid w:val="00C06EB5"/>
    <w:rsid w:val="00C1145F"/>
    <w:rsid w:val="00C11D89"/>
    <w:rsid w:val="00C55AFF"/>
    <w:rsid w:val="00C637E1"/>
    <w:rsid w:val="00C70D50"/>
    <w:rsid w:val="00C75A10"/>
    <w:rsid w:val="00C907D7"/>
    <w:rsid w:val="00C92338"/>
    <w:rsid w:val="00CA1DC8"/>
    <w:rsid w:val="00CA7C3A"/>
    <w:rsid w:val="00CB4622"/>
    <w:rsid w:val="00CC2DB2"/>
    <w:rsid w:val="00CD0307"/>
    <w:rsid w:val="00CD1647"/>
    <w:rsid w:val="00CD3D1B"/>
    <w:rsid w:val="00CE4060"/>
    <w:rsid w:val="00CF7DCA"/>
    <w:rsid w:val="00D017C2"/>
    <w:rsid w:val="00D0364F"/>
    <w:rsid w:val="00D1136C"/>
    <w:rsid w:val="00D211E9"/>
    <w:rsid w:val="00D2312F"/>
    <w:rsid w:val="00D269C1"/>
    <w:rsid w:val="00D44953"/>
    <w:rsid w:val="00D45E19"/>
    <w:rsid w:val="00D45F3E"/>
    <w:rsid w:val="00D462E9"/>
    <w:rsid w:val="00D542F3"/>
    <w:rsid w:val="00D5644B"/>
    <w:rsid w:val="00D56E25"/>
    <w:rsid w:val="00D718D7"/>
    <w:rsid w:val="00D814B7"/>
    <w:rsid w:val="00D90688"/>
    <w:rsid w:val="00DA3AAD"/>
    <w:rsid w:val="00DA7832"/>
    <w:rsid w:val="00DB161C"/>
    <w:rsid w:val="00DB312B"/>
    <w:rsid w:val="00DC5654"/>
    <w:rsid w:val="00DC658F"/>
    <w:rsid w:val="00DD2FB8"/>
    <w:rsid w:val="00DD5EB6"/>
    <w:rsid w:val="00DD6805"/>
    <w:rsid w:val="00DE60CC"/>
    <w:rsid w:val="00DF5E6C"/>
    <w:rsid w:val="00E122DB"/>
    <w:rsid w:val="00E1551F"/>
    <w:rsid w:val="00E20142"/>
    <w:rsid w:val="00E26B32"/>
    <w:rsid w:val="00E30E0A"/>
    <w:rsid w:val="00E3232B"/>
    <w:rsid w:val="00E407B6"/>
    <w:rsid w:val="00E41EF1"/>
    <w:rsid w:val="00E42942"/>
    <w:rsid w:val="00E468A6"/>
    <w:rsid w:val="00E71BDF"/>
    <w:rsid w:val="00E83CA7"/>
    <w:rsid w:val="00EA03A3"/>
    <w:rsid w:val="00EC171D"/>
    <w:rsid w:val="00EC7464"/>
    <w:rsid w:val="00ED443A"/>
    <w:rsid w:val="00ED487E"/>
    <w:rsid w:val="00ED4EEB"/>
    <w:rsid w:val="00EE7A0D"/>
    <w:rsid w:val="00F17CE1"/>
    <w:rsid w:val="00F2115C"/>
    <w:rsid w:val="00F22ABA"/>
    <w:rsid w:val="00F23366"/>
    <w:rsid w:val="00F36B12"/>
    <w:rsid w:val="00F55AF4"/>
    <w:rsid w:val="00F60F9F"/>
    <w:rsid w:val="00F64F08"/>
    <w:rsid w:val="00F734F5"/>
    <w:rsid w:val="00F839DC"/>
    <w:rsid w:val="00F966B1"/>
    <w:rsid w:val="00F97D48"/>
    <w:rsid w:val="00FA0311"/>
    <w:rsid w:val="00FA1680"/>
    <w:rsid w:val="00FB1EC9"/>
    <w:rsid w:val="00FC42E5"/>
    <w:rsid w:val="00FD640F"/>
    <w:rsid w:val="00FD6B4C"/>
    <w:rsid w:val="00FE782F"/>
    <w:rsid w:val="00FF051E"/>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9D5080"/>
  <w15:docId w15:val="{5041FD56-03F3-44D0-AA72-F55F0E90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45"/>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paragraph" w:styleId="Heading7">
    <w:name w:val="heading 7"/>
    <w:basedOn w:val="Normal"/>
    <w:next w:val="Normal"/>
    <w:link w:val="Heading7Char"/>
    <w:uiPriority w:val="9"/>
    <w:semiHidden/>
    <w:qFormat/>
    <w:rsid w:val="00934A9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B93C44"/>
    <w:pPr>
      <w:numPr>
        <w:numId w:val="8"/>
      </w:numPr>
      <w:spacing w:before="160" w:after="0" w:line="240" w:lineRule="auto"/>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16"/>
      </w:numPr>
    </w:pPr>
  </w:style>
  <w:style w:type="character" w:customStyle="1" w:styleId="Heading3Char">
    <w:name w:val="Heading 3 Char"/>
    <w:basedOn w:val="DefaultParagraphFont"/>
    <w:link w:val="Heading3"/>
    <w:semiHidden/>
    <w:rsid w:val="001302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16"/>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16"/>
      </w:numPr>
      <w:spacing w:before="100"/>
      <w:contextualSpacing/>
    </w:pPr>
  </w:style>
  <w:style w:type="paragraph" w:customStyle="1" w:styleId="Listnumindent">
    <w:name w:val="List num indent"/>
    <w:basedOn w:val="Normal"/>
    <w:uiPriority w:val="7"/>
    <w:qFormat/>
    <w:rsid w:val="00EC171D"/>
    <w:pPr>
      <w:numPr>
        <w:ilvl w:val="6"/>
        <w:numId w:val="16"/>
      </w:numPr>
      <w:spacing w:before="100"/>
    </w:pPr>
  </w:style>
  <w:style w:type="paragraph" w:customStyle="1" w:styleId="Listnum">
    <w:name w:val="List num"/>
    <w:basedOn w:val="Normal"/>
    <w:uiPriority w:val="1"/>
    <w:qFormat/>
    <w:rsid w:val="00FE782F"/>
    <w:pPr>
      <w:numPr>
        <w:numId w:val="4"/>
      </w:numPr>
      <w:contextualSpacing/>
    </w:pPr>
  </w:style>
  <w:style w:type="paragraph" w:customStyle="1" w:styleId="Listnum2">
    <w:name w:val="List num 2"/>
    <w:basedOn w:val="Normal"/>
    <w:uiPriority w:val="1"/>
    <w:qFormat/>
    <w:rsid w:val="00117C6B"/>
    <w:pPr>
      <w:numPr>
        <w:ilvl w:val="1"/>
        <w:numId w:val="16"/>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18"/>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99093E"/>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22"/>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FA1680"/>
    <w:pPr>
      <w:numPr>
        <w:ilvl w:val="2"/>
        <w:numId w:val="16"/>
      </w:numPr>
      <w:spacing w:line="264" w:lineRule="auto"/>
    </w:pPr>
    <w:rPr>
      <w:rFonts w:eastAsiaTheme="minorHAnsi"/>
      <w:color w:val="4D4D4D"/>
      <w:spacing w:val="2"/>
      <w:sz w:val="18"/>
      <w:szCs w:val="21"/>
      <w:lang w:eastAsia="en-US"/>
    </w:rPr>
  </w:style>
  <w:style w:type="paragraph" w:customStyle="1" w:styleId="Listnum2grey">
    <w:name w:val="List num 2 grey"/>
    <w:uiPriority w:val="4"/>
    <w:qFormat/>
    <w:rsid w:val="00FA1680"/>
    <w:pPr>
      <w:numPr>
        <w:ilvl w:val="3"/>
        <w:numId w:val="16"/>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22"/>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paragraph" w:styleId="BodyText2">
    <w:name w:val="Body Text 2"/>
    <w:basedOn w:val="Normal"/>
    <w:link w:val="BodyText2Char"/>
    <w:uiPriority w:val="99"/>
    <w:semiHidden/>
    <w:rsid w:val="00025BFB"/>
    <w:pPr>
      <w:spacing w:after="120" w:line="480" w:lineRule="auto"/>
    </w:pPr>
  </w:style>
  <w:style w:type="character" w:customStyle="1" w:styleId="BodyText2Char">
    <w:name w:val="Body Text 2 Char"/>
    <w:basedOn w:val="DefaultParagraphFont"/>
    <w:link w:val="BodyText2"/>
    <w:uiPriority w:val="99"/>
    <w:semiHidden/>
    <w:rsid w:val="00025BFB"/>
    <w:rPr>
      <w:spacing w:val="2"/>
      <w:sz w:val="18"/>
    </w:rPr>
  </w:style>
  <w:style w:type="character" w:customStyle="1" w:styleId="Heading7Char">
    <w:name w:val="Heading 7 Char"/>
    <w:basedOn w:val="DefaultParagraphFont"/>
    <w:link w:val="Heading7"/>
    <w:uiPriority w:val="9"/>
    <w:semiHidden/>
    <w:rsid w:val="00934A98"/>
    <w:rPr>
      <w:rFonts w:asciiTheme="majorHAnsi" w:eastAsiaTheme="majorEastAsia" w:hAnsiTheme="majorHAnsi" w:cstheme="majorBidi"/>
      <w:i/>
      <w:iCs/>
      <w:color w:val="404040" w:themeColor="text1" w:themeTint="BF"/>
      <w:spacing w:val="2"/>
      <w:sz w:val="18"/>
    </w:rPr>
  </w:style>
  <w:style w:type="paragraph" w:customStyle="1" w:styleId="Tabletextbold">
    <w:name w:val="Table text bold"/>
    <w:basedOn w:val="Tabletext"/>
    <w:qFormat/>
    <w:rsid w:val="00934A98"/>
    <w:rPr>
      <w:rFonts w:eastAsiaTheme="minorHAnsi"/>
      <w:b/>
      <w:szCs w:val="21"/>
      <w:lang w:eastAsia="en-US"/>
    </w:rPr>
  </w:style>
  <w:style w:type="character" w:styleId="CommentReference">
    <w:name w:val="annotation reference"/>
    <w:basedOn w:val="DefaultParagraphFont"/>
    <w:uiPriority w:val="99"/>
    <w:semiHidden/>
    <w:rsid w:val="00DD2FB8"/>
    <w:rPr>
      <w:sz w:val="16"/>
      <w:szCs w:val="16"/>
    </w:rPr>
  </w:style>
  <w:style w:type="paragraph" w:styleId="CommentText">
    <w:name w:val="annotation text"/>
    <w:basedOn w:val="Normal"/>
    <w:link w:val="CommentTextChar"/>
    <w:uiPriority w:val="99"/>
    <w:semiHidden/>
    <w:rsid w:val="00DD2FB8"/>
    <w:pPr>
      <w:spacing w:line="240" w:lineRule="auto"/>
    </w:pPr>
    <w:rPr>
      <w:sz w:val="20"/>
    </w:rPr>
  </w:style>
  <w:style w:type="character" w:customStyle="1" w:styleId="CommentTextChar">
    <w:name w:val="Comment Text Char"/>
    <w:basedOn w:val="DefaultParagraphFont"/>
    <w:link w:val="CommentText"/>
    <w:uiPriority w:val="99"/>
    <w:semiHidden/>
    <w:rsid w:val="00DD2FB8"/>
    <w:rPr>
      <w:spacing w:val="2"/>
    </w:rPr>
  </w:style>
  <w:style w:type="paragraph" w:styleId="CommentSubject">
    <w:name w:val="annotation subject"/>
    <w:basedOn w:val="CommentText"/>
    <w:next w:val="CommentText"/>
    <w:link w:val="CommentSubjectChar"/>
    <w:uiPriority w:val="99"/>
    <w:semiHidden/>
    <w:rsid w:val="00DD2FB8"/>
    <w:rPr>
      <w:b/>
      <w:bCs/>
    </w:rPr>
  </w:style>
  <w:style w:type="character" w:customStyle="1" w:styleId="CommentSubjectChar">
    <w:name w:val="Comment Subject Char"/>
    <w:basedOn w:val="CommentTextChar"/>
    <w:link w:val="CommentSubject"/>
    <w:uiPriority w:val="99"/>
    <w:semiHidden/>
    <w:rsid w:val="00DD2FB8"/>
    <w:rPr>
      <w:b/>
      <w:bCs/>
      <w:spacing w:val="2"/>
    </w:rPr>
  </w:style>
  <w:style w:type="paragraph" w:styleId="Revision">
    <w:name w:val="Revision"/>
    <w:hidden/>
    <w:uiPriority w:val="99"/>
    <w:semiHidden/>
    <w:rsid w:val="000C588D"/>
    <w:pPr>
      <w:spacing w:after="0" w:line="240" w:lineRule="auto"/>
    </w:pPr>
    <w:rPr>
      <w:spacing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647B59D-B11D-4A6A-80E1-9F801A69AA77}">
  <ds:schemaRefs>
    <ds:schemaRef ds:uri="http://schemas.openxmlformats.org/officeDocument/2006/bibliography"/>
  </ds:schemaRefs>
</ds:datastoreItem>
</file>

<file path=customXml/itemProps2.xml><?xml version="1.0" encoding="utf-8"?>
<ds:datastoreItem xmlns:ds="http://schemas.openxmlformats.org/officeDocument/2006/customXml" ds:itemID="{ADA764C5-60FF-47D6-ABEE-426FA3768CE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0</TotalTime>
  <Pages>1</Pages>
  <Words>381</Words>
  <Characters>2176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Natalie Maroki (DTF)</cp:lastModifiedBy>
  <cp:revision>2</cp:revision>
  <cp:lastPrinted>2017-04-10T04:37:00Z</cp:lastPrinted>
  <dcterms:created xsi:type="dcterms:W3CDTF">2022-04-28T02:30:00Z</dcterms:created>
  <dcterms:modified xsi:type="dcterms:W3CDTF">2022-04-28T02:30:00Z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2022-04-28T02:30:18Z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5a9e77f6-a044-4633-92cf-46f27baafc31</vt:lpwstr>
  </property>
  <property fmtid="{D5CDD505-2E9C-101B-9397-08002B2CF9AE}" pid="10" name="MSIP_Label_7158ebbd-6c5e-441f-bfc9-4eb8c11e3978_ContentBits">
    <vt:lpwstr>2</vt:lpwstr>
  </property>
</Properties>
</file>