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681" w:rsidRPr="00FA266B" w:rsidRDefault="00585C1F" w:rsidP="00B65138">
      <w:pPr>
        <w:pStyle w:val="Heading1"/>
        <w:spacing w:before="0" w:after="120"/>
        <w:jc w:val="center"/>
        <w:rPr>
          <w:lang w:eastAsia="en-US"/>
        </w:rPr>
      </w:pPr>
      <w:bookmarkStart w:id="0" w:name="_Toc442780672"/>
      <w:r>
        <w:rPr>
          <w:lang w:eastAsia="en-US"/>
        </w:rPr>
        <w:t xml:space="preserve">Fact sheet - </w:t>
      </w:r>
      <w:r w:rsidR="00B65138">
        <w:rPr>
          <w:lang w:eastAsia="en-US"/>
        </w:rPr>
        <w:t xml:space="preserve">Transition provisions for the introduction of the revised </w:t>
      </w:r>
      <w:r>
        <w:rPr>
          <w:lang w:eastAsia="en-US"/>
        </w:rPr>
        <w:br/>
      </w:r>
      <w:r w:rsidR="00B65138">
        <w:rPr>
          <w:lang w:eastAsia="en-US"/>
        </w:rPr>
        <w:t>Ministerial Directions for Public Construction</w:t>
      </w:r>
      <w:r w:rsidR="0077407D">
        <w:rPr>
          <w:lang w:eastAsia="en-US"/>
        </w:rPr>
        <w:t xml:space="preserve"> Procurement</w:t>
      </w:r>
    </w:p>
    <w:p w:rsidR="008B252F" w:rsidRPr="008B252F" w:rsidRDefault="008B252F" w:rsidP="008B252F">
      <w:pPr>
        <w:pStyle w:val="TertiaryTitle"/>
        <w:spacing w:line="240" w:lineRule="auto"/>
        <w:rPr>
          <w:b/>
          <w:sz w:val="22"/>
          <w:szCs w:val="22"/>
        </w:rPr>
      </w:pPr>
      <w:r w:rsidRPr="008B252F">
        <w:rPr>
          <w:b/>
          <w:sz w:val="22"/>
          <w:szCs w:val="22"/>
        </w:rPr>
        <w:t xml:space="preserve">Effective date </w:t>
      </w:r>
      <w:r w:rsidR="00046B37">
        <w:rPr>
          <w:b/>
          <w:sz w:val="22"/>
          <w:szCs w:val="22"/>
        </w:rPr>
        <w:t>4</w:t>
      </w:r>
      <w:r w:rsidR="00585C1F">
        <w:rPr>
          <w:b/>
          <w:sz w:val="22"/>
          <w:szCs w:val="22"/>
        </w:rPr>
        <w:t xml:space="preserve"> </w:t>
      </w:r>
      <w:r w:rsidR="00046B37">
        <w:rPr>
          <w:b/>
          <w:sz w:val="22"/>
          <w:szCs w:val="22"/>
        </w:rPr>
        <w:t xml:space="preserve">October </w:t>
      </w:r>
      <w:r w:rsidR="00585C1F">
        <w:rPr>
          <w:b/>
          <w:sz w:val="22"/>
          <w:szCs w:val="22"/>
        </w:rPr>
        <w:t>2018</w:t>
      </w:r>
    </w:p>
    <w:p w:rsidR="00B65138" w:rsidRDefault="00B65138" w:rsidP="00B65138">
      <w:pPr>
        <w:pStyle w:val="Heading2"/>
        <w:tabs>
          <w:tab w:val="left" w:pos="5952"/>
        </w:tabs>
        <w:rPr>
          <w:lang w:eastAsia="en-US"/>
        </w:rPr>
      </w:pPr>
      <w:r>
        <w:rPr>
          <w:lang w:eastAsia="en-US"/>
        </w:rPr>
        <w:t>Commencement date of the Directions</w:t>
      </w:r>
    </w:p>
    <w:p w:rsidR="00B65138" w:rsidRPr="00A64298" w:rsidRDefault="00B65138" w:rsidP="00B65138">
      <w:pPr>
        <w:autoSpaceDE w:val="0"/>
        <w:autoSpaceDN w:val="0"/>
        <w:adjustRightInd w:val="0"/>
        <w:rPr>
          <w:rFonts w:cstheme="minorHAnsi"/>
          <w:color w:val="000000"/>
          <w:szCs w:val="21"/>
        </w:rPr>
      </w:pPr>
      <w:r w:rsidRPr="00A64298">
        <w:rPr>
          <w:rFonts w:cstheme="minorHAnsi"/>
          <w:color w:val="000000"/>
          <w:szCs w:val="21"/>
        </w:rPr>
        <w:t xml:space="preserve">The </w:t>
      </w:r>
      <w:hyperlink r:id="rId9" w:history="1">
        <w:r w:rsidRPr="00585C1F">
          <w:rPr>
            <w:rStyle w:val="Hyperlink"/>
            <w:rFonts w:cstheme="minorHAnsi"/>
            <w:szCs w:val="21"/>
          </w:rPr>
          <w:t>Ministerial Directions for Public Construction</w:t>
        </w:r>
      </w:hyperlink>
      <w:r w:rsidRPr="00A64298">
        <w:rPr>
          <w:rFonts w:cstheme="minorHAnsi"/>
          <w:color w:val="000000"/>
          <w:szCs w:val="21"/>
        </w:rPr>
        <w:t xml:space="preserve"> are effective from 1 July 2018, subject to the transition provisions described in this Fact sheet.</w:t>
      </w:r>
    </w:p>
    <w:p w:rsidR="00A83BDA" w:rsidRDefault="00B65138" w:rsidP="00A83BDA">
      <w:pPr>
        <w:pStyle w:val="Heading2"/>
        <w:tabs>
          <w:tab w:val="left" w:pos="5952"/>
        </w:tabs>
        <w:rPr>
          <w:lang w:eastAsia="en-US"/>
        </w:rPr>
      </w:pPr>
      <w:r>
        <w:rPr>
          <w:lang w:eastAsia="en-US"/>
        </w:rPr>
        <w:t>Transition provisions</w:t>
      </w:r>
    </w:p>
    <w:p w:rsidR="00604063" w:rsidRPr="00A64298" w:rsidRDefault="00B65138" w:rsidP="00604063">
      <w:pPr>
        <w:autoSpaceDE w:val="0"/>
        <w:autoSpaceDN w:val="0"/>
        <w:adjustRightInd w:val="0"/>
        <w:rPr>
          <w:rFonts w:cstheme="minorHAnsi"/>
          <w:color w:val="000000"/>
          <w:szCs w:val="21"/>
        </w:rPr>
      </w:pPr>
      <w:r w:rsidRPr="00A64298">
        <w:rPr>
          <w:rFonts w:cstheme="minorHAnsi"/>
          <w:color w:val="000000"/>
          <w:szCs w:val="21"/>
        </w:rPr>
        <w:t xml:space="preserve">Transition provisions apply to </w:t>
      </w:r>
      <w:r w:rsidRPr="008C4032">
        <w:rPr>
          <w:rFonts w:cstheme="minorHAnsi"/>
          <w:szCs w:val="21"/>
        </w:rPr>
        <w:t xml:space="preserve">certain </w:t>
      </w:r>
      <w:r w:rsidRPr="00A64298">
        <w:rPr>
          <w:rFonts w:cstheme="minorHAnsi"/>
          <w:color w:val="000000"/>
          <w:szCs w:val="21"/>
        </w:rPr>
        <w:t>Ministerial Directions for Public Construction</w:t>
      </w:r>
      <w:r w:rsidR="0077407D" w:rsidRPr="0077407D">
        <w:rPr>
          <w:lang w:eastAsia="en-US"/>
        </w:rPr>
        <w:t xml:space="preserve"> </w:t>
      </w:r>
      <w:r w:rsidR="0077407D">
        <w:rPr>
          <w:lang w:eastAsia="en-US"/>
        </w:rPr>
        <w:t>Procurement</w:t>
      </w:r>
      <w:r w:rsidRPr="00A64298">
        <w:rPr>
          <w:rFonts w:cstheme="minorHAnsi"/>
          <w:color w:val="000000"/>
          <w:szCs w:val="21"/>
        </w:rPr>
        <w:t>:</w:t>
      </w:r>
    </w:p>
    <w:p w:rsidR="00B65138" w:rsidRPr="00A64298" w:rsidRDefault="00B65138" w:rsidP="000F531E">
      <w:pPr>
        <w:pStyle w:val="Bullet1"/>
        <w:rPr>
          <w:rFonts w:cstheme="minorHAnsi"/>
        </w:rPr>
      </w:pPr>
      <w:r w:rsidRPr="00A64298">
        <w:rPr>
          <w:rFonts w:cstheme="minorHAnsi"/>
        </w:rPr>
        <w:t>operation of Registers of prequalified suppliers (Direction</w:t>
      </w:r>
      <w:r w:rsidR="00A20087" w:rsidRPr="00A64298">
        <w:rPr>
          <w:rFonts w:cstheme="minorHAnsi"/>
        </w:rPr>
        <w:t xml:space="preserve"> / Instruction</w:t>
      </w:r>
      <w:r w:rsidRPr="00A64298">
        <w:rPr>
          <w:rFonts w:cstheme="minorHAnsi"/>
        </w:rPr>
        <w:t xml:space="preserve"> 6.1)</w:t>
      </w:r>
      <w:r w:rsidR="00E259C3">
        <w:rPr>
          <w:rFonts w:cstheme="minorHAnsi"/>
        </w:rPr>
        <w:t>,</w:t>
      </w:r>
    </w:p>
    <w:p w:rsidR="00B65138" w:rsidRPr="00A64298" w:rsidRDefault="00B65138" w:rsidP="00B65138">
      <w:pPr>
        <w:pStyle w:val="Bullet1"/>
        <w:rPr>
          <w:rFonts w:cstheme="minorHAnsi"/>
        </w:rPr>
      </w:pPr>
      <w:r w:rsidRPr="00A64298">
        <w:rPr>
          <w:rFonts w:cstheme="minorHAnsi"/>
        </w:rPr>
        <w:t xml:space="preserve">contracting requirements (Direction </w:t>
      </w:r>
      <w:r w:rsidR="00A20087" w:rsidRPr="00A64298">
        <w:rPr>
          <w:rFonts w:cstheme="minorHAnsi"/>
        </w:rPr>
        <w:t xml:space="preserve">/ Instruction </w:t>
      </w:r>
      <w:r w:rsidRPr="00A64298">
        <w:rPr>
          <w:rFonts w:cstheme="minorHAnsi"/>
        </w:rPr>
        <w:t>7.1)</w:t>
      </w:r>
      <w:r w:rsidR="00E259C3">
        <w:rPr>
          <w:rFonts w:cstheme="minorHAnsi"/>
        </w:rPr>
        <w:t>, and</w:t>
      </w:r>
    </w:p>
    <w:p w:rsidR="00A83BDA" w:rsidRDefault="00B65138" w:rsidP="000F531E">
      <w:pPr>
        <w:pStyle w:val="Bullet1"/>
        <w:rPr>
          <w:rFonts w:cstheme="minorHAnsi"/>
        </w:rPr>
      </w:pPr>
      <w:r w:rsidRPr="00A64298">
        <w:rPr>
          <w:rFonts w:cstheme="minorHAnsi"/>
        </w:rPr>
        <w:t xml:space="preserve">attestation (Direction </w:t>
      </w:r>
      <w:r w:rsidR="00A20087" w:rsidRPr="00A64298">
        <w:rPr>
          <w:rFonts w:cstheme="minorHAnsi"/>
        </w:rPr>
        <w:t xml:space="preserve">/Instruction </w:t>
      </w:r>
      <w:r w:rsidR="00E259C3">
        <w:rPr>
          <w:rFonts w:cstheme="minorHAnsi"/>
        </w:rPr>
        <w:t>10.1).</w:t>
      </w:r>
    </w:p>
    <w:p w:rsidR="00820981" w:rsidRDefault="00FD7B54" w:rsidP="00FB117E">
      <w:pPr>
        <w:pStyle w:val="Heading2"/>
        <w:keepNext w:val="0"/>
        <w:keepLines w:val="0"/>
        <w:tabs>
          <w:tab w:val="left" w:pos="5952"/>
        </w:tabs>
        <w:rPr>
          <w:lang w:eastAsia="en-US"/>
        </w:rPr>
      </w:pPr>
      <w:r>
        <w:rPr>
          <w:lang w:eastAsia="en-US"/>
        </w:rPr>
        <w:t xml:space="preserve">About this </w:t>
      </w:r>
      <w:r w:rsidR="00B65138">
        <w:rPr>
          <w:lang w:eastAsia="en-US"/>
        </w:rPr>
        <w:t>Fact sheet</w:t>
      </w:r>
    </w:p>
    <w:p w:rsidR="00B65138" w:rsidRDefault="00FD7B54" w:rsidP="000F531E">
      <w:pPr>
        <w:rPr>
          <w:rFonts w:eastAsia="MS Mincho"/>
        </w:rPr>
      </w:pPr>
      <w:r w:rsidRPr="00585C1F">
        <w:rPr>
          <w:rFonts w:eastAsia="MS Mincho"/>
        </w:rPr>
        <w:t xml:space="preserve">This </w:t>
      </w:r>
      <w:r w:rsidR="00B65138" w:rsidRPr="00585C1F">
        <w:rPr>
          <w:rFonts w:eastAsia="MS Mincho"/>
        </w:rPr>
        <w:t>Fact sheet</w:t>
      </w:r>
      <w:r w:rsidR="00830E88" w:rsidRPr="00585C1F">
        <w:rPr>
          <w:rFonts w:eastAsia="MS Mincho"/>
        </w:rPr>
        <w:t xml:space="preserve"> </w:t>
      </w:r>
      <w:r w:rsidRPr="00585C1F">
        <w:rPr>
          <w:rFonts w:eastAsia="MS Mincho"/>
        </w:rPr>
        <w:t xml:space="preserve">sets out </w:t>
      </w:r>
      <w:r w:rsidR="00B65138" w:rsidRPr="00585C1F">
        <w:rPr>
          <w:rFonts w:eastAsia="MS Mincho"/>
        </w:rPr>
        <w:t xml:space="preserve">the transition provisions applying to the </w:t>
      </w:r>
      <w:r w:rsidR="00C27246" w:rsidRPr="00585C1F">
        <w:rPr>
          <w:rFonts w:eastAsia="MS Mincho"/>
        </w:rPr>
        <w:t xml:space="preserve">Ministerial </w:t>
      </w:r>
      <w:r w:rsidR="00B65138" w:rsidRPr="00585C1F">
        <w:rPr>
          <w:rFonts w:eastAsia="MS Mincho"/>
        </w:rPr>
        <w:t>Directions</w:t>
      </w:r>
      <w:r w:rsidR="00A20087" w:rsidRPr="00585C1F">
        <w:rPr>
          <w:rFonts w:eastAsia="MS Mincho"/>
        </w:rPr>
        <w:t xml:space="preserve"> and Instructions. It sets out the substantive provision of the relevant Direction or Instruction and</w:t>
      </w:r>
      <w:r w:rsidR="00A20087">
        <w:rPr>
          <w:rFonts w:eastAsia="MS Mincho"/>
        </w:rPr>
        <w:t xml:space="preserve"> describes how the transition provisions modify their operation. The period within which the transition provisions apply is also described.</w:t>
      </w:r>
    </w:p>
    <w:p w:rsidR="00E259C3" w:rsidRPr="00E259C3" w:rsidRDefault="00E259C3" w:rsidP="00E259C3">
      <w:pPr>
        <w:rPr>
          <w:rFonts w:eastAsia="Times New Roman" w:cstheme="minorHAnsi"/>
        </w:rPr>
      </w:pPr>
      <w:r>
        <w:rPr>
          <w:rFonts w:eastAsia="MS Mincho"/>
        </w:rPr>
        <w:t xml:space="preserve">This fact sheet was updated on 4 October 2018 to record the extended date for submission of notices for the </w:t>
      </w:r>
      <w:r w:rsidRPr="00A64298">
        <w:rPr>
          <w:rFonts w:cstheme="minorHAnsi"/>
        </w:rPr>
        <w:t>operation of Registers of prequalified suppliers (Direction / Instruction 6.1)</w:t>
      </w:r>
      <w:r>
        <w:rPr>
          <w:rFonts w:cstheme="minorHAnsi"/>
        </w:rPr>
        <w:t xml:space="preserve">, and </w:t>
      </w:r>
      <w:r w:rsidRPr="00A64298">
        <w:rPr>
          <w:rFonts w:cstheme="minorHAnsi"/>
        </w:rPr>
        <w:t>contracting requirements (Direction / Instruction 7.1)</w:t>
      </w:r>
      <w:r>
        <w:rPr>
          <w:rFonts w:cstheme="minorHAnsi"/>
        </w:rPr>
        <w:t xml:space="preserve"> - the extended date is 31 December 2018.</w:t>
      </w:r>
    </w:p>
    <w:p w:rsidR="00D15537" w:rsidRDefault="005A19AF" w:rsidP="00D15537">
      <w:pPr>
        <w:pStyle w:val="Heading2"/>
        <w:tabs>
          <w:tab w:val="left" w:pos="5952"/>
        </w:tabs>
        <w:rPr>
          <w:lang w:eastAsia="en-US"/>
        </w:rPr>
      </w:pPr>
      <w:r>
        <w:rPr>
          <w:lang w:eastAsia="en-US"/>
        </w:rPr>
        <w:t>Help and support</w:t>
      </w:r>
    </w:p>
    <w:p w:rsidR="005A19AF" w:rsidRPr="00A64298" w:rsidRDefault="005A19AF" w:rsidP="005A19AF">
      <w:pPr>
        <w:autoSpaceDE w:val="0"/>
        <w:autoSpaceDN w:val="0"/>
        <w:adjustRightInd w:val="0"/>
        <w:rPr>
          <w:rFonts w:cstheme="minorHAnsi"/>
          <w:color w:val="000000"/>
          <w:szCs w:val="21"/>
        </w:rPr>
      </w:pPr>
      <w:r w:rsidRPr="00A64298">
        <w:rPr>
          <w:rFonts w:cstheme="minorHAnsi"/>
          <w:color w:val="000000"/>
          <w:szCs w:val="21"/>
        </w:rPr>
        <w:t>If you have any queries, please do not hesitate to contact the Construction Policy Team on 03 </w:t>
      </w:r>
      <w:r w:rsidR="00A967B2">
        <w:rPr>
          <w:rFonts w:cstheme="minorHAnsi"/>
          <w:color w:val="000000"/>
          <w:szCs w:val="21"/>
        </w:rPr>
        <w:t>7005 9533</w:t>
      </w:r>
      <w:r w:rsidRPr="00A64298">
        <w:rPr>
          <w:rFonts w:cstheme="minorHAnsi"/>
          <w:color w:val="000000"/>
          <w:szCs w:val="21"/>
        </w:rPr>
        <w:t xml:space="preserve"> or by email: </w:t>
      </w:r>
      <w:hyperlink r:id="rId10" w:history="1">
        <w:r w:rsidRPr="00A64298">
          <w:rPr>
            <w:rStyle w:val="Hyperlink"/>
            <w:rFonts w:cstheme="minorHAnsi"/>
            <w:szCs w:val="21"/>
          </w:rPr>
          <w:t>construction.procurement@dtf.vic.gov.au</w:t>
        </w:r>
      </w:hyperlink>
      <w:r w:rsidRPr="00A64298">
        <w:rPr>
          <w:rFonts w:cstheme="minorHAnsi"/>
          <w:color w:val="000000"/>
          <w:szCs w:val="21"/>
        </w:rPr>
        <w:t>.</w:t>
      </w:r>
    </w:p>
    <w:p w:rsidR="00B65138" w:rsidRPr="00A1781C" w:rsidRDefault="00B65138">
      <w:pPr>
        <w:spacing w:before="0" w:after="200"/>
        <w:rPr>
          <w:rFonts w:eastAsia="MS Mincho"/>
        </w:rPr>
      </w:pPr>
      <w:r w:rsidRPr="00A1781C">
        <w:rPr>
          <w:rFonts w:eastAsia="MS Mincho"/>
        </w:rPr>
        <w:br w:type="page"/>
      </w:r>
    </w:p>
    <w:p w:rsidR="00AB3063" w:rsidRDefault="00A20087" w:rsidP="00FA266B">
      <w:pPr>
        <w:pStyle w:val="Heading1"/>
        <w:spacing w:before="0" w:after="120"/>
        <w:rPr>
          <w:lang w:eastAsia="en-US"/>
        </w:rPr>
      </w:pPr>
      <w:r>
        <w:rPr>
          <w:lang w:eastAsia="en-US"/>
        </w:rPr>
        <w:lastRenderedPageBreak/>
        <w:t>Operation of Registers of prequalified suppliers</w:t>
      </w:r>
    </w:p>
    <w:p w:rsidR="003D2483" w:rsidRDefault="00A20087" w:rsidP="00FA266B">
      <w:pPr>
        <w:pStyle w:val="Heading2"/>
        <w:tabs>
          <w:tab w:val="left" w:pos="5952"/>
        </w:tabs>
        <w:spacing w:before="120" w:after="120"/>
        <w:rPr>
          <w:lang w:eastAsia="en-US"/>
        </w:rPr>
      </w:pPr>
      <w:r>
        <w:rPr>
          <w:lang w:eastAsia="en-US"/>
        </w:rPr>
        <w:t>Direction / Instruction 6.1</w:t>
      </w:r>
    </w:p>
    <w:p w:rsidR="001963D6" w:rsidRDefault="001963D6" w:rsidP="003D2483">
      <w:pPr>
        <w:rPr>
          <w:lang w:eastAsia="en-US"/>
        </w:rPr>
      </w:pPr>
      <w:r>
        <w:rPr>
          <w:lang w:eastAsia="en-US"/>
        </w:rPr>
        <w:t xml:space="preserve">A </w:t>
      </w:r>
      <w:r w:rsidR="0077407D">
        <w:rPr>
          <w:lang w:eastAsia="en-US"/>
        </w:rPr>
        <w:t>R</w:t>
      </w:r>
      <w:r>
        <w:rPr>
          <w:lang w:eastAsia="en-US"/>
        </w:rPr>
        <w:t>egister is a register of prequalified suppliers established in accordance with these Directions.</w:t>
      </w:r>
    </w:p>
    <w:p w:rsidR="003D2483" w:rsidRDefault="00A20087" w:rsidP="003D2483">
      <w:pPr>
        <w:rPr>
          <w:lang w:eastAsia="en-US"/>
        </w:rPr>
      </w:pPr>
      <w:r>
        <w:rPr>
          <w:lang w:eastAsia="en-US"/>
        </w:rPr>
        <w:t>Direction 6.1</w:t>
      </w:r>
      <w:r w:rsidR="003D2483">
        <w:rPr>
          <w:lang w:eastAsia="en-US"/>
        </w:rPr>
        <w:t xml:space="preserve"> </w:t>
      </w:r>
      <w:r>
        <w:rPr>
          <w:lang w:eastAsia="en-US"/>
        </w:rPr>
        <w:t xml:space="preserve">requires that Agencies may only establish, operate and use a </w:t>
      </w:r>
      <w:r w:rsidR="001963D6">
        <w:rPr>
          <w:lang w:eastAsia="en-US"/>
        </w:rPr>
        <w:t>R</w:t>
      </w:r>
      <w:r>
        <w:rPr>
          <w:lang w:eastAsia="en-US"/>
        </w:rPr>
        <w:t>egister</w:t>
      </w:r>
      <w:r w:rsidR="001963D6">
        <w:rPr>
          <w:lang w:eastAsia="en-US"/>
        </w:rPr>
        <w:t xml:space="preserve"> with the prior approval of the Secretary to the Department of Treasury and Finance and as set out in the Instructions.</w:t>
      </w:r>
    </w:p>
    <w:p w:rsidR="001963D6" w:rsidRDefault="001963D6" w:rsidP="003D2483">
      <w:pPr>
        <w:rPr>
          <w:lang w:eastAsia="en-US"/>
        </w:rPr>
      </w:pPr>
      <w:r>
        <w:rPr>
          <w:lang w:eastAsia="en-US"/>
        </w:rPr>
        <w:t>Instruction 6.1 sets out:</w:t>
      </w:r>
    </w:p>
    <w:p w:rsidR="001963D6" w:rsidRDefault="001963D6" w:rsidP="001963D6">
      <w:pPr>
        <w:pStyle w:val="ListParagraph"/>
        <w:numPr>
          <w:ilvl w:val="0"/>
          <w:numId w:val="46"/>
        </w:numPr>
        <w:rPr>
          <w:sz w:val="20"/>
        </w:rPr>
      </w:pPr>
      <w:r w:rsidRPr="001963D6">
        <w:rPr>
          <w:sz w:val="20"/>
        </w:rPr>
        <w:t>the grounds that the Secretary must consider when approving a Register</w:t>
      </w:r>
      <w:r>
        <w:rPr>
          <w:sz w:val="20"/>
        </w:rPr>
        <w:t>,</w:t>
      </w:r>
    </w:p>
    <w:p w:rsidR="001963D6" w:rsidRDefault="001963D6" w:rsidP="001963D6">
      <w:pPr>
        <w:pStyle w:val="ListParagraph"/>
        <w:numPr>
          <w:ilvl w:val="0"/>
          <w:numId w:val="46"/>
        </w:numPr>
        <w:rPr>
          <w:sz w:val="20"/>
        </w:rPr>
      </w:pPr>
      <w:r>
        <w:rPr>
          <w:sz w:val="20"/>
        </w:rPr>
        <w:t>that the Secretary will publish the names of current approved whole-of-government Registers and agency-specific Registers, and</w:t>
      </w:r>
    </w:p>
    <w:p w:rsidR="001963D6" w:rsidRPr="001963D6" w:rsidRDefault="001963D6" w:rsidP="001963D6">
      <w:pPr>
        <w:pStyle w:val="ListParagraph"/>
        <w:numPr>
          <w:ilvl w:val="0"/>
          <w:numId w:val="46"/>
        </w:numPr>
        <w:rPr>
          <w:sz w:val="20"/>
        </w:rPr>
      </w:pPr>
      <w:r>
        <w:rPr>
          <w:sz w:val="20"/>
        </w:rPr>
        <w:t>the requirements for establishing a Register</w:t>
      </w:r>
    </w:p>
    <w:p w:rsidR="001963D6" w:rsidRDefault="001963D6" w:rsidP="003D2483">
      <w:pPr>
        <w:rPr>
          <w:lang w:eastAsia="en-US"/>
        </w:rPr>
      </w:pPr>
      <w:r>
        <w:rPr>
          <w:lang w:eastAsia="en-US"/>
        </w:rPr>
        <w:t>Current approved whole-of-government Registers:</w:t>
      </w:r>
    </w:p>
    <w:p w:rsidR="001963D6" w:rsidRDefault="001963D6" w:rsidP="001963D6">
      <w:pPr>
        <w:ind w:left="426"/>
        <w:rPr>
          <w:lang w:eastAsia="en-US"/>
        </w:rPr>
      </w:pPr>
      <w:r>
        <w:rPr>
          <w:lang w:eastAsia="en-US"/>
        </w:rPr>
        <w:t>Construction Supplier Register (operated by the Department of Treasury and Finance)</w:t>
      </w:r>
    </w:p>
    <w:p w:rsidR="001963D6" w:rsidRDefault="001963D6" w:rsidP="001963D6">
      <w:pPr>
        <w:rPr>
          <w:lang w:eastAsia="en-US"/>
        </w:rPr>
      </w:pPr>
      <w:r>
        <w:rPr>
          <w:lang w:eastAsia="en-US"/>
        </w:rPr>
        <w:t>Current approved agency-specific Registers:</w:t>
      </w:r>
    </w:p>
    <w:p w:rsidR="001963D6" w:rsidRDefault="001963D6" w:rsidP="001963D6">
      <w:pPr>
        <w:ind w:left="426"/>
        <w:rPr>
          <w:lang w:eastAsia="en-US"/>
        </w:rPr>
      </w:pPr>
      <w:r>
        <w:rPr>
          <w:lang w:eastAsia="en-US"/>
        </w:rPr>
        <w:t xml:space="preserve">VicRoads </w:t>
      </w:r>
      <w:r w:rsidR="00CC68F1">
        <w:rPr>
          <w:lang w:eastAsia="en-US"/>
        </w:rPr>
        <w:t>P</w:t>
      </w:r>
      <w:r>
        <w:rPr>
          <w:lang w:eastAsia="en-US"/>
        </w:rPr>
        <w:t>re</w:t>
      </w:r>
      <w:r w:rsidR="00CC68F1">
        <w:rPr>
          <w:lang w:eastAsia="en-US"/>
        </w:rPr>
        <w:t>q</w:t>
      </w:r>
      <w:r>
        <w:rPr>
          <w:lang w:eastAsia="en-US"/>
        </w:rPr>
        <w:t xml:space="preserve">ualification </w:t>
      </w:r>
      <w:r w:rsidR="00CC68F1">
        <w:rPr>
          <w:lang w:eastAsia="en-US"/>
        </w:rPr>
        <w:t>and Registration Scheme</w:t>
      </w:r>
    </w:p>
    <w:p w:rsidR="00CC68F1" w:rsidRPr="007F51B1" w:rsidRDefault="00CC68F1" w:rsidP="001963D6">
      <w:pPr>
        <w:ind w:left="426"/>
        <w:rPr>
          <w:lang w:eastAsia="en-US"/>
        </w:rPr>
      </w:pPr>
      <w:r w:rsidRPr="007F51B1">
        <w:rPr>
          <w:lang w:eastAsia="en-US"/>
        </w:rPr>
        <w:t>Places Victoria Register of Prequalified Contractors</w:t>
      </w:r>
    </w:p>
    <w:p w:rsidR="00721EBE" w:rsidRPr="00FA266B" w:rsidRDefault="00CC68F1" w:rsidP="00253F6F">
      <w:pPr>
        <w:pStyle w:val="Heading2"/>
        <w:tabs>
          <w:tab w:val="left" w:pos="5952"/>
        </w:tabs>
        <w:spacing w:before="240" w:after="0"/>
        <w:rPr>
          <w:lang w:eastAsia="en-US"/>
        </w:rPr>
      </w:pPr>
      <w:r>
        <w:rPr>
          <w:lang w:eastAsia="en-US"/>
        </w:rPr>
        <w:t>Transition provisions</w:t>
      </w:r>
    </w:p>
    <w:p w:rsidR="002303D0" w:rsidRPr="007424BE" w:rsidRDefault="002303D0" w:rsidP="002303D0">
      <w:pPr>
        <w:pStyle w:val="Heading3"/>
        <w:rPr>
          <w:rFonts w:eastAsia="MS Mincho"/>
        </w:rPr>
      </w:pPr>
      <w:r>
        <w:rPr>
          <w:rFonts w:eastAsia="MS Mincho"/>
        </w:rPr>
        <w:t>Rationale</w:t>
      </w:r>
    </w:p>
    <w:p w:rsidR="00D2777D" w:rsidRPr="00585C1F" w:rsidRDefault="00585C1F" w:rsidP="003D2483">
      <w:pPr>
        <w:rPr>
          <w:rFonts w:eastAsia="MS Mincho"/>
        </w:rPr>
      </w:pPr>
      <w:r>
        <w:rPr>
          <w:rFonts w:eastAsia="MS Mincho"/>
        </w:rPr>
        <w:t>T</w:t>
      </w:r>
      <w:r w:rsidR="002303D0" w:rsidRPr="00585C1F">
        <w:rPr>
          <w:rFonts w:eastAsia="MS Mincho"/>
        </w:rPr>
        <w:t>o provide time for the Agency to make any adjustments to the Register</w:t>
      </w:r>
      <w:r>
        <w:rPr>
          <w:rFonts w:eastAsia="MS Mincho"/>
        </w:rPr>
        <w:t>, that has not been approved by the Secretary of the Department of Treasury and Finance,</w:t>
      </w:r>
      <w:r w:rsidR="002303D0" w:rsidRPr="00585C1F">
        <w:rPr>
          <w:rFonts w:eastAsia="MS Mincho"/>
        </w:rPr>
        <w:t xml:space="preserve"> so that its establishment and operation meet the requirements of Instruction 6.1</w:t>
      </w:r>
      <w:r w:rsidR="00E73D0B" w:rsidRPr="00585C1F">
        <w:rPr>
          <w:rFonts w:eastAsia="MS Mincho"/>
        </w:rPr>
        <w:t xml:space="preserve"> and</w:t>
      </w:r>
      <w:r w:rsidR="0077407D" w:rsidRPr="00585C1F">
        <w:rPr>
          <w:rFonts w:eastAsia="MS Mincho"/>
        </w:rPr>
        <w:t xml:space="preserve"> to</w:t>
      </w:r>
      <w:r w:rsidR="00E73D0B" w:rsidRPr="00585C1F">
        <w:rPr>
          <w:rFonts w:eastAsia="MS Mincho"/>
        </w:rPr>
        <w:t xml:space="preserve"> seek the required approval</w:t>
      </w:r>
      <w:r w:rsidR="002303D0" w:rsidRPr="00585C1F">
        <w:rPr>
          <w:rFonts w:eastAsia="MS Mincho"/>
        </w:rPr>
        <w:t>.</w:t>
      </w:r>
    </w:p>
    <w:p w:rsidR="00721EBE" w:rsidRPr="007424BE" w:rsidRDefault="002303D0" w:rsidP="00FA266B">
      <w:pPr>
        <w:pStyle w:val="Heading3"/>
        <w:rPr>
          <w:rFonts w:eastAsia="MS Mincho"/>
        </w:rPr>
      </w:pPr>
      <w:r>
        <w:rPr>
          <w:rFonts w:eastAsia="MS Mincho"/>
        </w:rPr>
        <w:t>Transition provisions</w:t>
      </w:r>
    </w:p>
    <w:p w:rsidR="003D2483" w:rsidRDefault="00AD1192" w:rsidP="003D2483">
      <w:pPr>
        <w:rPr>
          <w:rFonts w:ascii="Helv" w:hAnsi="Helv" w:cs="Helv"/>
          <w:color w:val="000000"/>
          <w:szCs w:val="21"/>
        </w:rPr>
      </w:pPr>
      <w:r>
        <w:rPr>
          <w:rFonts w:eastAsia="MS Mincho"/>
        </w:rPr>
        <w:t xml:space="preserve">An </w:t>
      </w:r>
      <w:r w:rsidR="002303D0">
        <w:rPr>
          <w:rFonts w:eastAsia="MS Mincho"/>
        </w:rPr>
        <w:t xml:space="preserve">Agency </w:t>
      </w:r>
      <w:r>
        <w:rPr>
          <w:rFonts w:eastAsia="MS Mincho"/>
        </w:rPr>
        <w:t xml:space="preserve">that wishes to use a register that has not been approved by the Secretary of the Department of Treasury and Finance </w:t>
      </w:r>
      <w:r w:rsidR="002303D0">
        <w:rPr>
          <w:rFonts w:eastAsia="MS Mincho"/>
        </w:rPr>
        <w:t xml:space="preserve">must notify the Department of Treasury and Finance by email </w:t>
      </w:r>
      <w:hyperlink r:id="rId11" w:history="1">
        <w:r w:rsidR="002303D0" w:rsidRPr="00A60B1C">
          <w:rPr>
            <w:rStyle w:val="Hyperlink"/>
            <w:rFonts w:ascii="Helv" w:hAnsi="Helv" w:cs="Helv"/>
            <w:szCs w:val="21"/>
          </w:rPr>
          <w:t>construction.procurement@dtf.vic.gov.au</w:t>
        </w:r>
      </w:hyperlink>
      <w:r w:rsidR="002303D0">
        <w:rPr>
          <w:rFonts w:ascii="Helv" w:hAnsi="Helv" w:cs="Helv"/>
          <w:color w:val="000000"/>
          <w:szCs w:val="21"/>
        </w:rPr>
        <w:t xml:space="preserve"> of the existence of the Register by</w:t>
      </w:r>
      <w:r w:rsidR="00EA0930">
        <w:rPr>
          <w:rFonts w:ascii="Helv" w:hAnsi="Helv" w:cs="Helv"/>
          <w:color w:val="000000"/>
          <w:szCs w:val="21"/>
        </w:rPr>
        <w:t xml:space="preserve"> </w:t>
      </w:r>
      <w:r w:rsidR="00E259C3" w:rsidRPr="00E259C3">
        <w:rPr>
          <w:rFonts w:ascii="Helv" w:hAnsi="Helv" w:cs="Helv"/>
          <w:b/>
          <w:color w:val="000000"/>
          <w:szCs w:val="21"/>
        </w:rPr>
        <w:t xml:space="preserve">31 December </w:t>
      </w:r>
      <w:r w:rsidR="00EA0930" w:rsidRPr="00E259C3">
        <w:rPr>
          <w:rFonts w:ascii="Helv" w:hAnsi="Helv" w:cs="Helv"/>
          <w:b/>
          <w:color w:val="000000"/>
          <w:szCs w:val="21"/>
        </w:rPr>
        <w:t>2018</w:t>
      </w:r>
      <w:r w:rsidR="00EA0930">
        <w:rPr>
          <w:rFonts w:ascii="Helv" w:hAnsi="Helv" w:cs="Helv"/>
          <w:color w:val="000000"/>
          <w:szCs w:val="21"/>
        </w:rPr>
        <w:t>.</w:t>
      </w:r>
    </w:p>
    <w:p w:rsidR="002303D0" w:rsidRDefault="002303D0" w:rsidP="003D2483">
      <w:pPr>
        <w:rPr>
          <w:rFonts w:eastAsia="MS Mincho"/>
        </w:rPr>
      </w:pPr>
      <w:r>
        <w:rPr>
          <w:rFonts w:eastAsia="MS Mincho"/>
        </w:rPr>
        <w:t>Registers will be reviewed to confirm that they are Registers and not some other arrangement</w:t>
      </w:r>
      <w:r w:rsidR="007F7FD7">
        <w:rPr>
          <w:rFonts w:eastAsia="MS Mincho"/>
        </w:rPr>
        <w:t xml:space="preserve"> (</w:t>
      </w:r>
      <w:r>
        <w:rPr>
          <w:rFonts w:eastAsia="MS Mincho"/>
        </w:rPr>
        <w:t xml:space="preserve">such as a panel or standing offer arrangement, which </w:t>
      </w:r>
      <w:r w:rsidR="007F7FD7">
        <w:rPr>
          <w:rFonts w:eastAsia="MS Mincho"/>
        </w:rPr>
        <w:t>are</w:t>
      </w:r>
      <w:r w:rsidR="00E73D0B">
        <w:rPr>
          <w:rFonts w:eastAsia="MS Mincho"/>
        </w:rPr>
        <w:t xml:space="preserve"> not subject to the </w:t>
      </w:r>
      <w:r w:rsidR="00A64298">
        <w:rPr>
          <w:rFonts w:eastAsia="MS Mincho"/>
        </w:rPr>
        <w:t>Secretary’s approval</w:t>
      </w:r>
      <w:r w:rsidR="007F7FD7">
        <w:rPr>
          <w:rFonts w:eastAsia="MS Mincho"/>
        </w:rPr>
        <w:t>)</w:t>
      </w:r>
      <w:r>
        <w:rPr>
          <w:rFonts w:eastAsia="MS Mincho"/>
        </w:rPr>
        <w:t>.</w:t>
      </w:r>
    </w:p>
    <w:p w:rsidR="007F7FD7" w:rsidRDefault="002303D0" w:rsidP="003D2483">
      <w:pPr>
        <w:rPr>
          <w:rFonts w:eastAsia="MS Mincho"/>
        </w:rPr>
      </w:pPr>
      <w:r>
        <w:rPr>
          <w:rFonts w:eastAsia="MS Mincho"/>
        </w:rPr>
        <w:t xml:space="preserve">Registers notified </w:t>
      </w:r>
      <w:r w:rsidR="007F7FD7">
        <w:rPr>
          <w:rFonts w:eastAsia="MS Mincho"/>
        </w:rPr>
        <w:t xml:space="preserve">by </w:t>
      </w:r>
      <w:r w:rsidR="00E259C3" w:rsidRPr="00E259C3">
        <w:rPr>
          <w:rFonts w:eastAsia="MS Mincho"/>
          <w:b/>
        </w:rPr>
        <w:t xml:space="preserve">31 December </w:t>
      </w:r>
      <w:r w:rsidR="007F7FD7" w:rsidRPr="00E259C3">
        <w:rPr>
          <w:rFonts w:eastAsia="MS Mincho"/>
          <w:b/>
        </w:rPr>
        <w:t>2018</w:t>
      </w:r>
      <w:r w:rsidR="007F7FD7">
        <w:rPr>
          <w:rFonts w:eastAsia="MS Mincho"/>
        </w:rPr>
        <w:t xml:space="preserve"> that are </w:t>
      </w:r>
      <w:r w:rsidR="00E73D0B">
        <w:rPr>
          <w:rFonts w:eastAsia="MS Mincho"/>
        </w:rPr>
        <w:t>confirmed to be R</w:t>
      </w:r>
      <w:r>
        <w:rPr>
          <w:rFonts w:eastAsia="MS Mincho"/>
        </w:rPr>
        <w:t xml:space="preserve">egisters will be allowed </w:t>
      </w:r>
      <w:r w:rsidR="00B10BD2">
        <w:rPr>
          <w:rFonts w:eastAsia="MS Mincho"/>
        </w:rPr>
        <w:t xml:space="preserve">to </w:t>
      </w:r>
      <w:r w:rsidR="00E73D0B">
        <w:rPr>
          <w:rFonts w:eastAsia="MS Mincho"/>
        </w:rPr>
        <w:t>operate</w:t>
      </w:r>
      <w:r>
        <w:rPr>
          <w:rFonts w:eastAsia="MS Mincho"/>
        </w:rPr>
        <w:t xml:space="preserve"> </w:t>
      </w:r>
      <w:r w:rsidR="00EA0930">
        <w:rPr>
          <w:rFonts w:eastAsia="MS Mincho"/>
        </w:rPr>
        <w:t>on a tempo</w:t>
      </w:r>
      <w:r w:rsidR="007F7FD7">
        <w:rPr>
          <w:rFonts w:eastAsia="MS Mincho"/>
        </w:rPr>
        <w:t xml:space="preserve">rary basis until 30 June 2019. During this transition year the Department of Treasury and Finance will review the Register for compliance with Instruction 6.1. The Department will liaise with the Agency to raise any queries or request further information. </w:t>
      </w:r>
    </w:p>
    <w:p w:rsidR="00EA0930" w:rsidRDefault="007F7FD7" w:rsidP="003D2483">
      <w:pPr>
        <w:rPr>
          <w:rFonts w:eastAsia="MS Mincho"/>
        </w:rPr>
      </w:pPr>
      <w:r>
        <w:rPr>
          <w:rFonts w:eastAsia="MS Mincho"/>
        </w:rPr>
        <w:t>The Secretary to the Department of Treasury and Finance may decide to approve the Register on an ongoing basis under Instruction 6.1. Alternatively, the Department may advise the Agency that further action is needed to bring the Register into compliance for ongoing approval to be granted.</w:t>
      </w:r>
    </w:p>
    <w:p w:rsidR="00E73D0B" w:rsidRDefault="00E73D0B">
      <w:pPr>
        <w:spacing w:before="0" w:after="200"/>
        <w:rPr>
          <w:rFonts w:eastAsia="MS Mincho"/>
        </w:rPr>
      </w:pPr>
      <w:r>
        <w:rPr>
          <w:rFonts w:eastAsia="MS Mincho"/>
        </w:rPr>
        <w:br w:type="page"/>
      </w:r>
    </w:p>
    <w:p w:rsidR="00E73D0B" w:rsidRDefault="00E73D0B" w:rsidP="00E73D0B">
      <w:pPr>
        <w:pStyle w:val="Heading1"/>
        <w:spacing w:before="0" w:after="120"/>
        <w:rPr>
          <w:lang w:eastAsia="en-US"/>
        </w:rPr>
      </w:pPr>
      <w:r>
        <w:rPr>
          <w:lang w:eastAsia="en-US"/>
        </w:rPr>
        <w:lastRenderedPageBreak/>
        <w:t>Contracting requirements</w:t>
      </w:r>
    </w:p>
    <w:p w:rsidR="00E73D0B" w:rsidRDefault="00E73D0B" w:rsidP="00E73D0B">
      <w:pPr>
        <w:pStyle w:val="Heading2"/>
        <w:tabs>
          <w:tab w:val="left" w:pos="5952"/>
        </w:tabs>
        <w:spacing w:before="120" w:after="120"/>
        <w:rPr>
          <w:lang w:eastAsia="en-US"/>
        </w:rPr>
      </w:pPr>
      <w:r>
        <w:rPr>
          <w:lang w:eastAsia="en-US"/>
        </w:rPr>
        <w:t>Direction / Instruction 7.1</w:t>
      </w:r>
    </w:p>
    <w:p w:rsidR="00E73D0B" w:rsidRDefault="00E73D0B" w:rsidP="00E73D0B">
      <w:pPr>
        <w:rPr>
          <w:lang w:eastAsia="en-US"/>
        </w:rPr>
      </w:pPr>
      <w:r>
        <w:rPr>
          <w:lang w:eastAsia="en-US"/>
        </w:rPr>
        <w:t xml:space="preserve">Direction 7.1 requires that Agencies use approved forms of contract </w:t>
      </w:r>
      <w:r w:rsidR="00EF5A29">
        <w:rPr>
          <w:lang w:eastAsia="en-US"/>
        </w:rPr>
        <w:t>for their procurements</w:t>
      </w:r>
      <w:r>
        <w:rPr>
          <w:lang w:eastAsia="en-US"/>
        </w:rPr>
        <w:t>.</w:t>
      </w:r>
      <w:r w:rsidR="00BD67BF">
        <w:rPr>
          <w:lang w:eastAsia="en-US"/>
        </w:rPr>
        <w:t xml:space="preserve"> The approved contracts (</w:t>
      </w:r>
      <w:r w:rsidR="00EF5A29">
        <w:rPr>
          <w:lang w:eastAsia="en-US"/>
        </w:rPr>
        <w:t xml:space="preserve">called </w:t>
      </w:r>
      <w:r w:rsidR="00BD67BF">
        <w:rPr>
          <w:lang w:eastAsia="en-US"/>
        </w:rPr>
        <w:t xml:space="preserve">Victorian Public Construction Contracts) are listed at </w:t>
      </w:r>
      <w:hyperlink r:id="rId12" w:history="1">
        <w:r w:rsidR="00585C1F" w:rsidRPr="00585C1F">
          <w:rPr>
            <w:rStyle w:val="Hyperlink"/>
            <w:lang w:eastAsia="en-US"/>
          </w:rPr>
          <w:t>Practitioners Toolkit – Standards Form Contracts</w:t>
        </w:r>
      </w:hyperlink>
      <w:r w:rsidR="00BD67BF">
        <w:rPr>
          <w:lang w:eastAsia="en-US"/>
        </w:rPr>
        <w:t>.</w:t>
      </w:r>
    </w:p>
    <w:p w:rsidR="00E73D0B" w:rsidRDefault="00E73D0B" w:rsidP="00E73D0B">
      <w:pPr>
        <w:rPr>
          <w:lang w:eastAsia="en-US"/>
        </w:rPr>
      </w:pPr>
      <w:r>
        <w:rPr>
          <w:lang w:eastAsia="en-US"/>
        </w:rPr>
        <w:t xml:space="preserve">Instruction </w:t>
      </w:r>
      <w:r w:rsidR="00570DC1">
        <w:rPr>
          <w:lang w:eastAsia="en-US"/>
        </w:rPr>
        <w:t>7</w:t>
      </w:r>
      <w:r>
        <w:rPr>
          <w:lang w:eastAsia="en-US"/>
        </w:rPr>
        <w:t xml:space="preserve">.1 sets out provisions to be followed when </w:t>
      </w:r>
      <w:r w:rsidR="004F43E1" w:rsidRPr="00585C1F">
        <w:rPr>
          <w:lang w:eastAsia="en-US"/>
        </w:rPr>
        <w:t xml:space="preserve">special </w:t>
      </w:r>
      <w:r w:rsidR="00585C1F" w:rsidRPr="00585C1F">
        <w:rPr>
          <w:lang w:eastAsia="en-US"/>
        </w:rPr>
        <w:t>circumstances</w:t>
      </w:r>
      <w:r w:rsidR="004F43E1" w:rsidRPr="00585C1F">
        <w:rPr>
          <w:lang w:eastAsia="en-US"/>
        </w:rPr>
        <w:t xml:space="preserve"> of a project </w:t>
      </w:r>
      <w:r w:rsidR="00585C1F" w:rsidRPr="00585C1F">
        <w:rPr>
          <w:lang w:eastAsia="en-US"/>
        </w:rPr>
        <w:t xml:space="preserve">require </w:t>
      </w:r>
      <w:r w:rsidR="004F43E1">
        <w:rPr>
          <w:lang w:eastAsia="en-US"/>
        </w:rPr>
        <w:t xml:space="preserve">that the </w:t>
      </w:r>
      <w:r>
        <w:rPr>
          <w:lang w:eastAsia="en-US"/>
        </w:rPr>
        <w:t xml:space="preserve">approved forms of contract </w:t>
      </w:r>
      <w:r w:rsidR="004F43E1">
        <w:rPr>
          <w:lang w:eastAsia="en-US"/>
        </w:rPr>
        <w:t>are not suitable for use.</w:t>
      </w:r>
      <w:r w:rsidR="00BD67BF">
        <w:rPr>
          <w:lang w:eastAsia="en-US"/>
        </w:rPr>
        <w:t xml:space="preserve"> The transitional provisions outlined below are separate from </w:t>
      </w:r>
      <w:r w:rsidR="00EF5A29">
        <w:rPr>
          <w:lang w:eastAsia="en-US"/>
        </w:rPr>
        <w:t xml:space="preserve">the general </w:t>
      </w:r>
      <w:r w:rsidR="00BD67BF">
        <w:rPr>
          <w:lang w:eastAsia="en-US"/>
        </w:rPr>
        <w:t>provisions dealing with special conditions.</w:t>
      </w:r>
    </w:p>
    <w:p w:rsidR="00BD67BF" w:rsidRPr="007424BE" w:rsidRDefault="00886295" w:rsidP="00BD67BF">
      <w:pPr>
        <w:pStyle w:val="Heading3"/>
        <w:rPr>
          <w:rFonts w:eastAsia="MS Mincho"/>
        </w:rPr>
      </w:pPr>
      <w:r>
        <w:rPr>
          <w:rFonts w:eastAsia="MS Mincho"/>
        </w:rPr>
        <w:t>Benefits of using standard</w:t>
      </w:r>
      <w:r w:rsidR="00BD67BF">
        <w:rPr>
          <w:rFonts w:eastAsia="MS Mincho"/>
        </w:rPr>
        <w:t xml:space="preserve"> contracts</w:t>
      </w:r>
    </w:p>
    <w:p w:rsidR="00886295" w:rsidRDefault="00886295" w:rsidP="00BD67BF">
      <w:pPr>
        <w:rPr>
          <w:rFonts w:eastAsia="MS Mincho"/>
        </w:rPr>
      </w:pPr>
      <w:r>
        <w:rPr>
          <w:rFonts w:eastAsia="MS Mincho"/>
        </w:rPr>
        <w:t>Using standard form contracts in the construction industry is an important way to reduce the burden of tendering.</w:t>
      </w:r>
    </w:p>
    <w:p w:rsidR="00BD67BF" w:rsidRDefault="00886295" w:rsidP="00BD67BF">
      <w:pPr>
        <w:rPr>
          <w:rFonts w:eastAsia="MS Mincho"/>
        </w:rPr>
      </w:pPr>
      <w:r>
        <w:rPr>
          <w:rFonts w:eastAsia="MS Mincho"/>
        </w:rPr>
        <w:t xml:space="preserve">Industry (and contract managers) prefer standard forms of contract because they are more likely to be familiar with the obligations that apply to both parties. This approach is more efficient </w:t>
      </w:r>
      <w:r w:rsidR="000A3514">
        <w:rPr>
          <w:rFonts w:eastAsia="MS Mincho"/>
        </w:rPr>
        <w:t>and reduces</w:t>
      </w:r>
      <w:r>
        <w:rPr>
          <w:rFonts w:eastAsia="MS Mincho"/>
        </w:rPr>
        <w:t xml:space="preserve"> the need for legal reviews. It is also likely to reduce the number of disputes </w:t>
      </w:r>
      <w:r w:rsidR="000A3514">
        <w:rPr>
          <w:rFonts w:eastAsia="MS Mincho"/>
        </w:rPr>
        <w:t>arising in relation to unique contract terms</w:t>
      </w:r>
      <w:r>
        <w:rPr>
          <w:rFonts w:eastAsia="MS Mincho"/>
        </w:rPr>
        <w:t>.</w:t>
      </w:r>
    </w:p>
    <w:p w:rsidR="00BD67BF" w:rsidRDefault="00BD67BF" w:rsidP="00873332">
      <w:pPr>
        <w:pStyle w:val="Heading3"/>
        <w:rPr>
          <w:lang w:eastAsia="en-US"/>
        </w:rPr>
      </w:pPr>
      <w:r>
        <w:rPr>
          <w:lang w:eastAsia="en-US"/>
        </w:rPr>
        <w:t>Overview of Victorian Public Construction Contracts</w:t>
      </w:r>
    </w:p>
    <w:p w:rsidR="00BD67BF" w:rsidRDefault="00BD67BF" w:rsidP="00BD67BF">
      <w:pPr>
        <w:rPr>
          <w:lang w:eastAsia="en-US"/>
        </w:rPr>
      </w:pPr>
      <w:r>
        <w:rPr>
          <w:rFonts w:eastAsia="MS Mincho"/>
        </w:rPr>
        <w:t xml:space="preserve">The suite of </w:t>
      </w:r>
      <w:r>
        <w:rPr>
          <w:lang w:eastAsia="en-US"/>
        </w:rPr>
        <w:t xml:space="preserve">Victorian Public Construction Contracts currently provides standard contracts for the most frequently used procurement methods. Additional forms of contract addressing other procurement methods may be added over time. </w:t>
      </w:r>
    </w:p>
    <w:p w:rsidR="00BD67BF" w:rsidRDefault="00BD67BF" w:rsidP="00BD67BF">
      <w:pPr>
        <w:rPr>
          <w:rFonts w:eastAsia="MS Mincho"/>
        </w:rPr>
      </w:pPr>
      <w:r>
        <w:rPr>
          <w:lang w:eastAsia="en-US"/>
        </w:rPr>
        <w:t>The most commonly used contracts have been recently updated and are supported by a suite of practice notes</w:t>
      </w:r>
      <w:r w:rsidR="00B07631">
        <w:rPr>
          <w:lang w:eastAsia="en-US"/>
        </w:rPr>
        <w:t xml:space="preserve"> and a clause bank to address commonly</w:t>
      </w:r>
      <w:r>
        <w:rPr>
          <w:lang w:eastAsia="en-US"/>
        </w:rPr>
        <w:t xml:space="preserve"> faced issues.</w:t>
      </w:r>
    </w:p>
    <w:p w:rsidR="00BD67BF" w:rsidRDefault="00585C1F" w:rsidP="00BD67BF">
      <w:pPr>
        <w:rPr>
          <w:rFonts w:eastAsia="MS Mincho"/>
        </w:rPr>
      </w:pPr>
      <w:r>
        <w:rPr>
          <w:rFonts w:eastAsia="MS Mincho"/>
        </w:rPr>
        <w:t>C</w:t>
      </w:r>
      <w:r w:rsidR="00BD67BF">
        <w:rPr>
          <w:rFonts w:eastAsia="MS Mincho"/>
        </w:rPr>
        <w:t xml:space="preserve">ontracts </w:t>
      </w:r>
      <w:r>
        <w:rPr>
          <w:rFonts w:eastAsia="MS Mincho"/>
        </w:rPr>
        <w:t xml:space="preserve">for ongoing use </w:t>
      </w:r>
      <w:r w:rsidR="00BD67BF">
        <w:rPr>
          <w:rFonts w:eastAsia="MS Mincho"/>
        </w:rPr>
        <w:t xml:space="preserve">that have recently </w:t>
      </w:r>
      <w:r w:rsidR="0077407D">
        <w:rPr>
          <w:rFonts w:eastAsia="MS Mincho"/>
        </w:rPr>
        <w:t xml:space="preserve">been </w:t>
      </w:r>
      <w:r w:rsidR="00BD67BF">
        <w:rPr>
          <w:rFonts w:eastAsia="MS Mincho"/>
        </w:rPr>
        <w:t>approved by the Department</w:t>
      </w:r>
      <w:r w:rsidR="0077407D">
        <w:rPr>
          <w:rFonts w:eastAsia="MS Mincho"/>
        </w:rPr>
        <w:t xml:space="preserve"> of Treasury and Finance</w:t>
      </w:r>
      <w:r w:rsidR="00BD67BF">
        <w:rPr>
          <w:rFonts w:eastAsia="MS Mincho"/>
        </w:rPr>
        <w:t xml:space="preserve"> under the former Ministerial Direction No 2 Contracting Provisions for Public Construction have been added to the suite of Victorian Public Construction Contracts. The Department will continue to work with the Agencies that drafted these contracts to ensure that they remain current and relevant.</w:t>
      </w:r>
    </w:p>
    <w:p w:rsidR="00E73D0B" w:rsidRPr="00FA266B" w:rsidRDefault="00E73D0B" w:rsidP="00253F6F">
      <w:pPr>
        <w:pStyle w:val="Heading2"/>
        <w:tabs>
          <w:tab w:val="left" w:pos="5952"/>
        </w:tabs>
        <w:spacing w:before="240" w:after="0"/>
        <w:rPr>
          <w:lang w:eastAsia="en-US"/>
        </w:rPr>
      </w:pPr>
      <w:r>
        <w:rPr>
          <w:lang w:eastAsia="en-US"/>
        </w:rPr>
        <w:t>Transition provisions</w:t>
      </w:r>
    </w:p>
    <w:p w:rsidR="004332AF" w:rsidRDefault="006A0358" w:rsidP="00E73D0B">
      <w:pPr>
        <w:rPr>
          <w:rFonts w:eastAsia="MS Mincho"/>
        </w:rPr>
      </w:pPr>
      <w:r>
        <w:rPr>
          <w:rFonts w:eastAsia="MS Mincho"/>
        </w:rPr>
        <w:t>Agenc</w:t>
      </w:r>
      <w:r w:rsidR="004332AF">
        <w:rPr>
          <w:rFonts w:eastAsia="MS Mincho"/>
        </w:rPr>
        <w:t>ies</w:t>
      </w:r>
      <w:r>
        <w:rPr>
          <w:rFonts w:eastAsia="MS Mincho"/>
        </w:rPr>
        <w:t xml:space="preserve"> </w:t>
      </w:r>
      <w:r w:rsidR="004332AF">
        <w:rPr>
          <w:rFonts w:eastAsia="MS Mincho"/>
        </w:rPr>
        <w:t>that have</w:t>
      </w:r>
      <w:r w:rsidR="00547F2B">
        <w:rPr>
          <w:rFonts w:eastAsia="MS Mincho"/>
        </w:rPr>
        <w:t xml:space="preserve"> developed precedent contracts that have not been approved</w:t>
      </w:r>
      <w:r w:rsidR="004332AF">
        <w:rPr>
          <w:rFonts w:eastAsia="MS Mincho"/>
        </w:rPr>
        <w:t xml:space="preserve"> by the Department o</w:t>
      </w:r>
      <w:r w:rsidR="004F3469">
        <w:rPr>
          <w:rFonts w:eastAsia="MS Mincho"/>
        </w:rPr>
        <w:t>f Treasury and Finance</w:t>
      </w:r>
      <w:r w:rsidR="004332AF">
        <w:rPr>
          <w:rFonts w:eastAsia="MS Mincho"/>
        </w:rPr>
        <w:t xml:space="preserve"> may continue to use these contracts </w:t>
      </w:r>
      <w:r w:rsidR="001249AA" w:rsidRPr="00585C1F">
        <w:rPr>
          <w:rFonts w:eastAsia="MS Mincho"/>
        </w:rPr>
        <w:t xml:space="preserve">until notified by </w:t>
      </w:r>
      <w:r w:rsidR="00585C1F" w:rsidRPr="00585C1F">
        <w:rPr>
          <w:rFonts w:eastAsia="MS Mincho"/>
        </w:rPr>
        <w:t>the Depar</w:t>
      </w:r>
      <w:r w:rsidR="00585C1F">
        <w:rPr>
          <w:rFonts w:eastAsia="MS Mincho"/>
        </w:rPr>
        <w:t>t</w:t>
      </w:r>
      <w:r w:rsidR="00585C1F" w:rsidRPr="00585C1F">
        <w:rPr>
          <w:rFonts w:eastAsia="MS Mincho"/>
        </w:rPr>
        <w:t xml:space="preserve">ment of Treasury and Finance </w:t>
      </w:r>
      <w:r w:rsidR="00DD4D9C" w:rsidRPr="00585C1F">
        <w:rPr>
          <w:rFonts w:eastAsia="MS Mincho"/>
        </w:rPr>
        <w:t xml:space="preserve">in </w:t>
      </w:r>
      <w:r w:rsidR="00DD4D9C">
        <w:rPr>
          <w:rFonts w:eastAsia="MS Mincho"/>
        </w:rPr>
        <w:t xml:space="preserve">accordance with the </w:t>
      </w:r>
      <w:r w:rsidR="004332AF">
        <w:rPr>
          <w:rFonts w:eastAsia="MS Mincho"/>
        </w:rPr>
        <w:t xml:space="preserve">transitional </w:t>
      </w:r>
      <w:r w:rsidR="00DD4D9C">
        <w:rPr>
          <w:rFonts w:eastAsia="MS Mincho"/>
        </w:rPr>
        <w:t>process set out below</w:t>
      </w:r>
      <w:r w:rsidR="0016569C">
        <w:rPr>
          <w:rFonts w:eastAsia="MS Mincho"/>
        </w:rPr>
        <w:t>.</w:t>
      </w:r>
    </w:p>
    <w:p w:rsidR="00DD4D9C" w:rsidRDefault="00DD4D9C" w:rsidP="00873332">
      <w:pPr>
        <w:pStyle w:val="Heading3"/>
        <w:rPr>
          <w:rFonts w:eastAsia="MS Mincho"/>
        </w:rPr>
      </w:pPr>
      <w:r>
        <w:rPr>
          <w:rFonts w:eastAsia="MS Mincho"/>
        </w:rPr>
        <w:t xml:space="preserve">Transitional </w:t>
      </w:r>
      <w:r w:rsidR="00D73FD2">
        <w:rPr>
          <w:rFonts w:eastAsia="MS Mincho"/>
        </w:rPr>
        <w:t>requirements</w:t>
      </w:r>
      <w:r>
        <w:rPr>
          <w:rFonts w:eastAsia="MS Mincho"/>
        </w:rPr>
        <w:t xml:space="preserve"> for precedent contracts</w:t>
      </w:r>
    </w:p>
    <w:p w:rsidR="00DD4D9C" w:rsidRPr="00EF5A29" w:rsidRDefault="00EF5A29" w:rsidP="00E73D0B">
      <w:pPr>
        <w:rPr>
          <w:rFonts w:eastAsia="MS Mincho"/>
        </w:rPr>
      </w:pPr>
      <w:r w:rsidRPr="00EF5A29">
        <w:rPr>
          <w:rFonts w:eastAsia="MS Mincho"/>
        </w:rPr>
        <w:t xml:space="preserve">An Agency </w:t>
      </w:r>
      <w:r>
        <w:rPr>
          <w:rFonts w:eastAsia="MS Mincho"/>
        </w:rPr>
        <w:t>that wishes to use a precedent contract under this transitional provision must</w:t>
      </w:r>
      <w:r w:rsidRPr="00EF5A29">
        <w:rPr>
          <w:rFonts w:eastAsia="MS Mincho"/>
        </w:rPr>
        <w:t>:</w:t>
      </w:r>
    </w:p>
    <w:p w:rsidR="00EF5A29" w:rsidRDefault="00EF5A29" w:rsidP="00585C1F">
      <w:pPr>
        <w:pStyle w:val="ListParagraph"/>
        <w:numPr>
          <w:ilvl w:val="0"/>
          <w:numId w:val="52"/>
        </w:numPr>
        <w:spacing w:before="160" w:after="160"/>
        <w:ind w:left="714" w:hanging="357"/>
        <w:rPr>
          <w:rFonts w:eastAsia="MS Mincho"/>
        </w:rPr>
      </w:pPr>
      <w:r>
        <w:rPr>
          <w:rFonts w:eastAsia="MS Mincho"/>
          <w:sz w:val="20"/>
        </w:rPr>
        <w:t>review the contract for compliance with all policy and legislative requirements;</w:t>
      </w:r>
    </w:p>
    <w:p w:rsidR="00EF5A29" w:rsidRDefault="00EF5A29" w:rsidP="00873332">
      <w:pPr>
        <w:pStyle w:val="ListParagraph"/>
        <w:numPr>
          <w:ilvl w:val="0"/>
          <w:numId w:val="52"/>
        </w:numPr>
        <w:rPr>
          <w:rFonts w:eastAsia="MS Mincho"/>
        </w:rPr>
      </w:pPr>
      <w:r>
        <w:rPr>
          <w:rFonts w:eastAsia="MS Mincho"/>
          <w:sz w:val="20"/>
        </w:rPr>
        <w:t xml:space="preserve">either publish a copy of the contract on the </w:t>
      </w:r>
      <w:r w:rsidR="00AD1192">
        <w:rPr>
          <w:rFonts w:eastAsia="MS Mincho"/>
          <w:sz w:val="20"/>
        </w:rPr>
        <w:t xml:space="preserve">Agency’s </w:t>
      </w:r>
      <w:r>
        <w:rPr>
          <w:rFonts w:eastAsia="MS Mincho"/>
          <w:sz w:val="20"/>
        </w:rPr>
        <w:t>web</w:t>
      </w:r>
      <w:r w:rsidR="00AD1192">
        <w:rPr>
          <w:rFonts w:eastAsia="MS Mincho"/>
          <w:sz w:val="20"/>
        </w:rPr>
        <w:t>site,</w:t>
      </w:r>
      <w:r>
        <w:rPr>
          <w:rFonts w:eastAsia="MS Mincho"/>
          <w:sz w:val="20"/>
        </w:rPr>
        <w:t xml:space="preserve"> or make a copy available for inspection on request (</w:t>
      </w:r>
      <w:r w:rsidR="00AD1192">
        <w:rPr>
          <w:rFonts w:eastAsia="MS Mincho"/>
          <w:sz w:val="20"/>
        </w:rPr>
        <w:t xml:space="preserve">and </w:t>
      </w:r>
      <w:r w:rsidR="004E732A">
        <w:rPr>
          <w:rFonts w:eastAsia="MS Mincho"/>
          <w:sz w:val="20"/>
        </w:rPr>
        <w:t>advise</w:t>
      </w:r>
      <w:r w:rsidR="00AD1192">
        <w:rPr>
          <w:rFonts w:eastAsia="MS Mincho"/>
          <w:sz w:val="20"/>
        </w:rPr>
        <w:t xml:space="preserve"> </w:t>
      </w:r>
      <w:r>
        <w:rPr>
          <w:rFonts w:eastAsia="MS Mincho"/>
          <w:sz w:val="20"/>
        </w:rPr>
        <w:t>contact details for requests</w:t>
      </w:r>
      <w:r w:rsidR="00AD1192">
        <w:rPr>
          <w:rFonts w:eastAsia="MS Mincho"/>
          <w:sz w:val="20"/>
        </w:rPr>
        <w:t xml:space="preserve"> on the Agency’s website</w:t>
      </w:r>
      <w:r>
        <w:rPr>
          <w:rFonts w:eastAsia="MS Mincho"/>
          <w:sz w:val="20"/>
        </w:rPr>
        <w:t>); and</w:t>
      </w:r>
    </w:p>
    <w:p w:rsidR="00EF5A29" w:rsidRPr="0077407D" w:rsidRDefault="00EF5A29" w:rsidP="00873332">
      <w:pPr>
        <w:pStyle w:val="ListParagraph"/>
        <w:numPr>
          <w:ilvl w:val="0"/>
          <w:numId w:val="52"/>
        </w:numPr>
        <w:rPr>
          <w:rFonts w:eastAsia="MS Mincho"/>
        </w:rPr>
      </w:pPr>
      <w:r>
        <w:rPr>
          <w:rFonts w:eastAsia="MS Mincho"/>
          <w:sz w:val="20"/>
        </w:rPr>
        <w:t xml:space="preserve">By no later than </w:t>
      </w:r>
      <w:r w:rsidR="00E259C3" w:rsidRPr="00E259C3">
        <w:rPr>
          <w:rFonts w:eastAsia="MS Mincho"/>
          <w:b/>
          <w:sz w:val="20"/>
        </w:rPr>
        <w:t>31 December</w:t>
      </w:r>
      <w:r>
        <w:rPr>
          <w:rFonts w:eastAsia="MS Mincho"/>
          <w:sz w:val="20"/>
        </w:rPr>
        <w:t xml:space="preserve"> 2018, </w:t>
      </w:r>
      <w:r w:rsidR="00AD1192">
        <w:rPr>
          <w:rFonts w:eastAsia="MS Mincho"/>
          <w:sz w:val="20"/>
        </w:rPr>
        <w:t xml:space="preserve">notify </w:t>
      </w:r>
      <w:r>
        <w:rPr>
          <w:rFonts w:eastAsia="MS Mincho"/>
          <w:sz w:val="20"/>
        </w:rPr>
        <w:t xml:space="preserve">the Department of Treasury and Finance </w:t>
      </w:r>
      <w:r w:rsidR="00AD1192">
        <w:rPr>
          <w:rFonts w:eastAsia="MS Mincho"/>
          <w:sz w:val="20"/>
        </w:rPr>
        <w:t>by email</w:t>
      </w:r>
      <w:r w:rsidR="004E732A">
        <w:rPr>
          <w:rFonts w:eastAsia="MS Mincho"/>
          <w:sz w:val="20"/>
        </w:rPr>
        <w:t xml:space="preserve"> to</w:t>
      </w:r>
      <w:r w:rsidR="00AD1192">
        <w:rPr>
          <w:rFonts w:eastAsia="MS Mincho"/>
          <w:sz w:val="20"/>
        </w:rPr>
        <w:t xml:space="preserve"> </w:t>
      </w:r>
      <w:hyperlink r:id="rId13" w:history="1">
        <w:r w:rsidRPr="001A1BA2">
          <w:rPr>
            <w:rStyle w:val="Hyperlink"/>
            <w:rFonts w:eastAsia="MS Mincho"/>
            <w:sz w:val="20"/>
          </w:rPr>
          <w:t>construction.procurement@dtf.vic.gov.au</w:t>
        </w:r>
      </w:hyperlink>
      <w:r>
        <w:rPr>
          <w:rFonts w:eastAsia="MS Mincho"/>
          <w:sz w:val="20"/>
        </w:rPr>
        <w:t xml:space="preserve"> to advise that the contract is being used under </w:t>
      </w:r>
      <w:r>
        <w:rPr>
          <w:rFonts w:eastAsia="MS Mincho"/>
          <w:sz w:val="20"/>
        </w:rPr>
        <w:lastRenderedPageBreak/>
        <w:t>this transition provision, along with the web link to the contract (if published) or a copy of the contract attached (if not published).</w:t>
      </w:r>
    </w:p>
    <w:p w:rsidR="00D73FD2" w:rsidRDefault="00EC4696" w:rsidP="00873332">
      <w:pPr>
        <w:pStyle w:val="Heading3"/>
        <w:rPr>
          <w:rFonts w:eastAsia="MS Mincho"/>
        </w:rPr>
      </w:pPr>
      <w:r>
        <w:rPr>
          <w:rFonts w:eastAsia="MS Mincho"/>
        </w:rPr>
        <w:t xml:space="preserve">Information to be submitted in support of </w:t>
      </w:r>
      <w:r w:rsidR="004E732A">
        <w:rPr>
          <w:rFonts w:eastAsia="MS Mincho"/>
        </w:rPr>
        <w:t xml:space="preserve">ongoing use of </w:t>
      </w:r>
      <w:r>
        <w:rPr>
          <w:rFonts w:eastAsia="MS Mincho"/>
        </w:rPr>
        <w:t>a precedent contract</w:t>
      </w:r>
    </w:p>
    <w:p w:rsidR="00CF5074" w:rsidRDefault="00CF5074">
      <w:r>
        <w:t xml:space="preserve">The </w:t>
      </w:r>
      <w:r w:rsidR="004E732A">
        <w:t>A</w:t>
      </w:r>
      <w:r>
        <w:t>gency must submit:</w:t>
      </w:r>
    </w:p>
    <w:p w:rsidR="00EC4696" w:rsidRDefault="00CF5074" w:rsidP="00585C1F">
      <w:pPr>
        <w:pStyle w:val="ListParagraph"/>
        <w:numPr>
          <w:ilvl w:val="0"/>
          <w:numId w:val="54"/>
        </w:numPr>
        <w:spacing w:before="100" w:after="100"/>
        <w:ind w:left="714" w:hanging="357"/>
        <w:rPr>
          <w:sz w:val="20"/>
        </w:rPr>
      </w:pPr>
      <w:r>
        <w:rPr>
          <w:sz w:val="20"/>
        </w:rPr>
        <w:t>a</w:t>
      </w:r>
      <w:r w:rsidR="00EC4696" w:rsidRPr="00CF5074">
        <w:rPr>
          <w:sz w:val="20"/>
        </w:rPr>
        <w:t xml:space="preserve"> copy of the contract </w:t>
      </w:r>
      <w:r>
        <w:rPr>
          <w:sz w:val="20"/>
        </w:rPr>
        <w:t xml:space="preserve">as a blank template </w:t>
      </w:r>
      <w:r w:rsidR="00EC4696" w:rsidRPr="00CF5074">
        <w:rPr>
          <w:sz w:val="20"/>
        </w:rPr>
        <w:t>in MS Word or equivalent editable format</w:t>
      </w:r>
      <w:r>
        <w:rPr>
          <w:sz w:val="20"/>
        </w:rPr>
        <w:t>; and</w:t>
      </w:r>
    </w:p>
    <w:p w:rsidR="00CF5074" w:rsidRPr="001249AA" w:rsidRDefault="00CF5074" w:rsidP="00CF5074">
      <w:pPr>
        <w:pStyle w:val="ListParagraph"/>
        <w:numPr>
          <w:ilvl w:val="0"/>
          <w:numId w:val="54"/>
        </w:numPr>
        <w:rPr>
          <w:sz w:val="20"/>
        </w:rPr>
      </w:pPr>
      <w:r w:rsidRPr="001249AA">
        <w:rPr>
          <w:sz w:val="20"/>
        </w:rPr>
        <w:t>a description of the commercial positions typically used to complete variable items and schedules.</w:t>
      </w:r>
    </w:p>
    <w:p w:rsidR="00AD1192" w:rsidRDefault="00AD1192">
      <w:r>
        <w:t>The Agency will</w:t>
      </w:r>
      <w:r w:rsidR="00187695">
        <w:t xml:space="preserve"> be required to submit evidence </w:t>
      </w:r>
      <w:r w:rsidR="00EC4696">
        <w:t>to allow an assessment to be made on</w:t>
      </w:r>
      <w:r>
        <w:t>:</w:t>
      </w:r>
    </w:p>
    <w:p w:rsidR="00CF5074" w:rsidRPr="00187695" w:rsidRDefault="00CF5074" w:rsidP="00585C1F">
      <w:pPr>
        <w:pStyle w:val="ListParagraph"/>
        <w:numPr>
          <w:ilvl w:val="0"/>
          <w:numId w:val="53"/>
        </w:numPr>
        <w:spacing w:before="100" w:after="100"/>
        <w:ind w:left="714" w:hanging="357"/>
        <w:rPr>
          <w:sz w:val="20"/>
        </w:rPr>
      </w:pPr>
      <w:r>
        <w:rPr>
          <w:sz w:val="20"/>
        </w:rPr>
        <w:t>the origin and subsequent development of the contract;</w:t>
      </w:r>
    </w:p>
    <w:p w:rsidR="00AD1192" w:rsidRPr="00187695" w:rsidRDefault="00EC4696" w:rsidP="00AD1192">
      <w:pPr>
        <w:pStyle w:val="ListParagraph"/>
        <w:numPr>
          <w:ilvl w:val="0"/>
          <w:numId w:val="53"/>
        </w:numPr>
        <w:rPr>
          <w:sz w:val="20"/>
        </w:rPr>
      </w:pPr>
      <w:r>
        <w:rPr>
          <w:sz w:val="20"/>
        </w:rPr>
        <w:t xml:space="preserve">whether the contract </w:t>
      </w:r>
      <w:r w:rsidR="00187695">
        <w:rPr>
          <w:sz w:val="20"/>
        </w:rPr>
        <w:t>a</w:t>
      </w:r>
      <w:r w:rsidR="00AD1192">
        <w:rPr>
          <w:sz w:val="20"/>
        </w:rPr>
        <w:t xml:space="preserve">ddresses relevant </w:t>
      </w:r>
      <w:r w:rsidR="00187695">
        <w:rPr>
          <w:rFonts w:eastAsia="MS Mincho"/>
          <w:sz w:val="20"/>
        </w:rPr>
        <w:t>law and policy relating to Victorian Public Construction Procurement;</w:t>
      </w:r>
    </w:p>
    <w:p w:rsidR="00187695" w:rsidRPr="00EC4696" w:rsidRDefault="00EC4696" w:rsidP="00AD1192">
      <w:pPr>
        <w:pStyle w:val="ListParagraph"/>
        <w:numPr>
          <w:ilvl w:val="0"/>
          <w:numId w:val="53"/>
        </w:numPr>
        <w:rPr>
          <w:sz w:val="20"/>
        </w:rPr>
      </w:pPr>
      <w:r>
        <w:rPr>
          <w:sz w:val="20"/>
        </w:rPr>
        <w:t xml:space="preserve">whether the contract </w:t>
      </w:r>
      <w:r w:rsidR="00187695">
        <w:rPr>
          <w:sz w:val="20"/>
        </w:rPr>
        <w:t xml:space="preserve">presents commercial positions similar to that used in related </w:t>
      </w:r>
      <w:r w:rsidR="00187695">
        <w:rPr>
          <w:rFonts w:eastAsia="MS Mincho"/>
          <w:sz w:val="20"/>
        </w:rPr>
        <w:t xml:space="preserve">Victorian Public Construction </w:t>
      </w:r>
      <w:r>
        <w:rPr>
          <w:rFonts w:eastAsia="MS Mincho"/>
          <w:sz w:val="20"/>
        </w:rPr>
        <w:t>Contracts</w:t>
      </w:r>
      <w:r w:rsidR="00187695">
        <w:rPr>
          <w:rFonts w:eastAsia="MS Mincho"/>
          <w:sz w:val="20"/>
        </w:rPr>
        <w:t>;</w:t>
      </w:r>
    </w:p>
    <w:p w:rsidR="00187695" w:rsidRPr="00187695" w:rsidRDefault="00EC4696" w:rsidP="00AD1192">
      <w:pPr>
        <w:pStyle w:val="ListParagraph"/>
        <w:numPr>
          <w:ilvl w:val="0"/>
          <w:numId w:val="53"/>
        </w:numPr>
        <w:rPr>
          <w:sz w:val="20"/>
        </w:rPr>
      </w:pPr>
      <w:r>
        <w:rPr>
          <w:rFonts w:eastAsia="MS Mincho"/>
          <w:sz w:val="20"/>
        </w:rPr>
        <w:t xml:space="preserve">the frequency of use of the contract </w:t>
      </w:r>
      <w:r w:rsidR="00187695">
        <w:rPr>
          <w:rFonts w:eastAsia="MS Mincho"/>
          <w:sz w:val="20"/>
        </w:rPr>
        <w:t>for a class of procurement</w:t>
      </w:r>
      <w:r>
        <w:rPr>
          <w:rFonts w:eastAsia="MS Mincho"/>
          <w:sz w:val="20"/>
        </w:rPr>
        <w:t>, or a segment of suppliers</w:t>
      </w:r>
      <w:r w:rsidR="00187695">
        <w:rPr>
          <w:rFonts w:eastAsia="MS Mincho"/>
          <w:sz w:val="20"/>
        </w:rPr>
        <w:t>;</w:t>
      </w:r>
      <w:r w:rsidR="00CF5074">
        <w:rPr>
          <w:rFonts w:eastAsia="MS Mincho"/>
          <w:sz w:val="20"/>
        </w:rPr>
        <w:t xml:space="preserve"> and</w:t>
      </w:r>
    </w:p>
    <w:p w:rsidR="00EC4696" w:rsidRPr="00EC4696" w:rsidRDefault="00187695" w:rsidP="00EC4696">
      <w:pPr>
        <w:pStyle w:val="ListParagraph"/>
        <w:numPr>
          <w:ilvl w:val="0"/>
          <w:numId w:val="53"/>
        </w:numPr>
        <w:rPr>
          <w:sz w:val="20"/>
        </w:rPr>
      </w:pPr>
      <w:r>
        <w:rPr>
          <w:sz w:val="20"/>
        </w:rPr>
        <w:t>unique provisions relevant to the Agency, the class of procurement, or the category of suppliers usually engaged under the contract</w:t>
      </w:r>
      <w:r w:rsidR="00EC4696">
        <w:rPr>
          <w:sz w:val="20"/>
        </w:rPr>
        <w:t>.</w:t>
      </w:r>
    </w:p>
    <w:p w:rsidR="00DD4D9C" w:rsidRDefault="00D73FD2" w:rsidP="00873332">
      <w:pPr>
        <w:pStyle w:val="Heading3"/>
        <w:rPr>
          <w:rFonts w:eastAsia="MS Mincho"/>
        </w:rPr>
      </w:pPr>
      <w:r>
        <w:rPr>
          <w:rFonts w:eastAsia="MS Mincho"/>
        </w:rPr>
        <w:t>Guiding considerations for contract reviews</w:t>
      </w:r>
    </w:p>
    <w:p w:rsidR="004332AF" w:rsidRPr="004332AF" w:rsidRDefault="00DD4D9C" w:rsidP="00E73D0B">
      <w:pPr>
        <w:rPr>
          <w:rFonts w:eastAsia="MS Mincho"/>
        </w:rPr>
      </w:pPr>
      <w:r>
        <w:rPr>
          <w:rFonts w:eastAsia="MS Mincho"/>
        </w:rPr>
        <w:t>Contracts used under the</w:t>
      </w:r>
      <w:r w:rsidR="004332AF">
        <w:rPr>
          <w:rFonts w:eastAsia="MS Mincho"/>
        </w:rPr>
        <w:t xml:space="preserve"> transitional </w:t>
      </w:r>
      <w:r>
        <w:rPr>
          <w:rFonts w:eastAsia="MS Mincho"/>
        </w:rPr>
        <w:t>process</w:t>
      </w:r>
      <w:r w:rsidR="004332AF">
        <w:rPr>
          <w:rFonts w:eastAsia="MS Mincho"/>
        </w:rPr>
        <w:t xml:space="preserve"> will be reviewed by the Department of Treasury and Finance. In undertaking these reviews, the Department will consider a range of criteria, </w:t>
      </w:r>
      <w:r w:rsidR="004332AF" w:rsidRPr="004332AF">
        <w:rPr>
          <w:rFonts w:eastAsia="MS Mincho"/>
        </w:rPr>
        <w:t>including</w:t>
      </w:r>
      <w:r w:rsidR="004E732A">
        <w:rPr>
          <w:rFonts w:eastAsia="MS Mincho"/>
        </w:rPr>
        <w:t xml:space="preserve"> whether the contract</w:t>
      </w:r>
      <w:r w:rsidR="004332AF" w:rsidRPr="004332AF">
        <w:rPr>
          <w:rFonts w:eastAsia="MS Mincho"/>
        </w:rPr>
        <w:t>:</w:t>
      </w:r>
    </w:p>
    <w:p w:rsidR="004332AF" w:rsidRDefault="004332AF" w:rsidP="00585C1F">
      <w:pPr>
        <w:pStyle w:val="ListParagraph"/>
        <w:numPr>
          <w:ilvl w:val="0"/>
          <w:numId w:val="50"/>
        </w:numPr>
        <w:spacing w:before="100" w:after="100"/>
        <w:ind w:left="714" w:hanging="357"/>
        <w:rPr>
          <w:rFonts w:eastAsia="MS Mincho"/>
        </w:rPr>
      </w:pPr>
      <w:r>
        <w:rPr>
          <w:rFonts w:eastAsia="MS Mincho"/>
          <w:sz w:val="20"/>
        </w:rPr>
        <w:t>is consistent with related Victorian Public Construction Contracts, or could be made consistent without substantial redrafting;</w:t>
      </w:r>
    </w:p>
    <w:p w:rsidR="004332AF" w:rsidRDefault="004332AF" w:rsidP="00873332">
      <w:pPr>
        <w:pStyle w:val="ListParagraph"/>
        <w:numPr>
          <w:ilvl w:val="0"/>
          <w:numId w:val="50"/>
        </w:numPr>
        <w:rPr>
          <w:rFonts w:eastAsia="MS Mincho"/>
        </w:rPr>
      </w:pPr>
      <w:r>
        <w:rPr>
          <w:rFonts w:eastAsia="MS Mincho"/>
          <w:sz w:val="20"/>
        </w:rPr>
        <w:t>is based on, or consistent with, other forms of contract commonly used in the Australian construction industry;</w:t>
      </w:r>
    </w:p>
    <w:p w:rsidR="004332AF" w:rsidRDefault="004332AF" w:rsidP="00873332">
      <w:pPr>
        <w:pStyle w:val="ListParagraph"/>
        <w:numPr>
          <w:ilvl w:val="0"/>
          <w:numId w:val="50"/>
        </w:numPr>
        <w:rPr>
          <w:rFonts w:eastAsia="MS Mincho"/>
        </w:rPr>
      </w:pPr>
      <w:r>
        <w:rPr>
          <w:rFonts w:eastAsia="MS Mincho"/>
          <w:sz w:val="20"/>
        </w:rPr>
        <w:t>is consistent with current law and policy relating to Victorian Public Construction Procurement, or could be made consistent without substantial redrafting;</w:t>
      </w:r>
    </w:p>
    <w:p w:rsidR="004332AF" w:rsidRDefault="004332AF" w:rsidP="00873332">
      <w:pPr>
        <w:pStyle w:val="ListParagraph"/>
        <w:numPr>
          <w:ilvl w:val="0"/>
          <w:numId w:val="50"/>
        </w:numPr>
        <w:rPr>
          <w:rFonts w:eastAsia="MS Mincho"/>
        </w:rPr>
      </w:pPr>
      <w:r>
        <w:rPr>
          <w:rFonts w:eastAsia="MS Mincho"/>
          <w:sz w:val="20"/>
        </w:rPr>
        <w:t xml:space="preserve">is consistently and frequently used by that Agency, such that </w:t>
      </w:r>
      <w:r w:rsidR="006A5892">
        <w:rPr>
          <w:rFonts w:eastAsia="MS Mincho"/>
          <w:sz w:val="20"/>
        </w:rPr>
        <w:t>existing suppliers to that Agency are comfortable with the contract;</w:t>
      </w:r>
      <w:r w:rsidR="004E732A">
        <w:rPr>
          <w:rFonts w:eastAsia="MS Mincho"/>
          <w:sz w:val="20"/>
        </w:rPr>
        <w:t xml:space="preserve"> and</w:t>
      </w:r>
    </w:p>
    <w:p w:rsidR="004332AF" w:rsidRDefault="006A5892" w:rsidP="00873332">
      <w:pPr>
        <w:pStyle w:val="ListParagraph"/>
        <w:numPr>
          <w:ilvl w:val="0"/>
          <w:numId w:val="50"/>
        </w:numPr>
        <w:rPr>
          <w:rFonts w:eastAsia="MS Mincho"/>
        </w:rPr>
      </w:pPr>
      <w:r>
        <w:rPr>
          <w:rFonts w:eastAsia="MS Mincho"/>
          <w:sz w:val="20"/>
        </w:rPr>
        <w:t xml:space="preserve">as a whole, or certain clauses, schedules or annexures of the contract, </w:t>
      </w:r>
      <w:r w:rsidR="004332AF">
        <w:rPr>
          <w:rFonts w:eastAsia="MS Mincho"/>
          <w:sz w:val="20"/>
        </w:rPr>
        <w:t xml:space="preserve">fills a legitimate </w:t>
      </w:r>
      <w:r>
        <w:rPr>
          <w:rFonts w:eastAsia="MS Mincho"/>
          <w:sz w:val="20"/>
        </w:rPr>
        <w:t>gap not adequately addressed by the Victorian Public Construction Contracts.</w:t>
      </w:r>
    </w:p>
    <w:p w:rsidR="006A5892" w:rsidRPr="00DD4D9C" w:rsidRDefault="00DD4D9C" w:rsidP="006A5892">
      <w:pPr>
        <w:rPr>
          <w:rFonts w:eastAsia="MS Mincho"/>
        </w:rPr>
      </w:pPr>
      <w:r w:rsidRPr="00DD4D9C">
        <w:rPr>
          <w:rFonts w:eastAsia="MS Mincho"/>
        </w:rPr>
        <w:t xml:space="preserve">The Department will liaise with the relevant Agency throughout the course of a contract review. At the end of the review, the Department will </w:t>
      </w:r>
      <w:r w:rsidR="008A6419">
        <w:rPr>
          <w:rFonts w:eastAsia="MS Mincho"/>
        </w:rPr>
        <w:t>take</w:t>
      </w:r>
      <w:r w:rsidRPr="00DD4D9C">
        <w:rPr>
          <w:rFonts w:eastAsia="MS Mincho"/>
        </w:rPr>
        <w:t xml:space="preserve"> </w:t>
      </w:r>
      <w:r>
        <w:rPr>
          <w:rFonts w:eastAsia="MS Mincho"/>
        </w:rPr>
        <w:t>one of the following courses of action</w:t>
      </w:r>
      <w:r w:rsidRPr="00DD4D9C">
        <w:rPr>
          <w:rFonts w:eastAsia="MS Mincho"/>
        </w:rPr>
        <w:t>:</w:t>
      </w:r>
    </w:p>
    <w:p w:rsidR="006A5892" w:rsidRDefault="00CF5074" w:rsidP="00585C1F">
      <w:pPr>
        <w:pStyle w:val="ListParagraph"/>
        <w:numPr>
          <w:ilvl w:val="0"/>
          <w:numId w:val="50"/>
        </w:numPr>
        <w:spacing w:before="100" w:after="100"/>
        <w:ind w:left="714" w:hanging="357"/>
        <w:rPr>
          <w:rFonts w:eastAsia="MS Mincho"/>
        </w:rPr>
      </w:pPr>
      <w:r>
        <w:rPr>
          <w:rFonts w:eastAsia="MS Mincho"/>
          <w:sz w:val="20"/>
        </w:rPr>
        <w:t>a</w:t>
      </w:r>
      <w:r w:rsidR="008A6419">
        <w:rPr>
          <w:rFonts w:eastAsia="MS Mincho"/>
          <w:sz w:val="20"/>
        </w:rPr>
        <w:t xml:space="preserve">dd the contract </w:t>
      </w:r>
      <w:r w:rsidR="00DD4D9C">
        <w:rPr>
          <w:rFonts w:eastAsia="MS Mincho"/>
          <w:sz w:val="20"/>
        </w:rPr>
        <w:t xml:space="preserve">to the suite of Victorian Public Construction Contracts </w:t>
      </w:r>
      <w:r w:rsidR="008A6419">
        <w:rPr>
          <w:rFonts w:eastAsia="MS Mincho"/>
          <w:sz w:val="20"/>
        </w:rPr>
        <w:t>(</w:t>
      </w:r>
      <w:r w:rsidR="00DD4D9C">
        <w:rPr>
          <w:rFonts w:eastAsia="MS Mincho"/>
          <w:sz w:val="20"/>
        </w:rPr>
        <w:t>with or without amendment</w:t>
      </w:r>
      <w:r w:rsidR="008A6419">
        <w:rPr>
          <w:rFonts w:eastAsia="MS Mincho"/>
          <w:sz w:val="20"/>
        </w:rPr>
        <w:t>)</w:t>
      </w:r>
      <w:r w:rsidR="00DD4D9C">
        <w:rPr>
          <w:rFonts w:eastAsia="MS Mincho"/>
          <w:sz w:val="20"/>
        </w:rPr>
        <w:t>;</w:t>
      </w:r>
      <w:r w:rsidR="008A6419">
        <w:rPr>
          <w:rFonts w:eastAsia="MS Mincho"/>
          <w:sz w:val="20"/>
        </w:rPr>
        <w:t xml:space="preserve"> or</w:t>
      </w:r>
    </w:p>
    <w:p w:rsidR="00DD4D9C" w:rsidRPr="00585C1F" w:rsidRDefault="004E732A" w:rsidP="00873332">
      <w:pPr>
        <w:pStyle w:val="ListParagraph"/>
        <w:numPr>
          <w:ilvl w:val="0"/>
          <w:numId w:val="50"/>
        </w:numPr>
        <w:rPr>
          <w:rFonts w:eastAsia="MS Mincho"/>
          <w:sz w:val="20"/>
        </w:rPr>
      </w:pPr>
      <w:r>
        <w:rPr>
          <w:rFonts w:eastAsia="MS Mincho"/>
          <w:sz w:val="20"/>
        </w:rPr>
        <w:t>r</w:t>
      </w:r>
      <w:r w:rsidR="008A6419">
        <w:rPr>
          <w:rFonts w:eastAsia="MS Mincho"/>
          <w:sz w:val="20"/>
        </w:rPr>
        <w:t>etire the contract from use</w:t>
      </w:r>
      <w:r w:rsidR="001249AA">
        <w:rPr>
          <w:rFonts w:eastAsia="MS Mincho"/>
          <w:sz w:val="20"/>
        </w:rPr>
        <w:t xml:space="preserve"> following </w:t>
      </w:r>
      <w:r w:rsidR="001249AA" w:rsidRPr="00585C1F">
        <w:rPr>
          <w:rFonts w:eastAsia="MS Mincho"/>
          <w:sz w:val="20"/>
        </w:rPr>
        <w:t>discussions with the Agency</w:t>
      </w:r>
      <w:r w:rsidR="008A6419">
        <w:rPr>
          <w:rFonts w:eastAsia="MS Mincho"/>
          <w:sz w:val="20"/>
        </w:rPr>
        <w:t>.</w:t>
      </w:r>
    </w:p>
    <w:p w:rsidR="008A6419" w:rsidRDefault="008A6419">
      <w:pPr>
        <w:rPr>
          <w:rFonts w:eastAsia="MS Mincho"/>
        </w:rPr>
      </w:pPr>
      <w:r>
        <w:rPr>
          <w:rFonts w:eastAsia="MS Mincho"/>
        </w:rPr>
        <w:t>The Agency will be notified of the outcome.</w:t>
      </w:r>
      <w:r w:rsidRPr="008A6419">
        <w:rPr>
          <w:rFonts w:eastAsia="MS Mincho"/>
        </w:rPr>
        <w:t xml:space="preserve"> </w:t>
      </w:r>
    </w:p>
    <w:p w:rsidR="008A6419" w:rsidRPr="008A6419" w:rsidRDefault="008A6419">
      <w:pPr>
        <w:rPr>
          <w:rFonts w:eastAsia="MS Mincho"/>
        </w:rPr>
      </w:pPr>
      <w:r>
        <w:rPr>
          <w:rFonts w:eastAsia="MS Mincho"/>
        </w:rPr>
        <w:t>If the contract is retired from use, the Department may select clauses from the contract for addition to the clause bank or insertion into existing Victorian Public Construction Contracts.</w:t>
      </w:r>
    </w:p>
    <w:p w:rsidR="00253F6F" w:rsidRPr="00253F6F" w:rsidRDefault="008A6419" w:rsidP="00570DC1">
      <w:pPr>
        <w:rPr>
          <w:rFonts w:eastAsia="MS Mincho"/>
        </w:rPr>
      </w:pPr>
      <w:r>
        <w:rPr>
          <w:rFonts w:eastAsia="MS Mincho"/>
        </w:rPr>
        <w:t>Once a contract is retired from use it no longer complies with the Directions and therefore cannot be used</w:t>
      </w:r>
      <w:r w:rsidR="00266402">
        <w:rPr>
          <w:rFonts w:eastAsia="MS Mincho"/>
        </w:rPr>
        <w:t xml:space="preserve"> for </w:t>
      </w:r>
      <w:r w:rsidR="00E008F9">
        <w:rPr>
          <w:rFonts w:eastAsia="MS Mincho"/>
        </w:rPr>
        <w:t>new</w:t>
      </w:r>
      <w:r w:rsidR="00266402">
        <w:rPr>
          <w:rFonts w:eastAsia="MS Mincho"/>
        </w:rPr>
        <w:t xml:space="preserve"> procurements</w:t>
      </w:r>
      <w:r w:rsidR="00585C1F">
        <w:rPr>
          <w:rFonts w:eastAsia="MS Mincho"/>
        </w:rPr>
        <w:t>.</w:t>
      </w:r>
      <w:r w:rsidR="00570DC1">
        <w:rPr>
          <w:lang w:eastAsia="en-US"/>
        </w:rPr>
        <w:t xml:space="preserve"> </w:t>
      </w:r>
      <w:r w:rsidR="00253F6F" w:rsidRPr="00253F6F">
        <w:rPr>
          <w:rFonts w:eastAsia="MS Mincho"/>
        </w:rPr>
        <w:br w:type="page"/>
      </w:r>
    </w:p>
    <w:p w:rsidR="00E73D0B" w:rsidRDefault="00E73D0B" w:rsidP="00E73D0B">
      <w:pPr>
        <w:pStyle w:val="Heading1"/>
        <w:spacing w:before="0" w:after="120"/>
        <w:rPr>
          <w:lang w:eastAsia="en-US"/>
        </w:rPr>
      </w:pPr>
      <w:r>
        <w:rPr>
          <w:lang w:eastAsia="en-US"/>
        </w:rPr>
        <w:lastRenderedPageBreak/>
        <w:t>Attestation</w:t>
      </w:r>
    </w:p>
    <w:p w:rsidR="00E73D0B" w:rsidRDefault="00E73D0B" w:rsidP="00E73D0B">
      <w:pPr>
        <w:pStyle w:val="Heading2"/>
        <w:tabs>
          <w:tab w:val="left" w:pos="5952"/>
        </w:tabs>
        <w:spacing w:before="120" w:after="120"/>
        <w:rPr>
          <w:lang w:eastAsia="en-US"/>
        </w:rPr>
      </w:pPr>
      <w:r>
        <w:rPr>
          <w:lang w:eastAsia="en-US"/>
        </w:rPr>
        <w:t>Direction / Instruction 10.1</w:t>
      </w:r>
    </w:p>
    <w:p w:rsidR="00A35DB5" w:rsidRPr="009C50A3" w:rsidRDefault="00E73D0B" w:rsidP="0056429D">
      <w:pPr>
        <w:rPr>
          <w:rFonts w:ascii="Arial" w:hAnsi="Arial" w:cs="Arial"/>
        </w:rPr>
      </w:pPr>
      <w:r>
        <w:rPr>
          <w:lang w:eastAsia="en-US"/>
        </w:rPr>
        <w:t xml:space="preserve">Direction </w:t>
      </w:r>
      <w:r w:rsidR="00A35DB5">
        <w:rPr>
          <w:lang w:eastAsia="en-US"/>
        </w:rPr>
        <w:t>10</w:t>
      </w:r>
      <w:r>
        <w:rPr>
          <w:lang w:eastAsia="en-US"/>
        </w:rPr>
        <w:t xml:space="preserve">.1 requires that </w:t>
      </w:r>
      <w:bookmarkStart w:id="1" w:name="_GoBack"/>
      <w:bookmarkEnd w:id="1"/>
      <w:r w:rsidR="00A35DB5">
        <w:rPr>
          <w:lang w:eastAsia="en-US"/>
        </w:rPr>
        <w:t xml:space="preserve">the </w:t>
      </w:r>
      <w:r w:rsidR="00570DC1">
        <w:rPr>
          <w:lang w:eastAsia="en-US"/>
        </w:rPr>
        <w:t xml:space="preserve">Accountable </w:t>
      </w:r>
      <w:r w:rsidR="00A35DB5">
        <w:rPr>
          <w:lang w:eastAsia="en-US"/>
        </w:rPr>
        <w:t>Officer of each Agency must, with respect to their Agency, establish appropriate and effective governance frameworks. One element within this accountability is attestation of compliance with the Directions.</w:t>
      </w:r>
    </w:p>
    <w:p w:rsidR="00A35DB5" w:rsidRPr="009C50A3" w:rsidRDefault="00A35DB5" w:rsidP="0056429D">
      <w:pPr>
        <w:rPr>
          <w:rFonts w:ascii="Arial" w:hAnsi="Arial" w:cs="Arial"/>
        </w:rPr>
      </w:pPr>
      <w:r w:rsidRPr="009C50A3">
        <w:rPr>
          <w:rFonts w:ascii="Arial" w:hAnsi="Arial" w:cs="Arial"/>
        </w:rPr>
        <w:t xml:space="preserve">The Directions for Public Construction Procurement are reinforced by the </w:t>
      </w:r>
      <w:hyperlink r:id="rId14" w:history="1">
        <w:r w:rsidRPr="007D1C8D">
          <w:rPr>
            <w:rStyle w:val="Hyperlink"/>
            <w:rFonts w:ascii="Arial" w:hAnsi="Arial" w:cs="Arial"/>
          </w:rPr>
          <w:t>Standing Directions of the Minister for Finance 2016</w:t>
        </w:r>
      </w:hyperlink>
      <w:r>
        <w:rPr>
          <w:rFonts w:ascii="Arial" w:hAnsi="Arial" w:cs="Arial"/>
        </w:rPr>
        <w:t>,</w:t>
      </w:r>
      <w:r w:rsidRPr="009C50A3">
        <w:rPr>
          <w:rFonts w:ascii="Arial" w:hAnsi="Arial" w:cs="Arial"/>
        </w:rPr>
        <w:t xml:space="preserve"> which set out a number of relevant matters including the requirement to demonstrate compliance with the Directions for Public Construction Procurement. This takes the form of a public attestation </w:t>
      </w:r>
      <w:r>
        <w:rPr>
          <w:rFonts w:ascii="Arial" w:hAnsi="Arial" w:cs="Arial"/>
        </w:rPr>
        <w:t xml:space="preserve">by the Accountable Officer (or board of a public sector agency) </w:t>
      </w:r>
      <w:r w:rsidRPr="009C50A3">
        <w:rPr>
          <w:rFonts w:ascii="Arial" w:hAnsi="Arial" w:cs="Arial"/>
        </w:rPr>
        <w:t xml:space="preserve">published in the Agency’s </w:t>
      </w:r>
      <w:r>
        <w:rPr>
          <w:rFonts w:ascii="Arial" w:hAnsi="Arial" w:cs="Arial"/>
        </w:rPr>
        <w:t>a</w:t>
      </w:r>
      <w:r w:rsidRPr="009C50A3">
        <w:rPr>
          <w:rFonts w:ascii="Arial" w:hAnsi="Arial" w:cs="Arial"/>
        </w:rPr>
        <w:t xml:space="preserve">nnual </w:t>
      </w:r>
      <w:r>
        <w:rPr>
          <w:rFonts w:ascii="Arial" w:hAnsi="Arial" w:cs="Arial"/>
        </w:rPr>
        <w:t>r</w:t>
      </w:r>
      <w:r w:rsidRPr="009C50A3">
        <w:rPr>
          <w:rFonts w:ascii="Arial" w:hAnsi="Arial" w:cs="Arial"/>
        </w:rPr>
        <w:t>eport.</w:t>
      </w:r>
    </w:p>
    <w:p w:rsidR="00A35DB5" w:rsidRDefault="00A35DB5" w:rsidP="0056429D">
      <w:pPr>
        <w:rPr>
          <w:rFonts w:ascii="Arial" w:hAnsi="Arial" w:cs="Arial"/>
        </w:rPr>
      </w:pPr>
      <w:r w:rsidRPr="00A35DB5">
        <w:rPr>
          <w:rFonts w:ascii="Arial" w:hAnsi="Arial" w:cs="Arial"/>
        </w:rPr>
        <w:t>Standing Direction 4.2.4 Public Construction Accountability requires the Agency to apply the Ministerial Directions for Public Construction Procurement.</w:t>
      </w:r>
    </w:p>
    <w:p w:rsidR="00A35DB5" w:rsidRDefault="00A35DB5" w:rsidP="0056429D">
      <w:pPr>
        <w:rPr>
          <w:rFonts w:ascii="Arial" w:hAnsi="Arial" w:cs="Arial"/>
        </w:rPr>
      </w:pPr>
      <w:r w:rsidRPr="009C50A3">
        <w:rPr>
          <w:rFonts w:ascii="Arial" w:hAnsi="Arial" w:cs="Arial"/>
        </w:rPr>
        <w:t xml:space="preserve">The organisation’s audit committee, or an alternative review mechanism when there is no audit committee, must </w:t>
      </w:r>
      <w:r>
        <w:rPr>
          <w:rFonts w:ascii="Arial" w:hAnsi="Arial" w:cs="Arial"/>
        </w:rPr>
        <w:t>be satisfied with</w:t>
      </w:r>
      <w:r w:rsidRPr="009C50A3">
        <w:rPr>
          <w:rFonts w:ascii="Arial" w:hAnsi="Arial" w:cs="Arial"/>
        </w:rPr>
        <w:t xml:space="preserve"> </w:t>
      </w:r>
      <w:r>
        <w:rPr>
          <w:rFonts w:ascii="Arial" w:hAnsi="Arial" w:cs="Arial"/>
        </w:rPr>
        <w:t>the</w:t>
      </w:r>
      <w:r w:rsidRPr="009C50A3">
        <w:rPr>
          <w:rFonts w:ascii="Arial" w:hAnsi="Arial" w:cs="Arial"/>
        </w:rPr>
        <w:t xml:space="preserve"> view </w:t>
      </w:r>
      <w:r>
        <w:rPr>
          <w:rFonts w:ascii="Arial" w:hAnsi="Arial" w:cs="Arial"/>
        </w:rPr>
        <w:t xml:space="preserve">expressed in the attestation before </w:t>
      </w:r>
      <w:r w:rsidRPr="009C50A3">
        <w:rPr>
          <w:rFonts w:ascii="Arial" w:hAnsi="Arial" w:cs="Arial"/>
        </w:rPr>
        <w:t xml:space="preserve">finalising </w:t>
      </w:r>
      <w:r>
        <w:rPr>
          <w:rFonts w:ascii="Arial" w:hAnsi="Arial" w:cs="Arial"/>
        </w:rPr>
        <w:t xml:space="preserve">the </w:t>
      </w:r>
      <w:r w:rsidRPr="009C50A3">
        <w:rPr>
          <w:rFonts w:ascii="Arial" w:hAnsi="Arial" w:cs="Arial"/>
        </w:rPr>
        <w:t>attestation.</w:t>
      </w:r>
    </w:p>
    <w:p w:rsidR="00A35DB5" w:rsidRDefault="00A35DB5" w:rsidP="0056429D">
      <w:pPr>
        <w:pStyle w:val="Listnumindent"/>
        <w:tabs>
          <w:tab w:val="clear" w:pos="1296"/>
        </w:tabs>
        <w:spacing w:before="160"/>
        <w:ind w:left="0" w:firstLine="0"/>
        <w:rPr>
          <w:rFonts w:ascii="Arial" w:hAnsi="Arial" w:cs="Arial"/>
        </w:rPr>
      </w:pPr>
      <w:r>
        <w:rPr>
          <w:rFonts w:ascii="Arial" w:hAnsi="Arial" w:cs="Arial"/>
        </w:rPr>
        <w:t>T</w:t>
      </w:r>
      <w:r w:rsidRPr="009C50A3">
        <w:rPr>
          <w:rFonts w:ascii="Arial" w:hAnsi="Arial" w:cs="Arial"/>
        </w:rPr>
        <w:t xml:space="preserve">he </w:t>
      </w:r>
      <w:hyperlink r:id="rId15" w:history="1">
        <w:r w:rsidRPr="007D1C8D">
          <w:rPr>
            <w:rStyle w:val="Hyperlink"/>
            <w:rFonts w:ascii="Arial" w:hAnsi="Arial" w:cs="Arial"/>
          </w:rPr>
          <w:t>Standing Directions of the Minister for Finance 2016</w:t>
        </w:r>
      </w:hyperlink>
      <w:r>
        <w:rPr>
          <w:rFonts w:ascii="Arial" w:hAnsi="Arial" w:cs="Arial"/>
        </w:rPr>
        <w:t xml:space="preserve"> also require</w:t>
      </w:r>
      <w:r w:rsidRPr="009C50A3">
        <w:rPr>
          <w:rFonts w:ascii="Arial" w:hAnsi="Arial" w:cs="Arial"/>
        </w:rPr>
        <w:t xml:space="preserve"> Agencies </w:t>
      </w:r>
      <w:r>
        <w:rPr>
          <w:rFonts w:ascii="Arial" w:hAnsi="Arial" w:cs="Arial"/>
        </w:rPr>
        <w:t xml:space="preserve">to </w:t>
      </w:r>
      <w:r w:rsidRPr="009C50A3">
        <w:rPr>
          <w:rFonts w:ascii="Arial" w:hAnsi="Arial" w:cs="Arial"/>
        </w:rPr>
        <w:t xml:space="preserve">assess </w:t>
      </w:r>
      <w:r>
        <w:rPr>
          <w:rFonts w:ascii="Arial" w:hAnsi="Arial" w:cs="Arial"/>
        </w:rPr>
        <w:t xml:space="preserve">any </w:t>
      </w:r>
      <w:r w:rsidRPr="009C50A3">
        <w:rPr>
          <w:rFonts w:ascii="Arial" w:hAnsi="Arial" w:cs="Arial"/>
        </w:rPr>
        <w:t>compliance deficiencies and report material compliance deficiencies</w:t>
      </w:r>
      <w:r>
        <w:rPr>
          <w:rFonts w:ascii="Arial" w:hAnsi="Arial" w:cs="Arial"/>
        </w:rPr>
        <w:t xml:space="preserve"> as part of the attestation</w:t>
      </w:r>
      <w:r w:rsidRPr="009C50A3">
        <w:rPr>
          <w:rFonts w:ascii="Arial" w:hAnsi="Arial" w:cs="Arial"/>
        </w:rPr>
        <w:t xml:space="preserve">. </w:t>
      </w:r>
      <w:r w:rsidRPr="00585C1F">
        <w:rPr>
          <w:rFonts w:ascii="Arial" w:hAnsi="Arial" w:cs="Arial"/>
        </w:rPr>
        <w:t>Guidance - Material Compliance Deficiencies explains</w:t>
      </w:r>
      <w:r w:rsidRPr="009C50A3">
        <w:rPr>
          <w:rFonts w:ascii="Arial" w:hAnsi="Arial" w:cs="Arial"/>
        </w:rPr>
        <w:t xml:space="preserve"> key terms and </w:t>
      </w:r>
      <w:r>
        <w:rPr>
          <w:rFonts w:ascii="Arial" w:hAnsi="Arial" w:cs="Arial"/>
        </w:rPr>
        <w:t xml:space="preserve">provides </w:t>
      </w:r>
      <w:r w:rsidRPr="009C50A3">
        <w:rPr>
          <w:rFonts w:ascii="Arial" w:hAnsi="Arial" w:cs="Arial"/>
        </w:rPr>
        <w:t>potential examples of compliance deficiencies.</w:t>
      </w:r>
    </w:p>
    <w:p w:rsidR="00E73D0B" w:rsidRPr="00FA266B" w:rsidRDefault="00E73D0B" w:rsidP="00E73D0B">
      <w:pPr>
        <w:pStyle w:val="Heading2"/>
        <w:tabs>
          <w:tab w:val="left" w:pos="5952"/>
        </w:tabs>
        <w:spacing w:before="240" w:after="120"/>
        <w:rPr>
          <w:lang w:eastAsia="en-US"/>
        </w:rPr>
      </w:pPr>
      <w:r>
        <w:rPr>
          <w:lang w:eastAsia="en-US"/>
        </w:rPr>
        <w:t>Transition provisions</w:t>
      </w:r>
    </w:p>
    <w:p w:rsidR="00E73D0B" w:rsidRPr="007424BE" w:rsidRDefault="00E73D0B" w:rsidP="00E73D0B">
      <w:pPr>
        <w:pStyle w:val="Heading3"/>
        <w:rPr>
          <w:rFonts w:eastAsia="MS Mincho"/>
        </w:rPr>
      </w:pPr>
      <w:r>
        <w:rPr>
          <w:rFonts w:eastAsia="MS Mincho"/>
        </w:rPr>
        <w:t>Rationale</w:t>
      </w:r>
    </w:p>
    <w:p w:rsidR="00E73D0B" w:rsidRDefault="00A35DB5" w:rsidP="00E73D0B">
      <w:pPr>
        <w:rPr>
          <w:lang w:eastAsia="en-US"/>
        </w:rPr>
      </w:pPr>
      <w:r>
        <w:rPr>
          <w:rFonts w:eastAsia="MS Mincho"/>
        </w:rPr>
        <w:t>To provide a period of time when Agencies</w:t>
      </w:r>
      <w:r w:rsidR="00A56D52">
        <w:rPr>
          <w:rFonts w:eastAsia="MS Mincho"/>
        </w:rPr>
        <w:t xml:space="preserve"> can</w:t>
      </w:r>
      <w:r>
        <w:rPr>
          <w:rFonts w:eastAsia="MS Mincho"/>
        </w:rPr>
        <w:t xml:space="preserve"> adjust </w:t>
      </w:r>
      <w:r w:rsidR="00C27246">
        <w:rPr>
          <w:rFonts w:eastAsia="MS Mincho"/>
        </w:rPr>
        <w:t>systems</w:t>
      </w:r>
      <w:r>
        <w:rPr>
          <w:rFonts w:eastAsia="MS Mincho"/>
        </w:rPr>
        <w:t xml:space="preserve"> and </w:t>
      </w:r>
      <w:r w:rsidR="00C27246">
        <w:rPr>
          <w:rFonts w:eastAsia="MS Mincho"/>
        </w:rPr>
        <w:t xml:space="preserve">processes </w:t>
      </w:r>
      <w:r>
        <w:rPr>
          <w:rFonts w:eastAsia="MS Mincho"/>
        </w:rPr>
        <w:t>in response to the revised Ministerial Directions.</w:t>
      </w:r>
    </w:p>
    <w:p w:rsidR="00E73D0B" w:rsidRPr="007424BE" w:rsidRDefault="00E73D0B" w:rsidP="00E73D0B">
      <w:pPr>
        <w:pStyle w:val="Heading3"/>
        <w:rPr>
          <w:rFonts w:eastAsia="MS Mincho"/>
        </w:rPr>
      </w:pPr>
      <w:r>
        <w:rPr>
          <w:rFonts w:eastAsia="MS Mincho"/>
        </w:rPr>
        <w:t>Transition provisions</w:t>
      </w:r>
    </w:p>
    <w:p w:rsidR="00A56D52" w:rsidRDefault="00A56D52" w:rsidP="0056429D">
      <w:pPr>
        <w:rPr>
          <w:rFonts w:ascii="Arial" w:hAnsi="Arial" w:cs="Arial"/>
        </w:rPr>
      </w:pPr>
      <w:r>
        <w:rPr>
          <w:rFonts w:ascii="Arial" w:hAnsi="Arial" w:cs="Arial"/>
        </w:rPr>
        <w:t>Attestation of compliance normally applies to the 12 month period covered by the annual report.</w:t>
      </w:r>
    </w:p>
    <w:p w:rsidR="00A35DB5" w:rsidRDefault="00A35DB5" w:rsidP="0056429D">
      <w:pPr>
        <w:rPr>
          <w:rFonts w:ascii="Arial" w:hAnsi="Arial" w:cs="Arial"/>
        </w:rPr>
      </w:pPr>
      <w:r w:rsidRPr="00585C1F">
        <w:rPr>
          <w:rFonts w:ascii="Arial" w:hAnsi="Arial" w:cs="Arial"/>
        </w:rPr>
        <w:t>For the 2018-19 year attestation against Standing Direction 4.2.4 applies as at 30 June 2019</w:t>
      </w:r>
      <w:r w:rsidR="001249AA" w:rsidRPr="00585C1F">
        <w:rPr>
          <w:rFonts w:ascii="Arial" w:hAnsi="Arial" w:cs="Arial"/>
        </w:rPr>
        <w:t xml:space="preserve"> (</w:t>
      </w:r>
      <w:r w:rsidR="00585C1F" w:rsidRPr="00585C1F">
        <w:rPr>
          <w:rFonts w:ascii="Arial" w:hAnsi="Arial" w:cs="Arial"/>
        </w:rPr>
        <w:t>that is attestation is required for one day only – 30 June 2019).</w:t>
      </w:r>
      <w:r w:rsidRPr="00585C1F">
        <w:rPr>
          <w:rFonts w:ascii="Arial" w:hAnsi="Arial" w:cs="Arial"/>
        </w:rPr>
        <w:t xml:space="preserve"> This provides Agencies an extended </w:t>
      </w:r>
      <w:r>
        <w:rPr>
          <w:rFonts w:ascii="Arial" w:hAnsi="Arial" w:cs="Arial"/>
        </w:rPr>
        <w:t xml:space="preserve">period in which to adapt systems and processes to meet the requirements of the Directions. For clarity, attestation against all other Standing Directions applies for the full </w:t>
      </w:r>
      <w:r w:rsidR="00C27246">
        <w:rPr>
          <w:rFonts w:ascii="Arial" w:hAnsi="Arial" w:cs="Arial"/>
        </w:rPr>
        <w:t xml:space="preserve">12 month </w:t>
      </w:r>
      <w:r>
        <w:rPr>
          <w:rFonts w:ascii="Arial" w:hAnsi="Arial" w:cs="Arial"/>
        </w:rPr>
        <w:t xml:space="preserve">period </w:t>
      </w:r>
      <w:r w:rsidR="00C27246">
        <w:rPr>
          <w:rFonts w:ascii="Arial" w:hAnsi="Arial" w:cs="Arial"/>
        </w:rPr>
        <w:t xml:space="preserve">of </w:t>
      </w:r>
      <w:r w:rsidR="00585C1F">
        <w:rPr>
          <w:rFonts w:ascii="Arial" w:hAnsi="Arial" w:cs="Arial"/>
        </w:rPr>
        <w:br/>
      </w:r>
      <w:r>
        <w:rPr>
          <w:rFonts w:ascii="Arial" w:hAnsi="Arial" w:cs="Arial"/>
        </w:rPr>
        <w:t>2018-19.</w:t>
      </w:r>
    </w:p>
    <w:p w:rsidR="007424BE" w:rsidRDefault="00C27246" w:rsidP="0056429D">
      <w:pPr>
        <w:rPr>
          <w:rFonts w:eastAsia="MS Mincho"/>
        </w:rPr>
      </w:pPr>
      <w:r>
        <w:rPr>
          <w:rFonts w:eastAsia="MS Mincho"/>
        </w:rPr>
        <w:t xml:space="preserve">From the 2019-20 year onwards attestation </w:t>
      </w:r>
      <w:r w:rsidR="00F653CC" w:rsidRPr="009C50A3">
        <w:rPr>
          <w:rFonts w:ascii="Arial" w:hAnsi="Arial" w:cs="Arial"/>
        </w:rPr>
        <w:t>for Public Construction Procurement</w:t>
      </w:r>
      <w:r w:rsidR="00F653CC">
        <w:rPr>
          <w:rFonts w:eastAsia="MS Mincho"/>
        </w:rPr>
        <w:t xml:space="preserve"> </w:t>
      </w:r>
      <w:r>
        <w:rPr>
          <w:rFonts w:eastAsia="MS Mincho"/>
        </w:rPr>
        <w:t xml:space="preserve">applies for the </w:t>
      </w:r>
      <w:r>
        <w:rPr>
          <w:rFonts w:ascii="Arial" w:hAnsi="Arial" w:cs="Arial"/>
        </w:rPr>
        <w:t>12</w:t>
      </w:r>
      <w:r w:rsidR="00585C1F">
        <w:rPr>
          <w:rFonts w:ascii="Arial" w:hAnsi="Arial" w:cs="Arial"/>
        </w:rPr>
        <w:t> </w:t>
      </w:r>
      <w:r>
        <w:rPr>
          <w:rFonts w:ascii="Arial" w:hAnsi="Arial" w:cs="Arial"/>
        </w:rPr>
        <w:t>month period covered by the annual report.</w:t>
      </w:r>
      <w:bookmarkEnd w:id="0"/>
    </w:p>
    <w:sectPr w:rsidR="007424BE" w:rsidSect="00EF3999">
      <w:headerReference w:type="default" r:id="rId16"/>
      <w:footerReference w:type="even" r:id="rId17"/>
      <w:footerReference w:type="default" r:id="rId18"/>
      <w:pgSz w:w="11906" w:h="16838" w:code="9"/>
      <w:pgMar w:top="1985" w:right="1440" w:bottom="1134"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331" w:rsidRDefault="00F60331" w:rsidP="002D711A">
      <w:pPr>
        <w:spacing w:after="0" w:line="240" w:lineRule="auto"/>
      </w:pPr>
      <w:r>
        <w:separator/>
      </w:r>
    </w:p>
    <w:p w:rsidR="00F60331" w:rsidRDefault="00F60331"/>
  </w:endnote>
  <w:endnote w:type="continuationSeparator" w:id="0">
    <w:p w:rsidR="00F60331" w:rsidRDefault="00F60331" w:rsidP="002D711A">
      <w:pPr>
        <w:spacing w:after="0" w:line="240" w:lineRule="auto"/>
      </w:pPr>
      <w:r>
        <w:continuationSeparator/>
      </w:r>
    </w:p>
    <w:p w:rsidR="00F60331" w:rsidRDefault="00F60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70A" w:rsidRPr="00014213" w:rsidRDefault="00DD570A" w:rsidP="00C022F9">
    <w:pPr>
      <w:pStyle w:val="Footer"/>
    </w:pPr>
    <w:r>
      <w:drawing>
        <wp:anchor distT="0" distB="0" distL="114300" distR="114300" simplePos="0" relativeHeight="251667456" behindDoc="0" locked="0" layoutInCell="1" allowOverlap="1" wp14:anchorId="7E525FEA" wp14:editId="3936909D">
          <wp:simplePos x="0" y="0"/>
          <wp:positionH relativeFrom="column">
            <wp:posOffset>4240861</wp:posOffset>
          </wp:positionH>
          <wp:positionV relativeFrom="page">
            <wp:posOffset>9493250</wp:posOffset>
          </wp:positionV>
          <wp:extent cx="1956435" cy="582930"/>
          <wp:effectExtent l="0" t="0" r="5715" b="7620"/>
          <wp:wrapNone/>
          <wp:docPr id="2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rsidR="00DD570A" w:rsidRDefault="00DD57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70A" w:rsidRDefault="00A967B2" w:rsidP="007D3A12">
    <w:pPr>
      <w:pStyle w:val="Spacer"/>
    </w:pPr>
    <w:r>
      <w:rPr>
        <w:noProof/>
      </w:rPr>
      <mc:AlternateContent>
        <mc:Choice Requires="wps">
          <w:drawing>
            <wp:anchor distT="0" distB="0" distL="114300" distR="114300" simplePos="0" relativeHeight="251671552"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cfab48ebb45eab5064251d7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967B2" w:rsidRPr="00A967B2" w:rsidRDefault="00A967B2" w:rsidP="00A967B2">
                          <w:pPr>
                            <w:spacing w:before="0" w:after="0"/>
                            <w:rPr>
                              <w:rFonts w:ascii="Calibri" w:hAnsi="Calibri" w:cs="Calibri"/>
                              <w:color w:val="000000"/>
                              <w:sz w:val="22"/>
                            </w:rPr>
                          </w:pPr>
                          <w:r w:rsidRPr="00A967B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fab48ebb45eab5064251d70"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KRZQesdAwAAOAYAAA4AAAAAAAAA&#10;AAAAAAAALgIAAGRycy9lMm9Eb2MueG1sUEsBAi0AFAAGAAgAAAAhAGARxibeAAAACwEAAA8AAAAA&#10;AAAAAAAAAAAAdwUAAGRycy9kb3ducmV2LnhtbFBLBQYAAAAABAAEAPMAAACCBgAAAAA=&#10;" o:allowincell="f" filled="f" stroked="f" strokeweight=".5pt">
              <v:textbox inset="20pt,0,,0">
                <w:txbxContent>
                  <w:p w:rsidR="00A967B2" w:rsidRPr="00A967B2" w:rsidRDefault="00A967B2" w:rsidP="00A967B2">
                    <w:pPr>
                      <w:spacing w:before="0" w:after="0"/>
                      <w:rPr>
                        <w:rFonts w:ascii="Calibri" w:hAnsi="Calibri" w:cs="Calibri"/>
                        <w:color w:val="000000"/>
                        <w:sz w:val="22"/>
                      </w:rPr>
                    </w:pPr>
                    <w:r w:rsidRPr="00A967B2">
                      <w:rPr>
                        <w:rFonts w:ascii="Calibri" w:hAnsi="Calibri" w:cs="Calibri"/>
                        <w:color w:val="000000"/>
                        <w:sz w:val="22"/>
                      </w:rPr>
                      <w:t>OFFICIAL</w:t>
                    </w:r>
                  </w:p>
                </w:txbxContent>
              </v:textbox>
              <w10:wrap anchorx="page" anchory="page"/>
            </v:shape>
          </w:pict>
        </mc:Fallback>
      </mc:AlternateContent>
    </w:r>
  </w:p>
  <w:p w:rsidR="00DD570A" w:rsidRPr="00C022F9" w:rsidRDefault="00585C1F" w:rsidP="007C225A">
    <w:pPr>
      <w:pStyle w:val="Footer"/>
      <w:tabs>
        <w:tab w:val="center" w:pos="4395"/>
      </w:tabs>
      <w:spacing w:before="0"/>
    </w:pPr>
    <w:r>
      <w:rPr>
        <w:b/>
        <w:bCs/>
        <w:color w:val="0063A6" w:themeColor="accent1"/>
        <w:lang w:val="en-US"/>
      </w:rPr>
      <w:t xml:space="preserve">Fact sheet - </w:t>
    </w:r>
    <w:r w:rsidR="00B65138">
      <w:rPr>
        <w:b/>
        <w:bCs/>
        <w:color w:val="0063A6" w:themeColor="accent1"/>
        <w:lang w:val="en-US"/>
      </w:rPr>
      <w:t xml:space="preserve">Transition provisions for the introduction of the revised </w:t>
    </w:r>
    <w:r>
      <w:rPr>
        <w:b/>
        <w:bCs/>
        <w:color w:val="0063A6" w:themeColor="accent1"/>
        <w:lang w:val="en-US"/>
      </w:rPr>
      <w:br/>
    </w:r>
    <w:r w:rsidR="00B65138">
      <w:rPr>
        <w:b/>
        <w:bCs/>
        <w:color w:val="0063A6" w:themeColor="accent1"/>
        <w:lang w:val="en-US"/>
      </w:rPr>
      <w:t xml:space="preserve">Ministerial Directions for </w:t>
    </w:r>
    <w:r w:rsidR="008B252F" w:rsidRPr="008B252F">
      <w:rPr>
        <w:b/>
        <w:bCs/>
        <w:color w:val="0063A6" w:themeColor="accent1"/>
        <w:lang w:val="en-US"/>
      </w:rPr>
      <w:t>Public Construction procurement</w:t>
    </w:r>
    <w:r w:rsidR="00A1781C">
      <w:rPr>
        <w:b/>
        <w:bCs/>
        <w:color w:val="0063A6" w:themeColor="accent1"/>
        <w:lang w:val="en-US"/>
      </w:rPr>
      <w:br/>
    </w:r>
    <w:r>
      <w:rPr>
        <w:bCs/>
        <w:lang w:val="en-US"/>
      </w:rPr>
      <w:t>Fact sheet</w:t>
    </w:r>
    <w:r w:rsidR="008B252F" w:rsidRPr="00A1781C">
      <w:rPr>
        <w:bCs/>
        <w:lang w:val="en-US"/>
      </w:rPr>
      <w:br/>
      <w:t xml:space="preserve">Effective date:  </w:t>
    </w:r>
    <w:r w:rsidR="00046B37">
      <w:rPr>
        <w:bCs/>
        <w:lang w:val="en-US"/>
      </w:rPr>
      <w:t>4 October</w:t>
    </w:r>
    <w:r>
      <w:rPr>
        <w:bCs/>
        <w:lang w:val="en-US"/>
      </w:rPr>
      <w:t xml:space="preserve"> 2018</w:t>
    </w:r>
    <w:r w:rsidR="00DD570A" w:rsidRPr="00C022F9">
      <w:tab/>
    </w:r>
    <w:r w:rsidR="007C225A">
      <w:tab/>
    </w:r>
    <w:r w:rsidR="00DD570A" w:rsidRPr="009C047B">
      <w:rPr>
        <w:bCs/>
        <w:lang w:val="en-US"/>
      </w:rPr>
      <w:t>Page</w:t>
    </w:r>
    <w:r w:rsidR="00DD570A" w:rsidRPr="009C047B">
      <w:t xml:space="preserve"> </w:t>
    </w:r>
    <w:r w:rsidR="00DD570A" w:rsidRPr="00DE60CC">
      <w:rPr>
        <w:rStyle w:val="PageNumber"/>
      </w:rPr>
      <w:fldChar w:fldCharType="begin"/>
    </w:r>
    <w:r w:rsidR="00DD570A" w:rsidRPr="00DE60CC">
      <w:rPr>
        <w:rStyle w:val="PageNumber"/>
      </w:rPr>
      <w:instrText xml:space="preserve"> Page </w:instrText>
    </w:r>
    <w:r w:rsidR="00DD570A" w:rsidRPr="00DE60CC">
      <w:rPr>
        <w:rStyle w:val="PageNumber"/>
      </w:rPr>
      <w:fldChar w:fldCharType="separate"/>
    </w:r>
    <w:r w:rsidR="0016569C">
      <w:rPr>
        <w:rStyle w:val="PageNumber"/>
      </w:rPr>
      <w:t>4</w:t>
    </w:r>
    <w:r w:rsidR="00DD570A"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331" w:rsidRDefault="00F60331" w:rsidP="002D711A">
      <w:pPr>
        <w:spacing w:after="0" w:line="240" w:lineRule="auto"/>
      </w:pPr>
      <w:r>
        <w:separator/>
      </w:r>
    </w:p>
    <w:p w:rsidR="00F60331" w:rsidRDefault="00F60331"/>
  </w:footnote>
  <w:footnote w:type="continuationSeparator" w:id="0">
    <w:p w:rsidR="00F60331" w:rsidRDefault="00F60331" w:rsidP="002D711A">
      <w:pPr>
        <w:spacing w:after="0" w:line="240" w:lineRule="auto"/>
      </w:pPr>
      <w:r>
        <w:continuationSeparator/>
      </w:r>
    </w:p>
    <w:p w:rsidR="00F60331" w:rsidRDefault="00F60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70A" w:rsidRPr="0041689E" w:rsidRDefault="00DD570A">
    <w:pPr>
      <w:pStyle w:val="Header"/>
    </w:pPr>
    <w:r>
      <w:rPr>
        <w:noProof/>
      </w:rPr>
      <w:drawing>
        <wp:anchor distT="0" distB="0" distL="114300" distR="114300" simplePos="0" relativeHeight="251670528" behindDoc="0" locked="0" layoutInCell="1" allowOverlap="1" wp14:anchorId="5D8166F1" wp14:editId="485714AD">
          <wp:simplePos x="0" y="0"/>
          <wp:positionH relativeFrom="column">
            <wp:posOffset>-319405</wp:posOffset>
          </wp:positionH>
          <wp:positionV relativeFrom="page">
            <wp:posOffset>299085</wp:posOffset>
          </wp:positionV>
          <wp:extent cx="1380490" cy="4114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FC1049E" wp14:editId="3ADAFE16">
          <wp:simplePos x="0" y="0"/>
          <wp:positionH relativeFrom="column">
            <wp:posOffset>-914400</wp:posOffset>
          </wp:positionH>
          <wp:positionV relativeFrom="page">
            <wp:posOffset>125095</wp:posOffset>
          </wp:positionV>
          <wp:extent cx="7589520" cy="740410"/>
          <wp:effectExtent l="0" t="0" r="0" b="2540"/>
          <wp:wrapNone/>
          <wp:docPr id="2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p w:rsidR="00DD570A" w:rsidRDefault="00DD57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3316"/>
    <w:multiLevelType w:val="hybridMultilevel"/>
    <w:tmpl w:val="02F8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023965"/>
    <w:multiLevelType w:val="hybridMultilevel"/>
    <w:tmpl w:val="291094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8B979EF"/>
    <w:multiLevelType w:val="hybridMultilevel"/>
    <w:tmpl w:val="31F6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BF5043"/>
    <w:multiLevelType w:val="hybridMultilevel"/>
    <w:tmpl w:val="A6E67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6D61E2"/>
    <w:multiLevelType w:val="hybridMultilevel"/>
    <w:tmpl w:val="CD9EE1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3A00082"/>
    <w:multiLevelType w:val="multilevel"/>
    <w:tmpl w:val="46267AD6"/>
    <w:lvl w:ilvl="0">
      <w:start w:val="1"/>
      <w:numFmt w:val="bullet"/>
      <w:lvlText w:val=""/>
      <w:lvlJc w:val="left"/>
      <w:pPr>
        <w:tabs>
          <w:tab w:val="num" w:pos="646"/>
        </w:tabs>
        <w:ind w:left="646" w:hanging="504"/>
      </w:pPr>
      <w:rPr>
        <w:rFonts w:ascii="Symbol" w:hAnsi="Symbol" w:hint="default"/>
      </w:rPr>
    </w:lvl>
    <w:lvl w:ilvl="1">
      <w:start w:val="1"/>
      <w:numFmt w:val="lowerLetter"/>
      <w:lvlText w:val="(%2)"/>
      <w:lvlJc w:val="left"/>
      <w:pPr>
        <w:tabs>
          <w:tab w:val="num" w:pos="1008"/>
        </w:tabs>
        <w:ind w:left="1008" w:hanging="504"/>
      </w:pPr>
      <w:rPr>
        <w:rFonts w:hint="default"/>
      </w:rPr>
    </w:lvl>
    <w:lvl w:ilvl="2">
      <w:start w:val="1"/>
      <w:numFmt w:val="lowerRoman"/>
      <w:lvlText w:val="(%3)"/>
      <w:lvlJc w:val="left"/>
      <w:pPr>
        <w:tabs>
          <w:tab w:val="num" w:pos="1512"/>
        </w:tabs>
        <w:ind w:left="1512" w:hanging="504"/>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abstractNum w:abstractNumId="7" w15:restartNumberingAfterBreak="0">
    <w:nsid w:val="446D3A6A"/>
    <w:multiLevelType w:val="multilevel"/>
    <w:tmpl w:val="301CFAB6"/>
    <w:lvl w:ilvl="0">
      <w:start w:val="1"/>
      <w:numFmt w:val="bullet"/>
      <w:pStyle w:val="Bullet1"/>
      <w:lvlText w:val=""/>
      <w:lvlJc w:val="left"/>
      <w:pPr>
        <w:tabs>
          <w:tab w:val="num" w:pos="1008"/>
        </w:tabs>
        <w:ind w:left="1008" w:hanging="504"/>
      </w:pPr>
      <w:rPr>
        <w:rFonts w:ascii="Symbol" w:hAnsi="Symbol" w:hint="default"/>
        <w:b w:val="0"/>
        <w:i w:val="0"/>
        <w:vanish w:val="0"/>
        <w:color w:val="auto"/>
        <w:sz w:val="22"/>
      </w:rPr>
    </w:lvl>
    <w:lvl w:ilvl="1">
      <w:start w:val="1"/>
      <w:numFmt w:val="bullet"/>
      <w:pStyle w:val="Bullet2"/>
      <w:lvlText w:val="–"/>
      <w:lvlJc w:val="left"/>
      <w:pPr>
        <w:tabs>
          <w:tab w:val="num" w:pos="1368"/>
        </w:tabs>
        <w:ind w:left="1368" w:hanging="360"/>
      </w:pPr>
      <w:rPr>
        <w:rFonts w:ascii="Calibri" w:hAnsi="Calibri" w:hint="default"/>
        <w:b w:val="0"/>
        <w:i w:val="0"/>
        <w:vanish w:val="0"/>
        <w:color w:val="auto"/>
        <w:sz w:val="22"/>
      </w:rPr>
    </w:lvl>
    <w:lvl w:ilvl="2">
      <w:start w:val="1"/>
      <w:numFmt w:val="bullet"/>
      <w:lvlText w:val=""/>
      <w:lvlJc w:val="left"/>
      <w:pPr>
        <w:tabs>
          <w:tab w:val="num" w:pos="1656"/>
        </w:tabs>
        <w:ind w:left="1656" w:hanging="360"/>
      </w:pPr>
      <w:rPr>
        <w:rFonts w:ascii="Symbol" w:hAnsi="Symbol" w:hint="default"/>
        <w:b w:val="0"/>
        <w:i w:val="0"/>
        <w:vanish w:val="0"/>
        <w:color w:val="auto"/>
        <w:sz w:val="22"/>
      </w:rPr>
    </w:lvl>
    <w:lvl w:ilvl="3">
      <w:start w:val="1"/>
      <w:numFmt w:val="bullet"/>
      <w:lvlText w:val="–"/>
      <w:lvlJc w:val="left"/>
      <w:pPr>
        <w:tabs>
          <w:tab w:val="num" w:pos="2016"/>
        </w:tabs>
        <w:ind w:left="2016" w:hanging="360"/>
      </w:pPr>
      <w:rPr>
        <w:rFonts w:ascii="Calibri" w:hAnsi="Calibri" w:hint="default"/>
        <w:b w:val="0"/>
        <w:i w:val="0"/>
        <w:vanish w:val="0"/>
        <w:color w:val="auto"/>
        <w:sz w:val="22"/>
      </w:rPr>
    </w:lvl>
    <w:lvl w:ilvl="4">
      <w:start w:val="1"/>
      <w:numFmt w:val="bullet"/>
      <w:lvlText w:val=""/>
      <w:lvlJc w:val="left"/>
      <w:pPr>
        <w:tabs>
          <w:tab w:val="num" w:pos="2715"/>
        </w:tabs>
        <w:ind w:left="2715" w:hanging="283"/>
      </w:pPr>
      <w:rPr>
        <w:rFonts w:ascii="Symbol" w:hAnsi="Symbol" w:hint="default"/>
        <w:b w:val="0"/>
        <w:i w:val="0"/>
        <w:vanish w:val="0"/>
        <w:color w:val="auto"/>
        <w:sz w:val="22"/>
      </w:rPr>
    </w:lvl>
    <w:lvl w:ilvl="5">
      <w:start w:val="1"/>
      <w:numFmt w:val="bullet"/>
      <w:lvlText w:val=""/>
      <w:lvlJc w:val="left"/>
      <w:pPr>
        <w:tabs>
          <w:tab w:val="num" w:pos="2999"/>
        </w:tabs>
        <w:ind w:left="2999" w:hanging="284"/>
      </w:pPr>
      <w:rPr>
        <w:rFonts w:ascii="Symbol" w:hAnsi="Symbol" w:hint="default"/>
        <w:b w:val="0"/>
        <w:i w:val="0"/>
        <w:vanish w:val="0"/>
        <w:color w:val="auto"/>
        <w:sz w:val="22"/>
      </w:rPr>
    </w:lvl>
    <w:lvl w:ilvl="6">
      <w:start w:val="1"/>
      <w:numFmt w:val="bullet"/>
      <w:lvlText w:val=""/>
      <w:lvlJc w:val="left"/>
      <w:pPr>
        <w:tabs>
          <w:tab w:val="num" w:pos="3282"/>
        </w:tabs>
        <w:ind w:left="3282" w:hanging="283"/>
      </w:pPr>
      <w:rPr>
        <w:rFonts w:ascii="Symbol" w:hAnsi="Symbol" w:hint="default"/>
        <w:b w:val="0"/>
        <w:i w:val="0"/>
        <w:vanish w:val="0"/>
        <w:color w:val="auto"/>
        <w:sz w:val="22"/>
      </w:rPr>
    </w:lvl>
    <w:lvl w:ilvl="7">
      <w:start w:val="1"/>
      <w:numFmt w:val="bullet"/>
      <w:lvlText w:val=""/>
      <w:lvlJc w:val="left"/>
      <w:pPr>
        <w:tabs>
          <w:tab w:val="num" w:pos="3566"/>
        </w:tabs>
        <w:ind w:left="3566" w:hanging="284"/>
      </w:pPr>
      <w:rPr>
        <w:rFonts w:ascii="Symbol" w:hAnsi="Symbol" w:hint="default"/>
        <w:b w:val="0"/>
        <w:i w:val="0"/>
        <w:vanish w:val="0"/>
        <w:color w:val="auto"/>
        <w:sz w:val="22"/>
      </w:rPr>
    </w:lvl>
    <w:lvl w:ilvl="8">
      <w:start w:val="1"/>
      <w:numFmt w:val="bullet"/>
      <w:lvlText w:val=""/>
      <w:lvlJc w:val="left"/>
      <w:pPr>
        <w:tabs>
          <w:tab w:val="num" w:pos="3849"/>
        </w:tabs>
        <w:ind w:left="3849" w:hanging="283"/>
      </w:pPr>
      <w:rPr>
        <w:rFonts w:ascii="Symbol" w:hAnsi="Symbol" w:hint="default"/>
        <w:b w:val="0"/>
        <w:i w:val="0"/>
        <w:vanish w:val="0"/>
        <w:color w:val="auto"/>
        <w:sz w:val="22"/>
      </w:rPr>
    </w:lvl>
  </w:abstractNum>
  <w:abstractNum w:abstractNumId="8" w15:restartNumberingAfterBreak="0">
    <w:nsid w:val="45755EC7"/>
    <w:multiLevelType w:val="hybridMultilevel"/>
    <w:tmpl w:val="6736F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11784F"/>
    <w:multiLevelType w:val="hybridMultilevel"/>
    <w:tmpl w:val="65224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F3311F"/>
    <w:multiLevelType w:val="hybridMultilevel"/>
    <w:tmpl w:val="447CD240"/>
    <w:lvl w:ilvl="0" w:tplc="44E80F74">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367402"/>
    <w:multiLevelType w:val="hybridMultilevel"/>
    <w:tmpl w:val="6E52C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0D5CDA"/>
    <w:multiLevelType w:val="hybridMultilevel"/>
    <w:tmpl w:val="ABA8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1F4A28"/>
    <w:multiLevelType w:val="hybridMultilevel"/>
    <w:tmpl w:val="5C1CF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7B6FAB"/>
    <w:multiLevelType w:val="hybridMultilevel"/>
    <w:tmpl w:val="90582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9B0107"/>
    <w:multiLevelType w:val="hybridMultilevel"/>
    <w:tmpl w:val="368C2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997A2E"/>
    <w:multiLevelType w:val="hybridMultilevel"/>
    <w:tmpl w:val="F94A4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D73DD2"/>
    <w:multiLevelType w:val="hybridMultilevel"/>
    <w:tmpl w:val="CC88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366221"/>
    <w:multiLevelType w:val="hybridMultilevel"/>
    <w:tmpl w:val="9F029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2B382B"/>
    <w:multiLevelType w:val="multilevel"/>
    <w:tmpl w:val="21CE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8A209F"/>
    <w:multiLevelType w:val="hybridMultilevel"/>
    <w:tmpl w:val="52EED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8A2B1C"/>
    <w:multiLevelType w:val="hybridMultilevel"/>
    <w:tmpl w:val="F476E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D44514"/>
    <w:multiLevelType w:val="multilevel"/>
    <w:tmpl w:val="C68C7B46"/>
    <w:lvl w:ilvl="0">
      <w:start w:val="1"/>
      <w:numFmt w:val="decimal"/>
      <w:pStyle w:val="Listnum"/>
      <w:lvlText w:val="%1."/>
      <w:lvlJc w:val="left"/>
      <w:pPr>
        <w:tabs>
          <w:tab w:val="num" w:pos="646"/>
        </w:tabs>
        <w:ind w:left="646" w:hanging="504"/>
      </w:pPr>
      <w:rPr>
        <w:rFonts w:hint="default"/>
      </w:rPr>
    </w:lvl>
    <w:lvl w:ilvl="1">
      <w:start w:val="1"/>
      <w:numFmt w:val="lowerLetter"/>
      <w:pStyle w:val="Listnum2"/>
      <w:lvlText w:val="(%2)"/>
      <w:lvlJc w:val="left"/>
      <w:pPr>
        <w:tabs>
          <w:tab w:val="num" w:pos="1008"/>
        </w:tabs>
        <w:ind w:left="1008" w:hanging="504"/>
      </w:pPr>
      <w:rPr>
        <w:rFonts w:hint="default"/>
      </w:rPr>
    </w:lvl>
    <w:lvl w:ilvl="2">
      <w:start w:val="1"/>
      <w:numFmt w:val="lowerRoman"/>
      <w:pStyle w:val="Listnum3"/>
      <w:lvlText w:val="(%3)"/>
      <w:lvlJc w:val="left"/>
      <w:pPr>
        <w:tabs>
          <w:tab w:val="num" w:pos="1512"/>
        </w:tabs>
        <w:ind w:left="1512" w:hanging="504"/>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7"/>
  </w:num>
  <w:num w:numId="2">
    <w:abstractNumId w:val="22"/>
  </w:num>
  <w:num w:numId="3">
    <w:abstractNumId w:val="2"/>
  </w:num>
  <w:num w:numId="4">
    <w:abstractNumId w:val="6"/>
  </w:num>
  <w:num w:numId="5">
    <w:abstractNumId w:val="1"/>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22"/>
  </w:num>
  <w:num w:numId="15">
    <w:abstractNumId w:val="22"/>
  </w:num>
  <w:num w:numId="16">
    <w:abstractNumId w:val="22"/>
  </w:num>
  <w:num w:numId="17">
    <w:abstractNumId w:val="22"/>
  </w:num>
  <w:num w:numId="18">
    <w:abstractNumId w:val="22"/>
  </w:num>
  <w:num w:numId="19">
    <w:abstractNumId w:val="22"/>
  </w:num>
  <w:num w:numId="20">
    <w:abstractNumId w:val="22"/>
  </w:num>
  <w:num w:numId="21">
    <w:abstractNumId w:val="17"/>
  </w:num>
  <w:num w:numId="22">
    <w:abstractNumId w:val="22"/>
  </w:num>
  <w:num w:numId="23">
    <w:abstractNumId w:val="22"/>
  </w:num>
  <w:num w:numId="24">
    <w:abstractNumId w:val="22"/>
  </w:num>
  <w:num w:numId="25">
    <w:abstractNumId w:val="22"/>
  </w:num>
  <w:num w:numId="26">
    <w:abstractNumId w:val="22"/>
  </w:num>
  <w:num w:numId="27">
    <w:abstractNumId w:val="19"/>
  </w:num>
  <w:num w:numId="28">
    <w:abstractNumId w:val="22"/>
  </w:num>
  <w:num w:numId="29">
    <w:abstractNumId w:val="18"/>
  </w:num>
  <w:num w:numId="30">
    <w:abstractNumId w:val="16"/>
  </w:num>
  <w:num w:numId="31">
    <w:abstractNumId w:val="22"/>
  </w:num>
  <w:num w:numId="32">
    <w:abstractNumId w:val="22"/>
  </w:num>
  <w:num w:numId="33">
    <w:abstractNumId w:val="22"/>
  </w:num>
  <w:num w:numId="34">
    <w:abstractNumId w:val="22"/>
  </w:num>
  <w:num w:numId="35">
    <w:abstractNumId w:val="22"/>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4"/>
  </w:num>
  <w:num w:numId="42">
    <w:abstractNumId w:val="0"/>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5"/>
  </w:num>
  <w:num w:numId="46">
    <w:abstractNumId w:val="20"/>
  </w:num>
  <w:num w:numId="47">
    <w:abstractNumId w:val="13"/>
  </w:num>
  <w:num w:numId="48">
    <w:abstractNumId w:val="21"/>
  </w:num>
  <w:num w:numId="49">
    <w:abstractNumId w:val="8"/>
  </w:num>
  <w:num w:numId="50">
    <w:abstractNumId w:val="11"/>
  </w:num>
  <w:num w:numId="51">
    <w:abstractNumId w:val="12"/>
  </w:num>
  <w:num w:numId="52">
    <w:abstractNumId w:val="4"/>
  </w:num>
  <w:num w:numId="53">
    <w:abstractNumId w:val="15"/>
  </w:num>
  <w:num w:numId="54">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BEE"/>
    <w:rsid w:val="00000EB1"/>
    <w:rsid w:val="00007EEA"/>
    <w:rsid w:val="00012F6F"/>
    <w:rsid w:val="00014213"/>
    <w:rsid w:val="00014B55"/>
    <w:rsid w:val="0001750A"/>
    <w:rsid w:val="00017DBB"/>
    <w:rsid w:val="0002086B"/>
    <w:rsid w:val="00020E3E"/>
    <w:rsid w:val="00022011"/>
    <w:rsid w:val="00023BF3"/>
    <w:rsid w:val="00026811"/>
    <w:rsid w:val="00030C5E"/>
    <w:rsid w:val="00030CFA"/>
    <w:rsid w:val="00040F3B"/>
    <w:rsid w:val="0004142E"/>
    <w:rsid w:val="0004356D"/>
    <w:rsid w:val="00044512"/>
    <w:rsid w:val="00045296"/>
    <w:rsid w:val="00045591"/>
    <w:rsid w:val="00046255"/>
    <w:rsid w:val="0004677F"/>
    <w:rsid w:val="00046B37"/>
    <w:rsid w:val="0005037D"/>
    <w:rsid w:val="00050F87"/>
    <w:rsid w:val="000601D8"/>
    <w:rsid w:val="00075E6C"/>
    <w:rsid w:val="0007793C"/>
    <w:rsid w:val="000779A5"/>
    <w:rsid w:val="0008028C"/>
    <w:rsid w:val="00082F1F"/>
    <w:rsid w:val="00083704"/>
    <w:rsid w:val="000871F5"/>
    <w:rsid w:val="000872D8"/>
    <w:rsid w:val="00091154"/>
    <w:rsid w:val="0009232C"/>
    <w:rsid w:val="00093BA9"/>
    <w:rsid w:val="000963A6"/>
    <w:rsid w:val="000A0805"/>
    <w:rsid w:val="000A212F"/>
    <w:rsid w:val="000A346C"/>
    <w:rsid w:val="000A3514"/>
    <w:rsid w:val="000A57E7"/>
    <w:rsid w:val="000A77EA"/>
    <w:rsid w:val="000B29AD"/>
    <w:rsid w:val="000B681F"/>
    <w:rsid w:val="000B6919"/>
    <w:rsid w:val="000B7E3F"/>
    <w:rsid w:val="000C0860"/>
    <w:rsid w:val="000C6372"/>
    <w:rsid w:val="000C740F"/>
    <w:rsid w:val="000D3085"/>
    <w:rsid w:val="000D4488"/>
    <w:rsid w:val="000E1DE8"/>
    <w:rsid w:val="000E392D"/>
    <w:rsid w:val="000E6505"/>
    <w:rsid w:val="000F2BC8"/>
    <w:rsid w:val="000F4288"/>
    <w:rsid w:val="000F531E"/>
    <w:rsid w:val="000F59D3"/>
    <w:rsid w:val="000F7165"/>
    <w:rsid w:val="000F755A"/>
    <w:rsid w:val="00100C1D"/>
    <w:rsid w:val="00100EB7"/>
    <w:rsid w:val="00100ED1"/>
    <w:rsid w:val="00102379"/>
    <w:rsid w:val="00104D10"/>
    <w:rsid w:val="001052DD"/>
    <w:rsid w:val="001065D6"/>
    <w:rsid w:val="001067F7"/>
    <w:rsid w:val="00116167"/>
    <w:rsid w:val="00121252"/>
    <w:rsid w:val="001224DB"/>
    <w:rsid w:val="0012267B"/>
    <w:rsid w:val="00123F10"/>
    <w:rsid w:val="00124609"/>
    <w:rsid w:val="001249AA"/>
    <w:rsid w:val="00124B6F"/>
    <w:rsid w:val="001254CE"/>
    <w:rsid w:val="00126AE2"/>
    <w:rsid w:val="00134CEA"/>
    <w:rsid w:val="00135D5D"/>
    <w:rsid w:val="001361A3"/>
    <w:rsid w:val="001366E4"/>
    <w:rsid w:val="001422CC"/>
    <w:rsid w:val="0014288F"/>
    <w:rsid w:val="001437BD"/>
    <w:rsid w:val="00145F69"/>
    <w:rsid w:val="00153056"/>
    <w:rsid w:val="00153A24"/>
    <w:rsid w:val="00160B34"/>
    <w:rsid w:val="001617B6"/>
    <w:rsid w:val="00164754"/>
    <w:rsid w:val="001650A4"/>
    <w:rsid w:val="0016569C"/>
    <w:rsid w:val="00165E66"/>
    <w:rsid w:val="00167194"/>
    <w:rsid w:val="0016772D"/>
    <w:rsid w:val="0017324D"/>
    <w:rsid w:val="00173393"/>
    <w:rsid w:val="0017700E"/>
    <w:rsid w:val="00181438"/>
    <w:rsid w:val="00182F03"/>
    <w:rsid w:val="00187695"/>
    <w:rsid w:val="00187FC1"/>
    <w:rsid w:val="00194645"/>
    <w:rsid w:val="001963D6"/>
    <w:rsid w:val="0019644A"/>
    <w:rsid w:val="001969F8"/>
    <w:rsid w:val="001A25AC"/>
    <w:rsid w:val="001A358E"/>
    <w:rsid w:val="001A517F"/>
    <w:rsid w:val="001A610F"/>
    <w:rsid w:val="001A6AC9"/>
    <w:rsid w:val="001A7983"/>
    <w:rsid w:val="001B30BA"/>
    <w:rsid w:val="001B4278"/>
    <w:rsid w:val="001B5B64"/>
    <w:rsid w:val="001C002C"/>
    <w:rsid w:val="001C23DD"/>
    <w:rsid w:val="001C7879"/>
    <w:rsid w:val="001C7BAE"/>
    <w:rsid w:val="001D0548"/>
    <w:rsid w:val="001D0B77"/>
    <w:rsid w:val="001D2D77"/>
    <w:rsid w:val="001D3B1E"/>
    <w:rsid w:val="001D446C"/>
    <w:rsid w:val="001D5591"/>
    <w:rsid w:val="001E31FA"/>
    <w:rsid w:val="001E5128"/>
    <w:rsid w:val="001E64F6"/>
    <w:rsid w:val="001E7C2D"/>
    <w:rsid w:val="001F0269"/>
    <w:rsid w:val="001F0800"/>
    <w:rsid w:val="001F43FC"/>
    <w:rsid w:val="001F5248"/>
    <w:rsid w:val="001F58E5"/>
    <w:rsid w:val="00213477"/>
    <w:rsid w:val="00216DA5"/>
    <w:rsid w:val="00222BEB"/>
    <w:rsid w:val="002234B1"/>
    <w:rsid w:val="00224548"/>
    <w:rsid w:val="002247C4"/>
    <w:rsid w:val="00225E60"/>
    <w:rsid w:val="00230177"/>
    <w:rsid w:val="002303D0"/>
    <w:rsid w:val="0023202C"/>
    <w:rsid w:val="0023405E"/>
    <w:rsid w:val="00234188"/>
    <w:rsid w:val="00235D3C"/>
    <w:rsid w:val="00236203"/>
    <w:rsid w:val="002417BB"/>
    <w:rsid w:val="00242E4C"/>
    <w:rsid w:val="002447C4"/>
    <w:rsid w:val="00244958"/>
    <w:rsid w:val="00245043"/>
    <w:rsid w:val="0024536B"/>
    <w:rsid w:val="00250663"/>
    <w:rsid w:val="00251061"/>
    <w:rsid w:val="00251F45"/>
    <w:rsid w:val="00253F6F"/>
    <w:rsid w:val="00257760"/>
    <w:rsid w:val="00257875"/>
    <w:rsid w:val="00261799"/>
    <w:rsid w:val="0026344E"/>
    <w:rsid w:val="00263D73"/>
    <w:rsid w:val="00264BF9"/>
    <w:rsid w:val="00265D91"/>
    <w:rsid w:val="00266402"/>
    <w:rsid w:val="00272AB2"/>
    <w:rsid w:val="00272E66"/>
    <w:rsid w:val="00273022"/>
    <w:rsid w:val="0028599C"/>
    <w:rsid w:val="00287160"/>
    <w:rsid w:val="00292D36"/>
    <w:rsid w:val="00292D5C"/>
    <w:rsid w:val="002944FB"/>
    <w:rsid w:val="00297189"/>
    <w:rsid w:val="00297281"/>
    <w:rsid w:val="00297F1A"/>
    <w:rsid w:val="002A1562"/>
    <w:rsid w:val="002A5181"/>
    <w:rsid w:val="002B0D2A"/>
    <w:rsid w:val="002B6214"/>
    <w:rsid w:val="002B7E7A"/>
    <w:rsid w:val="002C05BB"/>
    <w:rsid w:val="002C4E35"/>
    <w:rsid w:val="002C54E0"/>
    <w:rsid w:val="002C57B1"/>
    <w:rsid w:val="002C729E"/>
    <w:rsid w:val="002C798F"/>
    <w:rsid w:val="002D250D"/>
    <w:rsid w:val="002D405F"/>
    <w:rsid w:val="002D57A4"/>
    <w:rsid w:val="002D711A"/>
    <w:rsid w:val="002D7336"/>
    <w:rsid w:val="002D7835"/>
    <w:rsid w:val="002E1C6F"/>
    <w:rsid w:val="002E3396"/>
    <w:rsid w:val="002F1BCD"/>
    <w:rsid w:val="002F3739"/>
    <w:rsid w:val="002F41E1"/>
    <w:rsid w:val="002F6F96"/>
    <w:rsid w:val="002F7B8F"/>
    <w:rsid w:val="00301B2F"/>
    <w:rsid w:val="00306DE0"/>
    <w:rsid w:val="003072AB"/>
    <w:rsid w:val="0031149C"/>
    <w:rsid w:val="003123A0"/>
    <w:rsid w:val="003132A0"/>
    <w:rsid w:val="00313AD6"/>
    <w:rsid w:val="00320DC7"/>
    <w:rsid w:val="00323715"/>
    <w:rsid w:val="003249A5"/>
    <w:rsid w:val="00325058"/>
    <w:rsid w:val="00330709"/>
    <w:rsid w:val="00331EA7"/>
    <w:rsid w:val="00332074"/>
    <w:rsid w:val="00332DC0"/>
    <w:rsid w:val="003375FD"/>
    <w:rsid w:val="00340DB6"/>
    <w:rsid w:val="00341AC4"/>
    <w:rsid w:val="003443E0"/>
    <w:rsid w:val="00345195"/>
    <w:rsid w:val="003468E1"/>
    <w:rsid w:val="003500D9"/>
    <w:rsid w:val="00351AEB"/>
    <w:rsid w:val="0035364C"/>
    <w:rsid w:val="00362FAF"/>
    <w:rsid w:val="00365906"/>
    <w:rsid w:val="00365973"/>
    <w:rsid w:val="003666F6"/>
    <w:rsid w:val="0036783D"/>
    <w:rsid w:val="00373DF6"/>
    <w:rsid w:val="003746F6"/>
    <w:rsid w:val="00375D52"/>
    <w:rsid w:val="00381121"/>
    <w:rsid w:val="00382156"/>
    <w:rsid w:val="00384780"/>
    <w:rsid w:val="0038771C"/>
    <w:rsid w:val="00387BC4"/>
    <w:rsid w:val="0039260F"/>
    <w:rsid w:val="0039405B"/>
    <w:rsid w:val="00397978"/>
    <w:rsid w:val="003A1C92"/>
    <w:rsid w:val="003A2813"/>
    <w:rsid w:val="003A51A1"/>
    <w:rsid w:val="003A541A"/>
    <w:rsid w:val="003A6637"/>
    <w:rsid w:val="003A6923"/>
    <w:rsid w:val="003A756C"/>
    <w:rsid w:val="003B03B7"/>
    <w:rsid w:val="003B3948"/>
    <w:rsid w:val="003B6067"/>
    <w:rsid w:val="003C154A"/>
    <w:rsid w:val="003C2C67"/>
    <w:rsid w:val="003C344A"/>
    <w:rsid w:val="003C4BD7"/>
    <w:rsid w:val="003C5070"/>
    <w:rsid w:val="003C5509"/>
    <w:rsid w:val="003C5BA4"/>
    <w:rsid w:val="003C5EEE"/>
    <w:rsid w:val="003D0990"/>
    <w:rsid w:val="003D12CF"/>
    <w:rsid w:val="003D2483"/>
    <w:rsid w:val="003D7535"/>
    <w:rsid w:val="003E3934"/>
    <w:rsid w:val="003E3E26"/>
    <w:rsid w:val="003E4DEB"/>
    <w:rsid w:val="003E4DFB"/>
    <w:rsid w:val="003F1295"/>
    <w:rsid w:val="003F3CDA"/>
    <w:rsid w:val="003F4C16"/>
    <w:rsid w:val="003F76FC"/>
    <w:rsid w:val="003F7CAE"/>
    <w:rsid w:val="004002EB"/>
    <w:rsid w:val="00401BDD"/>
    <w:rsid w:val="00402615"/>
    <w:rsid w:val="00411672"/>
    <w:rsid w:val="0041689E"/>
    <w:rsid w:val="0042080D"/>
    <w:rsid w:val="0042262B"/>
    <w:rsid w:val="004236C8"/>
    <w:rsid w:val="00425A7B"/>
    <w:rsid w:val="00427681"/>
    <w:rsid w:val="00427F1E"/>
    <w:rsid w:val="00430832"/>
    <w:rsid w:val="00431E57"/>
    <w:rsid w:val="004332AF"/>
    <w:rsid w:val="00433DB7"/>
    <w:rsid w:val="004350F1"/>
    <w:rsid w:val="004440B8"/>
    <w:rsid w:val="004450C0"/>
    <w:rsid w:val="00446F4C"/>
    <w:rsid w:val="00450AB0"/>
    <w:rsid w:val="00453015"/>
    <w:rsid w:val="00453750"/>
    <w:rsid w:val="00454769"/>
    <w:rsid w:val="00456941"/>
    <w:rsid w:val="00457419"/>
    <w:rsid w:val="00463EF0"/>
    <w:rsid w:val="004702EA"/>
    <w:rsid w:val="00472FEA"/>
    <w:rsid w:val="0047446E"/>
    <w:rsid w:val="00481279"/>
    <w:rsid w:val="00481F53"/>
    <w:rsid w:val="00482D02"/>
    <w:rsid w:val="00482DF2"/>
    <w:rsid w:val="00485117"/>
    <w:rsid w:val="004865D7"/>
    <w:rsid w:val="00492BB9"/>
    <w:rsid w:val="00492CCD"/>
    <w:rsid w:val="0049400F"/>
    <w:rsid w:val="0049568A"/>
    <w:rsid w:val="00496A6E"/>
    <w:rsid w:val="004A0651"/>
    <w:rsid w:val="004A1D58"/>
    <w:rsid w:val="004A7519"/>
    <w:rsid w:val="004A77BC"/>
    <w:rsid w:val="004B281B"/>
    <w:rsid w:val="004B42AE"/>
    <w:rsid w:val="004B6983"/>
    <w:rsid w:val="004C1960"/>
    <w:rsid w:val="004C27DB"/>
    <w:rsid w:val="004C605F"/>
    <w:rsid w:val="004D1902"/>
    <w:rsid w:val="004D3518"/>
    <w:rsid w:val="004D389C"/>
    <w:rsid w:val="004D62D6"/>
    <w:rsid w:val="004D7589"/>
    <w:rsid w:val="004D7BF6"/>
    <w:rsid w:val="004E014C"/>
    <w:rsid w:val="004E075D"/>
    <w:rsid w:val="004E09B0"/>
    <w:rsid w:val="004E5BC6"/>
    <w:rsid w:val="004E68F0"/>
    <w:rsid w:val="004E732A"/>
    <w:rsid w:val="004F176B"/>
    <w:rsid w:val="004F3469"/>
    <w:rsid w:val="004F43E1"/>
    <w:rsid w:val="004F5AE7"/>
    <w:rsid w:val="0050015E"/>
    <w:rsid w:val="00500412"/>
    <w:rsid w:val="00505FEB"/>
    <w:rsid w:val="005104D1"/>
    <w:rsid w:val="00510724"/>
    <w:rsid w:val="005126F7"/>
    <w:rsid w:val="005133D9"/>
    <w:rsid w:val="00514383"/>
    <w:rsid w:val="00517518"/>
    <w:rsid w:val="0052427D"/>
    <w:rsid w:val="00530577"/>
    <w:rsid w:val="00533CFC"/>
    <w:rsid w:val="00533F6C"/>
    <w:rsid w:val="0053416C"/>
    <w:rsid w:val="00535CCA"/>
    <w:rsid w:val="00540761"/>
    <w:rsid w:val="005417D6"/>
    <w:rsid w:val="00541C2F"/>
    <w:rsid w:val="005436DF"/>
    <w:rsid w:val="00543A16"/>
    <w:rsid w:val="005447E7"/>
    <w:rsid w:val="00547001"/>
    <w:rsid w:val="005473FC"/>
    <w:rsid w:val="00547F2B"/>
    <w:rsid w:val="005521ED"/>
    <w:rsid w:val="00563527"/>
    <w:rsid w:val="0056379C"/>
    <w:rsid w:val="00563BF9"/>
    <w:rsid w:val="0056429D"/>
    <w:rsid w:val="00564BEF"/>
    <w:rsid w:val="00570DC1"/>
    <w:rsid w:val="0057324D"/>
    <w:rsid w:val="0058124E"/>
    <w:rsid w:val="00584CBD"/>
    <w:rsid w:val="00585C1F"/>
    <w:rsid w:val="005875A3"/>
    <w:rsid w:val="00590638"/>
    <w:rsid w:val="0059128B"/>
    <w:rsid w:val="00592C47"/>
    <w:rsid w:val="00596A41"/>
    <w:rsid w:val="005A1964"/>
    <w:rsid w:val="005A19AF"/>
    <w:rsid w:val="005A1F74"/>
    <w:rsid w:val="005A3416"/>
    <w:rsid w:val="005A396A"/>
    <w:rsid w:val="005A4347"/>
    <w:rsid w:val="005A5721"/>
    <w:rsid w:val="005B27FE"/>
    <w:rsid w:val="005B344B"/>
    <w:rsid w:val="005B3ABB"/>
    <w:rsid w:val="005B7813"/>
    <w:rsid w:val="005C0CDE"/>
    <w:rsid w:val="005C1849"/>
    <w:rsid w:val="005C206B"/>
    <w:rsid w:val="005C3E6D"/>
    <w:rsid w:val="005C4717"/>
    <w:rsid w:val="005C4FF6"/>
    <w:rsid w:val="005D20C1"/>
    <w:rsid w:val="005D2B16"/>
    <w:rsid w:val="005D3F4A"/>
    <w:rsid w:val="005D4DFB"/>
    <w:rsid w:val="005D77CA"/>
    <w:rsid w:val="005E4748"/>
    <w:rsid w:val="005E4C08"/>
    <w:rsid w:val="005E669C"/>
    <w:rsid w:val="005E7710"/>
    <w:rsid w:val="005F0BD7"/>
    <w:rsid w:val="005F1F79"/>
    <w:rsid w:val="005F3801"/>
    <w:rsid w:val="005F575B"/>
    <w:rsid w:val="005F61DF"/>
    <w:rsid w:val="005F7D79"/>
    <w:rsid w:val="006023F9"/>
    <w:rsid w:val="00603178"/>
    <w:rsid w:val="00604063"/>
    <w:rsid w:val="00610559"/>
    <w:rsid w:val="00612FD7"/>
    <w:rsid w:val="00623FCB"/>
    <w:rsid w:val="006248E4"/>
    <w:rsid w:val="00625058"/>
    <w:rsid w:val="006274A3"/>
    <w:rsid w:val="00631814"/>
    <w:rsid w:val="00632C6B"/>
    <w:rsid w:val="006332F6"/>
    <w:rsid w:val="00633437"/>
    <w:rsid w:val="0063367A"/>
    <w:rsid w:val="00635B90"/>
    <w:rsid w:val="00636767"/>
    <w:rsid w:val="00641532"/>
    <w:rsid w:val="00642AA9"/>
    <w:rsid w:val="00645BDE"/>
    <w:rsid w:val="006511AC"/>
    <w:rsid w:val="006522D8"/>
    <w:rsid w:val="00652D4A"/>
    <w:rsid w:val="006534B2"/>
    <w:rsid w:val="0065615D"/>
    <w:rsid w:val="00657011"/>
    <w:rsid w:val="006573B7"/>
    <w:rsid w:val="00657476"/>
    <w:rsid w:val="0066026E"/>
    <w:rsid w:val="00660C09"/>
    <w:rsid w:val="00661B60"/>
    <w:rsid w:val="00662189"/>
    <w:rsid w:val="00663F12"/>
    <w:rsid w:val="00664FC3"/>
    <w:rsid w:val="006650B5"/>
    <w:rsid w:val="006651B1"/>
    <w:rsid w:val="00665778"/>
    <w:rsid w:val="0067321A"/>
    <w:rsid w:val="00673422"/>
    <w:rsid w:val="00674754"/>
    <w:rsid w:val="00675292"/>
    <w:rsid w:val="0067545E"/>
    <w:rsid w:val="00676540"/>
    <w:rsid w:val="00676591"/>
    <w:rsid w:val="0067759E"/>
    <w:rsid w:val="00680A8C"/>
    <w:rsid w:val="006814CC"/>
    <w:rsid w:val="00682428"/>
    <w:rsid w:val="00684501"/>
    <w:rsid w:val="006857E3"/>
    <w:rsid w:val="006917F9"/>
    <w:rsid w:val="00692B1C"/>
    <w:rsid w:val="0069465A"/>
    <w:rsid w:val="00694744"/>
    <w:rsid w:val="00694CB3"/>
    <w:rsid w:val="00695867"/>
    <w:rsid w:val="00696159"/>
    <w:rsid w:val="006A0096"/>
    <w:rsid w:val="006A0358"/>
    <w:rsid w:val="006A19DA"/>
    <w:rsid w:val="006A23FA"/>
    <w:rsid w:val="006A5892"/>
    <w:rsid w:val="006A5B34"/>
    <w:rsid w:val="006A77E7"/>
    <w:rsid w:val="006A7C6B"/>
    <w:rsid w:val="006B06A8"/>
    <w:rsid w:val="006B5733"/>
    <w:rsid w:val="006B70CA"/>
    <w:rsid w:val="006B7D16"/>
    <w:rsid w:val="006B7E8B"/>
    <w:rsid w:val="006C00C4"/>
    <w:rsid w:val="006C1B62"/>
    <w:rsid w:val="006C316C"/>
    <w:rsid w:val="006C328E"/>
    <w:rsid w:val="006C6874"/>
    <w:rsid w:val="006C77A9"/>
    <w:rsid w:val="006C7A32"/>
    <w:rsid w:val="006C7C97"/>
    <w:rsid w:val="006D261C"/>
    <w:rsid w:val="006D2FA0"/>
    <w:rsid w:val="006D4F31"/>
    <w:rsid w:val="006D519C"/>
    <w:rsid w:val="006D57AC"/>
    <w:rsid w:val="006F0E97"/>
    <w:rsid w:val="006F4D74"/>
    <w:rsid w:val="006F6693"/>
    <w:rsid w:val="006F7C5C"/>
    <w:rsid w:val="00705189"/>
    <w:rsid w:val="00705C39"/>
    <w:rsid w:val="00707FE8"/>
    <w:rsid w:val="00717639"/>
    <w:rsid w:val="00717AC3"/>
    <w:rsid w:val="0072001F"/>
    <w:rsid w:val="00721EBE"/>
    <w:rsid w:val="00724962"/>
    <w:rsid w:val="00724A0F"/>
    <w:rsid w:val="00725BEE"/>
    <w:rsid w:val="00726B45"/>
    <w:rsid w:val="007270BB"/>
    <w:rsid w:val="00730503"/>
    <w:rsid w:val="00732162"/>
    <w:rsid w:val="00734048"/>
    <w:rsid w:val="00736732"/>
    <w:rsid w:val="00736CC4"/>
    <w:rsid w:val="00740649"/>
    <w:rsid w:val="007424BE"/>
    <w:rsid w:val="00747470"/>
    <w:rsid w:val="00750CBE"/>
    <w:rsid w:val="00751C6C"/>
    <w:rsid w:val="007539EB"/>
    <w:rsid w:val="00753CBF"/>
    <w:rsid w:val="0075582C"/>
    <w:rsid w:val="00757A4F"/>
    <w:rsid w:val="00763502"/>
    <w:rsid w:val="007646CE"/>
    <w:rsid w:val="007648DE"/>
    <w:rsid w:val="00764AF8"/>
    <w:rsid w:val="007652FD"/>
    <w:rsid w:val="007666B7"/>
    <w:rsid w:val="00766B5A"/>
    <w:rsid w:val="007714CA"/>
    <w:rsid w:val="0077407D"/>
    <w:rsid w:val="00775386"/>
    <w:rsid w:val="00781ABE"/>
    <w:rsid w:val="0078241F"/>
    <w:rsid w:val="007834F2"/>
    <w:rsid w:val="0078417B"/>
    <w:rsid w:val="00784C45"/>
    <w:rsid w:val="0078590F"/>
    <w:rsid w:val="007859D8"/>
    <w:rsid w:val="00791020"/>
    <w:rsid w:val="00793FB4"/>
    <w:rsid w:val="00794410"/>
    <w:rsid w:val="00795784"/>
    <w:rsid w:val="00796D2A"/>
    <w:rsid w:val="00797694"/>
    <w:rsid w:val="00797942"/>
    <w:rsid w:val="007A1D79"/>
    <w:rsid w:val="007A1EE5"/>
    <w:rsid w:val="007A3D6A"/>
    <w:rsid w:val="007A49C2"/>
    <w:rsid w:val="007A5E1B"/>
    <w:rsid w:val="007A5F82"/>
    <w:rsid w:val="007B01FA"/>
    <w:rsid w:val="007B1CC9"/>
    <w:rsid w:val="007B7992"/>
    <w:rsid w:val="007C12E3"/>
    <w:rsid w:val="007C1D2E"/>
    <w:rsid w:val="007C225A"/>
    <w:rsid w:val="007C4C7B"/>
    <w:rsid w:val="007C776C"/>
    <w:rsid w:val="007D12C8"/>
    <w:rsid w:val="007D17FB"/>
    <w:rsid w:val="007D20AE"/>
    <w:rsid w:val="007D2F89"/>
    <w:rsid w:val="007D3A12"/>
    <w:rsid w:val="007D6D79"/>
    <w:rsid w:val="007D759B"/>
    <w:rsid w:val="007E0813"/>
    <w:rsid w:val="007E600C"/>
    <w:rsid w:val="007E6BD5"/>
    <w:rsid w:val="007F1890"/>
    <w:rsid w:val="007F1A4C"/>
    <w:rsid w:val="007F51B1"/>
    <w:rsid w:val="007F74AE"/>
    <w:rsid w:val="007F7FD7"/>
    <w:rsid w:val="0080034E"/>
    <w:rsid w:val="00800354"/>
    <w:rsid w:val="00800D5B"/>
    <w:rsid w:val="008022C3"/>
    <w:rsid w:val="008041E6"/>
    <w:rsid w:val="008060BC"/>
    <w:rsid w:val="008065D2"/>
    <w:rsid w:val="00810C37"/>
    <w:rsid w:val="008113F2"/>
    <w:rsid w:val="0081326F"/>
    <w:rsid w:val="00816BD2"/>
    <w:rsid w:val="00817061"/>
    <w:rsid w:val="00820981"/>
    <w:rsid w:val="0082194C"/>
    <w:rsid w:val="008220C4"/>
    <w:rsid w:val="008222FF"/>
    <w:rsid w:val="008241FF"/>
    <w:rsid w:val="00824E6D"/>
    <w:rsid w:val="00830639"/>
    <w:rsid w:val="00830E88"/>
    <w:rsid w:val="008344E6"/>
    <w:rsid w:val="00834B56"/>
    <w:rsid w:val="00837D34"/>
    <w:rsid w:val="008411E9"/>
    <w:rsid w:val="0084200F"/>
    <w:rsid w:val="00843B2C"/>
    <w:rsid w:val="008444E5"/>
    <w:rsid w:val="0084505B"/>
    <w:rsid w:val="00847C1D"/>
    <w:rsid w:val="00850579"/>
    <w:rsid w:val="008524C5"/>
    <w:rsid w:val="00861112"/>
    <w:rsid w:val="00862C40"/>
    <w:rsid w:val="00866912"/>
    <w:rsid w:val="00867A50"/>
    <w:rsid w:val="00873332"/>
    <w:rsid w:val="0087392F"/>
    <w:rsid w:val="00876ACD"/>
    <w:rsid w:val="008778E0"/>
    <w:rsid w:val="00884B2C"/>
    <w:rsid w:val="0088559D"/>
    <w:rsid w:val="00886295"/>
    <w:rsid w:val="00886693"/>
    <w:rsid w:val="008876FD"/>
    <w:rsid w:val="0089423F"/>
    <w:rsid w:val="008943B3"/>
    <w:rsid w:val="0089664D"/>
    <w:rsid w:val="008A0658"/>
    <w:rsid w:val="008A4900"/>
    <w:rsid w:val="008A6419"/>
    <w:rsid w:val="008A6F66"/>
    <w:rsid w:val="008A7390"/>
    <w:rsid w:val="008B03DB"/>
    <w:rsid w:val="008B1A24"/>
    <w:rsid w:val="008B252F"/>
    <w:rsid w:val="008B4C35"/>
    <w:rsid w:val="008B6FA5"/>
    <w:rsid w:val="008C0DF1"/>
    <w:rsid w:val="008C3004"/>
    <w:rsid w:val="008C4032"/>
    <w:rsid w:val="008C44D0"/>
    <w:rsid w:val="008C5A23"/>
    <w:rsid w:val="008D0281"/>
    <w:rsid w:val="008D3CA3"/>
    <w:rsid w:val="008D7F3D"/>
    <w:rsid w:val="008E19BE"/>
    <w:rsid w:val="008E26C1"/>
    <w:rsid w:val="008E3C4E"/>
    <w:rsid w:val="008E6069"/>
    <w:rsid w:val="008E75A2"/>
    <w:rsid w:val="008E7749"/>
    <w:rsid w:val="008F0EF6"/>
    <w:rsid w:val="008F6D45"/>
    <w:rsid w:val="0090296F"/>
    <w:rsid w:val="00902A20"/>
    <w:rsid w:val="0091029F"/>
    <w:rsid w:val="0091547E"/>
    <w:rsid w:val="00916A4C"/>
    <w:rsid w:val="00917A4A"/>
    <w:rsid w:val="009220C4"/>
    <w:rsid w:val="009225AF"/>
    <w:rsid w:val="009233FA"/>
    <w:rsid w:val="0092483A"/>
    <w:rsid w:val="00924E67"/>
    <w:rsid w:val="0092525D"/>
    <w:rsid w:val="00927F2B"/>
    <w:rsid w:val="00930D68"/>
    <w:rsid w:val="00931313"/>
    <w:rsid w:val="00935C88"/>
    <w:rsid w:val="00935E2C"/>
    <w:rsid w:val="00941674"/>
    <w:rsid w:val="00943EC5"/>
    <w:rsid w:val="00944F29"/>
    <w:rsid w:val="00945732"/>
    <w:rsid w:val="00946478"/>
    <w:rsid w:val="009472AF"/>
    <w:rsid w:val="00947F5D"/>
    <w:rsid w:val="0096177C"/>
    <w:rsid w:val="0097400B"/>
    <w:rsid w:val="009834C0"/>
    <w:rsid w:val="00986AAC"/>
    <w:rsid w:val="00987230"/>
    <w:rsid w:val="00990959"/>
    <w:rsid w:val="00993856"/>
    <w:rsid w:val="009956E3"/>
    <w:rsid w:val="00996CC8"/>
    <w:rsid w:val="00997675"/>
    <w:rsid w:val="009A01A0"/>
    <w:rsid w:val="009A1DA2"/>
    <w:rsid w:val="009A3704"/>
    <w:rsid w:val="009A4739"/>
    <w:rsid w:val="009A674F"/>
    <w:rsid w:val="009B199C"/>
    <w:rsid w:val="009B54C8"/>
    <w:rsid w:val="009B61F1"/>
    <w:rsid w:val="009B62E0"/>
    <w:rsid w:val="009C047B"/>
    <w:rsid w:val="009C2764"/>
    <w:rsid w:val="009C3D88"/>
    <w:rsid w:val="009C53C0"/>
    <w:rsid w:val="009D29F1"/>
    <w:rsid w:val="009D56CD"/>
    <w:rsid w:val="009E3858"/>
    <w:rsid w:val="009E4CF8"/>
    <w:rsid w:val="009E503A"/>
    <w:rsid w:val="009E70DD"/>
    <w:rsid w:val="009F10FA"/>
    <w:rsid w:val="009F23C9"/>
    <w:rsid w:val="009F2ED9"/>
    <w:rsid w:val="009F2FAA"/>
    <w:rsid w:val="009F3231"/>
    <w:rsid w:val="009F5BAD"/>
    <w:rsid w:val="009F5C58"/>
    <w:rsid w:val="009F5FFE"/>
    <w:rsid w:val="009F71A4"/>
    <w:rsid w:val="00A023A0"/>
    <w:rsid w:val="00A0358B"/>
    <w:rsid w:val="00A11524"/>
    <w:rsid w:val="00A12E23"/>
    <w:rsid w:val="00A1562B"/>
    <w:rsid w:val="00A170F4"/>
    <w:rsid w:val="00A1781C"/>
    <w:rsid w:val="00A20087"/>
    <w:rsid w:val="00A2559E"/>
    <w:rsid w:val="00A25FD9"/>
    <w:rsid w:val="00A33B2C"/>
    <w:rsid w:val="00A3593E"/>
    <w:rsid w:val="00A35A86"/>
    <w:rsid w:val="00A35DB5"/>
    <w:rsid w:val="00A423D5"/>
    <w:rsid w:val="00A46511"/>
    <w:rsid w:val="00A46BA8"/>
    <w:rsid w:val="00A472EF"/>
    <w:rsid w:val="00A47634"/>
    <w:rsid w:val="00A52BAC"/>
    <w:rsid w:val="00A53349"/>
    <w:rsid w:val="00A5482B"/>
    <w:rsid w:val="00A5599C"/>
    <w:rsid w:val="00A56D52"/>
    <w:rsid w:val="00A571EB"/>
    <w:rsid w:val="00A602D9"/>
    <w:rsid w:val="00A612FE"/>
    <w:rsid w:val="00A64298"/>
    <w:rsid w:val="00A6579E"/>
    <w:rsid w:val="00A7252D"/>
    <w:rsid w:val="00A75841"/>
    <w:rsid w:val="00A8009F"/>
    <w:rsid w:val="00A819EF"/>
    <w:rsid w:val="00A83BDA"/>
    <w:rsid w:val="00A845C2"/>
    <w:rsid w:val="00A87D69"/>
    <w:rsid w:val="00A91498"/>
    <w:rsid w:val="00A91E5A"/>
    <w:rsid w:val="00A93989"/>
    <w:rsid w:val="00A944E4"/>
    <w:rsid w:val="00A95510"/>
    <w:rsid w:val="00A95D58"/>
    <w:rsid w:val="00A967B2"/>
    <w:rsid w:val="00AA26B8"/>
    <w:rsid w:val="00AA2D91"/>
    <w:rsid w:val="00AA577A"/>
    <w:rsid w:val="00AB1B43"/>
    <w:rsid w:val="00AB3063"/>
    <w:rsid w:val="00AB3FE2"/>
    <w:rsid w:val="00AB4494"/>
    <w:rsid w:val="00AC26AF"/>
    <w:rsid w:val="00AD1192"/>
    <w:rsid w:val="00AD19E7"/>
    <w:rsid w:val="00AD1FEC"/>
    <w:rsid w:val="00AD2C02"/>
    <w:rsid w:val="00AD3322"/>
    <w:rsid w:val="00AD3FB3"/>
    <w:rsid w:val="00AD7723"/>
    <w:rsid w:val="00AD7E4E"/>
    <w:rsid w:val="00AE7779"/>
    <w:rsid w:val="00AF2211"/>
    <w:rsid w:val="00AF4D58"/>
    <w:rsid w:val="00AF4F99"/>
    <w:rsid w:val="00AF6666"/>
    <w:rsid w:val="00B0073A"/>
    <w:rsid w:val="00B01BA8"/>
    <w:rsid w:val="00B033AA"/>
    <w:rsid w:val="00B04045"/>
    <w:rsid w:val="00B047C6"/>
    <w:rsid w:val="00B07631"/>
    <w:rsid w:val="00B10154"/>
    <w:rsid w:val="00B10BD2"/>
    <w:rsid w:val="00B124AA"/>
    <w:rsid w:val="00B1418E"/>
    <w:rsid w:val="00B156F5"/>
    <w:rsid w:val="00B22C11"/>
    <w:rsid w:val="00B242C9"/>
    <w:rsid w:val="00B267CA"/>
    <w:rsid w:val="00B325E1"/>
    <w:rsid w:val="00B33918"/>
    <w:rsid w:val="00B342F4"/>
    <w:rsid w:val="00B45155"/>
    <w:rsid w:val="00B4517B"/>
    <w:rsid w:val="00B45EED"/>
    <w:rsid w:val="00B5522B"/>
    <w:rsid w:val="00B56C1B"/>
    <w:rsid w:val="00B6121D"/>
    <w:rsid w:val="00B61222"/>
    <w:rsid w:val="00B62768"/>
    <w:rsid w:val="00B62F2A"/>
    <w:rsid w:val="00B636BC"/>
    <w:rsid w:val="00B65138"/>
    <w:rsid w:val="00B6653A"/>
    <w:rsid w:val="00B66E48"/>
    <w:rsid w:val="00B74BD5"/>
    <w:rsid w:val="00B773FA"/>
    <w:rsid w:val="00B81B44"/>
    <w:rsid w:val="00B82824"/>
    <w:rsid w:val="00B83161"/>
    <w:rsid w:val="00B8531A"/>
    <w:rsid w:val="00B87AAD"/>
    <w:rsid w:val="00B9053B"/>
    <w:rsid w:val="00B907ED"/>
    <w:rsid w:val="00BA2981"/>
    <w:rsid w:val="00BB6CD3"/>
    <w:rsid w:val="00BB6FCA"/>
    <w:rsid w:val="00BC15D3"/>
    <w:rsid w:val="00BC3422"/>
    <w:rsid w:val="00BC4CEA"/>
    <w:rsid w:val="00BC5F1B"/>
    <w:rsid w:val="00BD1F75"/>
    <w:rsid w:val="00BD399A"/>
    <w:rsid w:val="00BD57B3"/>
    <w:rsid w:val="00BD5863"/>
    <w:rsid w:val="00BD67BF"/>
    <w:rsid w:val="00BE3A68"/>
    <w:rsid w:val="00BF5638"/>
    <w:rsid w:val="00BF6291"/>
    <w:rsid w:val="00C015B9"/>
    <w:rsid w:val="00C022F9"/>
    <w:rsid w:val="00C02851"/>
    <w:rsid w:val="00C032EA"/>
    <w:rsid w:val="00C05ABC"/>
    <w:rsid w:val="00C06EB5"/>
    <w:rsid w:val="00C1145F"/>
    <w:rsid w:val="00C147DA"/>
    <w:rsid w:val="00C15A88"/>
    <w:rsid w:val="00C25F5E"/>
    <w:rsid w:val="00C27246"/>
    <w:rsid w:val="00C30D7C"/>
    <w:rsid w:val="00C424C7"/>
    <w:rsid w:val="00C43A5B"/>
    <w:rsid w:val="00C454D8"/>
    <w:rsid w:val="00C46D2A"/>
    <w:rsid w:val="00C4793B"/>
    <w:rsid w:val="00C50523"/>
    <w:rsid w:val="00C5541B"/>
    <w:rsid w:val="00C57AFE"/>
    <w:rsid w:val="00C637E1"/>
    <w:rsid w:val="00C6647E"/>
    <w:rsid w:val="00C679C5"/>
    <w:rsid w:val="00C70D50"/>
    <w:rsid w:val="00C73B69"/>
    <w:rsid w:val="00C75641"/>
    <w:rsid w:val="00C76609"/>
    <w:rsid w:val="00C76944"/>
    <w:rsid w:val="00C77293"/>
    <w:rsid w:val="00C8018A"/>
    <w:rsid w:val="00C805DC"/>
    <w:rsid w:val="00C80FE6"/>
    <w:rsid w:val="00C861B2"/>
    <w:rsid w:val="00C86C8A"/>
    <w:rsid w:val="00C907D7"/>
    <w:rsid w:val="00C92338"/>
    <w:rsid w:val="00C925D4"/>
    <w:rsid w:val="00C956D2"/>
    <w:rsid w:val="00C95C06"/>
    <w:rsid w:val="00C963BA"/>
    <w:rsid w:val="00CA43E0"/>
    <w:rsid w:val="00CA724D"/>
    <w:rsid w:val="00CA7761"/>
    <w:rsid w:val="00CA78AB"/>
    <w:rsid w:val="00CA7C3A"/>
    <w:rsid w:val="00CB29F5"/>
    <w:rsid w:val="00CB4319"/>
    <w:rsid w:val="00CB4987"/>
    <w:rsid w:val="00CB679F"/>
    <w:rsid w:val="00CC16B7"/>
    <w:rsid w:val="00CC1ADA"/>
    <w:rsid w:val="00CC1AE0"/>
    <w:rsid w:val="00CC2DB2"/>
    <w:rsid w:val="00CC351D"/>
    <w:rsid w:val="00CC4CCE"/>
    <w:rsid w:val="00CC68F1"/>
    <w:rsid w:val="00CC71CC"/>
    <w:rsid w:val="00CD0307"/>
    <w:rsid w:val="00CD12A5"/>
    <w:rsid w:val="00CD351A"/>
    <w:rsid w:val="00CD3576"/>
    <w:rsid w:val="00CD3D1B"/>
    <w:rsid w:val="00CD4354"/>
    <w:rsid w:val="00CD7DB9"/>
    <w:rsid w:val="00CD7FA1"/>
    <w:rsid w:val="00CE5BBF"/>
    <w:rsid w:val="00CE6FB1"/>
    <w:rsid w:val="00CE789E"/>
    <w:rsid w:val="00CF2277"/>
    <w:rsid w:val="00CF5074"/>
    <w:rsid w:val="00CF7DCA"/>
    <w:rsid w:val="00D021D4"/>
    <w:rsid w:val="00D05CA0"/>
    <w:rsid w:val="00D06128"/>
    <w:rsid w:val="00D07DF9"/>
    <w:rsid w:val="00D1017E"/>
    <w:rsid w:val="00D13EE3"/>
    <w:rsid w:val="00D15537"/>
    <w:rsid w:val="00D1642C"/>
    <w:rsid w:val="00D17ADB"/>
    <w:rsid w:val="00D211E9"/>
    <w:rsid w:val="00D2312F"/>
    <w:rsid w:val="00D257A0"/>
    <w:rsid w:val="00D269C1"/>
    <w:rsid w:val="00D26BD2"/>
    <w:rsid w:val="00D26E21"/>
    <w:rsid w:val="00D27592"/>
    <w:rsid w:val="00D2777D"/>
    <w:rsid w:val="00D31015"/>
    <w:rsid w:val="00D33FEF"/>
    <w:rsid w:val="00D349BD"/>
    <w:rsid w:val="00D361B1"/>
    <w:rsid w:val="00D37EA9"/>
    <w:rsid w:val="00D44953"/>
    <w:rsid w:val="00D453F4"/>
    <w:rsid w:val="00D542F3"/>
    <w:rsid w:val="00D54F7B"/>
    <w:rsid w:val="00D5644B"/>
    <w:rsid w:val="00D567F1"/>
    <w:rsid w:val="00D56E25"/>
    <w:rsid w:val="00D63364"/>
    <w:rsid w:val="00D6464C"/>
    <w:rsid w:val="00D64A44"/>
    <w:rsid w:val="00D65335"/>
    <w:rsid w:val="00D71643"/>
    <w:rsid w:val="00D718D7"/>
    <w:rsid w:val="00D73FD2"/>
    <w:rsid w:val="00D74A4C"/>
    <w:rsid w:val="00D7640F"/>
    <w:rsid w:val="00D814B7"/>
    <w:rsid w:val="00D82D25"/>
    <w:rsid w:val="00D8426B"/>
    <w:rsid w:val="00D86E94"/>
    <w:rsid w:val="00D86EB3"/>
    <w:rsid w:val="00D87325"/>
    <w:rsid w:val="00D90688"/>
    <w:rsid w:val="00D9146D"/>
    <w:rsid w:val="00D94914"/>
    <w:rsid w:val="00D954A4"/>
    <w:rsid w:val="00D973E6"/>
    <w:rsid w:val="00DA36CF"/>
    <w:rsid w:val="00DA3AAD"/>
    <w:rsid w:val="00DA5067"/>
    <w:rsid w:val="00DA65E2"/>
    <w:rsid w:val="00DA7205"/>
    <w:rsid w:val="00DB3016"/>
    <w:rsid w:val="00DB312B"/>
    <w:rsid w:val="00DB319E"/>
    <w:rsid w:val="00DC25F6"/>
    <w:rsid w:val="00DC4870"/>
    <w:rsid w:val="00DC5654"/>
    <w:rsid w:val="00DC658F"/>
    <w:rsid w:val="00DD0F0E"/>
    <w:rsid w:val="00DD265A"/>
    <w:rsid w:val="00DD359A"/>
    <w:rsid w:val="00DD458B"/>
    <w:rsid w:val="00DD4D9C"/>
    <w:rsid w:val="00DD570A"/>
    <w:rsid w:val="00DD59D3"/>
    <w:rsid w:val="00DD59E0"/>
    <w:rsid w:val="00DE2C67"/>
    <w:rsid w:val="00DE340A"/>
    <w:rsid w:val="00DE3681"/>
    <w:rsid w:val="00DE48FA"/>
    <w:rsid w:val="00DE60CC"/>
    <w:rsid w:val="00DE6ED5"/>
    <w:rsid w:val="00DE7159"/>
    <w:rsid w:val="00DE77BE"/>
    <w:rsid w:val="00DE7FEE"/>
    <w:rsid w:val="00DF0D9B"/>
    <w:rsid w:val="00DF0F9B"/>
    <w:rsid w:val="00DF197A"/>
    <w:rsid w:val="00E008F9"/>
    <w:rsid w:val="00E0217B"/>
    <w:rsid w:val="00E03E45"/>
    <w:rsid w:val="00E04496"/>
    <w:rsid w:val="00E0732D"/>
    <w:rsid w:val="00E128D8"/>
    <w:rsid w:val="00E2026C"/>
    <w:rsid w:val="00E259C3"/>
    <w:rsid w:val="00E26B32"/>
    <w:rsid w:val="00E27138"/>
    <w:rsid w:val="00E32372"/>
    <w:rsid w:val="00E3262A"/>
    <w:rsid w:val="00E32853"/>
    <w:rsid w:val="00E407B6"/>
    <w:rsid w:val="00E40BF2"/>
    <w:rsid w:val="00E41EF1"/>
    <w:rsid w:val="00E42942"/>
    <w:rsid w:val="00E43F60"/>
    <w:rsid w:val="00E44A5D"/>
    <w:rsid w:val="00E468A6"/>
    <w:rsid w:val="00E46FFE"/>
    <w:rsid w:val="00E519AA"/>
    <w:rsid w:val="00E55D67"/>
    <w:rsid w:val="00E5675B"/>
    <w:rsid w:val="00E62CD5"/>
    <w:rsid w:val="00E63AA7"/>
    <w:rsid w:val="00E6494C"/>
    <w:rsid w:val="00E65229"/>
    <w:rsid w:val="00E71B5D"/>
    <w:rsid w:val="00E71BDF"/>
    <w:rsid w:val="00E73D0B"/>
    <w:rsid w:val="00E74555"/>
    <w:rsid w:val="00E75A13"/>
    <w:rsid w:val="00E77ECE"/>
    <w:rsid w:val="00E814B4"/>
    <w:rsid w:val="00E83CA7"/>
    <w:rsid w:val="00E85086"/>
    <w:rsid w:val="00E854F7"/>
    <w:rsid w:val="00E85FAC"/>
    <w:rsid w:val="00E93CCC"/>
    <w:rsid w:val="00E962AA"/>
    <w:rsid w:val="00EA0930"/>
    <w:rsid w:val="00EA0F3D"/>
    <w:rsid w:val="00EA1EE5"/>
    <w:rsid w:val="00EA339C"/>
    <w:rsid w:val="00EB5F9E"/>
    <w:rsid w:val="00EB620F"/>
    <w:rsid w:val="00EB6891"/>
    <w:rsid w:val="00EC171D"/>
    <w:rsid w:val="00EC29E4"/>
    <w:rsid w:val="00EC4696"/>
    <w:rsid w:val="00EC50D0"/>
    <w:rsid w:val="00EC66C9"/>
    <w:rsid w:val="00ED1CD6"/>
    <w:rsid w:val="00ED22C0"/>
    <w:rsid w:val="00ED30CD"/>
    <w:rsid w:val="00ED487E"/>
    <w:rsid w:val="00ED7E6D"/>
    <w:rsid w:val="00EE03BA"/>
    <w:rsid w:val="00EE3BB2"/>
    <w:rsid w:val="00EE3F77"/>
    <w:rsid w:val="00EE4224"/>
    <w:rsid w:val="00EE43DC"/>
    <w:rsid w:val="00EE6D0D"/>
    <w:rsid w:val="00EE7A0D"/>
    <w:rsid w:val="00EF16C1"/>
    <w:rsid w:val="00EF3999"/>
    <w:rsid w:val="00EF3BFF"/>
    <w:rsid w:val="00EF5A29"/>
    <w:rsid w:val="00EF6245"/>
    <w:rsid w:val="00F00617"/>
    <w:rsid w:val="00F04658"/>
    <w:rsid w:val="00F0492F"/>
    <w:rsid w:val="00F060F1"/>
    <w:rsid w:val="00F06A89"/>
    <w:rsid w:val="00F151BF"/>
    <w:rsid w:val="00F17CE1"/>
    <w:rsid w:val="00F20600"/>
    <w:rsid w:val="00F20ADB"/>
    <w:rsid w:val="00F2115C"/>
    <w:rsid w:val="00F21D7C"/>
    <w:rsid w:val="00F225D6"/>
    <w:rsid w:val="00F22ABA"/>
    <w:rsid w:val="00F2356C"/>
    <w:rsid w:val="00F23C0F"/>
    <w:rsid w:val="00F25A11"/>
    <w:rsid w:val="00F266E7"/>
    <w:rsid w:val="00F27951"/>
    <w:rsid w:val="00F30A84"/>
    <w:rsid w:val="00F3115B"/>
    <w:rsid w:val="00F3182B"/>
    <w:rsid w:val="00F31884"/>
    <w:rsid w:val="00F33795"/>
    <w:rsid w:val="00F35A78"/>
    <w:rsid w:val="00F36583"/>
    <w:rsid w:val="00F36B12"/>
    <w:rsid w:val="00F4077D"/>
    <w:rsid w:val="00F42BF7"/>
    <w:rsid w:val="00F43EF5"/>
    <w:rsid w:val="00F4528B"/>
    <w:rsid w:val="00F4752B"/>
    <w:rsid w:val="00F55AF5"/>
    <w:rsid w:val="00F60331"/>
    <w:rsid w:val="00F60F9F"/>
    <w:rsid w:val="00F61321"/>
    <w:rsid w:val="00F64F08"/>
    <w:rsid w:val="00F6527C"/>
    <w:rsid w:val="00F653CC"/>
    <w:rsid w:val="00F7179D"/>
    <w:rsid w:val="00F72F32"/>
    <w:rsid w:val="00F734F5"/>
    <w:rsid w:val="00F75968"/>
    <w:rsid w:val="00F75D9A"/>
    <w:rsid w:val="00F75DDC"/>
    <w:rsid w:val="00F8228C"/>
    <w:rsid w:val="00F834FB"/>
    <w:rsid w:val="00F872E5"/>
    <w:rsid w:val="00F91BFB"/>
    <w:rsid w:val="00F91CE4"/>
    <w:rsid w:val="00F91E7C"/>
    <w:rsid w:val="00F93A39"/>
    <w:rsid w:val="00F966B1"/>
    <w:rsid w:val="00F97D48"/>
    <w:rsid w:val="00FA0311"/>
    <w:rsid w:val="00FA266B"/>
    <w:rsid w:val="00FA6F64"/>
    <w:rsid w:val="00FA757F"/>
    <w:rsid w:val="00FB024D"/>
    <w:rsid w:val="00FB0909"/>
    <w:rsid w:val="00FB117E"/>
    <w:rsid w:val="00FB2712"/>
    <w:rsid w:val="00FB36D7"/>
    <w:rsid w:val="00FB3D59"/>
    <w:rsid w:val="00FB62F7"/>
    <w:rsid w:val="00FB6C35"/>
    <w:rsid w:val="00FC42E5"/>
    <w:rsid w:val="00FC741A"/>
    <w:rsid w:val="00FD555A"/>
    <w:rsid w:val="00FD640F"/>
    <w:rsid w:val="00FD6B4C"/>
    <w:rsid w:val="00FD7B54"/>
    <w:rsid w:val="00FE2022"/>
    <w:rsid w:val="00FE32B7"/>
    <w:rsid w:val="00FE4744"/>
    <w:rsid w:val="00FF061D"/>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3460EF-FDB8-4326-8903-4676791E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189"/>
    <w:pPr>
      <w:spacing w:before="160" w:after="100"/>
    </w:pPr>
    <w:rPr>
      <w:spacing w:val="2"/>
    </w:rPr>
  </w:style>
  <w:style w:type="paragraph" w:styleId="Heading1">
    <w:name w:val="heading 1"/>
    <w:next w:val="Normal"/>
    <w:link w:val="Heading1Char"/>
    <w:qFormat/>
    <w:rsid w:val="00EC171D"/>
    <w:pPr>
      <w:keepNext/>
      <w:keepLines/>
      <w:spacing w:before="600" w:after="88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C171D"/>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585C1F"/>
    <w:rPr>
      <w:color w:val="0063A6" w:themeColor="accent1"/>
      <w:u w:val="single"/>
    </w:rPr>
  </w:style>
  <w:style w:type="character" w:customStyle="1" w:styleId="Heading1Char">
    <w:name w:val="Heading 1 Char"/>
    <w:basedOn w:val="DefaultParagraphFont"/>
    <w:link w:val="Heading1"/>
    <w:rsid w:val="00EC171D"/>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3F4C16"/>
    <w:pPr>
      <w:numPr>
        <w:numId w:val="1"/>
      </w:numPr>
      <w:spacing w:before="100" w:after="100" w:line="240" w:lineRule="auto"/>
      <w:ind w:left="1010" w:hanging="505"/>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Normalnospacing">
    <w:name w:val="Normal no spacing"/>
    <w:basedOn w:val="Normal"/>
    <w:qFormat/>
    <w:rsid w:val="007D3A12"/>
    <w:pPr>
      <w:spacing w:before="0" w:after="0" w:line="264" w:lineRule="auto"/>
    </w:pPr>
    <w:rPr>
      <w:rFonts w:eastAsiaTheme="minorHAnsi"/>
      <w:lang w:eastAsia="en-US"/>
    </w:rPr>
  </w:style>
  <w:style w:type="paragraph" w:customStyle="1" w:styleId="Listnum3">
    <w:name w:val="List num 3"/>
    <w:basedOn w:val="Normal"/>
    <w:rsid w:val="00705189"/>
    <w:pPr>
      <w:numPr>
        <w:ilvl w:val="2"/>
        <w:numId w:val="2"/>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Listnum"/>
    <w:uiPriority w:val="4"/>
    <w:qFormat/>
    <w:rsid w:val="00705189"/>
    <w:pPr>
      <w:numPr>
        <w:numId w:val="0"/>
      </w:numPr>
      <w:ind w:left="504"/>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EC171D"/>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7"/>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7"/>
    <w:rsid w:val="00EC171D"/>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EC171D"/>
    <w:rPr>
      <w:b w:val="0"/>
      <w:color w:val="4C4C4C"/>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705189"/>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rPr>
        <w:color w:val="FFFFFF" w:themeColor="background1"/>
      </w:rPr>
      <w:tblPr/>
      <w:tcPr>
        <w:shd w:val="clear" w:color="auto" w:fill="0063A6" w:themeFill="accent1"/>
      </w:tcPr>
    </w:tblStylePr>
    <w:tblStylePr w:type="lastCol">
      <w:pPr>
        <w:jc w:val="left"/>
      </w:pPr>
    </w:tblStylePr>
    <w:tblStylePr w:type="band1Vert">
      <w:pPr>
        <w:jc w:val="left"/>
      </w:pPr>
    </w:tblStylePr>
    <w:tblStylePr w:type="band2Vert">
      <w:pPr>
        <w:jc w:val="left"/>
      </w:p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EC171D"/>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tblStylePr w:type="nwCell">
      <w:pPr>
        <w:jc w:val="left"/>
      </w:pPr>
      <w:tblPr/>
      <w:tcPr>
        <w:vAlign w:val="bottom"/>
      </w:tcPr>
    </w:tblStylePr>
  </w:style>
  <w:style w:type="paragraph" w:customStyle="1" w:styleId="Tabletext">
    <w:name w:val="Table text"/>
    <w:basedOn w:val="Normal"/>
    <w:uiPriority w:val="6"/>
    <w:qFormat/>
    <w:rsid w:val="003C154A"/>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
    <w:name w:val="List num"/>
    <w:basedOn w:val="Normal"/>
    <w:uiPriority w:val="2"/>
    <w:qFormat/>
    <w:rsid w:val="00EC171D"/>
    <w:pPr>
      <w:numPr>
        <w:numId w:val="2"/>
      </w:numPr>
    </w:pPr>
  </w:style>
  <w:style w:type="paragraph" w:customStyle="1" w:styleId="Listnum2">
    <w:name w:val="List num 2"/>
    <w:basedOn w:val="Normal"/>
    <w:uiPriority w:val="2"/>
    <w:qFormat/>
    <w:rsid w:val="00EC171D"/>
    <w:pPr>
      <w:numPr>
        <w:ilvl w:val="1"/>
        <w:numId w:val="2"/>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D211E9"/>
    <w:pPr>
      <w:numPr>
        <w:numId w:val="3"/>
      </w:numPr>
    </w:pPr>
  </w:style>
  <w:style w:type="paragraph" w:customStyle="1" w:styleId="Tabledash">
    <w:name w:val="Table dash"/>
    <w:basedOn w:val="Tablebullet"/>
    <w:uiPriority w:val="7"/>
    <w:rsid w:val="00D211E9"/>
    <w:pPr>
      <w:numPr>
        <w:ilvl w:val="1"/>
      </w:numPr>
    </w:pPr>
  </w:style>
  <w:style w:type="paragraph" w:customStyle="1" w:styleId="Tabletextindent">
    <w:name w:val="Table text indent"/>
    <w:basedOn w:val="Tabletext"/>
    <w:uiPriority w:val="6"/>
    <w:qFormat/>
    <w:rsid w:val="00D211E9"/>
    <w:pPr>
      <w:ind w:left="288"/>
    </w:pPr>
  </w:style>
  <w:style w:type="table" w:styleId="MediumShading2-Accent1">
    <w:name w:val="Medium Shading 2 Accent 1"/>
    <w:basedOn w:val="TableNormal"/>
    <w:uiPriority w:val="64"/>
    <w:rsid w:val="003C154A"/>
    <w:pPr>
      <w:spacing w:after="0" w:line="240" w:lineRule="auto"/>
    </w:pPr>
    <w:tblPr>
      <w:tblStyleRowBandSize w:val="1"/>
      <w:tblStyleColBandSize w:val="1"/>
      <w:tblBorders>
        <w:top w:val="single" w:sz="12" w:space="0" w:color="0063A6" w:themeColor="accent1"/>
        <w:bottom w:val="single" w:sz="12" w:space="0" w:color="0063A6" w:themeColor="accent1"/>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BB6CD3"/>
    <w:pPr>
      <w:spacing w:before="200" w:after="200"/>
      <w:ind w:left="720"/>
      <w:contextualSpacing/>
    </w:pPr>
    <w:rPr>
      <w:spacing w:val="0"/>
      <w:sz w:val="24"/>
      <w:lang w:eastAsia="en-US"/>
    </w:rPr>
  </w:style>
  <w:style w:type="character" w:styleId="CommentReference">
    <w:name w:val="annotation reference"/>
    <w:basedOn w:val="DefaultParagraphFont"/>
    <w:uiPriority w:val="99"/>
    <w:semiHidden/>
    <w:rsid w:val="00D26E21"/>
    <w:rPr>
      <w:sz w:val="16"/>
      <w:szCs w:val="16"/>
    </w:rPr>
  </w:style>
  <w:style w:type="paragraph" w:styleId="CommentText">
    <w:name w:val="annotation text"/>
    <w:basedOn w:val="Normal"/>
    <w:link w:val="CommentTextChar"/>
    <w:uiPriority w:val="99"/>
    <w:semiHidden/>
    <w:rsid w:val="00D26E21"/>
    <w:pPr>
      <w:spacing w:line="240" w:lineRule="auto"/>
    </w:pPr>
  </w:style>
  <w:style w:type="character" w:customStyle="1" w:styleId="CommentTextChar">
    <w:name w:val="Comment Text Char"/>
    <w:basedOn w:val="DefaultParagraphFont"/>
    <w:link w:val="CommentText"/>
    <w:uiPriority w:val="99"/>
    <w:semiHidden/>
    <w:rsid w:val="00D26E21"/>
    <w:rPr>
      <w:spacing w:val="2"/>
    </w:rPr>
  </w:style>
  <w:style w:type="paragraph" w:styleId="CommentSubject">
    <w:name w:val="annotation subject"/>
    <w:basedOn w:val="CommentText"/>
    <w:next w:val="CommentText"/>
    <w:link w:val="CommentSubjectChar"/>
    <w:uiPriority w:val="99"/>
    <w:semiHidden/>
    <w:rsid w:val="0089664D"/>
    <w:rPr>
      <w:b/>
      <w:bCs/>
    </w:rPr>
  </w:style>
  <w:style w:type="character" w:customStyle="1" w:styleId="CommentSubjectChar">
    <w:name w:val="Comment Subject Char"/>
    <w:basedOn w:val="CommentTextChar"/>
    <w:link w:val="CommentSubject"/>
    <w:uiPriority w:val="99"/>
    <w:semiHidden/>
    <w:rsid w:val="0089664D"/>
    <w:rPr>
      <w:b/>
      <w:bCs/>
      <w:spacing w:val="2"/>
    </w:rPr>
  </w:style>
  <w:style w:type="table" w:styleId="LightList-Accent3">
    <w:name w:val="Light List Accent 3"/>
    <w:basedOn w:val="TableNormal"/>
    <w:uiPriority w:val="61"/>
    <w:rsid w:val="00273022"/>
    <w:pPr>
      <w:spacing w:after="0" w:line="240" w:lineRule="auto"/>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paragraph" w:styleId="Revision">
    <w:name w:val="Revision"/>
    <w:hidden/>
    <w:uiPriority w:val="99"/>
    <w:semiHidden/>
    <w:rsid w:val="00C86C8A"/>
    <w:pPr>
      <w:spacing w:after="0" w:line="240" w:lineRule="auto"/>
    </w:pPr>
    <w:rPr>
      <w:spacing w:val="2"/>
    </w:rPr>
  </w:style>
  <w:style w:type="paragraph" w:styleId="FootnoteText">
    <w:name w:val="footnote text"/>
    <w:basedOn w:val="Normal"/>
    <w:link w:val="FootnoteTextChar"/>
    <w:uiPriority w:val="99"/>
    <w:semiHidden/>
    <w:rsid w:val="003E4DEB"/>
    <w:pPr>
      <w:spacing w:before="0" w:after="0" w:line="240" w:lineRule="auto"/>
    </w:pPr>
  </w:style>
  <w:style w:type="character" w:customStyle="1" w:styleId="FootnoteTextChar">
    <w:name w:val="Footnote Text Char"/>
    <w:basedOn w:val="DefaultParagraphFont"/>
    <w:link w:val="FootnoteText"/>
    <w:uiPriority w:val="99"/>
    <w:semiHidden/>
    <w:rsid w:val="003E4DEB"/>
    <w:rPr>
      <w:spacing w:val="2"/>
    </w:rPr>
  </w:style>
  <w:style w:type="character" w:styleId="FootnoteReference">
    <w:name w:val="footnote reference"/>
    <w:basedOn w:val="DefaultParagraphFont"/>
    <w:uiPriority w:val="99"/>
    <w:semiHidden/>
    <w:rsid w:val="003E4DEB"/>
    <w:rPr>
      <w:vertAlign w:val="superscript"/>
    </w:rPr>
  </w:style>
  <w:style w:type="paragraph" w:customStyle="1" w:styleId="BODY">
    <w:name w:val="BODY"/>
    <w:basedOn w:val="Normal"/>
    <w:next w:val="Normal"/>
    <w:uiPriority w:val="99"/>
    <w:rsid w:val="00160B34"/>
    <w:pPr>
      <w:widowControl w:val="0"/>
      <w:tabs>
        <w:tab w:val="left" w:pos="283"/>
        <w:tab w:val="left" w:pos="1980"/>
        <w:tab w:val="right" w:pos="5920"/>
      </w:tabs>
      <w:suppressAutoHyphens/>
      <w:autoSpaceDE w:val="0"/>
      <w:autoSpaceDN w:val="0"/>
      <w:adjustRightInd w:val="0"/>
      <w:spacing w:before="0" w:after="113" w:line="220" w:lineRule="atLeast"/>
    </w:pPr>
    <w:rPr>
      <w:rFonts w:ascii="Arial" w:eastAsia="MS Mincho" w:hAnsi="Arial" w:cs="Arial"/>
      <w:color w:val="000000"/>
      <w:spacing w:val="0"/>
      <w:sz w:val="18"/>
      <w:szCs w:val="18"/>
      <w:lang w:val="en-GB" w:eastAsia="ja-JP"/>
    </w:rPr>
  </w:style>
  <w:style w:type="character" w:styleId="FollowedHyperlink">
    <w:name w:val="FollowedHyperlink"/>
    <w:basedOn w:val="DefaultParagraphFont"/>
    <w:uiPriority w:val="99"/>
    <w:semiHidden/>
    <w:rsid w:val="00DA7205"/>
    <w:rPr>
      <w:color w:val="8A2A2B" w:themeColor="followedHyperlink"/>
      <w:u w:val="single"/>
    </w:rPr>
  </w:style>
  <w:style w:type="paragraph" w:customStyle="1" w:styleId="Heading1numbered">
    <w:name w:val="Heading 1 numbered"/>
    <w:basedOn w:val="Heading1"/>
    <w:next w:val="NormalIndent"/>
    <w:uiPriority w:val="8"/>
    <w:qFormat/>
    <w:rsid w:val="00A35DB5"/>
    <w:pPr>
      <w:tabs>
        <w:tab w:val="num" w:pos="792"/>
      </w:tabs>
      <w:spacing w:after="240"/>
      <w:ind w:left="792" w:hanging="792"/>
    </w:pPr>
  </w:style>
  <w:style w:type="paragraph" w:customStyle="1" w:styleId="Heading2numbered">
    <w:name w:val="Heading 2 numbered"/>
    <w:basedOn w:val="Heading2"/>
    <w:next w:val="NormalIndent"/>
    <w:uiPriority w:val="8"/>
    <w:qFormat/>
    <w:rsid w:val="00A35DB5"/>
    <w:pPr>
      <w:tabs>
        <w:tab w:val="num" w:pos="360"/>
      </w:tabs>
      <w:spacing w:before="600"/>
    </w:pPr>
    <w:rPr>
      <w:color w:val="201547"/>
      <w:spacing w:val="-1"/>
      <w:sz w:val="36"/>
      <w:szCs w:val="28"/>
    </w:rPr>
  </w:style>
  <w:style w:type="paragraph" w:customStyle="1" w:styleId="Heading3numbered">
    <w:name w:val="Heading 3 numbered"/>
    <w:basedOn w:val="Heading3"/>
    <w:next w:val="NormalIndent"/>
    <w:uiPriority w:val="8"/>
    <w:qFormat/>
    <w:rsid w:val="00A35DB5"/>
    <w:pPr>
      <w:tabs>
        <w:tab w:val="num" w:pos="792"/>
      </w:tabs>
      <w:spacing w:before="600" w:after="240"/>
      <w:ind w:left="792" w:hanging="792"/>
    </w:pPr>
    <w:rPr>
      <w:color w:val="201547"/>
      <w:spacing w:val="-1"/>
      <w:sz w:val="36"/>
      <w:szCs w:val="28"/>
    </w:rPr>
  </w:style>
  <w:style w:type="paragraph" w:customStyle="1" w:styleId="Heading4numbered">
    <w:name w:val="Heading 4 numbered"/>
    <w:basedOn w:val="Heading4"/>
    <w:next w:val="NormalIndent"/>
    <w:uiPriority w:val="8"/>
    <w:qFormat/>
    <w:rsid w:val="00A35DB5"/>
    <w:pPr>
      <w:keepNext w:val="0"/>
      <w:keepLines w:val="0"/>
      <w:tabs>
        <w:tab w:val="num" w:pos="360"/>
      </w:tabs>
      <w:spacing w:before="240" w:after="100" w:line="252" w:lineRule="auto"/>
    </w:pPr>
    <w:rPr>
      <w:rFonts w:asciiTheme="minorHAnsi" w:eastAsia="+mn-ea" w:hAnsiTheme="minorHAnsi" w:cstheme="minorHAnsi"/>
      <w:bCs w:val="0"/>
      <w:iCs w:val="0"/>
      <w:color w:val="auto"/>
      <w:sz w:val="24"/>
      <w:szCs w:val="24"/>
    </w:rPr>
  </w:style>
  <w:style w:type="paragraph" w:customStyle="1" w:styleId="Listnumindent2">
    <w:name w:val="List num indent 2"/>
    <w:basedOn w:val="Normal"/>
    <w:uiPriority w:val="9"/>
    <w:qFormat/>
    <w:rsid w:val="00A35DB5"/>
    <w:pPr>
      <w:tabs>
        <w:tab w:val="num" w:pos="1800"/>
      </w:tabs>
      <w:spacing w:before="100"/>
      <w:ind w:left="1800" w:hanging="504"/>
      <w:contextualSpacing/>
    </w:pPr>
    <w:rPr>
      <w:rFonts w:eastAsia="+mn-ea" w:cstheme="minorHAnsi"/>
    </w:rPr>
  </w:style>
  <w:style w:type="paragraph" w:customStyle="1" w:styleId="Listnumindent">
    <w:name w:val="List num indent"/>
    <w:basedOn w:val="Normal"/>
    <w:uiPriority w:val="9"/>
    <w:qFormat/>
    <w:rsid w:val="00A35DB5"/>
    <w:pPr>
      <w:tabs>
        <w:tab w:val="num" w:pos="1296"/>
      </w:tabs>
      <w:spacing w:before="100"/>
      <w:ind w:left="1296" w:hanging="504"/>
    </w:pPr>
    <w:rPr>
      <w:rFonts w:eastAsia="+mn-ea" w:cstheme="minorHAnsi"/>
    </w:rPr>
  </w:style>
  <w:style w:type="paragraph" w:customStyle="1" w:styleId="Numparaindent">
    <w:name w:val="Num para indent"/>
    <w:basedOn w:val="Normal"/>
    <w:uiPriority w:val="9"/>
    <w:qFormat/>
    <w:rsid w:val="00A35DB5"/>
    <w:pPr>
      <w:tabs>
        <w:tab w:val="num" w:pos="1296"/>
      </w:tabs>
      <w:ind w:left="1296" w:hanging="504"/>
      <w:contextualSpacing/>
    </w:pPr>
    <w:rPr>
      <w:rFonts w:eastAsia="+mn-ea"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021692">
      <w:bodyDiv w:val="1"/>
      <w:marLeft w:val="0"/>
      <w:marRight w:val="0"/>
      <w:marTop w:val="0"/>
      <w:marBottom w:val="0"/>
      <w:divBdr>
        <w:top w:val="none" w:sz="0" w:space="0" w:color="auto"/>
        <w:left w:val="none" w:sz="0" w:space="0" w:color="auto"/>
        <w:bottom w:val="none" w:sz="0" w:space="0" w:color="auto"/>
        <w:right w:val="none" w:sz="0" w:space="0" w:color="auto"/>
      </w:divBdr>
      <w:divsChild>
        <w:div w:id="190146177">
          <w:marLeft w:val="144"/>
          <w:marRight w:val="0"/>
          <w:marTop w:val="0"/>
          <w:marBottom w:val="0"/>
          <w:divBdr>
            <w:top w:val="none" w:sz="0" w:space="0" w:color="auto"/>
            <w:left w:val="none" w:sz="0" w:space="0" w:color="auto"/>
            <w:bottom w:val="none" w:sz="0" w:space="0" w:color="auto"/>
            <w:right w:val="none" w:sz="0" w:space="0" w:color="auto"/>
          </w:divBdr>
        </w:div>
        <w:div w:id="369689208">
          <w:marLeft w:val="144"/>
          <w:marRight w:val="0"/>
          <w:marTop w:val="0"/>
          <w:marBottom w:val="0"/>
          <w:divBdr>
            <w:top w:val="none" w:sz="0" w:space="0" w:color="auto"/>
            <w:left w:val="none" w:sz="0" w:space="0" w:color="auto"/>
            <w:bottom w:val="none" w:sz="0" w:space="0" w:color="auto"/>
            <w:right w:val="none" w:sz="0" w:space="0" w:color="auto"/>
          </w:divBdr>
        </w:div>
        <w:div w:id="662469745">
          <w:marLeft w:val="144"/>
          <w:marRight w:val="0"/>
          <w:marTop w:val="0"/>
          <w:marBottom w:val="0"/>
          <w:divBdr>
            <w:top w:val="none" w:sz="0" w:space="0" w:color="auto"/>
            <w:left w:val="none" w:sz="0" w:space="0" w:color="auto"/>
            <w:bottom w:val="none" w:sz="0" w:space="0" w:color="auto"/>
            <w:right w:val="none" w:sz="0" w:space="0" w:color="auto"/>
          </w:divBdr>
        </w:div>
        <w:div w:id="956567618">
          <w:marLeft w:val="144"/>
          <w:marRight w:val="0"/>
          <w:marTop w:val="0"/>
          <w:marBottom w:val="0"/>
          <w:divBdr>
            <w:top w:val="none" w:sz="0" w:space="0" w:color="auto"/>
            <w:left w:val="none" w:sz="0" w:space="0" w:color="auto"/>
            <w:bottom w:val="none" w:sz="0" w:space="0" w:color="auto"/>
            <w:right w:val="none" w:sz="0" w:space="0" w:color="auto"/>
          </w:divBdr>
        </w:div>
        <w:div w:id="1640726286">
          <w:marLeft w:val="144"/>
          <w:marRight w:val="0"/>
          <w:marTop w:val="0"/>
          <w:marBottom w:val="0"/>
          <w:divBdr>
            <w:top w:val="none" w:sz="0" w:space="0" w:color="auto"/>
            <w:left w:val="none" w:sz="0" w:space="0" w:color="auto"/>
            <w:bottom w:val="none" w:sz="0" w:space="0" w:color="auto"/>
            <w:right w:val="none" w:sz="0" w:space="0" w:color="auto"/>
          </w:divBdr>
        </w:div>
        <w:div w:id="1200245150">
          <w:marLeft w:val="144"/>
          <w:marRight w:val="0"/>
          <w:marTop w:val="0"/>
          <w:marBottom w:val="0"/>
          <w:divBdr>
            <w:top w:val="none" w:sz="0" w:space="0" w:color="auto"/>
            <w:left w:val="none" w:sz="0" w:space="0" w:color="auto"/>
            <w:bottom w:val="none" w:sz="0" w:space="0" w:color="auto"/>
            <w:right w:val="none" w:sz="0" w:space="0" w:color="auto"/>
          </w:divBdr>
        </w:div>
        <w:div w:id="1556426652">
          <w:marLeft w:val="144"/>
          <w:marRight w:val="0"/>
          <w:marTop w:val="0"/>
          <w:marBottom w:val="0"/>
          <w:divBdr>
            <w:top w:val="none" w:sz="0" w:space="0" w:color="auto"/>
            <w:left w:val="none" w:sz="0" w:space="0" w:color="auto"/>
            <w:bottom w:val="none" w:sz="0" w:space="0" w:color="auto"/>
            <w:right w:val="none" w:sz="0" w:space="0" w:color="auto"/>
          </w:divBdr>
        </w:div>
        <w:div w:id="1114708195">
          <w:marLeft w:val="144"/>
          <w:marRight w:val="0"/>
          <w:marTop w:val="0"/>
          <w:marBottom w:val="0"/>
          <w:divBdr>
            <w:top w:val="none" w:sz="0" w:space="0" w:color="auto"/>
            <w:left w:val="none" w:sz="0" w:space="0" w:color="auto"/>
            <w:bottom w:val="none" w:sz="0" w:space="0" w:color="auto"/>
            <w:right w:val="none" w:sz="0" w:space="0" w:color="auto"/>
          </w:divBdr>
        </w:div>
        <w:div w:id="139926905">
          <w:marLeft w:val="144"/>
          <w:marRight w:val="0"/>
          <w:marTop w:val="0"/>
          <w:marBottom w:val="0"/>
          <w:divBdr>
            <w:top w:val="none" w:sz="0" w:space="0" w:color="auto"/>
            <w:left w:val="none" w:sz="0" w:space="0" w:color="auto"/>
            <w:bottom w:val="none" w:sz="0" w:space="0" w:color="auto"/>
            <w:right w:val="none" w:sz="0" w:space="0" w:color="auto"/>
          </w:divBdr>
        </w:div>
        <w:div w:id="63918615">
          <w:marLeft w:val="144"/>
          <w:marRight w:val="0"/>
          <w:marTop w:val="0"/>
          <w:marBottom w:val="0"/>
          <w:divBdr>
            <w:top w:val="none" w:sz="0" w:space="0" w:color="auto"/>
            <w:left w:val="none" w:sz="0" w:space="0" w:color="auto"/>
            <w:bottom w:val="none" w:sz="0" w:space="0" w:color="auto"/>
            <w:right w:val="none" w:sz="0" w:space="0" w:color="auto"/>
          </w:divBdr>
        </w:div>
        <w:div w:id="1008211731">
          <w:marLeft w:val="144"/>
          <w:marRight w:val="0"/>
          <w:marTop w:val="0"/>
          <w:marBottom w:val="0"/>
          <w:divBdr>
            <w:top w:val="none" w:sz="0" w:space="0" w:color="auto"/>
            <w:left w:val="none" w:sz="0" w:space="0" w:color="auto"/>
            <w:bottom w:val="none" w:sz="0" w:space="0" w:color="auto"/>
            <w:right w:val="none" w:sz="0" w:space="0" w:color="auto"/>
          </w:divBdr>
        </w:div>
        <w:div w:id="486702014">
          <w:marLeft w:val="144"/>
          <w:marRight w:val="0"/>
          <w:marTop w:val="0"/>
          <w:marBottom w:val="0"/>
          <w:divBdr>
            <w:top w:val="none" w:sz="0" w:space="0" w:color="auto"/>
            <w:left w:val="none" w:sz="0" w:space="0" w:color="auto"/>
            <w:bottom w:val="none" w:sz="0" w:space="0" w:color="auto"/>
            <w:right w:val="none" w:sz="0" w:space="0" w:color="auto"/>
          </w:divBdr>
        </w:div>
        <w:div w:id="1006515158">
          <w:marLeft w:val="144"/>
          <w:marRight w:val="0"/>
          <w:marTop w:val="0"/>
          <w:marBottom w:val="0"/>
          <w:divBdr>
            <w:top w:val="none" w:sz="0" w:space="0" w:color="auto"/>
            <w:left w:val="none" w:sz="0" w:space="0" w:color="auto"/>
            <w:bottom w:val="none" w:sz="0" w:space="0" w:color="auto"/>
            <w:right w:val="none" w:sz="0" w:space="0" w:color="auto"/>
          </w:divBdr>
        </w:div>
        <w:div w:id="1740976434">
          <w:marLeft w:val="144"/>
          <w:marRight w:val="0"/>
          <w:marTop w:val="0"/>
          <w:marBottom w:val="0"/>
          <w:divBdr>
            <w:top w:val="none" w:sz="0" w:space="0" w:color="auto"/>
            <w:left w:val="none" w:sz="0" w:space="0" w:color="auto"/>
            <w:bottom w:val="none" w:sz="0" w:space="0" w:color="auto"/>
            <w:right w:val="none" w:sz="0" w:space="0" w:color="auto"/>
          </w:divBdr>
        </w:div>
        <w:div w:id="1980567709">
          <w:marLeft w:val="144"/>
          <w:marRight w:val="0"/>
          <w:marTop w:val="0"/>
          <w:marBottom w:val="0"/>
          <w:divBdr>
            <w:top w:val="none" w:sz="0" w:space="0" w:color="auto"/>
            <w:left w:val="none" w:sz="0" w:space="0" w:color="auto"/>
            <w:bottom w:val="none" w:sz="0" w:space="0" w:color="auto"/>
            <w:right w:val="none" w:sz="0" w:space="0" w:color="auto"/>
          </w:divBdr>
        </w:div>
        <w:div w:id="1405298811">
          <w:marLeft w:val="144"/>
          <w:marRight w:val="0"/>
          <w:marTop w:val="0"/>
          <w:marBottom w:val="0"/>
          <w:divBdr>
            <w:top w:val="none" w:sz="0" w:space="0" w:color="auto"/>
            <w:left w:val="none" w:sz="0" w:space="0" w:color="auto"/>
            <w:bottom w:val="none" w:sz="0" w:space="0" w:color="auto"/>
            <w:right w:val="none" w:sz="0" w:space="0" w:color="auto"/>
          </w:divBdr>
        </w:div>
        <w:div w:id="535966829">
          <w:marLeft w:val="144"/>
          <w:marRight w:val="0"/>
          <w:marTop w:val="0"/>
          <w:marBottom w:val="0"/>
          <w:divBdr>
            <w:top w:val="none" w:sz="0" w:space="0" w:color="auto"/>
            <w:left w:val="none" w:sz="0" w:space="0" w:color="auto"/>
            <w:bottom w:val="none" w:sz="0" w:space="0" w:color="auto"/>
            <w:right w:val="none" w:sz="0" w:space="0" w:color="auto"/>
          </w:divBdr>
        </w:div>
        <w:div w:id="1991860488">
          <w:marLeft w:val="144"/>
          <w:marRight w:val="0"/>
          <w:marTop w:val="0"/>
          <w:marBottom w:val="0"/>
          <w:divBdr>
            <w:top w:val="none" w:sz="0" w:space="0" w:color="auto"/>
            <w:left w:val="none" w:sz="0" w:space="0" w:color="auto"/>
            <w:bottom w:val="none" w:sz="0" w:space="0" w:color="auto"/>
            <w:right w:val="none" w:sz="0" w:space="0" w:color="auto"/>
          </w:divBdr>
        </w:div>
        <w:div w:id="1268346448">
          <w:marLeft w:val="144"/>
          <w:marRight w:val="0"/>
          <w:marTop w:val="0"/>
          <w:marBottom w:val="0"/>
          <w:divBdr>
            <w:top w:val="none" w:sz="0" w:space="0" w:color="auto"/>
            <w:left w:val="none" w:sz="0" w:space="0" w:color="auto"/>
            <w:bottom w:val="none" w:sz="0" w:space="0" w:color="auto"/>
            <w:right w:val="none" w:sz="0" w:space="0" w:color="auto"/>
          </w:divBdr>
        </w:div>
        <w:div w:id="418255993">
          <w:marLeft w:val="144"/>
          <w:marRight w:val="0"/>
          <w:marTop w:val="0"/>
          <w:marBottom w:val="0"/>
          <w:divBdr>
            <w:top w:val="none" w:sz="0" w:space="0" w:color="auto"/>
            <w:left w:val="none" w:sz="0" w:space="0" w:color="auto"/>
            <w:bottom w:val="none" w:sz="0" w:space="0" w:color="auto"/>
            <w:right w:val="none" w:sz="0" w:space="0" w:color="auto"/>
          </w:divBdr>
        </w:div>
        <w:div w:id="1063987199">
          <w:marLeft w:val="144"/>
          <w:marRight w:val="0"/>
          <w:marTop w:val="0"/>
          <w:marBottom w:val="0"/>
          <w:divBdr>
            <w:top w:val="none" w:sz="0" w:space="0" w:color="auto"/>
            <w:left w:val="none" w:sz="0" w:space="0" w:color="auto"/>
            <w:bottom w:val="none" w:sz="0" w:space="0" w:color="auto"/>
            <w:right w:val="none" w:sz="0" w:space="0" w:color="auto"/>
          </w:divBdr>
        </w:div>
        <w:div w:id="1043943691">
          <w:marLeft w:val="144"/>
          <w:marRight w:val="0"/>
          <w:marTop w:val="0"/>
          <w:marBottom w:val="0"/>
          <w:divBdr>
            <w:top w:val="none" w:sz="0" w:space="0" w:color="auto"/>
            <w:left w:val="none" w:sz="0" w:space="0" w:color="auto"/>
            <w:bottom w:val="none" w:sz="0" w:space="0" w:color="auto"/>
            <w:right w:val="none" w:sz="0" w:space="0" w:color="auto"/>
          </w:divBdr>
        </w:div>
        <w:div w:id="1040974597">
          <w:marLeft w:val="144"/>
          <w:marRight w:val="0"/>
          <w:marTop w:val="0"/>
          <w:marBottom w:val="0"/>
          <w:divBdr>
            <w:top w:val="none" w:sz="0" w:space="0" w:color="auto"/>
            <w:left w:val="none" w:sz="0" w:space="0" w:color="auto"/>
            <w:bottom w:val="none" w:sz="0" w:space="0" w:color="auto"/>
            <w:right w:val="none" w:sz="0" w:space="0" w:color="auto"/>
          </w:divBdr>
        </w:div>
      </w:divsChild>
    </w:div>
    <w:div w:id="847721807">
      <w:bodyDiv w:val="1"/>
      <w:marLeft w:val="0"/>
      <w:marRight w:val="0"/>
      <w:marTop w:val="0"/>
      <w:marBottom w:val="0"/>
      <w:divBdr>
        <w:top w:val="none" w:sz="0" w:space="0" w:color="auto"/>
        <w:left w:val="none" w:sz="0" w:space="0" w:color="auto"/>
        <w:bottom w:val="none" w:sz="0" w:space="0" w:color="auto"/>
        <w:right w:val="none" w:sz="0" w:space="0" w:color="auto"/>
      </w:divBdr>
    </w:div>
    <w:div w:id="991443046">
      <w:bodyDiv w:val="1"/>
      <w:marLeft w:val="0"/>
      <w:marRight w:val="0"/>
      <w:marTop w:val="0"/>
      <w:marBottom w:val="0"/>
      <w:divBdr>
        <w:top w:val="none" w:sz="0" w:space="0" w:color="auto"/>
        <w:left w:val="none" w:sz="0" w:space="0" w:color="auto"/>
        <w:bottom w:val="none" w:sz="0" w:space="0" w:color="auto"/>
        <w:right w:val="none" w:sz="0" w:space="0" w:color="auto"/>
      </w:divBdr>
      <w:divsChild>
        <w:div w:id="374088304">
          <w:marLeft w:val="144"/>
          <w:marRight w:val="0"/>
          <w:marTop w:val="0"/>
          <w:marBottom w:val="0"/>
          <w:divBdr>
            <w:top w:val="none" w:sz="0" w:space="0" w:color="auto"/>
            <w:left w:val="none" w:sz="0" w:space="0" w:color="auto"/>
            <w:bottom w:val="none" w:sz="0" w:space="0" w:color="auto"/>
            <w:right w:val="none" w:sz="0" w:space="0" w:color="auto"/>
          </w:divBdr>
        </w:div>
        <w:div w:id="1950818569">
          <w:marLeft w:val="144"/>
          <w:marRight w:val="0"/>
          <w:marTop w:val="0"/>
          <w:marBottom w:val="0"/>
          <w:divBdr>
            <w:top w:val="none" w:sz="0" w:space="0" w:color="auto"/>
            <w:left w:val="none" w:sz="0" w:space="0" w:color="auto"/>
            <w:bottom w:val="none" w:sz="0" w:space="0" w:color="auto"/>
            <w:right w:val="none" w:sz="0" w:space="0" w:color="auto"/>
          </w:divBdr>
        </w:div>
        <w:div w:id="2008050646">
          <w:marLeft w:val="144"/>
          <w:marRight w:val="0"/>
          <w:marTop w:val="0"/>
          <w:marBottom w:val="0"/>
          <w:divBdr>
            <w:top w:val="none" w:sz="0" w:space="0" w:color="auto"/>
            <w:left w:val="none" w:sz="0" w:space="0" w:color="auto"/>
            <w:bottom w:val="none" w:sz="0" w:space="0" w:color="auto"/>
            <w:right w:val="none" w:sz="0" w:space="0" w:color="auto"/>
          </w:divBdr>
        </w:div>
        <w:div w:id="375349748">
          <w:marLeft w:val="144"/>
          <w:marRight w:val="0"/>
          <w:marTop w:val="0"/>
          <w:marBottom w:val="0"/>
          <w:divBdr>
            <w:top w:val="none" w:sz="0" w:space="0" w:color="auto"/>
            <w:left w:val="none" w:sz="0" w:space="0" w:color="auto"/>
            <w:bottom w:val="none" w:sz="0" w:space="0" w:color="auto"/>
            <w:right w:val="none" w:sz="0" w:space="0" w:color="auto"/>
          </w:divBdr>
        </w:div>
        <w:div w:id="1942571313">
          <w:marLeft w:val="144"/>
          <w:marRight w:val="0"/>
          <w:marTop w:val="0"/>
          <w:marBottom w:val="0"/>
          <w:divBdr>
            <w:top w:val="none" w:sz="0" w:space="0" w:color="auto"/>
            <w:left w:val="none" w:sz="0" w:space="0" w:color="auto"/>
            <w:bottom w:val="none" w:sz="0" w:space="0" w:color="auto"/>
            <w:right w:val="none" w:sz="0" w:space="0" w:color="auto"/>
          </w:divBdr>
        </w:div>
        <w:div w:id="903837158">
          <w:marLeft w:val="144"/>
          <w:marRight w:val="0"/>
          <w:marTop w:val="0"/>
          <w:marBottom w:val="0"/>
          <w:divBdr>
            <w:top w:val="none" w:sz="0" w:space="0" w:color="auto"/>
            <w:left w:val="none" w:sz="0" w:space="0" w:color="auto"/>
            <w:bottom w:val="none" w:sz="0" w:space="0" w:color="auto"/>
            <w:right w:val="none" w:sz="0" w:space="0" w:color="auto"/>
          </w:divBdr>
        </w:div>
        <w:div w:id="1696923666">
          <w:marLeft w:val="144"/>
          <w:marRight w:val="0"/>
          <w:marTop w:val="0"/>
          <w:marBottom w:val="0"/>
          <w:divBdr>
            <w:top w:val="none" w:sz="0" w:space="0" w:color="auto"/>
            <w:left w:val="none" w:sz="0" w:space="0" w:color="auto"/>
            <w:bottom w:val="none" w:sz="0" w:space="0" w:color="auto"/>
            <w:right w:val="none" w:sz="0" w:space="0" w:color="auto"/>
          </w:divBdr>
        </w:div>
        <w:div w:id="666402787">
          <w:marLeft w:val="144"/>
          <w:marRight w:val="0"/>
          <w:marTop w:val="0"/>
          <w:marBottom w:val="0"/>
          <w:divBdr>
            <w:top w:val="none" w:sz="0" w:space="0" w:color="auto"/>
            <w:left w:val="none" w:sz="0" w:space="0" w:color="auto"/>
            <w:bottom w:val="none" w:sz="0" w:space="0" w:color="auto"/>
            <w:right w:val="none" w:sz="0" w:space="0" w:color="auto"/>
          </w:divBdr>
        </w:div>
        <w:div w:id="157036767">
          <w:marLeft w:val="144"/>
          <w:marRight w:val="0"/>
          <w:marTop w:val="0"/>
          <w:marBottom w:val="0"/>
          <w:divBdr>
            <w:top w:val="none" w:sz="0" w:space="0" w:color="auto"/>
            <w:left w:val="none" w:sz="0" w:space="0" w:color="auto"/>
            <w:bottom w:val="none" w:sz="0" w:space="0" w:color="auto"/>
            <w:right w:val="none" w:sz="0" w:space="0" w:color="auto"/>
          </w:divBdr>
        </w:div>
        <w:div w:id="1580283361">
          <w:marLeft w:val="144"/>
          <w:marRight w:val="0"/>
          <w:marTop w:val="0"/>
          <w:marBottom w:val="0"/>
          <w:divBdr>
            <w:top w:val="none" w:sz="0" w:space="0" w:color="auto"/>
            <w:left w:val="none" w:sz="0" w:space="0" w:color="auto"/>
            <w:bottom w:val="none" w:sz="0" w:space="0" w:color="auto"/>
            <w:right w:val="none" w:sz="0" w:space="0" w:color="auto"/>
          </w:divBdr>
        </w:div>
        <w:div w:id="1788113052">
          <w:marLeft w:val="144"/>
          <w:marRight w:val="0"/>
          <w:marTop w:val="0"/>
          <w:marBottom w:val="0"/>
          <w:divBdr>
            <w:top w:val="none" w:sz="0" w:space="0" w:color="auto"/>
            <w:left w:val="none" w:sz="0" w:space="0" w:color="auto"/>
            <w:bottom w:val="none" w:sz="0" w:space="0" w:color="auto"/>
            <w:right w:val="none" w:sz="0" w:space="0" w:color="auto"/>
          </w:divBdr>
        </w:div>
        <w:div w:id="960765855">
          <w:marLeft w:val="144"/>
          <w:marRight w:val="0"/>
          <w:marTop w:val="0"/>
          <w:marBottom w:val="0"/>
          <w:divBdr>
            <w:top w:val="none" w:sz="0" w:space="0" w:color="auto"/>
            <w:left w:val="none" w:sz="0" w:space="0" w:color="auto"/>
            <w:bottom w:val="none" w:sz="0" w:space="0" w:color="auto"/>
            <w:right w:val="none" w:sz="0" w:space="0" w:color="auto"/>
          </w:divBdr>
        </w:div>
        <w:div w:id="22100600">
          <w:marLeft w:val="144"/>
          <w:marRight w:val="0"/>
          <w:marTop w:val="0"/>
          <w:marBottom w:val="0"/>
          <w:divBdr>
            <w:top w:val="none" w:sz="0" w:space="0" w:color="auto"/>
            <w:left w:val="none" w:sz="0" w:space="0" w:color="auto"/>
            <w:bottom w:val="none" w:sz="0" w:space="0" w:color="auto"/>
            <w:right w:val="none" w:sz="0" w:space="0" w:color="auto"/>
          </w:divBdr>
        </w:div>
        <w:div w:id="796682379">
          <w:marLeft w:val="144"/>
          <w:marRight w:val="0"/>
          <w:marTop w:val="0"/>
          <w:marBottom w:val="0"/>
          <w:divBdr>
            <w:top w:val="none" w:sz="0" w:space="0" w:color="auto"/>
            <w:left w:val="none" w:sz="0" w:space="0" w:color="auto"/>
            <w:bottom w:val="none" w:sz="0" w:space="0" w:color="auto"/>
            <w:right w:val="none" w:sz="0" w:space="0" w:color="auto"/>
          </w:divBdr>
        </w:div>
        <w:div w:id="771824013">
          <w:marLeft w:val="144"/>
          <w:marRight w:val="0"/>
          <w:marTop w:val="0"/>
          <w:marBottom w:val="0"/>
          <w:divBdr>
            <w:top w:val="none" w:sz="0" w:space="0" w:color="auto"/>
            <w:left w:val="none" w:sz="0" w:space="0" w:color="auto"/>
            <w:bottom w:val="none" w:sz="0" w:space="0" w:color="auto"/>
            <w:right w:val="none" w:sz="0" w:space="0" w:color="auto"/>
          </w:divBdr>
        </w:div>
        <w:div w:id="477722763">
          <w:marLeft w:val="144"/>
          <w:marRight w:val="0"/>
          <w:marTop w:val="0"/>
          <w:marBottom w:val="0"/>
          <w:divBdr>
            <w:top w:val="none" w:sz="0" w:space="0" w:color="auto"/>
            <w:left w:val="none" w:sz="0" w:space="0" w:color="auto"/>
            <w:bottom w:val="none" w:sz="0" w:space="0" w:color="auto"/>
            <w:right w:val="none" w:sz="0" w:space="0" w:color="auto"/>
          </w:divBdr>
        </w:div>
        <w:div w:id="370962861">
          <w:marLeft w:val="144"/>
          <w:marRight w:val="0"/>
          <w:marTop w:val="0"/>
          <w:marBottom w:val="0"/>
          <w:divBdr>
            <w:top w:val="none" w:sz="0" w:space="0" w:color="auto"/>
            <w:left w:val="none" w:sz="0" w:space="0" w:color="auto"/>
            <w:bottom w:val="none" w:sz="0" w:space="0" w:color="auto"/>
            <w:right w:val="none" w:sz="0" w:space="0" w:color="auto"/>
          </w:divBdr>
        </w:div>
        <w:div w:id="2115395075">
          <w:marLeft w:val="144"/>
          <w:marRight w:val="0"/>
          <w:marTop w:val="0"/>
          <w:marBottom w:val="0"/>
          <w:divBdr>
            <w:top w:val="none" w:sz="0" w:space="0" w:color="auto"/>
            <w:left w:val="none" w:sz="0" w:space="0" w:color="auto"/>
            <w:bottom w:val="none" w:sz="0" w:space="0" w:color="auto"/>
            <w:right w:val="none" w:sz="0" w:space="0" w:color="auto"/>
          </w:divBdr>
        </w:div>
        <w:div w:id="270744822">
          <w:marLeft w:val="144"/>
          <w:marRight w:val="0"/>
          <w:marTop w:val="0"/>
          <w:marBottom w:val="0"/>
          <w:divBdr>
            <w:top w:val="none" w:sz="0" w:space="0" w:color="auto"/>
            <w:left w:val="none" w:sz="0" w:space="0" w:color="auto"/>
            <w:bottom w:val="none" w:sz="0" w:space="0" w:color="auto"/>
            <w:right w:val="none" w:sz="0" w:space="0" w:color="auto"/>
          </w:divBdr>
        </w:div>
        <w:div w:id="1552380785">
          <w:marLeft w:val="144"/>
          <w:marRight w:val="0"/>
          <w:marTop w:val="0"/>
          <w:marBottom w:val="0"/>
          <w:divBdr>
            <w:top w:val="none" w:sz="0" w:space="0" w:color="auto"/>
            <w:left w:val="none" w:sz="0" w:space="0" w:color="auto"/>
            <w:bottom w:val="none" w:sz="0" w:space="0" w:color="auto"/>
            <w:right w:val="none" w:sz="0" w:space="0" w:color="auto"/>
          </w:divBdr>
        </w:div>
        <w:div w:id="2008484203">
          <w:marLeft w:val="144"/>
          <w:marRight w:val="0"/>
          <w:marTop w:val="0"/>
          <w:marBottom w:val="0"/>
          <w:divBdr>
            <w:top w:val="none" w:sz="0" w:space="0" w:color="auto"/>
            <w:left w:val="none" w:sz="0" w:space="0" w:color="auto"/>
            <w:bottom w:val="none" w:sz="0" w:space="0" w:color="auto"/>
            <w:right w:val="none" w:sz="0" w:space="0" w:color="auto"/>
          </w:divBdr>
        </w:div>
        <w:div w:id="346372506">
          <w:marLeft w:val="144"/>
          <w:marRight w:val="0"/>
          <w:marTop w:val="0"/>
          <w:marBottom w:val="0"/>
          <w:divBdr>
            <w:top w:val="none" w:sz="0" w:space="0" w:color="auto"/>
            <w:left w:val="none" w:sz="0" w:space="0" w:color="auto"/>
            <w:bottom w:val="none" w:sz="0" w:space="0" w:color="auto"/>
            <w:right w:val="none" w:sz="0" w:space="0" w:color="auto"/>
          </w:divBdr>
        </w:div>
        <w:div w:id="1249118211">
          <w:marLeft w:val="144"/>
          <w:marRight w:val="0"/>
          <w:marTop w:val="0"/>
          <w:marBottom w:val="0"/>
          <w:divBdr>
            <w:top w:val="none" w:sz="0" w:space="0" w:color="auto"/>
            <w:left w:val="none" w:sz="0" w:space="0" w:color="auto"/>
            <w:bottom w:val="none" w:sz="0" w:space="0" w:color="auto"/>
            <w:right w:val="none" w:sz="0" w:space="0" w:color="auto"/>
          </w:divBdr>
        </w:div>
      </w:divsChild>
    </w:div>
    <w:div w:id="1095055672">
      <w:bodyDiv w:val="1"/>
      <w:marLeft w:val="0"/>
      <w:marRight w:val="0"/>
      <w:marTop w:val="0"/>
      <w:marBottom w:val="0"/>
      <w:divBdr>
        <w:top w:val="none" w:sz="0" w:space="0" w:color="auto"/>
        <w:left w:val="none" w:sz="0" w:space="0" w:color="auto"/>
        <w:bottom w:val="none" w:sz="0" w:space="0" w:color="auto"/>
        <w:right w:val="none" w:sz="0" w:space="0" w:color="auto"/>
      </w:divBdr>
      <w:divsChild>
        <w:div w:id="2071074872">
          <w:marLeft w:val="144"/>
          <w:marRight w:val="0"/>
          <w:marTop w:val="0"/>
          <w:marBottom w:val="0"/>
          <w:divBdr>
            <w:top w:val="none" w:sz="0" w:space="0" w:color="auto"/>
            <w:left w:val="none" w:sz="0" w:space="0" w:color="auto"/>
            <w:bottom w:val="none" w:sz="0" w:space="0" w:color="auto"/>
            <w:right w:val="none" w:sz="0" w:space="0" w:color="auto"/>
          </w:divBdr>
        </w:div>
        <w:div w:id="1610240036">
          <w:marLeft w:val="144"/>
          <w:marRight w:val="0"/>
          <w:marTop w:val="0"/>
          <w:marBottom w:val="0"/>
          <w:divBdr>
            <w:top w:val="none" w:sz="0" w:space="0" w:color="auto"/>
            <w:left w:val="none" w:sz="0" w:space="0" w:color="auto"/>
            <w:bottom w:val="none" w:sz="0" w:space="0" w:color="auto"/>
            <w:right w:val="none" w:sz="0" w:space="0" w:color="auto"/>
          </w:divBdr>
        </w:div>
        <w:div w:id="34477251">
          <w:marLeft w:val="144"/>
          <w:marRight w:val="0"/>
          <w:marTop w:val="0"/>
          <w:marBottom w:val="0"/>
          <w:divBdr>
            <w:top w:val="none" w:sz="0" w:space="0" w:color="auto"/>
            <w:left w:val="none" w:sz="0" w:space="0" w:color="auto"/>
            <w:bottom w:val="none" w:sz="0" w:space="0" w:color="auto"/>
            <w:right w:val="none" w:sz="0" w:space="0" w:color="auto"/>
          </w:divBdr>
        </w:div>
        <w:div w:id="1188056814">
          <w:marLeft w:val="144"/>
          <w:marRight w:val="0"/>
          <w:marTop w:val="0"/>
          <w:marBottom w:val="0"/>
          <w:divBdr>
            <w:top w:val="none" w:sz="0" w:space="0" w:color="auto"/>
            <w:left w:val="none" w:sz="0" w:space="0" w:color="auto"/>
            <w:bottom w:val="none" w:sz="0" w:space="0" w:color="auto"/>
            <w:right w:val="none" w:sz="0" w:space="0" w:color="auto"/>
          </w:divBdr>
        </w:div>
        <w:div w:id="1351570896">
          <w:marLeft w:val="144"/>
          <w:marRight w:val="0"/>
          <w:marTop w:val="0"/>
          <w:marBottom w:val="0"/>
          <w:divBdr>
            <w:top w:val="none" w:sz="0" w:space="0" w:color="auto"/>
            <w:left w:val="none" w:sz="0" w:space="0" w:color="auto"/>
            <w:bottom w:val="none" w:sz="0" w:space="0" w:color="auto"/>
            <w:right w:val="none" w:sz="0" w:space="0" w:color="auto"/>
          </w:divBdr>
        </w:div>
        <w:div w:id="209340028">
          <w:marLeft w:val="144"/>
          <w:marRight w:val="0"/>
          <w:marTop w:val="0"/>
          <w:marBottom w:val="0"/>
          <w:divBdr>
            <w:top w:val="none" w:sz="0" w:space="0" w:color="auto"/>
            <w:left w:val="none" w:sz="0" w:space="0" w:color="auto"/>
            <w:bottom w:val="none" w:sz="0" w:space="0" w:color="auto"/>
            <w:right w:val="none" w:sz="0" w:space="0" w:color="auto"/>
          </w:divBdr>
        </w:div>
        <w:div w:id="1866747161">
          <w:marLeft w:val="144"/>
          <w:marRight w:val="0"/>
          <w:marTop w:val="0"/>
          <w:marBottom w:val="0"/>
          <w:divBdr>
            <w:top w:val="none" w:sz="0" w:space="0" w:color="auto"/>
            <w:left w:val="none" w:sz="0" w:space="0" w:color="auto"/>
            <w:bottom w:val="none" w:sz="0" w:space="0" w:color="auto"/>
            <w:right w:val="none" w:sz="0" w:space="0" w:color="auto"/>
          </w:divBdr>
        </w:div>
        <w:div w:id="1985310865">
          <w:marLeft w:val="144"/>
          <w:marRight w:val="0"/>
          <w:marTop w:val="0"/>
          <w:marBottom w:val="0"/>
          <w:divBdr>
            <w:top w:val="none" w:sz="0" w:space="0" w:color="auto"/>
            <w:left w:val="none" w:sz="0" w:space="0" w:color="auto"/>
            <w:bottom w:val="none" w:sz="0" w:space="0" w:color="auto"/>
            <w:right w:val="none" w:sz="0" w:space="0" w:color="auto"/>
          </w:divBdr>
        </w:div>
        <w:div w:id="1965228834">
          <w:marLeft w:val="144"/>
          <w:marRight w:val="0"/>
          <w:marTop w:val="0"/>
          <w:marBottom w:val="0"/>
          <w:divBdr>
            <w:top w:val="none" w:sz="0" w:space="0" w:color="auto"/>
            <w:left w:val="none" w:sz="0" w:space="0" w:color="auto"/>
            <w:bottom w:val="none" w:sz="0" w:space="0" w:color="auto"/>
            <w:right w:val="none" w:sz="0" w:space="0" w:color="auto"/>
          </w:divBdr>
        </w:div>
        <w:div w:id="966934361">
          <w:marLeft w:val="144"/>
          <w:marRight w:val="0"/>
          <w:marTop w:val="0"/>
          <w:marBottom w:val="0"/>
          <w:divBdr>
            <w:top w:val="none" w:sz="0" w:space="0" w:color="auto"/>
            <w:left w:val="none" w:sz="0" w:space="0" w:color="auto"/>
            <w:bottom w:val="none" w:sz="0" w:space="0" w:color="auto"/>
            <w:right w:val="none" w:sz="0" w:space="0" w:color="auto"/>
          </w:divBdr>
        </w:div>
        <w:div w:id="640766694">
          <w:marLeft w:val="144"/>
          <w:marRight w:val="0"/>
          <w:marTop w:val="0"/>
          <w:marBottom w:val="0"/>
          <w:divBdr>
            <w:top w:val="none" w:sz="0" w:space="0" w:color="auto"/>
            <w:left w:val="none" w:sz="0" w:space="0" w:color="auto"/>
            <w:bottom w:val="none" w:sz="0" w:space="0" w:color="auto"/>
            <w:right w:val="none" w:sz="0" w:space="0" w:color="auto"/>
          </w:divBdr>
        </w:div>
        <w:div w:id="427964189">
          <w:marLeft w:val="144"/>
          <w:marRight w:val="0"/>
          <w:marTop w:val="0"/>
          <w:marBottom w:val="0"/>
          <w:divBdr>
            <w:top w:val="none" w:sz="0" w:space="0" w:color="auto"/>
            <w:left w:val="none" w:sz="0" w:space="0" w:color="auto"/>
            <w:bottom w:val="none" w:sz="0" w:space="0" w:color="auto"/>
            <w:right w:val="none" w:sz="0" w:space="0" w:color="auto"/>
          </w:divBdr>
        </w:div>
        <w:div w:id="2128086554">
          <w:marLeft w:val="144"/>
          <w:marRight w:val="0"/>
          <w:marTop w:val="0"/>
          <w:marBottom w:val="0"/>
          <w:divBdr>
            <w:top w:val="none" w:sz="0" w:space="0" w:color="auto"/>
            <w:left w:val="none" w:sz="0" w:space="0" w:color="auto"/>
            <w:bottom w:val="none" w:sz="0" w:space="0" w:color="auto"/>
            <w:right w:val="none" w:sz="0" w:space="0" w:color="auto"/>
          </w:divBdr>
        </w:div>
        <w:div w:id="170342571">
          <w:marLeft w:val="144"/>
          <w:marRight w:val="0"/>
          <w:marTop w:val="0"/>
          <w:marBottom w:val="0"/>
          <w:divBdr>
            <w:top w:val="none" w:sz="0" w:space="0" w:color="auto"/>
            <w:left w:val="none" w:sz="0" w:space="0" w:color="auto"/>
            <w:bottom w:val="none" w:sz="0" w:space="0" w:color="auto"/>
            <w:right w:val="none" w:sz="0" w:space="0" w:color="auto"/>
          </w:divBdr>
        </w:div>
        <w:div w:id="1052195490">
          <w:marLeft w:val="144"/>
          <w:marRight w:val="0"/>
          <w:marTop w:val="0"/>
          <w:marBottom w:val="0"/>
          <w:divBdr>
            <w:top w:val="none" w:sz="0" w:space="0" w:color="auto"/>
            <w:left w:val="none" w:sz="0" w:space="0" w:color="auto"/>
            <w:bottom w:val="none" w:sz="0" w:space="0" w:color="auto"/>
            <w:right w:val="none" w:sz="0" w:space="0" w:color="auto"/>
          </w:divBdr>
        </w:div>
        <w:div w:id="729041317">
          <w:marLeft w:val="144"/>
          <w:marRight w:val="0"/>
          <w:marTop w:val="0"/>
          <w:marBottom w:val="0"/>
          <w:divBdr>
            <w:top w:val="none" w:sz="0" w:space="0" w:color="auto"/>
            <w:left w:val="none" w:sz="0" w:space="0" w:color="auto"/>
            <w:bottom w:val="none" w:sz="0" w:space="0" w:color="auto"/>
            <w:right w:val="none" w:sz="0" w:space="0" w:color="auto"/>
          </w:divBdr>
        </w:div>
        <w:div w:id="808399281">
          <w:marLeft w:val="144"/>
          <w:marRight w:val="0"/>
          <w:marTop w:val="0"/>
          <w:marBottom w:val="0"/>
          <w:divBdr>
            <w:top w:val="none" w:sz="0" w:space="0" w:color="auto"/>
            <w:left w:val="none" w:sz="0" w:space="0" w:color="auto"/>
            <w:bottom w:val="none" w:sz="0" w:space="0" w:color="auto"/>
            <w:right w:val="none" w:sz="0" w:space="0" w:color="auto"/>
          </w:divBdr>
        </w:div>
        <w:div w:id="1476264999">
          <w:marLeft w:val="144"/>
          <w:marRight w:val="0"/>
          <w:marTop w:val="0"/>
          <w:marBottom w:val="0"/>
          <w:divBdr>
            <w:top w:val="none" w:sz="0" w:space="0" w:color="auto"/>
            <w:left w:val="none" w:sz="0" w:space="0" w:color="auto"/>
            <w:bottom w:val="none" w:sz="0" w:space="0" w:color="auto"/>
            <w:right w:val="none" w:sz="0" w:space="0" w:color="auto"/>
          </w:divBdr>
        </w:div>
        <w:div w:id="1989551681">
          <w:marLeft w:val="144"/>
          <w:marRight w:val="0"/>
          <w:marTop w:val="0"/>
          <w:marBottom w:val="0"/>
          <w:divBdr>
            <w:top w:val="none" w:sz="0" w:space="0" w:color="auto"/>
            <w:left w:val="none" w:sz="0" w:space="0" w:color="auto"/>
            <w:bottom w:val="none" w:sz="0" w:space="0" w:color="auto"/>
            <w:right w:val="none" w:sz="0" w:space="0" w:color="auto"/>
          </w:divBdr>
        </w:div>
        <w:div w:id="457991471">
          <w:marLeft w:val="144"/>
          <w:marRight w:val="0"/>
          <w:marTop w:val="0"/>
          <w:marBottom w:val="0"/>
          <w:divBdr>
            <w:top w:val="none" w:sz="0" w:space="0" w:color="auto"/>
            <w:left w:val="none" w:sz="0" w:space="0" w:color="auto"/>
            <w:bottom w:val="none" w:sz="0" w:space="0" w:color="auto"/>
            <w:right w:val="none" w:sz="0" w:space="0" w:color="auto"/>
          </w:divBdr>
        </w:div>
        <w:div w:id="709839355">
          <w:marLeft w:val="144"/>
          <w:marRight w:val="0"/>
          <w:marTop w:val="0"/>
          <w:marBottom w:val="0"/>
          <w:divBdr>
            <w:top w:val="none" w:sz="0" w:space="0" w:color="auto"/>
            <w:left w:val="none" w:sz="0" w:space="0" w:color="auto"/>
            <w:bottom w:val="none" w:sz="0" w:space="0" w:color="auto"/>
            <w:right w:val="none" w:sz="0" w:space="0" w:color="auto"/>
          </w:divBdr>
        </w:div>
        <w:div w:id="697396016">
          <w:marLeft w:val="144"/>
          <w:marRight w:val="0"/>
          <w:marTop w:val="0"/>
          <w:marBottom w:val="0"/>
          <w:divBdr>
            <w:top w:val="none" w:sz="0" w:space="0" w:color="auto"/>
            <w:left w:val="none" w:sz="0" w:space="0" w:color="auto"/>
            <w:bottom w:val="none" w:sz="0" w:space="0" w:color="auto"/>
            <w:right w:val="none" w:sz="0" w:space="0" w:color="auto"/>
          </w:divBdr>
        </w:div>
        <w:div w:id="1941374088">
          <w:marLeft w:val="144"/>
          <w:marRight w:val="0"/>
          <w:marTop w:val="0"/>
          <w:marBottom w:val="0"/>
          <w:divBdr>
            <w:top w:val="none" w:sz="0" w:space="0" w:color="auto"/>
            <w:left w:val="none" w:sz="0" w:space="0" w:color="auto"/>
            <w:bottom w:val="none" w:sz="0" w:space="0" w:color="auto"/>
            <w:right w:val="none" w:sz="0" w:space="0" w:color="auto"/>
          </w:divBdr>
        </w:div>
      </w:divsChild>
    </w:div>
    <w:div w:id="1600142050">
      <w:bodyDiv w:val="1"/>
      <w:marLeft w:val="0"/>
      <w:marRight w:val="0"/>
      <w:marTop w:val="0"/>
      <w:marBottom w:val="0"/>
      <w:divBdr>
        <w:top w:val="none" w:sz="0" w:space="0" w:color="auto"/>
        <w:left w:val="none" w:sz="0" w:space="0" w:color="auto"/>
        <w:bottom w:val="none" w:sz="0" w:space="0" w:color="auto"/>
        <w:right w:val="none" w:sz="0" w:space="0" w:color="auto"/>
      </w:divBdr>
      <w:divsChild>
        <w:div w:id="1845902702">
          <w:marLeft w:val="144"/>
          <w:marRight w:val="0"/>
          <w:marTop w:val="0"/>
          <w:marBottom w:val="0"/>
          <w:divBdr>
            <w:top w:val="none" w:sz="0" w:space="0" w:color="auto"/>
            <w:left w:val="none" w:sz="0" w:space="0" w:color="auto"/>
            <w:bottom w:val="none" w:sz="0" w:space="0" w:color="auto"/>
            <w:right w:val="none" w:sz="0" w:space="0" w:color="auto"/>
          </w:divBdr>
        </w:div>
        <w:div w:id="1415664460">
          <w:marLeft w:val="144"/>
          <w:marRight w:val="0"/>
          <w:marTop w:val="0"/>
          <w:marBottom w:val="0"/>
          <w:divBdr>
            <w:top w:val="none" w:sz="0" w:space="0" w:color="auto"/>
            <w:left w:val="none" w:sz="0" w:space="0" w:color="auto"/>
            <w:bottom w:val="none" w:sz="0" w:space="0" w:color="auto"/>
            <w:right w:val="none" w:sz="0" w:space="0" w:color="auto"/>
          </w:divBdr>
        </w:div>
        <w:div w:id="1728916496">
          <w:marLeft w:val="144"/>
          <w:marRight w:val="0"/>
          <w:marTop w:val="0"/>
          <w:marBottom w:val="0"/>
          <w:divBdr>
            <w:top w:val="none" w:sz="0" w:space="0" w:color="auto"/>
            <w:left w:val="none" w:sz="0" w:space="0" w:color="auto"/>
            <w:bottom w:val="none" w:sz="0" w:space="0" w:color="auto"/>
            <w:right w:val="none" w:sz="0" w:space="0" w:color="auto"/>
          </w:divBdr>
        </w:div>
        <w:div w:id="635066221">
          <w:marLeft w:val="144"/>
          <w:marRight w:val="0"/>
          <w:marTop w:val="0"/>
          <w:marBottom w:val="0"/>
          <w:divBdr>
            <w:top w:val="none" w:sz="0" w:space="0" w:color="auto"/>
            <w:left w:val="none" w:sz="0" w:space="0" w:color="auto"/>
            <w:bottom w:val="none" w:sz="0" w:space="0" w:color="auto"/>
            <w:right w:val="none" w:sz="0" w:space="0" w:color="auto"/>
          </w:divBdr>
        </w:div>
        <w:div w:id="178007021">
          <w:marLeft w:val="144"/>
          <w:marRight w:val="0"/>
          <w:marTop w:val="0"/>
          <w:marBottom w:val="0"/>
          <w:divBdr>
            <w:top w:val="none" w:sz="0" w:space="0" w:color="auto"/>
            <w:left w:val="none" w:sz="0" w:space="0" w:color="auto"/>
            <w:bottom w:val="none" w:sz="0" w:space="0" w:color="auto"/>
            <w:right w:val="none" w:sz="0" w:space="0" w:color="auto"/>
          </w:divBdr>
        </w:div>
        <w:div w:id="1459881646">
          <w:marLeft w:val="144"/>
          <w:marRight w:val="0"/>
          <w:marTop w:val="0"/>
          <w:marBottom w:val="0"/>
          <w:divBdr>
            <w:top w:val="none" w:sz="0" w:space="0" w:color="auto"/>
            <w:left w:val="none" w:sz="0" w:space="0" w:color="auto"/>
            <w:bottom w:val="none" w:sz="0" w:space="0" w:color="auto"/>
            <w:right w:val="none" w:sz="0" w:space="0" w:color="auto"/>
          </w:divBdr>
        </w:div>
        <w:div w:id="1585840732">
          <w:marLeft w:val="144"/>
          <w:marRight w:val="0"/>
          <w:marTop w:val="0"/>
          <w:marBottom w:val="0"/>
          <w:divBdr>
            <w:top w:val="none" w:sz="0" w:space="0" w:color="auto"/>
            <w:left w:val="none" w:sz="0" w:space="0" w:color="auto"/>
            <w:bottom w:val="none" w:sz="0" w:space="0" w:color="auto"/>
            <w:right w:val="none" w:sz="0" w:space="0" w:color="auto"/>
          </w:divBdr>
        </w:div>
        <w:div w:id="1135759024">
          <w:marLeft w:val="144"/>
          <w:marRight w:val="0"/>
          <w:marTop w:val="0"/>
          <w:marBottom w:val="0"/>
          <w:divBdr>
            <w:top w:val="none" w:sz="0" w:space="0" w:color="auto"/>
            <w:left w:val="none" w:sz="0" w:space="0" w:color="auto"/>
            <w:bottom w:val="none" w:sz="0" w:space="0" w:color="auto"/>
            <w:right w:val="none" w:sz="0" w:space="0" w:color="auto"/>
          </w:divBdr>
        </w:div>
        <w:div w:id="1760566194">
          <w:marLeft w:val="144"/>
          <w:marRight w:val="0"/>
          <w:marTop w:val="0"/>
          <w:marBottom w:val="0"/>
          <w:divBdr>
            <w:top w:val="none" w:sz="0" w:space="0" w:color="auto"/>
            <w:left w:val="none" w:sz="0" w:space="0" w:color="auto"/>
            <w:bottom w:val="none" w:sz="0" w:space="0" w:color="auto"/>
            <w:right w:val="none" w:sz="0" w:space="0" w:color="auto"/>
          </w:divBdr>
        </w:div>
        <w:div w:id="1239826034">
          <w:marLeft w:val="144"/>
          <w:marRight w:val="0"/>
          <w:marTop w:val="0"/>
          <w:marBottom w:val="0"/>
          <w:divBdr>
            <w:top w:val="none" w:sz="0" w:space="0" w:color="auto"/>
            <w:left w:val="none" w:sz="0" w:space="0" w:color="auto"/>
            <w:bottom w:val="none" w:sz="0" w:space="0" w:color="auto"/>
            <w:right w:val="none" w:sz="0" w:space="0" w:color="auto"/>
          </w:divBdr>
        </w:div>
        <w:div w:id="382363867">
          <w:marLeft w:val="144"/>
          <w:marRight w:val="0"/>
          <w:marTop w:val="0"/>
          <w:marBottom w:val="0"/>
          <w:divBdr>
            <w:top w:val="none" w:sz="0" w:space="0" w:color="auto"/>
            <w:left w:val="none" w:sz="0" w:space="0" w:color="auto"/>
            <w:bottom w:val="none" w:sz="0" w:space="0" w:color="auto"/>
            <w:right w:val="none" w:sz="0" w:space="0" w:color="auto"/>
          </w:divBdr>
        </w:div>
        <w:div w:id="143860782">
          <w:marLeft w:val="144"/>
          <w:marRight w:val="0"/>
          <w:marTop w:val="0"/>
          <w:marBottom w:val="0"/>
          <w:divBdr>
            <w:top w:val="none" w:sz="0" w:space="0" w:color="auto"/>
            <w:left w:val="none" w:sz="0" w:space="0" w:color="auto"/>
            <w:bottom w:val="none" w:sz="0" w:space="0" w:color="auto"/>
            <w:right w:val="none" w:sz="0" w:space="0" w:color="auto"/>
          </w:divBdr>
        </w:div>
        <w:div w:id="488643423">
          <w:marLeft w:val="144"/>
          <w:marRight w:val="0"/>
          <w:marTop w:val="0"/>
          <w:marBottom w:val="0"/>
          <w:divBdr>
            <w:top w:val="none" w:sz="0" w:space="0" w:color="auto"/>
            <w:left w:val="none" w:sz="0" w:space="0" w:color="auto"/>
            <w:bottom w:val="none" w:sz="0" w:space="0" w:color="auto"/>
            <w:right w:val="none" w:sz="0" w:space="0" w:color="auto"/>
          </w:divBdr>
        </w:div>
        <w:div w:id="215704401">
          <w:marLeft w:val="144"/>
          <w:marRight w:val="0"/>
          <w:marTop w:val="0"/>
          <w:marBottom w:val="0"/>
          <w:divBdr>
            <w:top w:val="none" w:sz="0" w:space="0" w:color="auto"/>
            <w:left w:val="none" w:sz="0" w:space="0" w:color="auto"/>
            <w:bottom w:val="none" w:sz="0" w:space="0" w:color="auto"/>
            <w:right w:val="none" w:sz="0" w:space="0" w:color="auto"/>
          </w:divBdr>
        </w:div>
        <w:div w:id="1509831041">
          <w:marLeft w:val="144"/>
          <w:marRight w:val="0"/>
          <w:marTop w:val="0"/>
          <w:marBottom w:val="0"/>
          <w:divBdr>
            <w:top w:val="none" w:sz="0" w:space="0" w:color="auto"/>
            <w:left w:val="none" w:sz="0" w:space="0" w:color="auto"/>
            <w:bottom w:val="none" w:sz="0" w:space="0" w:color="auto"/>
            <w:right w:val="none" w:sz="0" w:space="0" w:color="auto"/>
          </w:divBdr>
        </w:div>
        <w:div w:id="293951693">
          <w:marLeft w:val="144"/>
          <w:marRight w:val="0"/>
          <w:marTop w:val="0"/>
          <w:marBottom w:val="0"/>
          <w:divBdr>
            <w:top w:val="none" w:sz="0" w:space="0" w:color="auto"/>
            <w:left w:val="none" w:sz="0" w:space="0" w:color="auto"/>
            <w:bottom w:val="none" w:sz="0" w:space="0" w:color="auto"/>
            <w:right w:val="none" w:sz="0" w:space="0" w:color="auto"/>
          </w:divBdr>
        </w:div>
        <w:div w:id="732048597">
          <w:marLeft w:val="144"/>
          <w:marRight w:val="0"/>
          <w:marTop w:val="0"/>
          <w:marBottom w:val="0"/>
          <w:divBdr>
            <w:top w:val="none" w:sz="0" w:space="0" w:color="auto"/>
            <w:left w:val="none" w:sz="0" w:space="0" w:color="auto"/>
            <w:bottom w:val="none" w:sz="0" w:space="0" w:color="auto"/>
            <w:right w:val="none" w:sz="0" w:space="0" w:color="auto"/>
          </w:divBdr>
        </w:div>
        <w:div w:id="138962670">
          <w:marLeft w:val="144"/>
          <w:marRight w:val="0"/>
          <w:marTop w:val="0"/>
          <w:marBottom w:val="0"/>
          <w:divBdr>
            <w:top w:val="none" w:sz="0" w:space="0" w:color="auto"/>
            <w:left w:val="none" w:sz="0" w:space="0" w:color="auto"/>
            <w:bottom w:val="none" w:sz="0" w:space="0" w:color="auto"/>
            <w:right w:val="none" w:sz="0" w:space="0" w:color="auto"/>
          </w:divBdr>
        </w:div>
        <w:div w:id="1306206446">
          <w:marLeft w:val="144"/>
          <w:marRight w:val="0"/>
          <w:marTop w:val="0"/>
          <w:marBottom w:val="0"/>
          <w:divBdr>
            <w:top w:val="none" w:sz="0" w:space="0" w:color="auto"/>
            <w:left w:val="none" w:sz="0" w:space="0" w:color="auto"/>
            <w:bottom w:val="none" w:sz="0" w:space="0" w:color="auto"/>
            <w:right w:val="none" w:sz="0" w:space="0" w:color="auto"/>
          </w:divBdr>
        </w:div>
        <w:div w:id="359942379">
          <w:marLeft w:val="144"/>
          <w:marRight w:val="0"/>
          <w:marTop w:val="0"/>
          <w:marBottom w:val="0"/>
          <w:divBdr>
            <w:top w:val="none" w:sz="0" w:space="0" w:color="auto"/>
            <w:left w:val="none" w:sz="0" w:space="0" w:color="auto"/>
            <w:bottom w:val="none" w:sz="0" w:space="0" w:color="auto"/>
            <w:right w:val="none" w:sz="0" w:space="0" w:color="auto"/>
          </w:divBdr>
        </w:div>
        <w:div w:id="1779526758">
          <w:marLeft w:val="144"/>
          <w:marRight w:val="0"/>
          <w:marTop w:val="0"/>
          <w:marBottom w:val="0"/>
          <w:divBdr>
            <w:top w:val="none" w:sz="0" w:space="0" w:color="auto"/>
            <w:left w:val="none" w:sz="0" w:space="0" w:color="auto"/>
            <w:bottom w:val="none" w:sz="0" w:space="0" w:color="auto"/>
            <w:right w:val="none" w:sz="0" w:space="0" w:color="auto"/>
          </w:divBdr>
        </w:div>
        <w:div w:id="1331329399">
          <w:marLeft w:val="144"/>
          <w:marRight w:val="0"/>
          <w:marTop w:val="0"/>
          <w:marBottom w:val="0"/>
          <w:divBdr>
            <w:top w:val="none" w:sz="0" w:space="0" w:color="auto"/>
            <w:left w:val="none" w:sz="0" w:space="0" w:color="auto"/>
            <w:bottom w:val="none" w:sz="0" w:space="0" w:color="auto"/>
            <w:right w:val="none" w:sz="0" w:space="0" w:color="auto"/>
          </w:divBdr>
        </w:div>
        <w:div w:id="1438716161">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struction.procurement@dtf.vic.gov.a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tf.vic.gov.au/practitioners-toolkit/practitioners-toolkit-standard-form-contrac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struction.procurement@dtf.vic.gov.au?subject=Transition%20provisions%20-%20Register" TargetMode="External"/><Relationship Id="rId5" Type="http://schemas.openxmlformats.org/officeDocument/2006/relationships/settings" Target="settings.xml"/><Relationship Id="rId15" Type="http://schemas.openxmlformats.org/officeDocument/2006/relationships/hyperlink" Target="mailto:http://www.dtf.vic.gov.au/files/7b9afc5c-687b-4ae7-b860-a5a6010a4a0e/Standing-Directions-of-the-Minister-for-Finance-2016.docx" TargetMode="External"/><Relationship Id="rId10" Type="http://schemas.openxmlformats.org/officeDocument/2006/relationships/hyperlink" Target="mailto:construction.procurement@dtf.vic.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tf.vic.gov.au/public-construction-policy-and-resources/ministerial-directions-and-instructions-public-construction-procurement" TargetMode="External"/><Relationship Id="rId14" Type="http://schemas.openxmlformats.org/officeDocument/2006/relationships/hyperlink" Target="mailto:http://www.dtf.vic.gov.au/files/7b9afc5c-687b-4ae7-b860-a5a6010a4a0e/Standing-Directions-of-the-Minister-for-Finance-2016.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Memorandum.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F9974-DFFA-472A-A2D5-C255F2895CEF}">
  <ds:schemaRefs>
    <ds:schemaRef ds:uri="http://www.w3.org/2001/XMLSchema"/>
  </ds:schemaRefs>
</ds:datastoreItem>
</file>

<file path=customXml/itemProps2.xml><?xml version="1.0" encoding="utf-8"?>
<ds:datastoreItem xmlns:ds="http://schemas.openxmlformats.org/officeDocument/2006/customXml" ds:itemID="{FE37B06F-5DF1-459F-B5CF-E58F805B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Memorandum.dotx</Template>
  <TotalTime>1</TotalTime>
  <Pages>5</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Fact-sheet-Transition-provisions-for-the-revised-Ministerial-Directions-for-Public-Construction</vt:lpstr>
    </vt:vector>
  </TitlesOfParts>
  <Company>Department-of-Treasury-and-Finance</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Fact-sheet-Transition-provisions-for-the-revised-Ministerial-Directions-for-Public-Construction</dc:title>
  <dc:creator>Krista Vanderheide</dc:creator>
  <cp:lastModifiedBy>Athena Rozenberg (DTF)</cp:lastModifiedBy>
  <cp:revision>2</cp:revision>
  <cp:lastPrinted>2017-09-22T06:23:00Z</cp:lastPrinted>
  <dcterms:created xsi:type="dcterms:W3CDTF">2020-01-06T03:51:00Z</dcterms:created>
  <dcterms:modified xsi:type="dcterms:W3CDTF">2020-01-06T03:51:00Z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0ed20bb0-dbd8-4833-a484-0079023d1d31</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athena.rozenberg@dtf.vic.gov.au</vt:lpwstr>
  </property>
  <property fmtid="{D5CDD505-2E9C-101B-9397-08002B2CF9AE}" pid="8" name="MSIP_Label_7158ebbd-6c5e-441f-bfc9-4eb8c11e3978_SetDate">
    <vt:lpwstr>2020-01-03T04:18:10.8100752Z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