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387D" w14:textId="77777777" w:rsidR="00045296" w:rsidRDefault="006D5CDD" w:rsidP="006D5CDD">
      <w:pPr>
        <w:pStyle w:val="Title"/>
      </w:pPr>
      <w:bookmarkStart w:id="0" w:name="_Toc442780672"/>
      <w:r w:rsidRPr="006B0EFC">
        <w:t>Guidance on the selection of valuation services</w:t>
      </w:r>
    </w:p>
    <w:p w14:paraId="634E13E9" w14:textId="144B9669" w:rsidR="006D5CDD" w:rsidRDefault="006D5CDD" w:rsidP="00784344">
      <w:r>
        <w:rPr>
          <w:lang w:eastAsia="en-US"/>
        </w:rPr>
        <w:t xml:space="preserve">Financial Reporting Direction 103 </w:t>
      </w:r>
      <w:r>
        <w:rPr>
          <w:i/>
          <w:lang w:eastAsia="en-US"/>
        </w:rPr>
        <w:t>Non</w:t>
      </w:r>
      <w:r>
        <w:rPr>
          <w:i/>
          <w:lang w:eastAsia="en-US"/>
        </w:rPr>
        <w:noBreakHyphen/>
        <w:t xml:space="preserve">Financial </w:t>
      </w:r>
      <w:r w:rsidRPr="006B0EFC">
        <w:rPr>
          <w:i/>
          <w:lang w:eastAsia="en-US"/>
        </w:rPr>
        <w:t>Physical Assets</w:t>
      </w:r>
      <w:r>
        <w:rPr>
          <w:lang w:eastAsia="en-US"/>
        </w:rPr>
        <w:t xml:space="preserve"> </w:t>
      </w:r>
      <w:r w:rsidR="00BE7E64">
        <w:rPr>
          <w:lang w:eastAsia="en-US"/>
        </w:rPr>
        <w:t xml:space="preserve">(FRD 103) </w:t>
      </w:r>
      <w:r>
        <w:rPr>
          <w:lang w:eastAsia="en-US"/>
        </w:rPr>
        <w:t xml:space="preserve">requires that entities which consider that </w:t>
      </w:r>
      <w:r w:rsidRPr="00C614DE">
        <w:rPr>
          <w:lang w:eastAsia="en-US"/>
        </w:rPr>
        <w:t>an exceptionally material</w:t>
      </w:r>
      <w:r>
        <w:rPr>
          <w:lang w:eastAsia="en-US"/>
        </w:rPr>
        <w:t xml:space="preserve"> change (greater than or equal to 40 per cent</w:t>
      </w:r>
      <w:r w:rsidR="00DF7311">
        <w:rPr>
          <w:lang w:eastAsia="en-US"/>
        </w:rPr>
        <w:t>)</w:t>
      </w:r>
      <w:r>
        <w:rPr>
          <w:lang w:eastAsia="en-US"/>
        </w:rPr>
        <w:t xml:space="preserve"> in the fair value of a class of non</w:t>
      </w:r>
      <w:r>
        <w:rPr>
          <w:lang w:eastAsia="en-US"/>
        </w:rPr>
        <w:noBreakHyphen/>
        <w:t>current physical assets has occurred must inform their Chief Reporting Officer (CRO), who will examine the evidence and will, if appropriate</w:t>
      </w:r>
      <w:r w:rsidR="00A8272D">
        <w:rPr>
          <w:lang w:eastAsia="en-US"/>
        </w:rPr>
        <w:t xml:space="preserve"> and required</w:t>
      </w:r>
      <w:r>
        <w:rPr>
          <w:lang w:eastAsia="en-US"/>
        </w:rPr>
        <w:t xml:space="preserve">, refer the entity to an Approved Valuer for further assessment. The CRO may, after consultation, approve the use of a valuer or specialist other than </w:t>
      </w:r>
      <w:r w:rsidR="00C614DE">
        <w:rPr>
          <w:lang w:eastAsia="en-US"/>
        </w:rPr>
        <w:t xml:space="preserve">the </w:t>
      </w:r>
      <w:r>
        <w:rPr>
          <w:lang w:eastAsia="en-US"/>
        </w:rPr>
        <w:t>Valuer</w:t>
      </w:r>
      <w:r>
        <w:rPr>
          <w:lang w:eastAsia="en-US"/>
        </w:rPr>
        <w:noBreakHyphen/>
        <w:t>General Victoria (VGV), if the entity makes such a request.</w:t>
      </w:r>
    </w:p>
    <w:bookmarkEnd w:id="0"/>
    <w:p w14:paraId="455EBF44" w14:textId="77777777" w:rsidR="006D5CDD" w:rsidRDefault="006D5CDD" w:rsidP="00784344">
      <w:pPr>
        <w:rPr>
          <w:lang w:eastAsia="en-US"/>
        </w:rPr>
      </w:pPr>
      <w:r>
        <w:rPr>
          <w:lang w:eastAsia="en-US"/>
        </w:rPr>
        <w:t xml:space="preserve">This </w:t>
      </w:r>
      <w:r w:rsidR="00737503">
        <w:rPr>
          <w:lang w:eastAsia="en-US"/>
        </w:rPr>
        <w:t xml:space="preserve">guidance </w:t>
      </w:r>
      <w:r>
        <w:rPr>
          <w:lang w:eastAsia="en-US"/>
        </w:rPr>
        <w:t>provides further information on matters to be considered by a CRO when deciding on the use of alternative valuation or specialist services.</w:t>
      </w:r>
    </w:p>
    <w:p w14:paraId="5EDC6393" w14:textId="3840DF33" w:rsidR="00F46672" w:rsidRPr="004E4023" w:rsidRDefault="00BE7E64" w:rsidP="00784344">
      <w:pPr>
        <w:rPr>
          <w:lang w:eastAsia="en-US"/>
        </w:rPr>
      </w:pPr>
      <w:r>
        <w:t xml:space="preserve">FRD 103 </w:t>
      </w:r>
      <w:r w:rsidRPr="00CA2AA0">
        <w:rPr>
          <w:i/>
        </w:rPr>
        <w:t xml:space="preserve">Non-financial physical assets </w:t>
      </w:r>
      <w:r w:rsidR="00F46672" w:rsidRPr="004E4023">
        <w:rPr>
          <w:lang w:eastAsia="en-US"/>
        </w:rPr>
        <w:t>requires that, once a potential movement in asset values is indicated as exceptionally material (greater than or equal to 40 percent), entities will be referred to an Approved Valuer, which will manage any additional valuation procedures required, by either providing the required services or engaging services on behalf of entities.</w:t>
      </w:r>
      <w:r w:rsidR="00A8272D">
        <w:rPr>
          <w:lang w:eastAsia="en-US"/>
        </w:rPr>
        <w:t xml:space="preserve"> Note that referral to an Approved Valuer is not a requirement for right-of-use asse</w:t>
      </w:r>
      <w:r w:rsidR="00D644F1">
        <w:rPr>
          <w:lang w:eastAsia="en-US"/>
        </w:rPr>
        <w:t>ts for which an exceptional material change occurred</w:t>
      </w:r>
      <w:r w:rsidR="00A8272D">
        <w:rPr>
          <w:lang w:eastAsia="en-US"/>
        </w:rPr>
        <w:t>, but is not prohibited either.</w:t>
      </w:r>
    </w:p>
    <w:p w14:paraId="47E4F05E" w14:textId="77777777" w:rsidR="006D5CDD" w:rsidRPr="006D5CDD" w:rsidRDefault="006D5CDD" w:rsidP="00784344">
      <w:pPr>
        <w:pStyle w:val="Heading1"/>
      </w:pPr>
      <w:r>
        <w:t>Valuer</w:t>
      </w:r>
      <w:r>
        <w:noBreakHyphen/>
        <w:t>General Victoria</w:t>
      </w:r>
    </w:p>
    <w:p w14:paraId="34E62A8E" w14:textId="77777777" w:rsidR="005F3716" w:rsidRDefault="006D5CDD" w:rsidP="00784344">
      <w:pPr>
        <w:rPr>
          <w:lang w:eastAsia="en-US"/>
        </w:rPr>
      </w:pPr>
      <w:r>
        <w:rPr>
          <w:lang w:eastAsia="en-US"/>
        </w:rPr>
        <w:t>Valuer</w:t>
      </w:r>
      <w:r>
        <w:rPr>
          <w:lang w:eastAsia="en-US"/>
        </w:rPr>
        <w:noBreakHyphen/>
        <w:t>General Victoria (VGV) is the Victorian State Government’s independent valuation agency, which provides valuation services to the whole of the Victorian Public Sector via in</w:t>
      </w:r>
      <w:r>
        <w:rPr>
          <w:lang w:eastAsia="en-US"/>
        </w:rPr>
        <w:noBreakHyphen/>
        <w:t xml:space="preserve">house valuers and a panel of valuers. VGV’s asset valuation team can arrange comprehensive Financial Reporting valuations if given sufficient time and proper instructions. </w:t>
      </w:r>
    </w:p>
    <w:p w14:paraId="7CFB4C58" w14:textId="77777777" w:rsidR="006D5CDD" w:rsidRDefault="006D5CDD" w:rsidP="00784344">
      <w:pPr>
        <w:rPr>
          <w:lang w:eastAsia="en-US"/>
        </w:rPr>
      </w:pPr>
      <w:r>
        <w:rPr>
          <w:lang w:eastAsia="en-US"/>
        </w:rPr>
        <w:t xml:space="preserve">Refer to </w:t>
      </w:r>
      <w:r w:rsidR="00D619A4" w:rsidRPr="00D619A4">
        <w:rPr>
          <w:rStyle w:val="Hyperlink"/>
        </w:rPr>
        <w:t>https://www.propertyandlandtitles.vic.gov.au/valuation/valuer-general-victoria</w:t>
      </w:r>
      <w:r w:rsidR="00D619A4" w:rsidRPr="00D619A4" w:rsidDel="00D619A4">
        <w:rPr>
          <w:rStyle w:val="Hyperlink"/>
        </w:rPr>
        <w:t xml:space="preserve"> </w:t>
      </w:r>
      <w:r>
        <w:rPr>
          <w:lang w:eastAsia="en-US"/>
        </w:rPr>
        <w:t>for more information about VGV.</w:t>
      </w:r>
    </w:p>
    <w:p w14:paraId="4FACC61A" w14:textId="77777777" w:rsidR="006D5CDD" w:rsidRDefault="006D5CDD" w:rsidP="00784344">
      <w:pPr>
        <w:rPr>
          <w:lang w:eastAsia="en-US"/>
        </w:rPr>
      </w:pPr>
      <w:r>
        <w:rPr>
          <w:lang w:eastAsia="en-US"/>
        </w:rPr>
        <w:t>In the case of land, the fair value assessment conducted by an entity on land assets – to obtain an indication on whether the fair value may have changed materially from the carrying amount – uses land value indices supplied by VGV. The VGV also provides indicators of fair value movements for buildings.</w:t>
      </w:r>
    </w:p>
    <w:p w14:paraId="3238B048" w14:textId="77777777" w:rsidR="006D5CDD" w:rsidRDefault="006D5CDD" w:rsidP="006D5CDD">
      <w:pPr>
        <w:rPr>
          <w:lang w:eastAsia="en-US"/>
        </w:rPr>
      </w:pPr>
      <w:r>
        <w:rPr>
          <w:lang w:eastAsia="en-US"/>
        </w:rPr>
        <w:t xml:space="preserve">VGV is therefore presumed to have a significant knowledge about Victorian Government physical assets and </w:t>
      </w:r>
      <w:r w:rsidR="00800682">
        <w:rPr>
          <w:lang w:eastAsia="en-US"/>
        </w:rPr>
        <w:t>f</w:t>
      </w:r>
      <w:r>
        <w:rPr>
          <w:lang w:eastAsia="en-US"/>
        </w:rPr>
        <w:t xml:space="preserve">inancial </w:t>
      </w:r>
      <w:r w:rsidR="00800682">
        <w:rPr>
          <w:lang w:eastAsia="en-US"/>
        </w:rPr>
        <w:t>r</w:t>
      </w:r>
      <w:r>
        <w:rPr>
          <w:lang w:eastAsia="en-US"/>
        </w:rPr>
        <w:t>eporting valuation requirements. For example, VGV is normally involved in valuing the purchase, sale and lease of high</w:t>
      </w:r>
      <w:r>
        <w:rPr>
          <w:lang w:eastAsia="en-US"/>
        </w:rPr>
        <w:noBreakHyphen/>
        <w:t>value land properties for government. This means that VGV will generally have been involved with the initial purchase of land for government entities.</w:t>
      </w:r>
    </w:p>
    <w:p w14:paraId="43CF9605" w14:textId="42303681" w:rsidR="006D5CDD" w:rsidRDefault="006D5CDD" w:rsidP="00784344">
      <w:pPr>
        <w:rPr>
          <w:lang w:eastAsia="en-US"/>
        </w:rPr>
      </w:pPr>
      <w:r>
        <w:rPr>
          <w:lang w:eastAsia="en-US"/>
        </w:rPr>
        <w:t xml:space="preserve">Unless otherwise approved by the CRO (in accordance with the requirements of </w:t>
      </w:r>
      <w:r w:rsidR="00784344">
        <w:t>FRD 103 </w:t>
      </w:r>
      <w:r w:rsidR="00784344">
        <w:rPr>
          <w:i/>
        </w:rPr>
        <w:t>Non</w:t>
      </w:r>
      <w:r w:rsidR="00784344">
        <w:rPr>
          <w:i/>
        </w:rPr>
        <w:noBreakHyphen/>
      </w:r>
      <w:r w:rsidR="00BE7E64" w:rsidRPr="00CA2AA0">
        <w:rPr>
          <w:i/>
        </w:rPr>
        <w:t>financial physical assets</w:t>
      </w:r>
      <w:r>
        <w:rPr>
          <w:lang w:eastAsia="en-US"/>
        </w:rPr>
        <w:t xml:space="preserve">), the </w:t>
      </w:r>
      <w:r w:rsidRPr="00800682">
        <w:rPr>
          <w:lang w:eastAsia="en-US"/>
        </w:rPr>
        <w:t>Approved Valuer</w:t>
      </w:r>
      <w:r>
        <w:rPr>
          <w:lang w:eastAsia="en-US"/>
        </w:rPr>
        <w:t xml:space="preserve"> for the purposes of </w:t>
      </w:r>
      <w:r w:rsidR="00D644F1">
        <w:rPr>
          <w:lang w:eastAsia="en-US"/>
        </w:rPr>
        <w:t>FRD 103 is the</w:t>
      </w:r>
      <w:r>
        <w:rPr>
          <w:lang w:eastAsia="en-US"/>
        </w:rPr>
        <w:t xml:space="preserve"> VGV.</w:t>
      </w:r>
    </w:p>
    <w:p w14:paraId="0DBB0BD2" w14:textId="77777777" w:rsidR="006D5CDD" w:rsidRDefault="006D5CDD" w:rsidP="00784344">
      <w:pPr>
        <w:pStyle w:val="Heading1"/>
      </w:pPr>
      <w:r>
        <w:lastRenderedPageBreak/>
        <w:t>Consistency of valuations</w:t>
      </w:r>
    </w:p>
    <w:p w14:paraId="5BC12E23" w14:textId="77777777" w:rsidR="006D5CDD" w:rsidRDefault="006D5CDD" w:rsidP="006D5CDD">
      <w:pPr>
        <w:rPr>
          <w:lang w:eastAsia="en-US"/>
        </w:rPr>
      </w:pPr>
      <w:r>
        <w:rPr>
          <w:lang w:eastAsia="en-US"/>
        </w:rPr>
        <w:t xml:space="preserve">Consistency of valuation methodologies and processes, as well as high professional standards and independence, is considered crucial for quality </w:t>
      </w:r>
      <w:r w:rsidR="00D11465">
        <w:rPr>
          <w:lang w:eastAsia="en-US"/>
        </w:rPr>
        <w:t>f</w:t>
      </w:r>
      <w:r>
        <w:rPr>
          <w:lang w:eastAsia="en-US"/>
        </w:rPr>
        <w:t xml:space="preserve">inancial </w:t>
      </w:r>
      <w:r w:rsidR="00D11465">
        <w:rPr>
          <w:lang w:eastAsia="en-US"/>
        </w:rPr>
        <w:t>r</w:t>
      </w:r>
      <w:r>
        <w:rPr>
          <w:lang w:eastAsia="en-US"/>
        </w:rPr>
        <w:t>eporting of asset values. The selection of valuers to conduct revaluations is, consequently, of great importance.</w:t>
      </w:r>
    </w:p>
    <w:p w14:paraId="1D13CD0F" w14:textId="77777777" w:rsidR="006D5CDD" w:rsidRDefault="006D5CDD" w:rsidP="00784344">
      <w:pPr>
        <w:pStyle w:val="Heading1"/>
      </w:pPr>
      <w:r>
        <w:t>Alternative approved valuers</w:t>
      </w:r>
    </w:p>
    <w:p w14:paraId="1BAE71D9" w14:textId="77777777" w:rsidR="006D5CDD" w:rsidRDefault="006D5CDD" w:rsidP="006D5CDD">
      <w:pPr>
        <w:rPr>
          <w:lang w:eastAsia="en-US"/>
        </w:rPr>
      </w:pPr>
      <w:r>
        <w:rPr>
          <w:lang w:eastAsia="en-US"/>
        </w:rPr>
        <w:t>There may be occasions when individual entities will seek to engage another valuer for the conduct of a revaluation. In such circumstances, the CRO will need to consider this in the context of the benefits of engaging VGV for the revaluation (</w:t>
      </w:r>
      <w:r w:rsidR="002F2661">
        <w:rPr>
          <w:lang w:eastAsia="en-US"/>
        </w:rPr>
        <w:t>for example:</w:t>
      </w:r>
      <w:r>
        <w:rPr>
          <w:lang w:eastAsia="en-US"/>
        </w:rPr>
        <w:t xml:space="preserve"> local knowledge of Victorian state assets, consistency of valuations).</w:t>
      </w:r>
    </w:p>
    <w:p w14:paraId="0E524A8E" w14:textId="77777777" w:rsidR="006D5CDD" w:rsidRDefault="006D5CDD" w:rsidP="006D5CDD">
      <w:pPr>
        <w:rPr>
          <w:lang w:eastAsia="en-US"/>
        </w:rPr>
      </w:pPr>
      <w:r>
        <w:rPr>
          <w:lang w:eastAsia="en-US"/>
        </w:rPr>
        <w:t xml:space="preserve">It would not normally be acceptable for valuers – other than those of equal professional standing (and expertise relevant to Victoria) to that of VGV – to be used as Approved Valuers. Alternative valuers of equal professional standing to VGV </w:t>
      </w:r>
      <w:r w:rsidR="00BE7E64">
        <w:rPr>
          <w:lang w:eastAsia="en-US"/>
        </w:rPr>
        <w:t>include other State Governments’ independent valuation agencies or offices.</w:t>
      </w:r>
    </w:p>
    <w:p w14:paraId="0602F052" w14:textId="77777777" w:rsidR="006D5CDD" w:rsidRDefault="006D5CDD" w:rsidP="006D5CDD">
      <w:pPr>
        <w:rPr>
          <w:lang w:eastAsia="en-US"/>
        </w:rPr>
      </w:pPr>
      <w:r>
        <w:rPr>
          <w:lang w:eastAsia="en-US"/>
        </w:rPr>
        <w:t xml:space="preserve">If an entity wishes to use a valuer other than those listed above, under </w:t>
      </w:r>
      <w:r w:rsidR="00BE7E64">
        <w:t xml:space="preserve">FRD 103 </w:t>
      </w:r>
      <w:r w:rsidR="00BE7E64" w:rsidRPr="00CA2AA0">
        <w:rPr>
          <w:i/>
        </w:rPr>
        <w:t xml:space="preserve">Non-financial physical assets </w:t>
      </w:r>
      <w:r>
        <w:rPr>
          <w:lang w:eastAsia="en-US"/>
        </w:rPr>
        <w:t xml:space="preserve">that entity will be required to produce evidence, to the satisfaction of the </w:t>
      </w:r>
      <w:r w:rsidR="00BC56D3">
        <w:rPr>
          <w:lang w:eastAsia="en-US"/>
        </w:rPr>
        <w:t>CRO that</w:t>
      </w:r>
      <w:r>
        <w:rPr>
          <w:lang w:eastAsia="en-US"/>
        </w:rPr>
        <w:t xml:space="preserve"> the requested valuer’s work cannot be satisfactorily provided by VGV (or the valuers listed above).</w:t>
      </w:r>
    </w:p>
    <w:p w14:paraId="39CA3F40" w14:textId="77777777" w:rsidR="006D5CDD" w:rsidRDefault="006D5CDD" w:rsidP="006D5CDD">
      <w:pPr>
        <w:rPr>
          <w:lang w:eastAsia="en-US"/>
        </w:rPr>
      </w:pPr>
      <w:r>
        <w:rPr>
          <w:lang w:eastAsia="en-US"/>
        </w:rPr>
        <w:t>In deciding on a request for any alternatives to VGV, the CRO is required to consult with the relevant audit team and VGV, and also give due consideration to the level of local knowledge and expertise that is appropriate to such an engagement.</w:t>
      </w:r>
    </w:p>
    <w:p w14:paraId="1EE93C57" w14:textId="77777777" w:rsidR="003C4E8D" w:rsidRDefault="006D5CDD" w:rsidP="006D5CDD">
      <w:pPr>
        <w:rPr>
          <w:lang w:eastAsia="en-US"/>
        </w:rPr>
      </w:pPr>
      <w:r>
        <w:rPr>
          <w:lang w:eastAsia="en-US"/>
        </w:rPr>
        <w:t>DTF and the relevant audit team must also be advised of any engagement not involving VGV or an alternative valuer listed above.</w:t>
      </w:r>
    </w:p>
    <w:p w14:paraId="74BC9105" w14:textId="77777777" w:rsidR="006D5CDD" w:rsidRDefault="006D5CDD" w:rsidP="00784344">
      <w:pPr>
        <w:pStyle w:val="Heading1"/>
      </w:pPr>
      <w:r>
        <w:t>Specialised assets and valuers</w:t>
      </w:r>
    </w:p>
    <w:p w14:paraId="01146E99" w14:textId="77777777" w:rsidR="006D5CDD" w:rsidRDefault="006D5CDD" w:rsidP="006D5CDD">
      <w:pPr>
        <w:rPr>
          <w:lang w:eastAsia="en-US"/>
        </w:rPr>
      </w:pPr>
      <w:r w:rsidRPr="00D56C1C">
        <w:rPr>
          <w:lang w:eastAsia="en-US"/>
        </w:rPr>
        <w:t>If an entity considers that certain assets</w:t>
      </w:r>
      <w:r w:rsidR="00D56C1C" w:rsidRPr="00D56C1C">
        <w:rPr>
          <w:lang w:eastAsia="en-US"/>
        </w:rPr>
        <w:t xml:space="preserve"> are specialised in nature and consequently would be more appropriately valued by a specific type of professional not available to VGV</w:t>
      </w:r>
      <w:r w:rsidRPr="00D56C1C">
        <w:rPr>
          <w:lang w:eastAsia="en-US"/>
        </w:rPr>
        <w:t>, prior written approval from the CRO to use that specialist will be required.</w:t>
      </w:r>
      <w:r>
        <w:rPr>
          <w:lang w:eastAsia="en-US"/>
        </w:rPr>
        <w:t xml:space="preserve"> The CRO will consult with VGV, and also the relevant audit team, to confirm that the additional specialist services required cannot be procured by VGV on a reasonable basis. The CRO should also seek advice from VGV on the process required for their procurement.</w:t>
      </w:r>
    </w:p>
    <w:p w14:paraId="07E387C7" w14:textId="77777777" w:rsidR="006D5CDD" w:rsidRDefault="006D5CDD" w:rsidP="006D5CDD">
      <w:pPr>
        <w:rPr>
          <w:lang w:eastAsia="en-US"/>
        </w:rPr>
      </w:pPr>
      <w:r>
        <w:rPr>
          <w:lang w:eastAsia="en-US"/>
        </w:rPr>
        <w:t>DTF and the relevant audit team must also be notified of such engagements.</w:t>
      </w:r>
    </w:p>
    <w:p w14:paraId="3EDC8681" w14:textId="77777777" w:rsidR="006D5CDD" w:rsidRDefault="006D5CDD" w:rsidP="006D5CDD">
      <w:pPr>
        <w:rPr>
          <w:lang w:eastAsia="en-US"/>
        </w:rPr>
      </w:pPr>
      <w:r>
        <w:rPr>
          <w:lang w:eastAsia="en-US"/>
        </w:rPr>
        <w:t>It is expected that in most cases, an Approved Valuer will be able to procure such specialist services and so maintain independent management over the valuation process.</w:t>
      </w:r>
    </w:p>
    <w:p w14:paraId="2D20E475" w14:textId="77777777" w:rsidR="006D5CDD" w:rsidRDefault="006D5CDD" w:rsidP="00784344">
      <w:pPr>
        <w:pStyle w:val="Heading1"/>
      </w:pPr>
      <w:r>
        <w:lastRenderedPageBreak/>
        <w:t>Use of panel members and agents</w:t>
      </w:r>
    </w:p>
    <w:p w14:paraId="61E939B7" w14:textId="77777777" w:rsidR="006D5CDD" w:rsidRDefault="006D5CDD" w:rsidP="006D5CDD">
      <w:pPr>
        <w:rPr>
          <w:lang w:eastAsia="en-US"/>
        </w:rPr>
      </w:pPr>
      <w:r>
        <w:rPr>
          <w:lang w:eastAsia="en-US"/>
        </w:rPr>
        <w:t xml:space="preserve">The </w:t>
      </w:r>
      <w:r w:rsidR="00F46672">
        <w:rPr>
          <w:lang w:eastAsia="en-US"/>
        </w:rPr>
        <w:t>A</w:t>
      </w:r>
      <w:r>
        <w:rPr>
          <w:lang w:eastAsia="en-US"/>
        </w:rPr>
        <w:t xml:space="preserve">pproved </w:t>
      </w:r>
      <w:r w:rsidR="00BA5DF5">
        <w:rPr>
          <w:lang w:eastAsia="en-US"/>
        </w:rPr>
        <w:t>Valuer</w:t>
      </w:r>
      <w:r>
        <w:rPr>
          <w:lang w:eastAsia="en-US"/>
        </w:rPr>
        <w:t xml:space="preserve"> makes use from time to time of a pool or panel of pre</w:t>
      </w:r>
      <w:r>
        <w:rPr>
          <w:lang w:eastAsia="en-US"/>
        </w:rPr>
        <w:noBreakHyphen/>
        <w:t>qualified valuers to perform valuation services. Approved Valuers may have similar arrangements.</w:t>
      </w:r>
      <w:r w:rsidR="00784344">
        <w:rPr>
          <w:lang w:eastAsia="en-US"/>
        </w:rPr>
        <w:t xml:space="preserve"> </w:t>
      </w:r>
      <w:r>
        <w:rPr>
          <w:lang w:eastAsia="en-US"/>
        </w:rPr>
        <w:t>FRD</w:t>
      </w:r>
      <w:r w:rsidR="00784344">
        <w:rPr>
          <w:lang w:eastAsia="en-US"/>
        </w:rPr>
        <w:t> 103 </w:t>
      </w:r>
      <w:r w:rsidR="00784344">
        <w:rPr>
          <w:i/>
          <w:lang w:eastAsia="en-US"/>
        </w:rPr>
        <w:t>Non</w:t>
      </w:r>
      <w:r w:rsidR="00784344">
        <w:rPr>
          <w:i/>
          <w:lang w:eastAsia="en-US"/>
        </w:rPr>
        <w:noBreakHyphen/>
      </w:r>
      <w:r w:rsidR="00023ED6" w:rsidRPr="00186EB3">
        <w:rPr>
          <w:i/>
          <w:lang w:eastAsia="en-US"/>
        </w:rPr>
        <w:t>financial physical assets</w:t>
      </w:r>
      <w:r>
        <w:rPr>
          <w:lang w:eastAsia="en-US"/>
        </w:rPr>
        <w:t xml:space="preserve"> allows the use of such pane</w:t>
      </w:r>
      <w:r w:rsidR="00784344">
        <w:rPr>
          <w:lang w:eastAsia="en-US"/>
        </w:rPr>
        <w:t>l valuers in the performance of </w:t>
      </w:r>
      <w:r>
        <w:rPr>
          <w:lang w:eastAsia="en-US"/>
        </w:rPr>
        <w:t>an interim or scheduled revaluation.</w:t>
      </w:r>
    </w:p>
    <w:p w14:paraId="4B57F9D2" w14:textId="77777777" w:rsidR="006D5CDD" w:rsidRDefault="006D5CDD" w:rsidP="00704969">
      <w:pPr>
        <w:rPr>
          <w:lang w:eastAsia="en-US"/>
        </w:rPr>
      </w:pPr>
      <w:r>
        <w:rPr>
          <w:lang w:eastAsia="en-US"/>
        </w:rPr>
        <w:t>However, for another valuer to qualify as an agent, an Approved Valuer must be the party which contracts with the entity to perform the valuation and therefore oversee the work of these valuers. The Approved Valuer must also be responsible for the selection of the valuation procedures to be used by such agents. This oversight function will ensure the quality, consistency and independence of valuations.</w:t>
      </w:r>
      <w:r w:rsidR="00704969">
        <w:rPr>
          <w:lang w:eastAsia="en-US"/>
        </w:rPr>
        <w:t xml:space="preserve"> If an external valuer is appointed to perform a valuation,</w:t>
      </w:r>
      <w:r w:rsidR="00BE7E64">
        <w:rPr>
          <w:lang w:eastAsia="en-US"/>
        </w:rPr>
        <w:t xml:space="preserve"> it will be important to ensure that</w:t>
      </w:r>
      <w:r w:rsidR="00704969">
        <w:rPr>
          <w:lang w:eastAsia="en-US"/>
        </w:rPr>
        <w:t xml:space="preserve"> </w:t>
      </w:r>
      <w:r w:rsidR="00BE7E64">
        <w:rPr>
          <w:lang w:eastAsia="en-US"/>
        </w:rPr>
        <w:t xml:space="preserve">VGV is </w:t>
      </w:r>
      <w:r w:rsidR="00405AF7">
        <w:rPr>
          <w:lang w:eastAsia="en-US"/>
        </w:rPr>
        <w:t xml:space="preserve">notified and </w:t>
      </w:r>
      <w:r w:rsidR="00704969">
        <w:rPr>
          <w:lang w:eastAsia="en-US"/>
        </w:rPr>
        <w:t xml:space="preserve">the </w:t>
      </w:r>
      <w:r w:rsidR="00BE7E64">
        <w:rPr>
          <w:lang w:eastAsia="en-US"/>
        </w:rPr>
        <w:t xml:space="preserve">valuation to be provided is </w:t>
      </w:r>
      <w:r w:rsidR="00405AF7">
        <w:rPr>
          <w:lang w:eastAsia="en-US"/>
        </w:rPr>
        <w:t>revie</w:t>
      </w:r>
      <w:r w:rsidR="00E74499">
        <w:rPr>
          <w:lang w:eastAsia="en-US"/>
        </w:rPr>
        <w:t>w</w:t>
      </w:r>
      <w:r w:rsidR="00BE7E64">
        <w:rPr>
          <w:lang w:eastAsia="en-US"/>
        </w:rPr>
        <w:t>ed</w:t>
      </w:r>
      <w:r w:rsidR="00E74499">
        <w:rPr>
          <w:lang w:eastAsia="en-US"/>
        </w:rPr>
        <w:t xml:space="preserve"> to ensure </w:t>
      </w:r>
      <w:r w:rsidR="00BE7E64">
        <w:rPr>
          <w:lang w:eastAsia="en-US"/>
        </w:rPr>
        <w:t xml:space="preserve">that </w:t>
      </w:r>
      <w:r w:rsidR="00704969">
        <w:rPr>
          <w:lang w:eastAsia="en-US"/>
        </w:rPr>
        <w:t xml:space="preserve">the </w:t>
      </w:r>
      <w:r w:rsidR="00BE7E64">
        <w:rPr>
          <w:lang w:eastAsia="en-US"/>
        </w:rPr>
        <w:t xml:space="preserve">scope of the </w:t>
      </w:r>
      <w:r w:rsidR="00704969">
        <w:rPr>
          <w:lang w:eastAsia="en-US"/>
        </w:rPr>
        <w:t>valuation is consistent with VGV processes and procedures.</w:t>
      </w:r>
    </w:p>
    <w:p w14:paraId="0917CD0D" w14:textId="77777777" w:rsidR="00784344" w:rsidRPr="006D5CDD" w:rsidRDefault="00784344" w:rsidP="00704969"/>
    <w:sectPr w:rsidR="00784344" w:rsidRPr="006D5CDD" w:rsidSect="00F417C3">
      <w:headerReference w:type="default" r:id="rId9"/>
      <w:footerReference w:type="default" r:id="rId10"/>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8302A" w14:textId="77777777" w:rsidR="00EA33CC" w:rsidRDefault="00EA33CC" w:rsidP="002D711A">
      <w:pPr>
        <w:spacing w:after="0" w:line="240" w:lineRule="auto"/>
      </w:pPr>
      <w:r>
        <w:separator/>
      </w:r>
    </w:p>
  </w:endnote>
  <w:endnote w:type="continuationSeparator" w:id="0">
    <w:p w14:paraId="72AD0F09" w14:textId="77777777" w:rsidR="00EA33CC" w:rsidRDefault="00EA33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189D6" w14:textId="2546B588" w:rsidR="00F417C3" w:rsidRDefault="00D63253" w:rsidP="004669E3">
    <w:pPr>
      <w:pStyle w:val="Spacer"/>
    </w:pPr>
    <w:r>
      <w:rPr>
        <w:noProof/>
      </w:rPr>
      <mc:AlternateContent>
        <mc:Choice Requires="wps">
          <w:drawing>
            <wp:anchor distT="0" distB="0" distL="114300" distR="114300" simplePos="0" relativeHeight="251660288" behindDoc="0" locked="0" layoutInCell="0" allowOverlap="1" wp14:anchorId="24AEF0C9" wp14:editId="2FD86507">
              <wp:simplePos x="0" y="0"/>
              <wp:positionH relativeFrom="page">
                <wp:posOffset>0</wp:posOffset>
              </wp:positionH>
              <wp:positionV relativeFrom="page">
                <wp:posOffset>10227945</wp:posOffset>
              </wp:positionV>
              <wp:extent cx="7560310" cy="273050"/>
              <wp:effectExtent l="0" t="0" r="0" b="12700"/>
              <wp:wrapNone/>
              <wp:docPr id="1" name="MSIPCMdbb7481a948c12ca5bb68c8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76A06" w14:textId="044AC245" w:rsidR="00D63253" w:rsidRPr="00D63253" w:rsidRDefault="00D63253" w:rsidP="00D63253">
                          <w:pPr>
                            <w:spacing w:before="0" w:after="0"/>
                            <w:rPr>
                              <w:rFonts w:ascii="Calibri" w:hAnsi="Calibri" w:cs="Calibri"/>
                              <w:color w:val="000000"/>
                              <w:sz w:val="22"/>
                            </w:rPr>
                          </w:pPr>
                          <w:r w:rsidRPr="00D6325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AEF0C9" id="_x0000_t202" coordsize="21600,21600" o:spt="202" path="m,l,21600r21600,l21600,xe">
              <v:stroke joinstyle="miter"/>
              <v:path gradientshapeok="t" o:connecttype="rect"/>
            </v:shapetype>
            <v:shape id="MSIPCMdbb7481a948c12ca5bb68c8d"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UrLbnsQIAAEgFAAAO&#10;AAAAAAAAAAAAAAAAAC4CAABkcnMvZTJvRG9jLnhtbFBLAQItABQABgAIAAAAIQB8dgjh3wAAAAsB&#10;AAAPAAAAAAAAAAAAAAAAAAsFAABkcnMvZG93bnJldi54bWxQSwUGAAAAAAQABADzAAAAFwYAAAAA&#10;" o:allowincell="f" filled="f" stroked="f" strokeweight=".5pt">
              <v:textbox inset="20pt,0,,0">
                <w:txbxContent>
                  <w:p w14:paraId="01C76A06" w14:textId="044AC245" w:rsidR="00D63253" w:rsidRPr="00D63253" w:rsidRDefault="00D63253" w:rsidP="00D63253">
                    <w:pPr>
                      <w:spacing w:before="0" w:after="0"/>
                      <w:rPr>
                        <w:rFonts w:ascii="Calibri" w:hAnsi="Calibri" w:cs="Calibri"/>
                        <w:color w:val="000000"/>
                        <w:sz w:val="22"/>
                      </w:rPr>
                    </w:pPr>
                    <w:r w:rsidRPr="00D63253">
                      <w:rPr>
                        <w:rFonts w:ascii="Calibri" w:hAnsi="Calibri" w:cs="Calibri"/>
                        <w:color w:val="000000"/>
                        <w:sz w:val="22"/>
                      </w:rPr>
                      <w:t>OFFICIAL</w:t>
                    </w:r>
                  </w:p>
                </w:txbxContent>
              </v:textbox>
              <w10:wrap anchorx="page" anchory="page"/>
            </v:shape>
          </w:pict>
        </mc:Fallback>
      </mc:AlternateContent>
    </w:r>
  </w:p>
  <w:p w14:paraId="1CB1B53B" w14:textId="01DDE875"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25905">
      <w:rPr>
        <w:b/>
        <w:color w:val="0063A6" w:themeColor="accent1"/>
      </w:rPr>
      <w:t>Guidance on the selection of valuation services</w:t>
    </w:r>
    <w:r w:rsidRPr="00C022F9">
      <w:rPr>
        <w:b/>
        <w:color w:val="0063A6" w:themeColor="accent1"/>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784344">
      <w:rPr>
        <w:rStyle w:val="PageNumber"/>
      </w:rPr>
      <w:t>1</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22471" w14:textId="77777777" w:rsidR="00EA33CC" w:rsidRDefault="00EA33CC" w:rsidP="002D711A">
      <w:pPr>
        <w:spacing w:after="0" w:line="240" w:lineRule="auto"/>
      </w:pPr>
      <w:r>
        <w:separator/>
      </w:r>
    </w:p>
  </w:footnote>
  <w:footnote w:type="continuationSeparator" w:id="0">
    <w:p w14:paraId="47F5A743" w14:textId="77777777" w:rsidR="00EA33CC" w:rsidRDefault="00EA33CC"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54180" w14:textId="77777777" w:rsidR="00F417C3" w:rsidRPr="0041689E" w:rsidRDefault="00F417C3">
    <w:pPr>
      <w:pStyle w:val="Header"/>
    </w:pPr>
    <w:r>
      <w:rPr>
        <w:noProof/>
      </w:rPr>
      <w:drawing>
        <wp:anchor distT="0" distB="0" distL="114300" distR="114300" simplePos="0" relativeHeight="251658240" behindDoc="0" locked="0" layoutInCell="1" allowOverlap="1" wp14:anchorId="0AE48316" wp14:editId="7B859437">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4E940F25" wp14:editId="2115E060">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6"/>
  </w:num>
  <w:num w:numId="5">
    <w:abstractNumId w:val="3"/>
  </w:num>
  <w:num w:numId="6">
    <w:abstractNumId w:val="3"/>
  </w:num>
  <w:num w:numId="7">
    <w:abstractNumId w:val="3"/>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2"/>
  </w:num>
  <w:num w:numId="19">
    <w:abstractNumId w:val="5"/>
  </w:num>
  <w:num w:numId="20">
    <w:abstractNumId w:val="4"/>
  </w:num>
  <w:num w:numId="21">
    <w:abstractNumId w:val="0"/>
  </w:num>
  <w:num w:numId="22">
    <w:abstractNumId w:val="0"/>
  </w:num>
  <w:num w:numId="23">
    <w:abstractNumId w:val="0"/>
  </w:num>
  <w:num w:numId="24">
    <w:abstractNumId w:val="5"/>
  </w:num>
  <w:num w:numId="25">
    <w:abstractNumId w:val="6"/>
  </w:num>
  <w:num w:numId="26">
    <w:abstractNumId w:val="2"/>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CDD"/>
    <w:rsid w:val="00012F6F"/>
    <w:rsid w:val="00014213"/>
    <w:rsid w:val="00014B55"/>
    <w:rsid w:val="00020E3E"/>
    <w:rsid w:val="00023BF3"/>
    <w:rsid w:val="00023ED6"/>
    <w:rsid w:val="00026811"/>
    <w:rsid w:val="00043296"/>
    <w:rsid w:val="0004356D"/>
    <w:rsid w:val="00045296"/>
    <w:rsid w:val="00055C19"/>
    <w:rsid w:val="00061F13"/>
    <w:rsid w:val="0006251E"/>
    <w:rsid w:val="00075E6C"/>
    <w:rsid w:val="000812F3"/>
    <w:rsid w:val="00095747"/>
    <w:rsid w:val="000B09B1"/>
    <w:rsid w:val="000B29AD"/>
    <w:rsid w:val="000C1EF1"/>
    <w:rsid w:val="000C6372"/>
    <w:rsid w:val="000D593F"/>
    <w:rsid w:val="000E392D"/>
    <w:rsid w:val="000F4288"/>
    <w:rsid w:val="000F7165"/>
    <w:rsid w:val="000F73D8"/>
    <w:rsid w:val="00102379"/>
    <w:rsid w:val="001065D6"/>
    <w:rsid w:val="00121252"/>
    <w:rsid w:val="00121DB0"/>
    <w:rsid w:val="00124609"/>
    <w:rsid w:val="001254CE"/>
    <w:rsid w:val="00126AF9"/>
    <w:rsid w:val="00133573"/>
    <w:rsid w:val="00134CEA"/>
    <w:rsid w:val="001422CC"/>
    <w:rsid w:val="001617B6"/>
    <w:rsid w:val="001653AB"/>
    <w:rsid w:val="00165DBF"/>
    <w:rsid w:val="00165E66"/>
    <w:rsid w:val="001847F3"/>
    <w:rsid w:val="00186EB3"/>
    <w:rsid w:val="0019798B"/>
    <w:rsid w:val="001A3301"/>
    <w:rsid w:val="001A3DD1"/>
    <w:rsid w:val="001C66C2"/>
    <w:rsid w:val="001C7BAE"/>
    <w:rsid w:val="001D717E"/>
    <w:rsid w:val="001E31FA"/>
    <w:rsid w:val="001E64F6"/>
    <w:rsid w:val="001F5698"/>
    <w:rsid w:val="00217A17"/>
    <w:rsid w:val="00222BEB"/>
    <w:rsid w:val="00225E60"/>
    <w:rsid w:val="0023202C"/>
    <w:rsid w:val="00233F81"/>
    <w:rsid w:val="00236203"/>
    <w:rsid w:val="00245043"/>
    <w:rsid w:val="00250886"/>
    <w:rsid w:val="00257760"/>
    <w:rsid w:val="00292D36"/>
    <w:rsid w:val="002949A8"/>
    <w:rsid w:val="00297281"/>
    <w:rsid w:val="002C54E0"/>
    <w:rsid w:val="002D711A"/>
    <w:rsid w:val="002D7336"/>
    <w:rsid w:val="002E3396"/>
    <w:rsid w:val="002F2661"/>
    <w:rsid w:val="0031149C"/>
    <w:rsid w:val="00354186"/>
    <w:rsid w:val="003567F9"/>
    <w:rsid w:val="0036443C"/>
    <w:rsid w:val="00365B1A"/>
    <w:rsid w:val="0038771C"/>
    <w:rsid w:val="00392A8F"/>
    <w:rsid w:val="0039405B"/>
    <w:rsid w:val="003A1C92"/>
    <w:rsid w:val="003A541A"/>
    <w:rsid w:val="003A6923"/>
    <w:rsid w:val="003B658D"/>
    <w:rsid w:val="003C2C67"/>
    <w:rsid w:val="003C2EA2"/>
    <w:rsid w:val="003C4E8D"/>
    <w:rsid w:val="003C5BA4"/>
    <w:rsid w:val="003E3E26"/>
    <w:rsid w:val="003F1295"/>
    <w:rsid w:val="003F76FC"/>
    <w:rsid w:val="004002EB"/>
    <w:rsid w:val="00404081"/>
    <w:rsid w:val="00405AF7"/>
    <w:rsid w:val="00405C57"/>
    <w:rsid w:val="00412306"/>
    <w:rsid w:val="0041689E"/>
    <w:rsid w:val="004236C8"/>
    <w:rsid w:val="00427681"/>
    <w:rsid w:val="00433DB7"/>
    <w:rsid w:val="00453750"/>
    <w:rsid w:val="00456941"/>
    <w:rsid w:val="004669E3"/>
    <w:rsid w:val="004702EA"/>
    <w:rsid w:val="00482D02"/>
    <w:rsid w:val="00492083"/>
    <w:rsid w:val="004A7519"/>
    <w:rsid w:val="004B1BF9"/>
    <w:rsid w:val="004B41CA"/>
    <w:rsid w:val="004D3518"/>
    <w:rsid w:val="004D62D6"/>
    <w:rsid w:val="004E4023"/>
    <w:rsid w:val="0053416C"/>
    <w:rsid w:val="00541C2F"/>
    <w:rsid w:val="005506AF"/>
    <w:rsid w:val="00563527"/>
    <w:rsid w:val="005747AC"/>
    <w:rsid w:val="0058124E"/>
    <w:rsid w:val="00584301"/>
    <w:rsid w:val="00585BB4"/>
    <w:rsid w:val="005875A3"/>
    <w:rsid w:val="005A3416"/>
    <w:rsid w:val="005B27FE"/>
    <w:rsid w:val="005C3E6D"/>
    <w:rsid w:val="005C430E"/>
    <w:rsid w:val="005F3716"/>
    <w:rsid w:val="005F61DF"/>
    <w:rsid w:val="006023F9"/>
    <w:rsid w:val="00604615"/>
    <w:rsid w:val="00610559"/>
    <w:rsid w:val="006332F6"/>
    <w:rsid w:val="006361E7"/>
    <w:rsid w:val="006434CE"/>
    <w:rsid w:val="006514F3"/>
    <w:rsid w:val="00652625"/>
    <w:rsid w:val="0065300B"/>
    <w:rsid w:val="006534B2"/>
    <w:rsid w:val="0065615D"/>
    <w:rsid w:val="00657011"/>
    <w:rsid w:val="006650B5"/>
    <w:rsid w:val="006651B1"/>
    <w:rsid w:val="00665778"/>
    <w:rsid w:val="006738C4"/>
    <w:rsid w:val="00677228"/>
    <w:rsid w:val="006A5B34"/>
    <w:rsid w:val="006A5F5B"/>
    <w:rsid w:val="006C3EA6"/>
    <w:rsid w:val="006C77A9"/>
    <w:rsid w:val="006D45F5"/>
    <w:rsid w:val="006D5CDD"/>
    <w:rsid w:val="006E7B70"/>
    <w:rsid w:val="006F6693"/>
    <w:rsid w:val="006F7548"/>
    <w:rsid w:val="00701715"/>
    <w:rsid w:val="0070198D"/>
    <w:rsid w:val="00704969"/>
    <w:rsid w:val="00707FE8"/>
    <w:rsid w:val="007177B1"/>
    <w:rsid w:val="007212FD"/>
    <w:rsid w:val="00724962"/>
    <w:rsid w:val="00724A0F"/>
    <w:rsid w:val="0073072C"/>
    <w:rsid w:val="007320B4"/>
    <w:rsid w:val="00732162"/>
    <w:rsid w:val="00736732"/>
    <w:rsid w:val="00737503"/>
    <w:rsid w:val="00745B42"/>
    <w:rsid w:val="00750CBE"/>
    <w:rsid w:val="00766B5A"/>
    <w:rsid w:val="007834F2"/>
    <w:rsid w:val="00784344"/>
    <w:rsid w:val="00791020"/>
    <w:rsid w:val="00796017"/>
    <w:rsid w:val="007A06AF"/>
    <w:rsid w:val="007A5F82"/>
    <w:rsid w:val="007B2F1F"/>
    <w:rsid w:val="007B75A4"/>
    <w:rsid w:val="007D04EA"/>
    <w:rsid w:val="007F1A4C"/>
    <w:rsid w:val="007F68E8"/>
    <w:rsid w:val="00800682"/>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20B97"/>
    <w:rsid w:val="0093010D"/>
    <w:rsid w:val="009367C6"/>
    <w:rsid w:val="00936F5A"/>
    <w:rsid w:val="009607D1"/>
    <w:rsid w:val="0097186F"/>
    <w:rsid w:val="00981DB9"/>
    <w:rsid w:val="009834C0"/>
    <w:rsid w:val="00984C95"/>
    <w:rsid w:val="00986AAC"/>
    <w:rsid w:val="009906FA"/>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17FA"/>
    <w:rsid w:val="00A1562B"/>
    <w:rsid w:val="00A170F4"/>
    <w:rsid w:val="00A2559E"/>
    <w:rsid w:val="00A25905"/>
    <w:rsid w:val="00A25FD9"/>
    <w:rsid w:val="00A3609C"/>
    <w:rsid w:val="00A46BA8"/>
    <w:rsid w:val="00A47634"/>
    <w:rsid w:val="00A612FE"/>
    <w:rsid w:val="00A7191A"/>
    <w:rsid w:val="00A8272D"/>
    <w:rsid w:val="00A83F82"/>
    <w:rsid w:val="00AA26B8"/>
    <w:rsid w:val="00AA6FB5"/>
    <w:rsid w:val="00AB3FE2"/>
    <w:rsid w:val="00AD3322"/>
    <w:rsid w:val="00AD59BF"/>
    <w:rsid w:val="00AD7E4E"/>
    <w:rsid w:val="00AF34DE"/>
    <w:rsid w:val="00AF4D58"/>
    <w:rsid w:val="00AF6666"/>
    <w:rsid w:val="00B10154"/>
    <w:rsid w:val="00B22EE5"/>
    <w:rsid w:val="00B74BC5"/>
    <w:rsid w:val="00B811B7"/>
    <w:rsid w:val="00B81B44"/>
    <w:rsid w:val="00B9053B"/>
    <w:rsid w:val="00B92C79"/>
    <w:rsid w:val="00BA5DF5"/>
    <w:rsid w:val="00BC3422"/>
    <w:rsid w:val="00BC56D3"/>
    <w:rsid w:val="00BD70CD"/>
    <w:rsid w:val="00BE7E64"/>
    <w:rsid w:val="00C015B9"/>
    <w:rsid w:val="00C022F9"/>
    <w:rsid w:val="00C032EA"/>
    <w:rsid w:val="00C06EB5"/>
    <w:rsid w:val="00C1145F"/>
    <w:rsid w:val="00C15DBF"/>
    <w:rsid w:val="00C614DE"/>
    <w:rsid w:val="00C637E1"/>
    <w:rsid w:val="00C70D50"/>
    <w:rsid w:val="00C8243E"/>
    <w:rsid w:val="00C82C3B"/>
    <w:rsid w:val="00C907D7"/>
    <w:rsid w:val="00C92338"/>
    <w:rsid w:val="00CA7C3A"/>
    <w:rsid w:val="00CC2DB2"/>
    <w:rsid w:val="00CD0307"/>
    <w:rsid w:val="00CD2836"/>
    <w:rsid w:val="00CD3D1B"/>
    <w:rsid w:val="00CE62B3"/>
    <w:rsid w:val="00CE7174"/>
    <w:rsid w:val="00CF7DCA"/>
    <w:rsid w:val="00D061D1"/>
    <w:rsid w:val="00D11465"/>
    <w:rsid w:val="00D211E9"/>
    <w:rsid w:val="00D2312F"/>
    <w:rsid w:val="00D269C1"/>
    <w:rsid w:val="00D4272A"/>
    <w:rsid w:val="00D44953"/>
    <w:rsid w:val="00D542F3"/>
    <w:rsid w:val="00D543E5"/>
    <w:rsid w:val="00D5644B"/>
    <w:rsid w:val="00D56C1C"/>
    <w:rsid w:val="00D56E25"/>
    <w:rsid w:val="00D619A4"/>
    <w:rsid w:val="00D63253"/>
    <w:rsid w:val="00D644F1"/>
    <w:rsid w:val="00D66A05"/>
    <w:rsid w:val="00D71896"/>
    <w:rsid w:val="00D718D7"/>
    <w:rsid w:val="00D73212"/>
    <w:rsid w:val="00D814B7"/>
    <w:rsid w:val="00D90688"/>
    <w:rsid w:val="00DA3AAD"/>
    <w:rsid w:val="00DB312B"/>
    <w:rsid w:val="00DC41D2"/>
    <w:rsid w:val="00DC5654"/>
    <w:rsid w:val="00DC658F"/>
    <w:rsid w:val="00DD5931"/>
    <w:rsid w:val="00DE0D8C"/>
    <w:rsid w:val="00DE5EA6"/>
    <w:rsid w:val="00DE60CC"/>
    <w:rsid w:val="00DF7311"/>
    <w:rsid w:val="00E04BF9"/>
    <w:rsid w:val="00E120F6"/>
    <w:rsid w:val="00E26B32"/>
    <w:rsid w:val="00E31444"/>
    <w:rsid w:val="00E32683"/>
    <w:rsid w:val="00E32CFB"/>
    <w:rsid w:val="00E407B6"/>
    <w:rsid w:val="00E41EF1"/>
    <w:rsid w:val="00E42942"/>
    <w:rsid w:val="00E468A6"/>
    <w:rsid w:val="00E71BDF"/>
    <w:rsid w:val="00E74499"/>
    <w:rsid w:val="00E83CA7"/>
    <w:rsid w:val="00EA33CC"/>
    <w:rsid w:val="00EB3898"/>
    <w:rsid w:val="00EC171D"/>
    <w:rsid w:val="00ED487E"/>
    <w:rsid w:val="00EE7A0D"/>
    <w:rsid w:val="00EF0D21"/>
    <w:rsid w:val="00F154BB"/>
    <w:rsid w:val="00F16106"/>
    <w:rsid w:val="00F17CE1"/>
    <w:rsid w:val="00F20448"/>
    <w:rsid w:val="00F2115C"/>
    <w:rsid w:val="00F2194C"/>
    <w:rsid w:val="00F22ABA"/>
    <w:rsid w:val="00F36B12"/>
    <w:rsid w:val="00F417C3"/>
    <w:rsid w:val="00F46672"/>
    <w:rsid w:val="00F60F9F"/>
    <w:rsid w:val="00F64F08"/>
    <w:rsid w:val="00F652AB"/>
    <w:rsid w:val="00F734F5"/>
    <w:rsid w:val="00F866F8"/>
    <w:rsid w:val="00F966B1"/>
    <w:rsid w:val="00F97D48"/>
    <w:rsid w:val="00FA0311"/>
    <w:rsid w:val="00FC42E5"/>
    <w:rsid w:val="00FD640F"/>
    <w:rsid w:val="00FD6B4C"/>
    <w:rsid w:val="00FD6BE9"/>
    <w:rsid w:val="00FE5FBD"/>
    <w:rsid w:val="00FE63BB"/>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153199"/>
  <w15:docId w15:val="{853D3D60-48EB-4276-9292-0F543ED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44"/>
    <w:pPr>
      <w:spacing w:before="160" w:after="100"/>
    </w:pPr>
    <w:rPr>
      <w:spacing w:val="2"/>
    </w:rPr>
  </w:style>
  <w:style w:type="paragraph" w:styleId="Heading1">
    <w:name w:val="heading 1"/>
    <w:next w:val="Normal"/>
    <w:link w:val="Heading1Char"/>
    <w:qFormat/>
    <w:rsid w:val="00784344"/>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84344"/>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84344"/>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84344"/>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7843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8434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784344"/>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784344"/>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84344"/>
    <w:pPr>
      <w:tabs>
        <w:tab w:val="right" w:leader="dot" w:pos="9000"/>
      </w:tabs>
      <w:ind w:right="432"/>
    </w:pPr>
    <w:rPr>
      <w:sz w:val="24"/>
      <w:szCs w:val="24"/>
    </w:rPr>
  </w:style>
  <w:style w:type="paragraph" w:styleId="TOC2">
    <w:name w:val="toc 2"/>
    <w:next w:val="Normal"/>
    <w:uiPriority w:val="39"/>
    <w:rsid w:val="00784344"/>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784344"/>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784344"/>
    <w:pPr>
      <w:spacing w:after="60" w:line="240" w:lineRule="auto"/>
    </w:pPr>
    <w:rPr>
      <w:sz w:val="16"/>
    </w:rPr>
  </w:style>
  <w:style w:type="paragraph" w:styleId="Index2">
    <w:name w:val="index 2"/>
    <w:basedOn w:val="Normal"/>
    <w:next w:val="Normal"/>
    <w:uiPriority w:val="99"/>
    <w:semiHidden/>
    <w:rsid w:val="00784344"/>
    <w:pPr>
      <w:spacing w:after="0" w:line="240" w:lineRule="auto"/>
      <w:ind w:left="216"/>
    </w:pPr>
    <w:rPr>
      <w:sz w:val="16"/>
      <w:szCs w:val="16"/>
    </w:rPr>
  </w:style>
  <w:style w:type="character" w:styleId="Hyperlink">
    <w:name w:val="Hyperlink"/>
    <w:basedOn w:val="DefaultParagraphFont"/>
    <w:uiPriority w:val="99"/>
    <w:rsid w:val="00784344"/>
    <w:rPr>
      <w:color w:val="53565A" w:themeColor="hyperlink"/>
      <w:u w:val="none"/>
    </w:rPr>
  </w:style>
  <w:style w:type="character" w:customStyle="1" w:styleId="Heading1Char">
    <w:name w:val="Heading 1 Char"/>
    <w:basedOn w:val="DefaultParagraphFont"/>
    <w:link w:val="Heading1"/>
    <w:rsid w:val="00784344"/>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784344"/>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784344"/>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784344"/>
    <w:pPr>
      <w:numPr>
        <w:ilvl w:val="1"/>
      </w:numPr>
    </w:pPr>
  </w:style>
  <w:style w:type="paragraph" w:customStyle="1" w:styleId="Bulletindent">
    <w:name w:val="Bullet indent"/>
    <w:basedOn w:val="Bullet2"/>
    <w:uiPriority w:val="9"/>
    <w:qFormat/>
    <w:rsid w:val="00784344"/>
    <w:pPr>
      <w:numPr>
        <w:ilvl w:val="2"/>
      </w:numPr>
    </w:pPr>
  </w:style>
  <w:style w:type="paragraph" w:customStyle="1" w:styleId="Heading1numbered">
    <w:name w:val="Heading 1 numbered"/>
    <w:basedOn w:val="Heading1"/>
    <w:next w:val="NormalIndent"/>
    <w:uiPriority w:val="8"/>
    <w:qFormat/>
    <w:rsid w:val="00784344"/>
    <w:pPr>
      <w:numPr>
        <w:ilvl w:val="2"/>
        <w:numId w:val="4"/>
      </w:numPr>
    </w:pPr>
  </w:style>
  <w:style w:type="paragraph" w:customStyle="1" w:styleId="Heading2numbered">
    <w:name w:val="Heading 2 numbered"/>
    <w:basedOn w:val="Heading2"/>
    <w:next w:val="NormalIndent"/>
    <w:uiPriority w:val="8"/>
    <w:qFormat/>
    <w:rsid w:val="00784344"/>
    <w:pPr>
      <w:numPr>
        <w:ilvl w:val="3"/>
        <w:numId w:val="4"/>
      </w:numPr>
    </w:pPr>
  </w:style>
  <w:style w:type="paragraph" w:customStyle="1" w:styleId="Heading3numbered">
    <w:name w:val="Heading 3 numbered"/>
    <w:basedOn w:val="Heading3"/>
    <w:next w:val="NormalIndent"/>
    <w:uiPriority w:val="8"/>
    <w:qFormat/>
    <w:rsid w:val="00784344"/>
    <w:pPr>
      <w:numPr>
        <w:ilvl w:val="4"/>
        <w:numId w:val="4"/>
      </w:numPr>
    </w:pPr>
  </w:style>
  <w:style w:type="character" w:customStyle="1" w:styleId="Heading3Char">
    <w:name w:val="Heading 3 Char"/>
    <w:basedOn w:val="DefaultParagraphFont"/>
    <w:link w:val="Heading3"/>
    <w:rsid w:val="00784344"/>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84344"/>
    <w:pPr>
      <w:numPr>
        <w:ilvl w:val="5"/>
        <w:numId w:val="4"/>
      </w:numPr>
    </w:pPr>
  </w:style>
  <w:style w:type="character" w:customStyle="1" w:styleId="Heading4Char">
    <w:name w:val="Heading 4 Char"/>
    <w:basedOn w:val="DefaultParagraphFont"/>
    <w:link w:val="Heading4"/>
    <w:rsid w:val="00784344"/>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784344"/>
    <w:pPr>
      <w:spacing w:line="252" w:lineRule="auto"/>
      <w:ind w:left="792"/>
    </w:pPr>
  </w:style>
  <w:style w:type="paragraph" w:customStyle="1" w:styleId="NoteNormal">
    <w:name w:val="Note Normal"/>
    <w:basedOn w:val="Normal"/>
    <w:rsid w:val="00784344"/>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784344"/>
    <w:pPr>
      <w:spacing w:before="0" w:after="0" w:line="120" w:lineRule="atLeast"/>
    </w:pPr>
    <w:rPr>
      <w:rFonts w:eastAsia="Times New Roman" w:cs="Calibri"/>
      <w:spacing w:val="0"/>
      <w:sz w:val="10"/>
      <w:szCs w:val="22"/>
    </w:rPr>
  </w:style>
  <w:style w:type="paragraph" w:styleId="Subtitle">
    <w:name w:val="Subtitle"/>
    <w:link w:val="SubtitleChar"/>
    <w:uiPriority w:val="98"/>
    <w:rsid w:val="00784344"/>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84344"/>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78434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784344"/>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784344"/>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784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344"/>
    <w:rPr>
      <w:rFonts w:ascii="Tahoma" w:hAnsi="Tahoma" w:cs="Tahoma"/>
      <w:spacing w:val="2"/>
      <w:sz w:val="16"/>
      <w:szCs w:val="16"/>
    </w:rPr>
  </w:style>
  <w:style w:type="paragraph" w:customStyle="1" w:styleId="Bulletindent2">
    <w:name w:val="Bullet indent 2"/>
    <w:basedOn w:val="Normal"/>
    <w:uiPriority w:val="9"/>
    <w:qFormat/>
    <w:rsid w:val="00784344"/>
    <w:pPr>
      <w:numPr>
        <w:ilvl w:val="3"/>
        <w:numId w:val="1"/>
      </w:numPr>
      <w:spacing w:before="100"/>
      <w:contextualSpacing/>
    </w:pPr>
  </w:style>
  <w:style w:type="paragraph" w:styleId="IndexHeading">
    <w:name w:val="index heading"/>
    <w:basedOn w:val="Normal"/>
    <w:next w:val="Index1"/>
    <w:uiPriority w:val="99"/>
    <w:semiHidden/>
    <w:rsid w:val="00784344"/>
    <w:rPr>
      <w:rFonts w:asciiTheme="majorHAnsi" w:eastAsiaTheme="majorEastAsia" w:hAnsiTheme="majorHAnsi" w:cstheme="majorBidi"/>
      <w:b/>
      <w:bCs/>
    </w:rPr>
  </w:style>
  <w:style w:type="paragraph" w:styleId="Header">
    <w:name w:val="header"/>
    <w:basedOn w:val="Normal"/>
    <w:link w:val="HeaderChar"/>
    <w:uiPriority w:val="99"/>
    <w:semiHidden/>
    <w:rsid w:val="007843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4344"/>
    <w:rPr>
      <w:spacing w:val="2"/>
    </w:rPr>
  </w:style>
  <w:style w:type="paragraph" w:styleId="Footer">
    <w:name w:val="footer"/>
    <w:basedOn w:val="Normal"/>
    <w:link w:val="FooterChar"/>
    <w:uiPriority w:val="24"/>
    <w:rsid w:val="00784344"/>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784344"/>
    <w:rPr>
      <w:noProof/>
      <w:spacing w:val="2"/>
      <w:sz w:val="18"/>
      <w:szCs w:val="18"/>
    </w:rPr>
  </w:style>
  <w:style w:type="character" w:styleId="PageNumber">
    <w:name w:val="page number"/>
    <w:uiPriority w:val="49"/>
    <w:semiHidden/>
    <w:rsid w:val="00784344"/>
    <w:rPr>
      <w:b w:val="0"/>
      <w:color w:val="000000" w:themeColor="text1"/>
    </w:rPr>
  </w:style>
  <w:style w:type="paragraph" w:styleId="TOCHeading">
    <w:name w:val="TOC Heading"/>
    <w:basedOn w:val="Heading1"/>
    <w:next w:val="Normal"/>
    <w:uiPriority w:val="39"/>
    <w:rsid w:val="00784344"/>
    <w:pPr>
      <w:spacing w:before="480" w:after="720"/>
      <w:outlineLvl w:val="9"/>
    </w:pPr>
    <w:rPr>
      <w:spacing w:val="2"/>
    </w:rPr>
  </w:style>
  <w:style w:type="paragraph" w:customStyle="1" w:styleId="NormalTight">
    <w:name w:val="Normal Tight"/>
    <w:uiPriority w:val="99"/>
    <w:semiHidden/>
    <w:rsid w:val="00784344"/>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84344"/>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84344"/>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784344"/>
    <w:pPr>
      <w:spacing w:before="5800"/>
      <w:ind w:right="1382"/>
    </w:pPr>
  </w:style>
  <w:style w:type="paragraph" w:styleId="TOC4">
    <w:name w:val="toc 4"/>
    <w:basedOn w:val="TOC1"/>
    <w:next w:val="Normal"/>
    <w:uiPriority w:val="39"/>
    <w:rsid w:val="00784344"/>
    <w:pPr>
      <w:ind w:left="450" w:hanging="450"/>
    </w:pPr>
    <w:rPr>
      <w:noProof/>
      <w:lang w:eastAsia="en-US"/>
    </w:rPr>
  </w:style>
  <w:style w:type="paragraph" w:styleId="TOC5">
    <w:name w:val="toc 5"/>
    <w:basedOn w:val="TOC2"/>
    <w:next w:val="Normal"/>
    <w:uiPriority w:val="39"/>
    <w:rsid w:val="00784344"/>
    <w:pPr>
      <w:ind w:left="1080" w:hanging="634"/>
    </w:pPr>
    <w:rPr>
      <w:lang w:eastAsia="en-US"/>
    </w:rPr>
  </w:style>
  <w:style w:type="paragraph" w:styleId="TOC6">
    <w:name w:val="toc 6"/>
    <w:basedOn w:val="TOC3"/>
    <w:next w:val="Normal"/>
    <w:uiPriority w:val="39"/>
    <w:rsid w:val="00784344"/>
    <w:pPr>
      <w:ind w:left="1800" w:hanging="720"/>
    </w:pPr>
    <w:rPr>
      <w:lang w:eastAsia="en-US"/>
    </w:rPr>
  </w:style>
  <w:style w:type="table" w:customStyle="1" w:styleId="DTFtexttable">
    <w:name w:val="DTF text table"/>
    <w:basedOn w:val="TableGrid"/>
    <w:uiPriority w:val="99"/>
    <w:rsid w:val="00784344"/>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84344"/>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784344"/>
    <w:pPr>
      <w:spacing w:before="60" w:after="60" w:line="264" w:lineRule="auto"/>
    </w:pPr>
    <w:rPr>
      <w:sz w:val="17"/>
    </w:rPr>
  </w:style>
  <w:style w:type="paragraph" w:customStyle="1" w:styleId="Tabletextright">
    <w:name w:val="Table text right"/>
    <w:basedOn w:val="Tabletext"/>
    <w:uiPriority w:val="5"/>
    <w:qFormat/>
    <w:rsid w:val="00784344"/>
    <w:pPr>
      <w:jc w:val="right"/>
    </w:pPr>
  </w:style>
  <w:style w:type="paragraph" w:customStyle="1" w:styleId="Listnumindent2">
    <w:name w:val="List num indent 2"/>
    <w:basedOn w:val="Normal"/>
    <w:uiPriority w:val="9"/>
    <w:qFormat/>
    <w:rsid w:val="00784344"/>
    <w:pPr>
      <w:numPr>
        <w:ilvl w:val="7"/>
        <w:numId w:val="4"/>
      </w:numPr>
      <w:spacing w:before="100"/>
      <w:contextualSpacing/>
    </w:pPr>
  </w:style>
  <w:style w:type="paragraph" w:customStyle="1" w:styleId="Listnumindent">
    <w:name w:val="List num indent"/>
    <w:basedOn w:val="Normal"/>
    <w:uiPriority w:val="9"/>
    <w:qFormat/>
    <w:rsid w:val="00784344"/>
    <w:pPr>
      <w:numPr>
        <w:ilvl w:val="6"/>
        <w:numId w:val="4"/>
      </w:numPr>
      <w:spacing w:before="100"/>
    </w:pPr>
  </w:style>
  <w:style w:type="paragraph" w:customStyle="1" w:styleId="Listnum">
    <w:name w:val="List num"/>
    <w:basedOn w:val="Normal"/>
    <w:uiPriority w:val="1"/>
    <w:qFormat/>
    <w:rsid w:val="00784344"/>
    <w:pPr>
      <w:numPr>
        <w:numId w:val="4"/>
      </w:numPr>
    </w:pPr>
  </w:style>
  <w:style w:type="paragraph" w:customStyle="1" w:styleId="Listnum2">
    <w:name w:val="List num 2"/>
    <w:basedOn w:val="Normal"/>
    <w:uiPriority w:val="1"/>
    <w:qFormat/>
    <w:rsid w:val="00784344"/>
    <w:pPr>
      <w:numPr>
        <w:ilvl w:val="1"/>
        <w:numId w:val="4"/>
      </w:numPr>
    </w:pPr>
  </w:style>
  <w:style w:type="paragraph" w:customStyle="1" w:styleId="Tabletextcentred">
    <w:name w:val="Table text centred"/>
    <w:basedOn w:val="Tabletext"/>
    <w:uiPriority w:val="5"/>
    <w:qFormat/>
    <w:rsid w:val="00784344"/>
    <w:pPr>
      <w:jc w:val="center"/>
    </w:pPr>
  </w:style>
  <w:style w:type="paragraph" w:customStyle="1" w:styleId="Tableheader">
    <w:name w:val="Table header"/>
    <w:basedOn w:val="Tabletext"/>
    <w:uiPriority w:val="5"/>
    <w:qFormat/>
    <w:rsid w:val="00784344"/>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84344"/>
    <w:pPr>
      <w:numPr>
        <w:numId w:val="17"/>
      </w:numPr>
    </w:pPr>
  </w:style>
  <w:style w:type="paragraph" w:customStyle="1" w:styleId="Tabledash">
    <w:name w:val="Table dash"/>
    <w:basedOn w:val="Tablebullet"/>
    <w:uiPriority w:val="6"/>
    <w:rsid w:val="00784344"/>
    <w:pPr>
      <w:numPr>
        <w:ilvl w:val="1"/>
      </w:numPr>
    </w:pPr>
  </w:style>
  <w:style w:type="paragraph" w:customStyle="1" w:styleId="Tabletextindent">
    <w:name w:val="Table text indent"/>
    <w:basedOn w:val="Tabletext"/>
    <w:uiPriority w:val="5"/>
    <w:qFormat/>
    <w:rsid w:val="00784344"/>
    <w:pPr>
      <w:ind w:left="288"/>
    </w:pPr>
  </w:style>
  <w:style w:type="paragraph" w:customStyle="1" w:styleId="Numpara">
    <w:name w:val="Num para"/>
    <w:basedOn w:val="ListParagraph"/>
    <w:uiPriority w:val="2"/>
    <w:qFormat/>
    <w:rsid w:val="00784344"/>
    <w:pPr>
      <w:numPr>
        <w:numId w:val="19"/>
      </w:numPr>
      <w:tabs>
        <w:tab w:val="left" w:pos="540"/>
      </w:tabs>
    </w:pPr>
  </w:style>
  <w:style w:type="paragraph" w:styleId="ListParagraph">
    <w:name w:val="List Paragraph"/>
    <w:basedOn w:val="Normal"/>
    <w:uiPriority w:val="34"/>
    <w:semiHidden/>
    <w:qFormat/>
    <w:rsid w:val="00784344"/>
    <w:pPr>
      <w:ind w:left="720"/>
      <w:contextualSpacing/>
    </w:pPr>
  </w:style>
  <w:style w:type="paragraph" w:customStyle="1" w:styleId="Tablechartdiagramheading">
    <w:name w:val="Table/chart/diagram heading"/>
    <w:uiPriority w:val="4"/>
    <w:qFormat/>
    <w:rsid w:val="00784344"/>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784344"/>
    <w:pPr>
      <w:spacing w:before="0" w:after="0" w:line="240" w:lineRule="auto"/>
    </w:pPr>
    <w:rPr>
      <w:sz w:val="17"/>
    </w:rPr>
  </w:style>
  <w:style w:type="character" w:customStyle="1" w:styleId="FootnoteTextChar">
    <w:name w:val="Footnote Text Char"/>
    <w:basedOn w:val="DefaultParagraphFont"/>
    <w:link w:val="FootnoteText"/>
    <w:uiPriority w:val="99"/>
    <w:semiHidden/>
    <w:rsid w:val="00784344"/>
    <w:rPr>
      <w:spacing w:val="2"/>
      <w:sz w:val="17"/>
    </w:rPr>
  </w:style>
  <w:style w:type="character" w:styleId="FootnoteReference">
    <w:name w:val="footnote reference"/>
    <w:basedOn w:val="DefaultParagraphFont"/>
    <w:uiPriority w:val="99"/>
    <w:semiHidden/>
    <w:rsid w:val="00784344"/>
    <w:rPr>
      <w:vertAlign w:val="superscript"/>
    </w:rPr>
  </w:style>
  <w:style w:type="table" w:customStyle="1" w:styleId="DTFfinancialtableindent">
    <w:name w:val="DTF financial table indent"/>
    <w:basedOn w:val="DTFfinancialtable"/>
    <w:uiPriority w:val="99"/>
    <w:rsid w:val="00784344"/>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84344"/>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84344"/>
    <w:pPr>
      <w:numPr>
        <w:ilvl w:val="8"/>
        <w:numId w:val="4"/>
      </w:numPr>
      <w:tabs>
        <w:tab w:val="clear" w:pos="540"/>
      </w:tabs>
    </w:pPr>
  </w:style>
  <w:style w:type="paragraph" w:customStyle="1" w:styleId="Tablenum1">
    <w:name w:val="Table num 1"/>
    <w:basedOn w:val="Normal"/>
    <w:uiPriority w:val="6"/>
    <w:rsid w:val="00784344"/>
    <w:pPr>
      <w:numPr>
        <w:ilvl w:val="2"/>
        <w:numId w:val="17"/>
      </w:numPr>
    </w:pPr>
    <w:rPr>
      <w:sz w:val="17"/>
    </w:rPr>
  </w:style>
  <w:style w:type="paragraph" w:customStyle="1" w:styleId="Tablenum2">
    <w:name w:val="Table num 2"/>
    <w:basedOn w:val="Normal"/>
    <w:uiPriority w:val="6"/>
    <w:rsid w:val="00784344"/>
    <w:pPr>
      <w:numPr>
        <w:ilvl w:val="3"/>
        <w:numId w:val="17"/>
      </w:numPr>
    </w:pPr>
    <w:rPr>
      <w:sz w:val="17"/>
    </w:rPr>
  </w:style>
  <w:style w:type="paragraph" w:customStyle="1" w:styleId="NoteNormalindent">
    <w:name w:val="Note Normal indent"/>
    <w:basedOn w:val="NoteNormal"/>
    <w:uiPriority w:val="8"/>
    <w:rsid w:val="00784344"/>
    <w:pPr>
      <w:ind w:left="792"/>
    </w:pPr>
  </w:style>
  <w:style w:type="paragraph" w:styleId="Caption">
    <w:name w:val="caption"/>
    <w:basedOn w:val="Normal"/>
    <w:next w:val="Normal"/>
    <w:uiPriority w:val="35"/>
    <w:rsid w:val="00784344"/>
    <w:pPr>
      <w:spacing w:before="0" w:after="200" w:line="240" w:lineRule="auto"/>
    </w:pPr>
    <w:rPr>
      <w:b/>
      <w:bCs/>
      <w:color w:val="383834" w:themeColor="background2" w:themeShade="40"/>
      <w:sz w:val="18"/>
      <w:szCs w:val="18"/>
    </w:rPr>
  </w:style>
  <w:style w:type="paragraph" w:styleId="ListNumber">
    <w:name w:val="List Number"/>
    <w:basedOn w:val="Normal"/>
    <w:uiPriority w:val="7"/>
    <w:semiHidden/>
    <w:qFormat/>
    <w:rsid w:val="006D5CDD"/>
    <w:pPr>
      <w:numPr>
        <w:numId w:val="28"/>
      </w:numPr>
      <w:spacing w:before="100" w:line="260" w:lineRule="atLeast"/>
      <w:contextualSpacing/>
    </w:pPr>
    <w:rPr>
      <w:rFonts w:ascii="Calibri" w:eastAsia="Times New Roman" w:hAnsi="Calibri" w:cs="Calibri"/>
      <w:spacing w:val="0"/>
      <w:sz w:val="22"/>
      <w:szCs w:val="22"/>
    </w:rPr>
  </w:style>
  <w:style w:type="paragraph" w:styleId="ListNumber2">
    <w:name w:val="List Number 2"/>
    <w:basedOn w:val="Normal"/>
    <w:uiPriority w:val="7"/>
    <w:semiHidden/>
    <w:rsid w:val="006D5CDD"/>
    <w:pPr>
      <w:numPr>
        <w:ilvl w:val="1"/>
        <w:numId w:val="28"/>
      </w:numPr>
      <w:spacing w:before="100" w:line="260" w:lineRule="atLeast"/>
      <w:contextualSpacing/>
    </w:pPr>
    <w:rPr>
      <w:rFonts w:ascii="Calibri" w:eastAsia="Times New Roman" w:hAnsi="Calibri" w:cs="Calibri"/>
      <w:spacing w:val="0"/>
      <w:sz w:val="22"/>
      <w:szCs w:val="22"/>
    </w:rPr>
  </w:style>
  <w:style w:type="paragraph" w:styleId="ListNumber3">
    <w:name w:val="List Number 3"/>
    <w:basedOn w:val="Normal"/>
    <w:uiPriority w:val="7"/>
    <w:semiHidden/>
    <w:rsid w:val="006D5CDD"/>
    <w:pPr>
      <w:numPr>
        <w:ilvl w:val="2"/>
        <w:numId w:val="28"/>
      </w:numPr>
      <w:spacing w:before="100" w:line="260" w:lineRule="atLeast"/>
      <w:contextualSpacing/>
    </w:pPr>
    <w:rPr>
      <w:rFonts w:ascii="Calibri" w:eastAsia="Times New Roman"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22B0FDB-6A45-46AA-9A33-705CA3320F38}">
  <ds:schemaRefs>
    <ds:schemaRef ds:uri="http://schemas.openxmlformats.org/officeDocument/2006/bibliography"/>
  </ds:schemaRefs>
</ds:datastoreItem>
</file>

<file path=customXml/itemProps2.xml><?xml version="1.0" encoding="utf-8"?>
<ds:datastoreItem xmlns:ds="http://schemas.openxmlformats.org/officeDocument/2006/customXml" ds:itemID="{1F503A11-1951-4CD8-B888-54C4E33092E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Bhavisha Mistry (DTF)</cp:lastModifiedBy>
  <cp:revision>4</cp:revision>
  <cp:lastPrinted>2018-07-12T01:11:00Z</cp:lastPrinted>
  <dcterms:created xsi:type="dcterms:W3CDTF">2021-06-02T10:49:00Z</dcterms:created>
  <dcterms:modified xsi:type="dcterms:W3CDTF">2021-06-22T02:46:00Z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613e3a55-bf65-4a95-b06e-a235a9834a7e</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2021-06-22T02:46:29Z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ca8fc9ea-516c-4198-8262-8ca7946024e4</vt:lpwstr>
  </property>
  <property fmtid="{D5CDD505-2E9C-101B-9397-08002B2CF9AE}" pid="10" name="MSIP_Label_7158ebbd-6c5e-441f-bfc9-4eb8c11e3978_ContentBits">
    <vt:lpwstr>2</vt:lpwstr>
  </property>
</Properties>
</file>