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78" w:rsidRDefault="00457D32" w:rsidP="00C11778">
      <w:pPr>
        <w:pStyle w:val="Heading1"/>
      </w:pPr>
      <w:bookmarkStart w:id="0" w:name="_Hlk481423895"/>
      <w:bookmarkStart w:id="1" w:name="_GoBack"/>
      <w:bookmarkEnd w:id="1"/>
      <w:r>
        <w:rPr>
          <w:noProof/>
          <w:lang w:eastAsia="en-AU"/>
        </w:rPr>
        <mc:AlternateContent>
          <mc:Choice Requires="wpg">
            <w:drawing>
              <wp:anchor distT="0" distB="0" distL="114300" distR="114300" simplePos="0" relativeHeight="251663360" behindDoc="0" locked="0" layoutInCell="1" allowOverlap="1" wp14:anchorId="01FA71FF" wp14:editId="7FF40412">
                <wp:simplePos x="0" y="0"/>
                <wp:positionH relativeFrom="column">
                  <wp:posOffset>-862965</wp:posOffset>
                </wp:positionH>
                <wp:positionV relativeFrom="paragraph">
                  <wp:posOffset>-748665</wp:posOffset>
                </wp:positionV>
                <wp:extent cx="7860665" cy="2069465"/>
                <wp:effectExtent l="0" t="0" r="26035" b="26035"/>
                <wp:wrapNone/>
                <wp:docPr id="3" name="Group 3"/>
                <wp:cNvGraphicFramePr/>
                <a:graphic xmlns:a="http://schemas.openxmlformats.org/drawingml/2006/main">
                  <a:graphicData uri="http://schemas.microsoft.com/office/word/2010/wordprocessingGroup">
                    <wpg:wgp>
                      <wpg:cNvGrpSpPr/>
                      <wpg:grpSpPr>
                        <a:xfrm>
                          <a:off x="0" y="0"/>
                          <a:ext cx="7860665" cy="2069465"/>
                          <a:chOff x="0" y="0"/>
                          <a:chExt cx="7860665" cy="2069465"/>
                        </a:xfrm>
                      </wpg:grpSpPr>
                      <wps:wsp>
                        <wps:cNvPr id="1" name="Rectangle 1"/>
                        <wps:cNvSpPr/>
                        <wps:spPr>
                          <a:xfrm>
                            <a:off x="142875" y="266700"/>
                            <a:ext cx="7560000" cy="360000"/>
                          </a:xfrm>
                          <a:prstGeom prst="rect">
                            <a:avLst/>
                          </a:prstGeom>
                          <a:solidFill>
                            <a:srgbClr val="DCEBF5"/>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390525"/>
                            <a:ext cx="7702760" cy="360000"/>
                          </a:xfrm>
                          <a:prstGeom prst="rect">
                            <a:avLst/>
                          </a:prstGeom>
                          <a:solidFill>
                            <a:srgbClr val="0B70B4"/>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9D78EF" w:rsidRPr="002C4636" w:rsidRDefault="009D78EF" w:rsidP="00457D32">
                              <w:pPr>
                                <w:spacing w:before="60" w:after="60"/>
                                <w:ind w:left="1215"/>
                                <w:rPr>
                                  <w:sz w:val="24"/>
                                </w:rPr>
                              </w:pPr>
                              <w:r>
                                <w:rPr>
                                  <w:sz w:val="24"/>
                                </w:rPr>
                                <w:t>Department of Treasury and Finance - FICTIONAL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Triangle 2"/>
                        <wps:cNvSpPr>
                          <a:spLocks/>
                        </wps:cNvSpPr>
                        <wps:spPr bwMode="auto">
                          <a:xfrm rot="10800000">
                            <a:off x="579120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anchor>
            </w:drawing>
          </mc:Choice>
          <mc:Fallback>
            <w:pict>
              <v:group id="Group 3" o:spid="_x0000_s1026" style="position:absolute;margin-left:-67.95pt;margin-top:-58.95pt;width:618.95pt;height:162.95pt;z-index:251663360;mso-width-relative:margin" coordsize="78606,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">
                <v:rect id="Rectangle 1" o:spid="_x0000_s1027" style="position:absolute;left:1428;top:2667;width:75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vg8IA&#10;AADaAAAADwAAAGRycy9kb3ducmV2LnhtbERPTWvCQBC9F/wPywi9SLPRQ6nRjVRBWyseqh48Dtkx&#10;G5qdDdmtpv56VxB6Gh7vc6azztbiTK2vHCsYJikI4sLpiksFh/3y5Q2ED8gaa8ek4I88zPLe0xQz&#10;7S78TeddKEUMYZ+hAhNCk0npC0MWfeIa4sidXGsxRNiWUrd4ieG2lqM0fZUWK44NBhtaGCp+dr9W&#10;wYb5OvhIx18Hb67NarWeb6vjXKnnfvc+ARGoC//ih/tTx/lwf+V+Z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K+DwgAAANoAAAAPAAAAAAAAAAAAAAAAAJgCAABkcnMvZG93&#10;bnJldi54bWxQSwUGAAAAAAQABAD1AAAAhwMAAAAA&#10;" fillcolor="#dcebf5" stroked="f" strokecolor="#1f3763 [1604]" strokeweight="1pt"/>
                <v:rect id="Rectangle 2" o:spid="_x0000_s1028" style="position:absolute;top:3905;width:77027;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07ksEA&#10;AADaAAAADwAAAGRycy9kb3ducmV2LnhtbESPQYvCMBSE7wv+h/AEb2uqB5VqFCmI4p50BfH2SJ5N&#10;sXkpTdS6v94sLOxxmJlvmMWqc7V4UBsqzwpGwwwEsfam4lLB6XvzOQMRIrLB2jMpeFGA1bL3scDc&#10;+Ccf6HGMpUgQDjkqsDE2uZRBW3IYhr4hTt7Vtw5jkm0pTYvPBHe1HGfZRDqsOC1YbKiwpG/Hu1Mw&#10;25dmd/ia3s+2/uHLttA2K7RSg363noOI1MX/8F97ZxSM4fdKu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O5LBAAAA2gAAAA8AAAAAAAAAAAAAAAAAmAIAAGRycy9kb3du&#10;cmV2LnhtbFBLBQYAAAAABAAEAPUAAACGAwAAAAA=&#10;" fillcolor="#0b70b4" stroked="f" strokecolor="#1f3763 [1604]" strokeweight="1pt">
                  <v:textbox>
                    <w:txbxContent>
                      <w:p w:rsidR="009D78EF" w:rsidRPr="002C4636" w:rsidRDefault="009D78EF" w:rsidP="00457D32">
                        <w:pPr>
                          <w:spacing w:before="60" w:after="60"/>
                          <w:ind w:left="1215"/>
                          <w:rPr>
                            <w:sz w:val="24"/>
                          </w:rPr>
                        </w:pPr>
                        <w:r>
                          <w:rPr>
                            <w:sz w:val="24"/>
                          </w:rPr>
                          <w:t>Department of Treasury and Finance - FICTIONAL</w:t>
                        </w: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2" o:spid="_x0000_s1029" type="#_x0000_t6" style="position:absolute;left:57912;width:20694;height:206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DYL0A&#10;AADbAAAADwAAAGRycy9kb3ducmV2LnhtbERPSwrCMBDdC94hjOBGNNWFSjWKCoKILvwcYGjGttpM&#10;ShNrvb0RBHfzeN+ZLxtTiJoql1tWMBxEIIgTq3NOFVwv2/4UhPPIGgvLpOBNDpaLdmuOsbYvPlF9&#10;9qkIIexiVJB5X8ZSuiQjg25gS+LA3Wxl0AdYpVJX+ArhppCjKBpLgzmHhgxL2mSUPM5Po+B+46g+&#10;XCZyo3tyv3ZHTJ89VKrbaVYzEJ4a/xf/3Dsd5o/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ccDYL0AAADbAAAADwAAAAAAAAAAAAAAAACYAgAAZHJzL2Rvd25yZXYu&#10;eG1sUEsFBgAAAAAEAAQA9QAAAIIDAAAAAA==&#10;" fillcolor="window" strokecolor="window">
                  <v:stroke joinstyle="round"/>
                  <v:path arrowok="t"/>
                </v:shape>
              </v:group>
            </w:pict>
          </mc:Fallback>
        </mc:AlternateContent>
      </w:r>
      <w:r w:rsidR="00C11778">
        <w:t xml:space="preserve">Improving efficiency and responsiveness of justice services in Noojee: </w:t>
      </w:r>
    </w:p>
    <w:p w:rsidR="00C11778" w:rsidRDefault="00C11778" w:rsidP="00C11778">
      <w:pPr>
        <w:pStyle w:val="Heading3"/>
      </w:pPr>
      <w:r>
        <w:t>Redevelopment of Noojee court and services</w:t>
      </w:r>
    </w:p>
    <w:p w:rsidR="00C11778" w:rsidRDefault="00C11778" w:rsidP="00C11778">
      <w:pPr>
        <w:pStyle w:val="Heading3"/>
      </w:pPr>
    </w:p>
    <w:p w:rsidR="00C11778" w:rsidRPr="00C11778" w:rsidRDefault="00C11778" w:rsidP="00C11778">
      <w:pPr>
        <w:pStyle w:val="Heading3"/>
        <w:rPr>
          <w:color w:val="000000"/>
          <w:sz w:val="26"/>
        </w:rPr>
      </w:pPr>
      <w:r w:rsidRPr="00C11778">
        <w:rPr>
          <w:color w:val="000000"/>
          <w:sz w:val="26"/>
        </w:rPr>
        <w:t>Response Options Analysis</w:t>
      </w:r>
    </w:p>
    <w:p w:rsidR="00C11778" w:rsidRDefault="00C11778" w:rsidP="00C11778">
      <w:pPr>
        <w:pStyle w:val="Heading2"/>
      </w:pPr>
      <w:r>
        <w:t>Option 1: Business as usual / Do nothing</w:t>
      </w:r>
    </w:p>
    <w:p w:rsidR="00C11778" w:rsidRDefault="00C11778" w:rsidP="00C11778">
      <w:r>
        <w:t>Maintains court buildings to current standard and capacity and continues to divert caseload to other courts when capacity is available.</w:t>
      </w:r>
    </w:p>
    <w:tbl>
      <w:tblPr>
        <w:tblStyle w:val="LightList"/>
        <w:tblW w:w="9637" w:type="dxa"/>
        <w:tblLayout w:type="fixed"/>
        <w:tblLook w:val="0620" w:firstRow="1" w:lastRow="0" w:firstColumn="0" w:lastColumn="0" w:noHBand="1" w:noVBand="1"/>
      </w:tblPr>
      <w:tblGrid>
        <w:gridCol w:w="567"/>
        <w:gridCol w:w="8219"/>
        <w:gridCol w:w="851"/>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C11778" w:rsidRDefault="00C11778" w:rsidP="00C11778">
            <w:r>
              <w:t>Interventions</w:t>
            </w:r>
          </w:p>
        </w:tc>
        <w:tc>
          <w:tcPr>
            <w:tcW w:w="851" w:type="dxa"/>
          </w:tcPr>
          <w:p w:rsidR="00C11778" w:rsidRDefault="00C11778" w:rsidP="00C11778">
            <w:pPr>
              <w:jc w:val="center"/>
            </w:pPr>
            <w:r>
              <w:t>%</w:t>
            </w:r>
          </w:p>
        </w:tc>
      </w:tr>
      <w:tr w:rsidR="00C11778" w:rsidTr="00C11778">
        <w:tc>
          <w:tcPr>
            <w:tcW w:w="567" w:type="dxa"/>
          </w:tcPr>
          <w:p w:rsidR="00C11778" w:rsidRDefault="00C11778" w:rsidP="00C11778">
            <w:r>
              <w:t>1</w:t>
            </w:r>
          </w:p>
        </w:tc>
        <w:tc>
          <w:tcPr>
            <w:tcW w:w="8220" w:type="dxa"/>
          </w:tcPr>
          <w:p w:rsidR="00C11778" w:rsidRDefault="00C11778" w:rsidP="00C11778">
            <w:r>
              <w:t>Maintain current court building, capacity and level of operations</w:t>
            </w:r>
          </w:p>
        </w:tc>
        <w:tc>
          <w:tcPr>
            <w:tcW w:w="851" w:type="dxa"/>
          </w:tcPr>
          <w:p w:rsidR="00C11778" w:rsidRDefault="00C11778" w:rsidP="00C11778">
            <w:pPr>
              <w:jc w:val="center"/>
            </w:pPr>
            <w:r>
              <w:t>80%</w:t>
            </w:r>
          </w:p>
        </w:tc>
      </w:tr>
      <w:tr w:rsidR="00C11778" w:rsidTr="00C11778">
        <w:tc>
          <w:tcPr>
            <w:tcW w:w="567" w:type="dxa"/>
          </w:tcPr>
          <w:p w:rsidR="00C11778" w:rsidRDefault="00C11778" w:rsidP="00C11778">
            <w:r>
              <w:t>2</w:t>
            </w:r>
          </w:p>
        </w:tc>
        <w:tc>
          <w:tcPr>
            <w:tcW w:w="8220" w:type="dxa"/>
          </w:tcPr>
          <w:p w:rsidR="00C11778" w:rsidRDefault="00C11778" w:rsidP="00C11778">
            <w:r>
              <w:t>Divert portion of caseload to other regional courts with spare capacity</w:t>
            </w:r>
          </w:p>
        </w:tc>
        <w:tc>
          <w:tcPr>
            <w:tcW w:w="851" w:type="dxa"/>
          </w:tcPr>
          <w:p w:rsidR="00C11778" w:rsidRDefault="00C11778" w:rsidP="00C11778">
            <w:pPr>
              <w:jc w:val="center"/>
            </w:pPr>
            <w:r>
              <w:t>20%</w:t>
            </w:r>
          </w:p>
        </w:tc>
      </w:tr>
    </w:tbl>
    <w:p w:rsidR="002F49F2" w:rsidRDefault="002F49F2" w:rsidP="00C11778"/>
    <w:tbl>
      <w:tblPr>
        <w:tblStyle w:val="LightList"/>
        <w:tblW w:w="9637" w:type="dxa"/>
        <w:tblInd w:w="2" w:type="dxa"/>
        <w:tblLayout w:type="fixed"/>
        <w:tblLook w:val="0620" w:firstRow="1" w:lastRow="0" w:firstColumn="0" w:lastColumn="0" w:noHBand="1" w:noVBand="1"/>
      </w:tblPr>
      <w:tblGrid>
        <w:gridCol w:w="1815"/>
        <w:gridCol w:w="1814"/>
        <w:gridCol w:w="1814"/>
        <w:gridCol w:w="1814"/>
        <w:gridCol w:w="238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C11778" w:rsidRDefault="00C11778" w:rsidP="00C11778">
            <w:pPr>
              <w:jc w:val="center"/>
            </w:pPr>
            <w:r>
              <w:t>Benefit score</w:t>
            </w:r>
          </w:p>
        </w:tc>
        <w:tc>
          <w:tcPr>
            <w:tcW w:w="1814" w:type="dxa"/>
            <w:vAlign w:val="bottom"/>
          </w:tcPr>
          <w:p w:rsidR="00C11778" w:rsidRDefault="00C11778" w:rsidP="00C11778">
            <w:pPr>
              <w:jc w:val="center"/>
            </w:pPr>
            <w:r>
              <w:t>Capital TEI</w:t>
            </w:r>
          </w:p>
        </w:tc>
        <w:tc>
          <w:tcPr>
            <w:tcW w:w="1814" w:type="dxa"/>
            <w:vAlign w:val="bottom"/>
          </w:tcPr>
          <w:p w:rsidR="00C11778" w:rsidRDefault="00C11778" w:rsidP="00C11778">
            <w:pPr>
              <w:jc w:val="center"/>
            </w:pPr>
            <w:r>
              <w:t>Time range</w:t>
            </w:r>
          </w:p>
        </w:tc>
        <w:tc>
          <w:tcPr>
            <w:tcW w:w="1814" w:type="dxa"/>
            <w:vAlign w:val="bottom"/>
          </w:tcPr>
          <w:p w:rsidR="00C11778" w:rsidRDefault="00C11778" w:rsidP="00C11778">
            <w:pPr>
              <w:jc w:val="center"/>
            </w:pPr>
            <w:r>
              <w:t>Ranking</w:t>
            </w:r>
          </w:p>
        </w:tc>
        <w:tc>
          <w:tcPr>
            <w:tcW w:w="2380" w:type="dxa"/>
            <w:vAlign w:val="bottom"/>
          </w:tcPr>
          <w:p w:rsidR="00C11778" w:rsidRDefault="00C11778" w:rsidP="00C11778">
            <w:pPr>
              <w:jc w:val="center"/>
            </w:pPr>
            <w:r>
              <w:t>Options workshop required?</w:t>
            </w:r>
          </w:p>
        </w:tc>
      </w:tr>
      <w:tr w:rsidR="00C11778" w:rsidTr="00C11778">
        <w:tc>
          <w:tcPr>
            <w:tcW w:w="1814" w:type="dxa"/>
          </w:tcPr>
          <w:p w:rsidR="00C11778" w:rsidRDefault="00C11778" w:rsidP="00C11778">
            <w:pPr>
              <w:jc w:val="center"/>
            </w:pPr>
            <w:r>
              <w:t>12.5%</w:t>
            </w:r>
          </w:p>
        </w:tc>
        <w:tc>
          <w:tcPr>
            <w:tcW w:w="1814" w:type="dxa"/>
          </w:tcPr>
          <w:p w:rsidR="00C11778" w:rsidRDefault="00C11778" w:rsidP="00C11778">
            <w:pPr>
              <w:jc w:val="center"/>
            </w:pPr>
            <w:r>
              <w:t>$ mil - $n mil</w:t>
            </w:r>
          </w:p>
        </w:tc>
        <w:tc>
          <w:tcPr>
            <w:tcW w:w="1814" w:type="dxa"/>
          </w:tcPr>
          <w:p w:rsidR="00C11778" w:rsidRDefault="00C11778" w:rsidP="00C11778">
            <w:pPr>
              <w:jc w:val="center"/>
            </w:pPr>
            <w:r>
              <w:t>mm-mm</w:t>
            </w:r>
          </w:p>
        </w:tc>
        <w:tc>
          <w:tcPr>
            <w:tcW w:w="1814" w:type="dxa"/>
          </w:tcPr>
          <w:p w:rsidR="00C11778" w:rsidRDefault="00C11778" w:rsidP="00C11778">
            <w:pPr>
              <w:jc w:val="center"/>
            </w:pPr>
          </w:p>
        </w:tc>
        <w:tc>
          <w:tcPr>
            <w:tcW w:w="2380" w:type="dxa"/>
          </w:tcPr>
          <w:p w:rsidR="00C11778" w:rsidRDefault="00C11778" w:rsidP="00C11778">
            <w:pPr>
              <w:jc w:val="center"/>
            </w:pPr>
            <w:r>
              <w:t>No</w:t>
            </w:r>
          </w:p>
        </w:tc>
      </w:tr>
    </w:tbl>
    <w:p w:rsidR="00C11778" w:rsidRDefault="00C11778" w:rsidP="00C11778"/>
    <w:tbl>
      <w:tblPr>
        <w:tblStyle w:val="LightList"/>
        <w:tblW w:w="9637"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Risks and Uncertainty</w:t>
            </w:r>
          </w:p>
        </w:tc>
      </w:tr>
      <w:tr w:rsidR="00C11778" w:rsidTr="00C11778">
        <w:tc>
          <w:tcPr>
            <w:tcW w:w="567" w:type="dxa"/>
          </w:tcPr>
          <w:p w:rsidR="00C11778" w:rsidRDefault="00C11778" w:rsidP="00C11778">
            <w:r>
              <w:t>1</w:t>
            </w:r>
          </w:p>
        </w:tc>
        <w:tc>
          <w:tcPr>
            <w:tcW w:w="9071" w:type="dxa"/>
          </w:tcPr>
          <w:p w:rsidR="00C11778" w:rsidRDefault="00C11778" w:rsidP="00C11778">
            <w:r>
              <w:t xml:space="preserve">Other courts lack capacity to take diverted </w:t>
            </w:r>
            <w:r w:rsidR="00FA1813">
              <w:t>caseload M</w:t>
            </w:r>
          </w:p>
        </w:tc>
      </w:tr>
    </w:tbl>
    <w:p w:rsidR="00C11778" w:rsidRDefault="00C11778" w:rsidP="00C11778"/>
    <w:tbl>
      <w:tblPr>
        <w:tblStyle w:val="LightList"/>
        <w:tblW w:w="9637"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proofErr w:type="spellStart"/>
            <w:r>
              <w:t>Disbenefits</w:t>
            </w:r>
            <w:proofErr w:type="spellEnd"/>
          </w:p>
        </w:tc>
      </w:tr>
      <w:tr w:rsidR="00C11778" w:rsidTr="00C11778">
        <w:tc>
          <w:tcPr>
            <w:tcW w:w="567" w:type="dxa"/>
          </w:tcPr>
          <w:p w:rsidR="00C11778" w:rsidRDefault="00C11778" w:rsidP="00C11778">
            <w:r>
              <w:t>1</w:t>
            </w:r>
          </w:p>
        </w:tc>
        <w:tc>
          <w:tcPr>
            <w:tcW w:w="9071" w:type="dxa"/>
          </w:tcPr>
          <w:p w:rsidR="00C11778" w:rsidRDefault="00C11778" w:rsidP="00C11778">
            <w:r>
              <w:t>Delays and poor access to justice services will increase H</w:t>
            </w:r>
          </w:p>
        </w:tc>
      </w:tr>
      <w:tr w:rsidR="00C11778" w:rsidTr="00C11778">
        <w:tc>
          <w:tcPr>
            <w:tcW w:w="567" w:type="dxa"/>
          </w:tcPr>
          <w:p w:rsidR="00C11778" w:rsidRDefault="00C11778" w:rsidP="00C11778">
            <w:r>
              <w:t>2</w:t>
            </w:r>
          </w:p>
        </w:tc>
        <w:tc>
          <w:tcPr>
            <w:tcW w:w="9071" w:type="dxa"/>
          </w:tcPr>
          <w:p w:rsidR="00C11778" w:rsidRDefault="00C11778" w:rsidP="00C11778">
            <w:r>
              <w:t xml:space="preserve">Security </w:t>
            </w:r>
            <w:r w:rsidR="00FA1813">
              <w:t>risks of</w:t>
            </w:r>
            <w:r>
              <w:t xml:space="preserve"> precinct are unmitigated H</w:t>
            </w:r>
          </w:p>
        </w:tc>
      </w:tr>
    </w:tbl>
    <w:p w:rsidR="00C11778" w:rsidRDefault="00C11778" w:rsidP="00C11778"/>
    <w:tbl>
      <w:tblPr>
        <w:tblStyle w:val="LightList"/>
        <w:tblW w:w="9637" w:type="dxa"/>
        <w:tblLayout w:type="fixed"/>
        <w:tblLook w:val="0620" w:firstRow="1" w:lastRow="0" w:firstColumn="0" w:lastColumn="0" w:noHBand="1" w:noVBand="1"/>
      </w:tblPr>
      <w:tblGrid>
        <w:gridCol w:w="9637"/>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tcPr>
          <w:p w:rsidR="00C11778" w:rsidRDefault="00C11778" w:rsidP="00C11778">
            <w:r>
              <w:t>Interdependencies</w:t>
            </w:r>
          </w:p>
        </w:tc>
      </w:tr>
      <w:tr w:rsidR="00C11778" w:rsidTr="00C11778">
        <w:tc>
          <w:tcPr>
            <w:tcW w:w="9638" w:type="dxa"/>
          </w:tcPr>
          <w:p w:rsidR="00C11778" w:rsidRDefault="00C11778" w:rsidP="00C11778">
            <w:r>
              <w:t>None</w:t>
            </w:r>
          </w:p>
        </w:tc>
      </w:tr>
    </w:tbl>
    <w:p w:rsidR="00C11778" w:rsidRDefault="00C11778" w:rsidP="00C11778"/>
    <w:p w:rsidR="00C11778" w:rsidRDefault="00C11778" w:rsidP="00C11778">
      <w:pPr>
        <w:pStyle w:val="Heading2"/>
      </w:pPr>
      <w:r>
        <w:t>Option 2: Manage overall demand for court services and improve effectiveness of in-court technology</w:t>
      </w:r>
    </w:p>
    <w:p w:rsidR="00C11778" w:rsidRDefault="00C11778" w:rsidP="00C11778">
      <w:r>
        <w:t xml:space="preserve">Focuses on managing the demand for court services through targeted community education and diversionary strategies, for both criminal and civil matters. Supplements this </w:t>
      </w:r>
      <w:r w:rsidR="00FA1813">
        <w:t>with improvements</w:t>
      </w:r>
      <w:r>
        <w:t xml:space="preserve"> in in-court technology (within constraints of existing infrastructure) to increase efficiency of operations and safety of vulnerable witnesses.</w:t>
      </w:r>
    </w:p>
    <w:p w:rsidR="00C11778" w:rsidRDefault="00C11778" w:rsidP="00C11778"/>
    <w:tbl>
      <w:tblPr>
        <w:tblStyle w:val="LightList"/>
        <w:tblW w:w="9637" w:type="dxa"/>
        <w:tblLayout w:type="fixed"/>
        <w:tblLook w:val="0620" w:firstRow="1" w:lastRow="0" w:firstColumn="0" w:lastColumn="0" w:noHBand="1" w:noVBand="1"/>
      </w:tblPr>
      <w:tblGrid>
        <w:gridCol w:w="567"/>
        <w:gridCol w:w="8219"/>
        <w:gridCol w:w="851"/>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C11778" w:rsidRDefault="00C11778" w:rsidP="00C11778">
            <w:r>
              <w:t>Interventions</w:t>
            </w:r>
          </w:p>
        </w:tc>
        <w:tc>
          <w:tcPr>
            <w:tcW w:w="851" w:type="dxa"/>
          </w:tcPr>
          <w:p w:rsidR="00C11778" w:rsidRDefault="00C11778" w:rsidP="00C11778">
            <w:pPr>
              <w:jc w:val="center"/>
            </w:pPr>
            <w:r>
              <w:t>%</w:t>
            </w:r>
          </w:p>
        </w:tc>
      </w:tr>
      <w:tr w:rsidR="00C11778" w:rsidTr="00C11778">
        <w:tc>
          <w:tcPr>
            <w:tcW w:w="567" w:type="dxa"/>
          </w:tcPr>
          <w:p w:rsidR="00C11778" w:rsidRDefault="00C11778" w:rsidP="00C11778">
            <w:r>
              <w:t>1</w:t>
            </w:r>
          </w:p>
        </w:tc>
        <w:tc>
          <w:tcPr>
            <w:tcW w:w="8220" w:type="dxa"/>
          </w:tcPr>
          <w:p w:rsidR="00C11778" w:rsidRDefault="00C11778" w:rsidP="00C11778">
            <w:r>
              <w:t>Develop community education programs and diversion strategies to resolve matters through non-court channels</w:t>
            </w:r>
          </w:p>
        </w:tc>
        <w:tc>
          <w:tcPr>
            <w:tcW w:w="851" w:type="dxa"/>
          </w:tcPr>
          <w:p w:rsidR="00C11778" w:rsidRDefault="00C11778" w:rsidP="00C11778">
            <w:pPr>
              <w:jc w:val="center"/>
            </w:pPr>
            <w:r>
              <w:t>50%</w:t>
            </w:r>
          </w:p>
        </w:tc>
      </w:tr>
      <w:tr w:rsidR="00C11778" w:rsidTr="00C11778">
        <w:tc>
          <w:tcPr>
            <w:tcW w:w="567" w:type="dxa"/>
          </w:tcPr>
          <w:p w:rsidR="00C11778" w:rsidRDefault="00C11778" w:rsidP="00C11778">
            <w:r>
              <w:t>2</w:t>
            </w:r>
          </w:p>
        </w:tc>
        <w:tc>
          <w:tcPr>
            <w:tcW w:w="8220" w:type="dxa"/>
          </w:tcPr>
          <w:p w:rsidR="00C11778" w:rsidRDefault="00C11778" w:rsidP="00C11778">
            <w:r>
              <w:t>Divert portion of caseload to other regional courts with spare capacity</w:t>
            </w:r>
          </w:p>
        </w:tc>
        <w:tc>
          <w:tcPr>
            <w:tcW w:w="851" w:type="dxa"/>
          </w:tcPr>
          <w:p w:rsidR="00C11778" w:rsidRDefault="00C11778" w:rsidP="00C11778">
            <w:pPr>
              <w:jc w:val="center"/>
            </w:pPr>
            <w:r>
              <w:t>10%</w:t>
            </w:r>
          </w:p>
        </w:tc>
      </w:tr>
      <w:tr w:rsidR="00C11778" w:rsidTr="00C11778">
        <w:tc>
          <w:tcPr>
            <w:tcW w:w="567" w:type="dxa"/>
          </w:tcPr>
          <w:p w:rsidR="00C11778" w:rsidRDefault="00C11778" w:rsidP="00C11778">
            <w:r>
              <w:lastRenderedPageBreak/>
              <w:t>3</w:t>
            </w:r>
          </w:p>
        </w:tc>
        <w:tc>
          <w:tcPr>
            <w:tcW w:w="8220" w:type="dxa"/>
          </w:tcPr>
          <w:p w:rsidR="00C11778" w:rsidRDefault="00C11778" w:rsidP="00C11778">
            <w:r>
              <w:t>Enhance in-court technology to support more remote-witnessing and digital evidence presentation</w:t>
            </w:r>
          </w:p>
        </w:tc>
        <w:tc>
          <w:tcPr>
            <w:tcW w:w="851" w:type="dxa"/>
          </w:tcPr>
          <w:p w:rsidR="00C11778" w:rsidRDefault="00C11778" w:rsidP="00C11778">
            <w:pPr>
              <w:jc w:val="center"/>
            </w:pPr>
            <w:r>
              <w:t>40%</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1815"/>
        <w:gridCol w:w="1814"/>
        <w:gridCol w:w="1814"/>
        <w:gridCol w:w="1814"/>
        <w:gridCol w:w="238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C11778" w:rsidRDefault="00C11778" w:rsidP="00C11778">
            <w:pPr>
              <w:jc w:val="center"/>
            </w:pPr>
            <w:r>
              <w:t>Benefit score</w:t>
            </w:r>
          </w:p>
        </w:tc>
        <w:tc>
          <w:tcPr>
            <w:tcW w:w="1814" w:type="dxa"/>
            <w:vAlign w:val="bottom"/>
          </w:tcPr>
          <w:p w:rsidR="00C11778" w:rsidRDefault="00C11778" w:rsidP="00C11778">
            <w:pPr>
              <w:jc w:val="center"/>
            </w:pPr>
            <w:r>
              <w:t>Capital TEI</w:t>
            </w:r>
          </w:p>
        </w:tc>
        <w:tc>
          <w:tcPr>
            <w:tcW w:w="1814" w:type="dxa"/>
            <w:vAlign w:val="bottom"/>
          </w:tcPr>
          <w:p w:rsidR="00C11778" w:rsidRDefault="00C11778" w:rsidP="00C11778">
            <w:pPr>
              <w:jc w:val="center"/>
            </w:pPr>
            <w:r>
              <w:t>Time range</w:t>
            </w:r>
          </w:p>
        </w:tc>
        <w:tc>
          <w:tcPr>
            <w:tcW w:w="1814" w:type="dxa"/>
            <w:vAlign w:val="bottom"/>
          </w:tcPr>
          <w:p w:rsidR="00C11778" w:rsidRDefault="00C11778" w:rsidP="00C11778">
            <w:pPr>
              <w:jc w:val="center"/>
            </w:pPr>
            <w:r>
              <w:t>Ranking</w:t>
            </w:r>
          </w:p>
        </w:tc>
        <w:tc>
          <w:tcPr>
            <w:tcW w:w="2380" w:type="dxa"/>
            <w:vAlign w:val="bottom"/>
          </w:tcPr>
          <w:p w:rsidR="00C11778" w:rsidRDefault="00C11778" w:rsidP="00C11778">
            <w:pPr>
              <w:jc w:val="center"/>
            </w:pPr>
            <w:r>
              <w:t>Options workshop required?</w:t>
            </w:r>
          </w:p>
        </w:tc>
      </w:tr>
      <w:tr w:rsidR="00C11778" w:rsidTr="00C11778">
        <w:tc>
          <w:tcPr>
            <w:tcW w:w="1814" w:type="dxa"/>
          </w:tcPr>
          <w:p w:rsidR="00C11778" w:rsidRDefault="00C11778" w:rsidP="00C11778">
            <w:pPr>
              <w:jc w:val="center"/>
            </w:pPr>
            <w:r>
              <w:t>40.0%</w:t>
            </w:r>
          </w:p>
        </w:tc>
        <w:tc>
          <w:tcPr>
            <w:tcW w:w="1814" w:type="dxa"/>
          </w:tcPr>
          <w:p w:rsidR="00C11778" w:rsidRDefault="00C11778" w:rsidP="00C11778">
            <w:pPr>
              <w:jc w:val="center"/>
            </w:pPr>
            <w:r>
              <w:t>$0.8 mil - $1 mil</w:t>
            </w:r>
          </w:p>
        </w:tc>
        <w:tc>
          <w:tcPr>
            <w:tcW w:w="1814" w:type="dxa"/>
          </w:tcPr>
          <w:p w:rsidR="00C11778" w:rsidRDefault="00C11778" w:rsidP="00C11778">
            <w:pPr>
              <w:jc w:val="center"/>
            </w:pPr>
            <w:r>
              <w:t>36mm-60mm</w:t>
            </w:r>
          </w:p>
        </w:tc>
        <w:tc>
          <w:tcPr>
            <w:tcW w:w="1814" w:type="dxa"/>
          </w:tcPr>
          <w:p w:rsidR="00C11778" w:rsidRDefault="00C11778" w:rsidP="00C11778">
            <w:pPr>
              <w:jc w:val="center"/>
            </w:pPr>
            <w:r>
              <w:t>3</w:t>
            </w:r>
          </w:p>
        </w:tc>
        <w:tc>
          <w:tcPr>
            <w:tcW w:w="2380" w:type="dxa"/>
          </w:tcPr>
          <w:p w:rsidR="00C11778" w:rsidRDefault="00C11778" w:rsidP="00C11778">
            <w:pPr>
              <w:jc w:val="center"/>
            </w:pPr>
            <w:r>
              <w:t>No</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Risks and Uncertainty</w:t>
            </w:r>
          </w:p>
        </w:tc>
      </w:tr>
      <w:tr w:rsidR="00C11778" w:rsidTr="00C11778">
        <w:tc>
          <w:tcPr>
            <w:tcW w:w="567" w:type="dxa"/>
          </w:tcPr>
          <w:p w:rsidR="00C11778" w:rsidRDefault="00C11778" w:rsidP="00C11778">
            <w:r>
              <w:t>1</w:t>
            </w:r>
          </w:p>
        </w:tc>
        <w:tc>
          <w:tcPr>
            <w:tcW w:w="9071" w:type="dxa"/>
          </w:tcPr>
          <w:p w:rsidR="00C11778" w:rsidRDefault="00C11778" w:rsidP="00C11778">
            <w:r>
              <w:t xml:space="preserve">Community education programs do not have desired and timely impact on behavioural </w:t>
            </w:r>
            <w:r w:rsidR="00FA1813">
              <w:t>change H</w:t>
            </w:r>
          </w:p>
        </w:tc>
      </w:tr>
      <w:tr w:rsidR="00C11778" w:rsidTr="00C11778">
        <w:tc>
          <w:tcPr>
            <w:tcW w:w="567" w:type="dxa"/>
          </w:tcPr>
          <w:p w:rsidR="00C11778" w:rsidRDefault="00C11778" w:rsidP="00C11778">
            <w:r>
              <w:t>2</w:t>
            </w:r>
          </w:p>
        </w:tc>
        <w:tc>
          <w:tcPr>
            <w:tcW w:w="9071" w:type="dxa"/>
          </w:tcPr>
          <w:p w:rsidR="00C11778" w:rsidRDefault="00C11778" w:rsidP="00C11778">
            <w:r>
              <w:t>Insufficient non-court channels available and/or generate poor outcomes for users H</w:t>
            </w:r>
          </w:p>
        </w:tc>
      </w:tr>
      <w:tr w:rsidR="00C11778" w:rsidTr="00C11778">
        <w:tc>
          <w:tcPr>
            <w:tcW w:w="567" w:type="dxa"/>
          </w:tcPr>
          <w:p w:rsidR="00C11778" w:rsidRDefault="00C11778" w:rsidP="00C11778">
            <w:r>
              <w:t>3</w:t>
            </w:r>
          </w:p>
        </w:tc>
        <w:tc>
          <w:tcPr>
            <w:tcW w:w="9071" w:type="dxa"/>
          </w:tcPr>
          <w:p w:rsidR="00C11778" w:rsidRDefault="00C11778" w:rsidP="00C11778">
            <w:r>
              <w:t>Existing infrastructure limits effectiveness of new in-court technology services M</w:t>
            </w:r>
          </w:p>
        </w:tc>
      </w:tr>
      <w:tr w:rsidR="00C11778" w:rsidTr="00C11778">
        <w:tc>
          <w:tcPr>
            <w:tcW w:w="567" w:type="dxa"/>
          </w:tcPr>
          <w:p w:rsidR="00C11778" w:rsidRDefault="00C11778" w:rsidP="00C11778">
            <w:r>
              <w:t>4</w:t>
            </w:r>
          </w:p>
        </w:tc>
        <w:tc>
          <w:tcPr>
            <w:tcW w:w="9071" w:type="dxa"/>
          </w:tcPr>
          <w:p w:rsidR="00C11778" w:rsidRDefault="00C11778" w:rsidP="00C11778">
            <w:r>
              <w:t xml:space="preserve">Other courts lack capacity to take diverted </w:t>
            </w:r>
            <w:r w:rsidR="00FA1813">
              <w:t>caseload M</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proofErr w:type="spellStart"/>
            <w:r>
              <w:t>Disbenefits</w:t>
            </w:r>
            <w:proofErr w:type="spellEnd"/>
          </w:p>
        </w:tc>
      </w:tr>
      <w:tr w:rsidR="00C11778" w:rsidTr="00C11778">
        <w:tc>
          <w:tcPr>
            <w:tcW w:w="567" w:type="dxa"/>
          </w:tcPr>
          <w:p w:rsidR="00C11778" w:rsidRDefault="00C11778" w:rsidP="00C11778">
            <w:r>
              <w:t>1</w:t>
            </w:r>
          </w:p>
        </w:tc>
        <w:tc>
          <w:tcPr>
            <w:tcW w:w="9071" w:type="dxa"/>
          </w:tcPr>
          <w:p w:rsidR="00C11778" w:rsidRDefault="00C11778" w:rsidP="00C11778">
            <w:r>
              <w:t>Strategy seen as being 'soft on crime' with long lead times M</w:t>
            </w:r>
          </w:p>
        </w:tc>
      </w:tr>
      <w:tr w:rsidR="00C11778" w:rsidTr="00C11778">
        <w:tc>
          <w:tcPr>
            <w:tcW w:w="567" w:type="dxa"/>
          </w:tcPr>
          <w:p w:rsidR="00C11778" w:rsidRDefault="00C11778" w:rsidP="00C11778">
            <w:r>
              <w:t>2</w:t>
            </w:r>
          </w:p>
        </w:tc>
        <w:tc>
          <w:tcPr>
            <w:tcW w:w="9071" w:type="dxa"/>
          </w:tcPr>
          <w:p w:rsidR="00C11778" w:rsidRDefault="00C11778" w:rsidP="00C11778">
            <w:r>
              <w:t>Security risks of precinct are not fully mitigated H</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Interdependencies</w:t>
            </w:r>
          </w:p>
        </w:tc>
      </w:tr>
      <w:tr w:rsidR="00C11778" w:rsidTr="00C11778">
        <w:tc>
          <w:tcPr>
            <w:tcW w:w="567" w:type="dxa"/>
          </w:tcPr>
          <w:p w:rsidR="00C11778" w:rsidRDefault="00C11778" w:rsidP="00C11778">
            <w:r>
              <w:t>1</w:t>
            </w:r>
          </w:p>
        </w:tc>
        <w:tc>
          <w:tcPr>
            <w:tcW w:w="9071" w:type="dxa"/>
          </w:tcPr>
          <w:p w:rsidR="00C11778" w:rsidRDefault="00C11778" w:rsidP="00C11778">
            <w:r>
              <w:t>Active co-operation of other Government agencies in demand management strategies  H</w:t>
            </w:r>
          </w:p>
        </w:tc>
      </w:tr>
      <w:tr w:rsidR="00C11778" w:rsidTr="00C11778">
        <w:tc>
          <w:tcPr>
            <w:tcW w:w="567" w:type="dxa"/>
          </w:tcPr>
          <w:p w:rsidR="00C11778" w:rsidRDefault="00C11778" w:rsidP="00C11778">
            <w:r>
              <w:t>2</w:t>
            </w:r>
          </w:p>
        </w:tc>
        <w:tc>
          <w:tcPr>
            <w:tcW w:w="9071" w:type="dxa"/>
          </w:tcPr>
          <w:p w:rsidR="00C11778" w:rsidRDefault="00C11778" w:rsidP="00C11778">
            <w:r>
              <w:t xml:space="preserve">Strong support from judicial officers for changed service </w:t>
            </w:r>
            <w:r w:rsidR="00CC581A">
              <w:t>model</w:t>
            </w:r>
            <w:r>
              <w:t xml:space="preserve"> &amp; approach H</w:t>
            </w:r>
          </w:p>
        </w:tc>
      </w:tr>
    </w:tbl>
    <w:p w:rsidR="00C11778" w:rsidRDefault="00C11778" w:rsidP="00C11778"/>
    <w:p w:rsidR="00C11778" w:rsidRDefault="00C11778" w:rsidP="00C11778">
      <w:pPr>
        <w:pStyle w:val="Heading2"/>
      </w:pPr>
      <w:r>
        <w:t>Option 3: Reconfigure existing site and make more use of third party sites and services (multi-site model)</w:t>
      </w:r>
    </w:p>
    <w:p w:rsidR="00C11778" w:rsidRDefault="00C11778" w:rsidP="00C11778">
      <w:r>
        <w:t xml:space="preserve"> </w:t>
      </w:r>
    </w:p>
    <w:p w:rsidR="00C11778" w:rsidRDefault="00C11778" w:rsidP="00C11778">
      <w:r>
        <w:t xml:space="preserve">Introduces alternative modes of service delivery,  at other sites and/or through partnership arrangements  to address the demand and functionality pressures at  Noojee and improve justice outcomes. In </w:t>
      </w:r>
      <w:r w:rsidR="00CC581A">
        <w:t>conjunction,</w:t>
      </w:r>
      <w:r>
        <w:t xml:space="preserve"> the existing site is remodelled and the in-court technology upgraded, making the most effective and efficient use of existing infrastructure and </w:t>
      </w:r>
      <w:r w:rsidR="00CC581A">
        <w:t>accommodating</w:t>
      </w:r>
      <w:r>
        <w:t xml:space="preserve"> additional judiciary and staff. This improves the safety of the court precinct and the efficiency of services.</w:t>
      </w:r>
    </w:p>
    <w:tbl>
      <w:tblPr>
        <w:tblStyle w:val="LightList"/>
        <w:tblW w:w="9637" w:type="dxa"/>
        <w:tblInd w:w="-10" w:type="dxa"/>
        <w:tblLayout w:type="fixed"/>
        <w:tblLook w:val="0620" w:firstRow="1" w:lastRow="0" w:firstColumn="0" w:lastColumn="0" w:noHBand="1" w:noVBand="1"/>
      </w:tblPr>
      <w:tblGrid>
        <w:gridCol w:w="567"/>
        <w:gridCol w:w="8219"/>
        <w:gridCol w:w="851"/>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C11778" w:rsidRDefault="00C11778" w:rsidP="00C11778">
            <w:r>
              <w:t>Interventions</w:t>
            </w:r>
          </w:p>
        </w:tc>
        <w:tc>
          <w:tcPr>
            <w:tcW w:w="851" w:type="dxa"/>
          </w:tcPr>
          <w:p w:rsidR="00C11778" w:rsidRDefault="00C11778" w:rsidP="00C11778">
            <w:pPr>
              <w:jc w:val="center"/>
            </w:pPr>
            <w:r>
              <w:t>%</w:t>
            </w:r>
          </w:p>
        </w:tc>
      </w:tr>
      <w:tr w:rsidR="00C11778" w:rsidTr="00C11778">
        <w:tc>
          <w:tcPr>
            <w:tcW w:w="567" w:type="dxa"/>
          </w:tcPr>
          <w:p w:rsidR="00C11778" w:rsidRDefault="00C11778" w:rsidP="00C11778">
            <w:r>
              <w:t>1</w:t>
            </w:r>
          </w:p>
        </w:tc>
        <w:tc>
          <w:tcPr>
            <w:tcW w:w="8220" w:type="dxa"/>
          </w:tcPr>
          <w:p w:rsidR="00C11778" w:rsidRDefault="00C11778" w:rsidP="00C11778">
            <w:r>
              <w:t>Expand capability to provide more diverse responses in criminal and civil matters</w:t>
            </w:r>
          </w:p>
        </w:tc>
        <w:tc>
          <w:tcPr>
            <w:tcW w:w="851" w:type="dxa"/>
          </w:tcPr>
          <w:p w:rsidR="00C11778" w:rsidRDefault="00C11778" w:rsidP="00C11778">
            <w:pPr>
              <w:jc w:val="center"/>
            </w:pPr>
            <w:r>
              <w:t>20%</w:t>
            </w:r>
          </w:p>
        </w:tc>
      </w:tr>
      <w:tr w:rsidR="00C11778" w:rsidTr="00C11778">
        <w:tc>
          <w:tcPr>
            <w:tcW w:w="567" w:type="dxa"/>
          </w:tcPr>
          <w:p w:rsidR="00C11778" w:rsidRDefault="00C11778" w:rsidP="00C11778">
            <w:r>
              <w:t>2</w:t>
            </w:r>
          </w:p>
        </w:tc>
        <w:tc>
          <w:tcPr>
            <w:tcW w:w="8220" w:type="dxa"/>
          </w:tcPr>
          <w:p w:rsidR="00C11778" w:rsidRDefault="00C11778" w:rsidP="00C11778">
            <w:r>
              <w:t>Enhance in-court technology to support more remote-witnessing and digital evidence presentation</w:t>
            </w:r>
          </w:p>
        </w:tc>
        <w:tc>
          <w:tcPr>
            <w:tcW w:w="851" w:type="dxa"/>
          </w:tcPr>
          <w:p w:rsidR="00C11778" w:rsidRDefault="00C11778" w:rsidP="00C11778">
            <w:pPr>
              <w:jc w:val="center"/>
            </w:pPr>
            <w:r>
              <w:t>25%</w:t>
            </w:r>
          </w:p>
        </w:tc>
      </w:tr>
      <w:tr w:rsidR="00C11778" w:rsidTr="00C11778">
        <w:tc>
          <w:tcPr>
            <w:tcW w:w="567" w:type="dxa"/>
          </w:tcPr>
          <w:p w:rsidR="00C11778" w:rsidRDefault="00C11778" w:rsidP="00C11778">
            <w:r>
              <w:t>3</w:t>
            </w:r>
          </w:p>
        </w:tc>
        <w:tc>
          <w:tcPr>
            <w:tcW w:w="8220" w:type="dxa"/>
          </w:tcPr>
          <w:p w:rsidR="00C11778" w:rsidRDefault="00C11778" w:rsidP="00C11778">
            <w:r>
              <w:t xml:space="preserve">Provide additional space and reconfigure existing facilities to support a wider range of justice services </w:t>
            </w:r>
          </w:p>
        </w:tc>
        <w:tc>
          <w:tcPr>
            <w:tcW w:w="851" w:type="dxa"/>
          </w:tcPr>
          <w:p w:rsidR="00C11778" w:rsidRDefault="00C11778" w:rsidP="00C11778">
            <w:pPr>
              <w:jc w:val="center"/>
            </w:pPr>
            <w:r>
              <w:t>40%</w:t>
            </w:r>
          </w:p>
        </w:tc>
      </w:tr>
      <w:tr w:rsidR="00C11778" w:rsidTr="00C11778">
        <w:tc>
          <w:tcPr>
            <w:tcW w:w="567" w:type="dxa"/>
          </w:tcPr>
          <w:p w:rsidR="00C11778" w:rsidRDefault="00C11778" w:rsidP="00C11778">
            <w:r>
              <w:t>4</w:t>
            </w:r>
          </w:p>
        </w:tc>
        <w:tc>
          <w:tcPr>
            <w:tcW w:w="8220" w:type="dxa"/>
          </w:tcPr>
          <w:p w:rsidR="00C11778" w:rsidRDefault="00C11778" w:rsidP="00C11778">
            <w:r>
              <w:t>Improve physical separation  between parties and court activities</w:t>
            </w:r>
          </w:p>
        </w:tc>
        <w:tc>
          <w:tcPr>
            <w:tcW w:w="851" w:type="dxa"/>
          </w:tcPr>
          <w:p w:rsidR="00C11778" w:rsidRDefault="00C11778" w:rsidP="00C11778">
            <w:pPr>
              <w:jc w:val="center"/>
            </w:pPr>
            <w:r>
              <w:t>15%</w:t>
            </w:r>
          </w:p>
        </w:tc>
      </w:tr>
    </w:tbl>
    <w:p w:rsidR="00C11778" w:rsidRDefault="00C11778" w:rsidP="00C11778"/>
    <w:tbl>
      <w:tblPr>
        <w:tblStyle w:val="LightList"/>
        <w:tblW w:w="9637" w:type="dxa"/>
        <w:tblInd w:w="-8" w:type="dxa"/>
        <w:tblLayout w:type="fixed"/>
        <w:tblLook w:val="0620" w:firstRow="1" w:lastRow="0" w:firstColumn="0" w:lastColumn="0" w:noHBand="1" w:noVBand="1"/>
      </w:tblPr>
      <w:tblGrid>
        <w:gridCol w:w="1815"/>
        <w:gridCol w:w="1814"/>
        <w:gridCol w:w="1814"/>
        <w:gridCol w:w="1814"/>
        <w:gridCol w:w="238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C11778" w:rsidRDefault="00C11778" w:rsidP="00C11778">
            <w:pPr>
              <w:jc w:val="center"/>
            </w:pPr>
            <w:r>
              <w:lastRenderedPageBreak/>
              <w:t>Benefit score</w:t>
            </w:r>
          </w:p>
        </w:tc>
        <w:tc>
          <w:tcPr>
            <w:tcW w:w="1814" w:type="dxa"/>
            <w:vAlign w:val="bottom"/>
          </w:tcPr>
          <w:p w:rsidR="00C11778" w:rsidRDefault="00C11778" w:rsidP="00C11778">
            <w:pPr>
              <w:jc w:val="center"/>
            </w:pPr>
            <w:r>
              <w:t>Capital TEI</w:t>
            </w:r>
          </w:p>
        </w:tc>
        <w:tc>
          <w:tcPr>
            <w:tcW w:w="1814" w:type="dxa"/>
            <w:vAlign w:val="bottom"/>
          </w:tcPr>
          <w:p w:rsidR="00C11778" w:rsidRDefault="00C11778" w:rsidP="00C11778">
            <w:pPr>
              <w:jc w:val="center"/>
            </w:pPr>
            <w:r>
              <w:t>Time range</w:t>
            </w:r>
          </w:p>
        </w:tc>
        <w:tc>
          <w:tcPr>
            <w:tcW w:w="1814" w:type="dxa"/>
            <w:vAlign w:val="bottom"/>
          </w:tcPr>
          <w:p w:rsidR="00C11778" w:rsidRDefault="00C11778" w:rsidP="00C11778">
            <w:pPr>
              <w:jc w:val="center"/>
            </w:pPr>
            <w:r>
              <w:t>Ranking</w:t>
            </w:r>
          </w:p>
        </w:tc>
        <w:tc>
          <w:tcPr>
            <w:tcW w:w="2380" w:type="dxa"/>
            <w:vAlign w:val="bottom"/>
          </w:tcPr>
          <w:p w:rsidR="00C11778" w:rsidRDefault="00C11778" w:rsidP="00C11778">
            <w:pPr>
              <w:jc w:val="center"/>
            </w:pPr>
            <w:r>
              <w:t>Options workshop required?</w:t>
            </w:r>
          </w:p>
        </w:tc>
      </w:tr>
      <w:tr w:rsidR="00C11778" w:rsidTr="00C11778">
        <w:tc>
          <w:tcPr>
            <w:tcW w:w="1814" w:type="dxa"/>
          </w:tcPr>
          <w:p w:rsidR="00C11778" w:rsidRDefault="00C11778" w:rsidP="00C11778">
            <w:pPr>
              <w:jc w:val="center"/>
            </w:pPr>
            <w:r>
              <w:t>95.0%</w:t>
            </w:r>
          </w:p>
        </w:tc>
        <w:tc>
          <w:tcPr>
            <w:tcW w:w="1814" w:type="dxa"/>
          </w:tcPr>
          <w:p w:rsidR="00C11778" w:rsidRDefault="00C11778" w:rsidP="00C11778">
            <w:pPr>
              <w:jc w:val="center"/>
            </w:pPr>
            <w:r>
              <w:t>$50 mil - $80 mil</w:t>
            </w:r>
          </w:p>
        </w:tc>
        <w:tc>
          <w:tcPr>
            <w:tcW w:w="1814" w:type="dxa"/>
          </w:tcPr>
          <w:p w:rsidR="00C11778" w:rsidRDefault="00C11778" w:rsidP="00C11778">
            <w:pPr>
              <w:jc w:val="center"/>
            </w:pPr>
            <w:r>
              <w:t>12mm-48mm</w:t>
            </w:r>
          </w:p>
        </w:tc>
        <w:tc>
          <w:tcPr>
            <w:tcW w:w="1814" w:type="dxa"/>
            <w:tcBorders>
              <w:top w:val="single" w:sz="6" w:space="0" w:color="auto"/>
              <w:bottom w:val="single" w:sz="8" w:space="0" w:color="000000" w:themeColor="text1"/>
            </w:tcBorders>
            <w:shd w:val="clear" w:color="auto" w:fill="96B432"/>
          </w:tcPr>
          <w:p w:rsidR="00C11778" w:rsidRDefault="00C11778" w:rsidP="00C11778">
            <w:pPr>
              <w:jc w:val="center"/>
            </w:pPr>
            <w:r>
              <w:t>1</w:t>
            </w:r>
          </w:p>
        </w:tc>
        <w:tc>
          <w:tcPr>
            <w:tcW w:w="2380" w:type="dxa"/>
          </w:tcPr>
          <w:p w:rsidR="00C11778" w:rsidRDefault="00C11778" w:rsidP="00C11778">
            <w:pPr>
              <w:jc w:val="center"/>
            </w:pPr>
            <w:r>
              <w:t>No</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Risks and Uncertainty</w:t>
            </w:r>
          </w:p>
        </w:tc>
      </w:tr>
      <w:tr w:rsidR="00C11778" w:rsidTr="00C11778">
        <w:tc>
          <w:tcPr>
            <w:tcW w:w="567" w:type="dxa"/>
          </w:tcPr>
          <w:p w:rsidR="00C11778" w:rsidRDefault="00C11778" w:rsidP="00C11778">
            <w:r>
              <w:t>1</w:t>
            </w:r>
          </w:p>
        </w:tc>
        <w:tc>
          <w:tcPr>
            <w:tcW w:w="9071" w:type="dxa"/>
          </w:tcPr>
          <w:p w:rsidR="00C11778" w:rsidRDefault="00C11778" w:rsidP="00C11778">
            <w:r>
              <w:t>Suitable land for annex site not available M</w:t>
            </w:r>
          </w:p>
        </w:tc>
      </w:tr>
      <w:tr w:rsidR="00C11778" w:rsidTr="00C11778">
        <w:tc>
          <w:tcPr>
            <w:tcW w:w="567" w:type="dxa"/>
          </w:tcPr>
          <w:p w:rsidR="00C11778" w:rsidRDefault="00C11778" w:rsidP="00C11778">
            <w:r>
              <w:t>2</w:t>
            </w:r>
          </w:p>
        </w:tc>
        <w:tc>
          <w:tcPr>
            <w:tcW w:w="9071" w:type="dxa"/>
          </w:tcPr>
          <w:p w:rsidR="00C11778" w:rsidRDefault="00C11778" w:rsidP="00C11778">
            <w:r>
              <w:t>Demand increases faster than expected (drug-related crime, domestic violence, sexual offences) placing excessive pressures on remodelled courthouse and requiring reconsideration of other options M</w:t>
            </w:r>
          </w:p>
        </w:tc>
      </w:tr>
      <w:tr w:rsidR="00C11778" w:rsidTr="00C11778">
        <w:tc>
          <w:tcPr>
            <w:tcW w:w="567" w:type="dxa"/>
          </w:tcPr>
          <w:p w:rsidR="00C11778" w:rsidRDefault="00C11778" w:rsidP="00C11778">
            <w:r>
              <w:t>3</w:t>
            </w:r>
          </w:p>
        </w:tc>
        <w:tc>
          <w:tcPr>
            <w:tcW w:w="9071" w:type="dxa"/>
          </w:tcPr>
          <w:p w:rsidR="00C11778" w:rsidRDefault="00C11778" w:rsidP="00C11778">
            <w:r>
              <w:t>Insufficient skills and service providers in region to support new range of services M</w:t>
            </w:r>
          </w:p>
        </w:tc>
      </w:tr>
      <w:tr w:rsidR="00C11778" w:rsidTr="00C11778">
        <w:tc>
          <w:tcPr>
            <w:tcW w:w="567" w:type="dxa"/>
          </w:tcPr>
          <w:p w:rsidR="00C11778" w:rsidRDefault="00C11778" w:rsidP="00C11778">
            <w:r>
              <w:t>4</w:t>
            </w:r>
          </w:p>
        </w:tc>
        <w:tc>
          <w:tcPr>
            <w:tcW w:w="9071" w:type="dxa"/>
          </w:tcPr>
          <w:p w:rsidR="00C11778" w:rsidRDefault="00C11778" w:rsidP="00C11778">
            <w:r>
              <w:t>Remodelling is more complex, costly or time-consuming than envisaged H</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proofErr w:type="spellStart"/>
            <w:r>
              <w:t>Disbenefits</w:t>
            </w:r>
            <w:proofErr w:type="spellEnd"/>
          </w:p>
        </w:tc>
      </w:tr>
      <w:tr w:rsidR="00C11778" w:rsidTr="00C11778">
        <w:tc>
          <w:tcPr>
            <w:tcW w:w="567" w:type="dxa"/>
          </w:tcPr>
          <w:p w:rsidR="00C11778" w:rsidRDefault="00C11778" w:rsidP="00C11778">
            <w:r>
              <w:t>1</w:t>
            </w:r>
          </w:p>
        </w:tc>
        <w:tc>
          <w:tcPr>
            <w:tcW w:w="9071" w:type="dxa"/>
          </w:tcPr>
          <w:p w:rsidR="00C11778" w:rsidRDefault="00C11778" w:rsidP="00C11778">
            <w:r>
              <w:t>Substantial disruption during construction will impact short to medium term capacity M</w:t>
            </w:r>
          </w:p>
        </w:tc>
      </w:tr>
      <w:tr w:rsidR="00C11778" w:rsidTr="00C11778">
        <w:tc>
          <w:tcPr>
            <w:tcW w:w="567" w:type="dxa"/>
          </w:tcPr>
          <w:p w:rsidR="00C11778" w:rsidRDefault="00C11778" w:rsidP="00C11778">
            <w:r>
              <w:t>2</w:t>
            </w:r>
          </w:p>
        </w:tc>
        <w:tc>
          <w:tcPr>
            <w:tcW w:w="9071" w:type="dxa"/>
          </w:tcPr>
          <w:p w:rsidR="00C11778" w:rsidRDefault="00C11778" w:rsidP="00C11778">
            <w:r>
              <w:t>Seen to defer consideration of a long-term solution to court service delivery in region M</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Interdependencies</w:t>
            </w:r>
          </w:p>
        </w:tc>
      </w:tr>
      <w:tr w:rsidR="00C11778" w:rsidTr="00C11778">
        <w:tc>
          <w:tcPr>
            <w:tcW w:w="567" w:type="dxa"/>
          </w:tcPr>
          <w:p w:rsidR="00C11778" w:rsidRDefault="00C11778" w:rsidP="00C11778">
            <w:r>
              <w:t>1</w:t>
            </w:r>
          </w:p>
        </w:tc>
        <w:tc>
          <w:tcPr>
            <w:tcW w:w="9071" w:type="dxa"/>
          </w:tcPr>
          <w:p w:rsidR="00C11778" w:rsidRDefault="00C11778" w:rsidP="00C11778">
            <w:r>
              <w:t>Current policy settings regarding jurisdictional boundaries, and legal, policing and sentencing practices are materially unchanged H</w:t>
            </w:r>
          </w:p>
        </w:tc>
      </w:tr>
    </w:tbl>
    <w:p w:rsidR="00C11778" w:rsidRDefault="00C11778" w:rsidP="00C11778"/>
    <w:p w:rsidR="00C11778" w:rsidRDefault="00C11778" w:rsidP="00C11778">
      <w:pPr>
        <w:pStyle w:val="Heading2"/>
      </w:pPr>
      <w:r>
        <w:t>Option 4: Deliver the full range of court services from a purpose-built new facility at Noojee</w:t>
      </w:r>
    </w:p>
    <w:p w:rsidR="00C11778" w:rsidRDefault="00C11778" w:rsidP="00C11778"/>
    <w:p w:rsidR="00C11778" w:rsidRDefault="00C11778" w:rsidP="00C11778">
      <w:r>
        <w:t xml:space="preserve">This option allows for investment in  entirely new integrated court facilities, including new in-court technology, that fully address the current and forecast capacity, service, and safety issues.   </w:t>
      </w:r>
    </w:p>
    <w:tbl>
      <w:tblPr>
        <w:tblStyle w:val="LightList"/>
        <w:tblW w:w="9637" w:type="dxa"/>
        <w:tblInd w:w="-10" w:type="dxa"/>
        <w:tblLayout w:type="fixed"/>
        <w:tblLook w:val="0620" w:firstRow="1" w:lastRow="0" w:firstColumn="0" w:lastColumn="0" w:noHBand="1" w:noVBand="1"/>
      </w:tblPr>
      <w:tblGrid>
        <w:gridCol w:w="567"/>
        <w:gridCol w:w="8219"/>
        <w:gridCol w:w="851"/>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C11778" w:rsidRDefault="00C11778" w:rsidP="00C11778">
            <w:r>
              <w:t>Interventions</w:t>
            </w:r>
          </w:p>
        </w:tc>
        <w:tc>
          <w:tcPr>
            <w:tcW w:w="851" w:type="dxa"/>
          </w:tcPr>
          <w:p w:rsidR="00C11778" w:rsidRDefault="00C11778" w:rsidP="00C11778">
            <w:pPr>
              <w:jc w:val="center"/>
            </w:pPr>
            <w:r>
              <w:t>%</w:t>
            </w:r>
          </w:p>
        </w:tc>
      </w:tr>
      <w:tr w:rsidR="00C11778" w:rsidTr="00C11778">
        <w:tc>
          <w:tcPr>
            <w:tcW w:w="567" w:type="dxa"/>
          </w:tcPr>
          <w:p w:rsidR="00C11778" w:rsidRDefault="00C11778" w:rsidP="00C11778">
            <w:r>
              <w:t>1</w:t>
            </w:r>
          </w:p>
        </w:tc>
        <w:tc>
          <w:tcPr>
            <w:tcW w:w="8220" w:type="dxa"/>
          </w:tcPr>
          <w:p w:rsidR="00C11778" w:rsidRDefault="00C11778" w:rsidP="00C11778">
            <w:r>
              <w:t>Enhance in-court technology to support more remote-witnessing and digital evidence presentation</w:t>
            </w:r>
          </w:p>
        </w:tc>
        <w:tc>
          <w:tcPr>
            <w:tcW w:w="851" w:type="dxa"/>
          </w:tcPr>
          <w:p w:rsidR="00C11778" w:rsidRDefault="00C11778" w:rsidP="00C11778">
            <w:pPr>
              <w:jc w:val="center"/>
            </w:pPr>
            <w:r>
              <w:t>15%</w:t>
            </w:r>
          </w:p>
        </w:tc>
      </w:tr>
      <w:tr w:rsidR="00C11778" w:rsidTr="00C11778">
        <w:tc>
          <w:tcPr>
            <w:tcW w:w="567" w:type="dxa"/>
          </w:tcPr>
          <w:p w:rsidR="00C11778" w:rsidRDefault="00C11778" w:rsidP="00C11778">
            <w:r>
              <w:t>2</w:t>
            </w:r>
          </w:p>
        </w:tc>
        <w:tc>
          <w:tcPr>
            <w:tcW w:w="8220" w:type="dxa"/>
          </w:tcPr>
          <w:p w:rsidR="00C11778" w:rsidRDefault="00C11778" w:rsidP="00C11778">
            <w:r>
              <w:t>Expand capability to provide more diverse responses in criminal and civil matters</w:t>
            </w:r>
          </w:p>
        </w:tc>
        <w:tc>
          <w:tcPr>
            <w:tcW w:w="851" w:type="dxa"/>
          </w:tcPr>
          <w:p w:rsidR="00C11778" w:rsidRDefault="00C11778" w:rsidP="00C11778">
            <w:pPr>
              <w:jc w:val="center"/>
            </w:pPr>
            <w:r>
              <w:t>25%</w:t>
            </w:r>
          </w:p>
        </w:tc>
      </w:tr>
      <w:tr w:rsidR="00C11778" w:rsidTr="00C11778">
        <w:tc>
          <w:tcPr>
            <w:tcW w:w="567" w:type="dxa"/>
          </w:tcPr>
          <w:p w:rsidR="00C11778" w:rsidRDefault="00C11778" w:rsidP="00C11778">
            <w:r>
              <w:t>3</w:t>
            </w:r>
          </w:p>
        </w:tc>
        <w:tc>
          <w:tcPr>
            <w:tcW w:w="8220" w:type="dxa"/>
          </w:tcPr>
          <w:p w:rsidR="00C11778" w:rsidRDefault="00C11778" w:rsidP="00C11778">
            <w:r>
              <w:t>Provide additional space to increase capacity, improve safety and provide full range of court services from Noojee</w:t>
            </w:r>
          </w:p>
        </w:tc>
        <w:tc>
          <w:tcPr>
            <w:tcW w:w="851" w:type="dxa"/>
          </w:tcPr>
          <w:p w:rsidR="00C11778" w:rsidRDefault="00C11778" w:rsidP="00C11778">
            <w:pPr>
              <w:jc w:val="center"/>
            </w:pPr>
            <w:r>
              <w:t>60%</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1815"/>
        <w:gridCol w:w="1814"/>
        <w:gridCol w:w="1814"/>
        <w:gridCol w:w="1814"/>
        <w:gridCol w:w="238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C11778" w:rsidRDefault="00C11778" w:rsidP="00C11778">
            <w:pPr>
              <w:jc w:val="center"/>
            </w:pPr>
            <w:r>
              <w:t>Benefit score</w:t>
            </w:r>
          </w:p>
        </w:tc>
        <w:tc>
          <w:tcPr>
            <w:tcW w:w="1814" w:type="dxa"/>
            <w:vAlign w:val="bottom"/>
          </w:tcPr>
          <w:p w:rsidR="00C11778" w:rsidRDefault="00C11778" w:rsidP="00C11778">
            <w:pPr>
              <w:jc w:val="center"/>
            </w:pPr>
            <w:r>
              <w:t>Capital TEI</w:t>
            </w:r>
          </w:p>
        </w:tc>
        <w:tc>
          <w:tcPr>
            <w:tcW w:w="1814" w:type="dxa"/>
            <w:vAlign w:val="bottom"/>
          </w:tcPr>
          <w:p w:rsidR="00C11778" w:rsidRDefault="00C11778" w:rsidP="00C11778">
            <w:pPr>
              <w:jc w:val="center"/>
            </w:pPr>
            <w:r>
              <w:t>Time range</w:t>
            </w:r>
          </w:p>
        </w:tc>
        <w:tc>
          <w:tcPr>
            <w:tcW w:w="1814" w:type="dxa"/>
            <w:vAlign w:val="bottom"/>
          </w:tcPr>
          <w:p w:rsidR="00C11778" w:rsidRDefault="00C11778" w:rsidP="00C11778">
            <w:pPr>
              <w:jc w:val="center"/>
            </w:pPr>
            <w:r>
              <w:t>Ranking</w:t>
            </w:r>
          </w:p>
        </w:tc>
        <w:tc>
          <w:tcPr>
            <w:tcW w:w="2380" w:type="dxa"/>
            <w:vAlign w:val="bottom"/>
          </w:tcPr>
          <w:p w:rsidR="00C11778" w:rsidRDefault="00C11778" w:rsidP="00C11778">
            <w:pPr>
              <w:jc w:val="center"/>
            </w:pPr>
            <w:r>
              <w:t>Options workshop required?</w:t>
            </w:r>
          </w:p>
        </w:tc>
      </w:tr>
      <w:tr w:rsidR="00C11778" w:rsidTr="00C11778">
        <w:tc>
          <w:tcPr>
            <w:tcW w:w="1814" w:type="dxa"/>
          </w:tcPr>
          <w:p w:rsidR="00C11778" w:rsidRDefault="00C11778" w:rsidP="00C11778">
            <w:pPr>
              <w:jc w:val="center"/>
            </w:pPr>
            <w:r>
              <w:t>100.0%</w:t>
            </w:r>
          </w:p>
        </w:tc>
        <w:tc>
          <w:tcPr>
            <w:tcW w:w="1814" w:type="dxa"/>
          </w:tcPr>
          <w:p w:rsidR="00C11778" w:rsidRDefault="00C11778" w:rsidP="00C11778">
            <w:pPr>
              <w:jc w:val="center"/>
            </w:pPr>
            <w:r>
              <w:t>$300 mil - $350 mil</w:t>
            </w:r>
          </w:p>
        </w:tc>
        <w:tc>
          <w:tcPr>
            <w:tcW w:w="1814" w:type="dxa"/>
          </w:tcPr>
          <w:p w:rsidR="00C11778" w:rsidRDefault="00C11778" w:rsidP="00C11778">
            <w:pPr>
              <w:jc w:val="center"/>
            </w:pPr>
            <w:r>
              <w:t>36mm-72mm</w:t>
            </w:r>
          </w:p>
        </w:tc>
        <w:tc>
          <w:tcPr>
            <w:tcW w:w="1814" w:type="dxa"/>
          </w:tcPr>
          <w:p w:rsidR="00C11778" w:rsidRDefault="00C11778" w:rsidP="00C11778">
            <w:pPr>
              <w:jc w:val="center"/>
            </w:pPr>
          </w:p>
        </w:tc>
        <w:tc>
          <w:tcPr>
            <w:tcW w:w="2380" w:type="dxa"/>
          </w:tcPr>
          <w:p w:rsidR="00C11778" w:rsidRDefault="00C11778" w:rsidP="00C11778">
            <w:pPr>
              <w:jc w:val="center"/>
            </w:pPr>
            <w:r>
              <w:t>Yes</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Risks and Uncertainty</w:t>
            </w:r>
          </w:p>
        </w:tc>
      </w:tr>
      <w:tr w:rsidR="00C11778" w:rsidTr="00C11778">
        <w:tc>
          <w:tcPr>
            <w:tcW w:w="567" w:type="dxa"/>
          </w:tcPr>
          <w:p w:rsidR="00C11778" w:rsidRDefault="00C11778" w:rsidP="00C11778">
            <w:r>
              <w:t>1</w:t>
            </w:r>
          </w:p>
        </w:tc>
        <w:tc>
          <w:tcPr>
            <w:tcW w:w="9071" w:type="dxa"/>
          </w:tcPr>
          <w:p w:rsidR="00C11778" w:rsidRDefault="00C11778" w:rsidP="00C11778">
            <w:r>
              <w:t>A suitable site is not available M</w:t>
            </w:r>
          </w:p>
        </w:tc>
      </w:tr>
      <w:tr w:rsidR="00C11778" w:rsidTr="00C11778">
        <w:tc>
          <w:tcPr>
            <w:tcW w:w="567" w:type="dxa"/>
          </w:tcPr>
          <w:p w:rsidR="00C11778" w:rsidRDefault="00C11778" w:rsidP="00C11778">
            <w:r>
              <w:lastRenderedPageBreak/>
              <w:t>2</w:t>
            </w:r>
          </w:p>
        </w:tc>
        <w:tc>
          <w:tcPr>
            <w:tcW w:w="9071" w:type="dxa"/>
          </w:tcPr>
          <w:p w:rsidR="00C11778" w:rsidRDefault="00C11778" w:rsidP="00C11778">
            <w:r>
              <w:t>Long-term demand does not grow in accordance with current forecasts leading to either renewed pressure on capacity or excess capacity H</w:t>
            </w:r>
          </w:p>
        </w:tc>
      </w:tr>
      <w:tr w:rsidR="00C11778" w:rsidTr="00C11778">
        <w:tc>
          <w:tcPr>
            <w:tcW w:w="567" w:type="dxa"/>
          </w:tcPr>
          <w:p w:rsidR="00C11778" w:rsidRDefault="00C11778" w:rsidP="00C11778">
            <w:r>
              <w:t>3</w:t>
            </w:r>
          </w:p>
        </w:tc>
        <w:tc>
          <w:tcPr>
            <w:tcW w:w="9071" w:type="dxa"/>
          </w:tcPr>
          <w:p w:rsidR="00C11778" w:rsidRDefault="00C11778" w:rsidP="00C11778">
            <w:r>
              <w:t>Lack of interest from local government or private market to buy or take over responsibilities for old courthouse  H</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proofErr w:type="spellStart"/>
            <w:r>
              <w:t>Disbenefits</w:t>
            </w:r>
            <w:proofErr w:type="spellEnd"/>
          </w:p>
        </w:tc>
      </w:tr>
      <w:tr w:rsidR="00C11778" w:rsidTr="00C11778">
        <w:tc>
          <w:tcPr>
            <w:tcW w:w="567" w:type="dxa"/>
          </w:tcPr>
          <w:p w:rsidR="00C11778" w:rsidRDefault="00C11778" w:rsidP="00C11778">
            <w:r>
              <w:t>1</w:t>
            </w:r>
          </w:p>
        </w:tc>
        <w:tc>
          <w:tcPr>
            <w:tcW w:w="9071" w:type="dxa"/>
          </w:tcPr>
          <w:p w:rsidR="00C11778" w:rsidRDefault="00C11778" w:rsidP="00C11778">
            <w:r>
              <w:t>Public recognizes little value for the investment because of the  long delivery time M</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Interdependencies</w:t>
            </w:r>
          </w:p>
        </w:tc>
      </w:tr>
      <w:tr w:rsidR="00C11778" w:rsidTr="00C11778">
        <w:tc>
          <w:tcPr>
            <w:tcW w:w="567" w:type="dxa"/>
          </w:tcPr>
          <w:p w:rsidR="00C11778" w:rsidRDefault="00C11778" w:rsidP="00C11778">
            <w:r>
              <w:t>1</w:t>
            </w:r>
          </w:p>
        </w:tc>
        <w:tc>
          <w:tcPr>
            <w:tcW w:w="9071" w:type="dxa"/>
          </w:tcPr>
          <w:p w:rsidR="00C11778" w:rsidRDefault="00C11778" w:rsidP="00C11778">
            <w:r>
              <w:t>Current policy settings regarding jurisdictional boundaries, and legal, policing and sentencing practices are materially unchanged H</w:t>
            </w:r>
          </w:p>
        </w:tc>
      </w:tr>
    </w:tbl>
    <w:p w:rsidR="00C11778" w:rsidRDefault="00C11778" w:rsidP="00C11778"/>
    <w:p w:rsidR="00C11778" w:rsidRDefault="00C11778" w:rsidP="00C11778">
      <w:pPr>
        <w:pStyle w:val="Heading2"/>
      </w:pPr>
      <w:r>
        <w:t>Option 5: Adopt a regional approach to delivery of court services</w:t>
      </w:r>
    </w:p>
    <w:p w:rsidR="00C11778" w:rsidRDefault="00C11778" w:rsidP="00C11778">
      <w:r>
        <w:t>Builds capacity at neighbouring regional courts and develops a centre of excellence model, providing some economies of scale and operating efficiencies. Noojee becomes a specialist centre for therapeutic justice and ADR services, serving wider geographical area than currently.</w:t>
      </w:r>
    </w:p>
    <w:tbl>
      <w:tblPr>
        <w:tblStyle w:val="LightList"/>
        <w:tblW w:w="9637" w:type="dxa"/>
        <w:tblInd w:w="-10" w:type="dxa"/>
        <w:tblLayout w:type="fixed"/>
        <w:tblLook w:val="0620" w:firstRow="1" w:lastRow="0" w:firstColumn="0" w:lastColumn="0" w:noHBand="1" w:noVBand="1"/>
      </w:tblPr>
      <w:tblGrid>
        <w:gridCol w:w="567"/>
        <w:gridCol w:w="8219"/>
        <w:gridCol w:w="851"/>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8787" w:type="dxa"/>
            <w:gridSpan w:val="2"/>
          </w:tcPr>
          <w:p w:rsidR="00C11778" w:rsidRDefault="00C11778" w:rsidP="00C11778">
            <w:r>
              <w:t>Interventions</w:t>
            </w:r>
          </w:p>
        </w:tc>
        <w:tc>
          <w:tcPr>
            <w:tcW w:w="851" w:type="dxa"/>
          </w:tcPr>
          <w:p w:rsidR="00C11778" w:rsidRDefault="00C11778" w:rsidP="00C11778">
            <w:pPr>
              <w:jc w:val="center"/>
            </w:pPr>
            <w:r>
              <w:t>%</w:t>
            </w:r>
          </w:p>
        </w:tc>
      </w:tr>
      <w:tr w:rsidR="00C11778" w:rsidTr="00C11778">
        <w:tc>
          <w:tcPr>
            <w:tcW w:w="567" w:type="dxa"/>
          </w:tcPr>
          <w:p w:rsidR="00C11778" w:rsidRDefault="00C11778" w:rsidP="00C11778">
            <w:r>
              <w:t>1</w:t>
            </w:r>
          </w:p>
        </w:tc>
        <w:tc>
          <w:tcPr>
            <w:tcW w:w="8220" w:type="dxa"/>
          </w:tcPr>
          <w:p w:rsidR="00C11778" w:rsidRDefault="00C11778" w:rsidP="00C11778">
            <w:r>
              <w:t>Reallocate majority of Noojee case load to other regional courts</w:t>
            </w:r>
          </w:p>
        </w:tc>
        <w:tc>
          <w:tcPr>
            <w:tcW w:w="851" w:type="dxa"/>
          </w:tcPr>
          <w:p w:rsidR="00C11778" w:rsidRDefault="00C11778" w:rsidP="00C11778">
            <w:pPr>
              <w:jc w:val="center"/>
            </w:pPr>
            <w:r>
              <w:t>20%</w:t>
            </w:r>
          </w:p>
        </w:tc>
      </w:tr>
      <w:tr w:rsidR="00C11778" w:rsidTr="00C11778">
        <w:tc>
          <w:tcPr>
            <w:tcW w:w="567" w:type="dxa"/>
          </w:tcPr>
          <w:p w:rsidR="00C11778" w:rsidRDefault="00C11778" w:rsidP="00C11778">
            <w:r>
              <w:t>2</w:t>
            </w:r>
          </w:p>
        </w:tc>
        <w:tc>
          <w:tcPr>
            <w:tcW w:w="8220" w:type="dxa"/>
          </w:tcPr>
          <w:p w:rsidR="00C11778" w:rsidRDefault="00C11778" w:rsidP="00C11778">
            <w:r>
              <w:t>Expand court capacity, technology  and services at other courts in the region</w:t>
            </w:r>
          </w:p>
        </w:tc>
        <w:tc>
          <w:tcPr>
            <w:tcW w:w="851" w:type="dxa"/>
          </w:tcPr>
          <w:p w:rsidR="00C11778" w:rsidRDefault="00C11778" w:rsidP="00C11778">
            <w:pPr>
              <w:jc w:val="center"/>
            </w:pPr>
            <w:r>
              <w:t>50%</w:t>
            </w:r>
          </w:p>
        </w:tc>
      </w:tr>
      <w:tr w:rsidR="00C11778" w:rsidTr="00C11778">
        <w:tc>
          <w:tcPr>
            <w:tcW w:w="567" w:type="dxa"/>
          </w:tcPr>
          <w:p w:rsidR="00C11778" w:rsidRDefault="00C11778" w:rsidP="00C11778">
            <w:r>
              <w:t>3</w:t>
            </w:r>
          </w:p>
        </w:tc>
        <w:tc>
          <w:tcPr>
            <w:tcW w:w="8220" w:type="dxa"/>
          </w:tcPr>
          <w:p w:rsidR="00C11778" w:rsidRDefault="00C11778" w:rsidP="00C11778">
            <w:r>
              <w:t xml:space="preserve">Upgrade capacity at </w:t>
            </w:r>
            <w:proofErr w:type="spellStart"/>
            <w:r>
              <w:t>Nooje</w:t>
            </w:r>
            <w:proofErr w:type="spellEnd"/>
            <w:r>
              <w:t xml:space="preserve"> to develop specialist centre for ADR and therapeutic justice services</w:t>
            </w:r>
          </w:p>
        </w:tc>
        <w:tc>
          <w:tcPr>
            <w:tcW w:w="851" w:type="dxa"/>
          </w:tcPr>
          <w:p w:rsidR="00C11778" w:rsidRDefault="00C11778" w:rsidP="00C11778">
            <w:pPr>
              <w:jc w:val="center"/>
            </w:pPr>
            <w:r>
              <w:t>30%</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1815"/>
        <w:gridCol w:w="1814"/>
        <w:gridCol w:w="1814"/>
        <w:gridCol w:w="1814"/>
        <w:gridCol w:w="238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1814" w:type="dxa"/>
            <w:vAlign w:val="bottom"/>
          </w:tcPr>
          <w:p w:rsidR="00C11778" w:rsidRDefault="00C11778" w:rsidP="00C11778">
            <w:pPr>
              <w:jc w:val="center"/>
            </w:pPr>
            <w:r>
              <w:t>Benefit score</w:t>
            </w:r>
          </w:p>
        </w:tc>
        <w:tc>
          <w:tcPr>
            <w:tcW w:w="1814" w:type="dxa"/>
            <w:vAlign w:val="bottom"/>
          </w:tcPr>
          <w:p w:rsidR="00C11778" w:rsidRDefault="00C11778" w:rsidP="00C11778">
            <w:pPr>
              <w:jc w:val="center"/>
            </w:pPr>
            <w:r>
              <w:t>Capital TEI</w:t>
            </w:r>
          </w:p>
        </w:tc>
        <w:tc>
          <w:tcPr>
            <w:tcW w:w="1814" w:type="dxa"/>
            <w:vAlign w:val="bottom"/>
          </w:tcPr>
          <w:p w:rsidR="00C11778" w:rsidRDefault="00C11778" w:rsidP="00C11778">
            <w:pPr>
              <w:jc w:val="center"/>
            </w:pPr>
            <w:r>
              <w:t>Time range</w:t>
            </w:r>
          </w:p>
        </w:tc>
        <w:tc>
          <w:tcPr>
            <w:tcW w:w="1814" w:type="dxa"/>
            <w:vAlign w:val="bottom"/>
          </w:tcPr>
          <w:p w:rsidR="00C11778" w:rsidRDefault="00C11778" w:rsidP="00C11778">
            <w:pPr>
              <w:jc w:val="center"/>
            </w:pPr>
            <w:r>
              <w:t>Ranking</w:t>
            </w:r>
          </w:p>
        </w:tc>
        <w:tc>
          <w:tcPr>
            <w:tcW w:w="2380" w:type="dxa"/>
            <w:vAlign w:val="bottom"/>
          </w:tcPr>
          <w:p w:rsidR="00C11778" w:rsidRDefault="00C11778" w:rsidP="00C11778">
            <w:pPr>
              <w:jc w:val="center"/>
            </w:pPr>
            <w:r>
              <w:t>Options workshop required?</w:t>
            </w:r>
          </w:p>
        </w:tc>
      </w:tr>
      <w:tr w:rsidR="00C11778" w:rsidTr="00C11778">
        <w:tc>
          <w:tcPr>
            <w:tcW w:w="1814" w:type="dxa"/>
          </w:tcPr>
          <w:p w:rsidR="00C11778" w:rsidRDefault="00C11778" w:rsidP="00C11778">
            <w:pPr>
              <w:jc w:val="center"/>
            </w:pPr>
            <w:r>
              <w:t>92.5%</w:t>
            </w:r>
          </w:p>
        </w:tc>
        <w:tc>
          <w:tcPr>
            <w:tcW w:w="1814" w:type="dxa"/>
          </w:tcPr>
          <w:p w:rsidR="00C11778" w:rsidRDefault="00C11778" w:rsidP="00C11778">
            <w:pPr>
              <w:jc w:val="center"/>
            </w:pPr>
            <w:r>
              <w:t>$100 mil - $120 mil</w:t>
            </w:r>
          </w:p>
        </w:tc>
        <w:tc>
          <w:tcPr>
            <w:tcW w:w="1814" w:type="dxa"/>
          </w:tcPr>
          <w:p w:rsidR="00C11778" w:rsidRDefault="00C11778" w:rsidP="00C11778">
            <w:pPr>
              <w:jc w:val="center"/>
            </w:pPr>
            <w:r>
              <w:t>18mm-48mm</w:t>
            </w:r>
          </w:p>
        </w:tc>
        <w:tc>
          <w:tcPr>
            <w:tcW w:w="1814" w:type="dxa"/>
          </w:tcPr>
          <w:p w:rsidR="00C11778" w:rsidRDefault="00C11778" w:rsidP="00C11778">
            <w:pPr>
              <w:jc w:val="center"/>
            </w:pPr>
            <w:r>
              <w:t>2</w:t>
            </w:r>
          </w:p>
        </w:tc>
        <w:tc>
          <w:tcPr>
            <w:tcW w:w="2380" w:type="dxa"/>
          </w:tcPr>
          <w:p w:rsidR="00C11778" w:rsidRDefault="00C11778" w:rsidP="00C11778">
            <w:pPr>
              <w:jc w:val="center"/>
            </w:pPr>
            <w:r>
              <w:t>Yes</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t>Risks and Uncertainty</w:t>
            </w:r>
          </w:p>
        </w:tc>
      </w:tr>
      <w:tr w:rsidR="00C11778" w:rsidTr="00C11778">
        <w:tc>
          <w:tcPr>
            <w:tcW w:w="567" w:type="dxa"/>
          </w:tcPr>
          <w:p w:rsidR="00C11778" w:rsidRDefault="00C11778" w:rsidP="00C11778">
            <w:r>
              <w:t>1</w:t>
            </w:r>
          </w:p>
        </w:tc>
        <w:tc>
          <w:tcPr>
            <w:tcW w:w="9071" w:type="dxa"/>
          </w:tcPr>
          <w:p w:rsidR="00C11778" w:rsidRDefault="00C11778" w:rsidP="00C11778">
            <w:r>
              <w:t>Delivery of new services across wider region is more complex and costly than envisaged H</w:t>
            </w:r>
          </w:p>
        </w:tc>
      </w:tr>
      <w:tr w:rsidR="00C11778" w:rsidTr="00C11778">
        <w:tc>
          <w:tcPr>
            <w:tcW w:w="567" w:type="dxa"/>
          </w:tcPr>
          <w:p w:rsidR="00C11778" w:rsidRDefault="00C11778" w:rsidP="00C11778">
            <w:r>
              <w:t>2</w:t>
            </w:r>
          </w:p>
        </w:tc>
        <w:tc>
          <w:tcPr>
            <w:tcW w:w="9071" w:type="dxa"/>
          </w:tcPr>
          <w:p w:rsidR="00C11778" w:rsidRDefault="00C11778" w:rsidP="00C11778">
            <w:r>
              <w:t>Centres of excellence approach insufficiently flexible to respond to changing  volumes and patterns of demand M</w:t>
            </w:r>
          </w:p>
        </w:tc>
      </w:tr>
      <w:tr w:rsidR="00C11778" w:rsidTr="00C11778">
        <w:tc>
          <w:tcPr>
            <w:tcW w:w="567" w:type="dxa"/>
          </w:tcPr>
          <w:p w:rsidR="00C11778" w:rsidRDefault="00C11778" w:rsidP="00C11778">
            <w:r>
              <w:t>3</w:t>
            </w:r>
          </w:p>
        </w:tc>
        <w:tc>
          <w:tcPr>
            <w:tcW w:w="9071" w:type="dxa"/>
          </w:tcPr>
          <w:p w:rsidR="00C11778" w:rsidRDefault="00C11778" w:rsidP="00C11778">
            <w:r>
              <w:t xml:space="preserve">Difficulty securing appropriately qualified and skilled staff to support </w:t>
            </w:r>
            <w:proofErr w:type="spellStart"/>
            <w:r>
              <w:t>speciliased</w:t>
            </w:r>
            <w:proofErr w:type="spellEnd"/>
            <w:r>
              <w:t xml:space="preserve"> services in each region M</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proofErr w:type="spellStart"/>
            <w:r>
              <w:t>Disbenefits</w:t>
            </w:r>
            <w:proofErr w:type="spellEnd"/>
          </w:p>
        </w:tc>
      </w:tr>
      <w:tr w:rsidR="00C11778" w:rsidTr="00C11778">
        <w:tc>
          <w:tcPr>
            <w:tcW w:w="567" w:type="dxa"/>
          </w:tcPr>
          <w:p w:rsidR="00C11778" w:rsidRDefault="00C11778" w:rsidP="00C11778">
            <w:r>
              <w:t>1</w:t>
            </w:r>
          </w:p>
        </w:tc>
        <w:tc>
          <w:tcPr>
            <w:tcW w:w="9071" w:type="dxa"/>
          </w:tcPr>
          <w:p w:rsidR="00C11778" w:rsidRDefault="00C11778" w:rsidP="00C11778">
            <w:r>
              <w:t>Court users face longer travel times to court H</w:t>
            </w:r>
          </w:p>
        </w:tc>
      </w:tr>
      <w:tr w:rsidR="00C11778" w:rsidTr="00C11778">
        <w:tc>
          <w:tcPr>
            <w:tcW w:w="567" w:type="dxa"/>
          </w:tcPr>
          <w:p w:rsidR="00C11778" w:rsidRDefault="00C11778" w:rsidP="00C11778">
            <w:r>
              <w:t>2</w:t>
            </w:r>
          </w:p>
        </w:tc>
        <w:tc>
          <w:tcPr>
            <w:tcW w:w="9071" w:type="dxa"/>
          </w:tcPr>
          <w:p w:rsidR="00C11778" w:rsidRDefault="00C11778" w:rsidP="00C11778">
            <w:r>
              <w:t>Multiple communities perceive loss of service and resist change  H</w:t>
            </w:r>
          </w:p>
        </w:tc>
      </w:tr>
    </w:tbl>
    <w:p w:rsidR="00C11778" w:rsidRDefault="00C11778" w:rsidP="00C11778"/>
    <w:tbl>
      <w:tblPr>
        <w:tblStyle w:val="LightList"/>
        <w:tblW w:w="9637" w:type="dxa"/>
        <w:tblInd w:w="-10" w:type="dxa"/>
        <w:tblLayout w:type="fixed"/>
        <w:tblLook w:val="0620" w:firstRow="1" w:lastRow="0" w:firstColumn="0" w:lastColumn="0" w:noHBand="1" w:noVBand="1"/>
      </w:tblPr>
      <w:tblGrid>
        <w:gridCol w:w="567"/>
        <w:gridCol w:w="9070"/>
      </w:tblGrid>
      <w:tr w:rsidR="00C11778" w:rsidTr="00C11778">
        <w:trPr>
          <w:cnfStyle w:val="100000000000" w:firstRow="1" w:lastRow="0" w:firstColumn="0" w:lastColumn="0" w:oddVBand="0" w:evenVBand="0" w:oddHBand="0" w:evenHBand="0" w:firstRowFirstColumn="0" w:firstRowLastColumn="0" w:lastRowFirstColumn="0" w:lastRowLastColumn="0"/>
          <w:tblHeader/>
        </w:trPr>
        <w:tc>
          <w:tcPr>
            <w:tcW w:w="9638" w:type="dxa"/>
            <w:gridSpan w:val="2"/>
          </w:tcPr>
          <w:p w:rsidR="00C11778" w:rsidRDefault="00C11778" w:rsidP="00C11778">
            <w:r>
              <w:lastRenderedPageBreak/>
              <w:t>Interdependencies</w:t>
            </w:r>
          </w:p>
        </w:tc>
      </w:tr>
      <w:tr w:rsidR="00C11778" w:rsidTr="00C11778">
        <w:tc>
          <w:tcPr>
            <w:tcW w:w="567" w:type="dxa"/>
          </w:tcPr>
          <w:p w:rsidR="00C11778" w:rsidRDefault="00C11778" w:rsidP="00C11778">
            <w:r>
              <w:t>1</w:t>
            </w:r>
          </w:p>
        </w:tc>
        <w:tc>
          <w:tcPr>
            <w:tcW w:w="9071" w:type="dxa"/>
          </w:tcPr>
          <w:p w:rsidR="00C11778" w:rsidRDefault="00C11778" w:rsidP="00C11778">
            <w:r>
              <w:t>Strong leadership from key stakeholders across multiple jurisdictions, LGAs, and communities H</w:t>
            </w:r>
          </w:p>
        </w:tc>
      </w:tr>
      <w:tr w:rsidR="00C11778" w:rsidTr="00C11778">
        <w:tc>
          <w:tcPr>
            <w:tcW w:w="567" w:type="dxa"/>
          </w:tcPr>
          <w:p w:rsidR="00C11778" w:rsidRDefault="00C11778" w:rsidP="00C11778">
            <w:r>
              <w:t>2</w:t>
            </w:r>
          </w:p>
        </w:tc>
        <w:tc>
          <w:tcPr>
            <w:tcW w:w="9071" w:type="dxa"/>
          </w:tcPr>
          <w:p w:rsidR="00C11778" w:rsidRDefault="00C11778" w:rsidP="00C11778">
            <w:r>
              <w:t>Adequate investment in supporting digital  and online services M</w:t>
            </w:r>
          </w:p>
        </w:tc>
      </w:tr>
    </w:tbl>
    <w:p w:rsidR="00C11778" w:rsidRDefault="00C11778" w:rsidP="00C11778"/>
    <w:p w:rsidR="00C11778" w:rsidRDefault="00C11778" w:rsidP="00C11778">
      <w:pPr>
        <w:pStyle w:val="Heading1"/>
        <w:pBdr>
          <w:top w:val="single" w:sz="12" w:space="1" w:color="2F5496" w:themeColor="accent1" w:themeShade="BF"/>
        </w:pBdr>
      </w:pPr>
      <w:r>
        <w:t>Overall assessment</w:t>
      </w:r>
    </w:p>
    <w:p w:rsidR="00C11778" w:rsidRDefault="00C11778" w:rsidP="00C11778">
      <w:r>
        <w:t xml:space="preserve">Option 3 is the preferred option. It delivers well on the benefits, with a manageable risk profile and significantly lower costs than the other two high benefit delivery options - Options 4 and 5. Option 3 does continue to invest in an existing asset which has inherent limitations and is likely not to be a long-term solution for the region but it represents a cost-effective and pragmatic </w:t>
      </w:r>
      <w:r w:rsidR="00CC581A">
        <w:t>response</w:t>
      </w:r>
      <w:r>
        <w:t xml:space="preserve"> to current issues whilst other more innovative options of service delivery can be researched and developed. Option 4, as a new-build option, is an entirely asset-based response to the problems at Noojee which locks in a court capacity for the region which has a high risk of not matching future demand. Option 5 is a regional approach which is innovative and demonstrates value for money. It would, however, give rise to community and political concern and would  demand strong leadership and stakeholder management, and  highly effective support from digital services, for full benefit delivery. Option 2 has low benefit delivery but represents an innovative non-asset based approach which could generate better community outcomes in the longer term, although with risks around the nature and timing of benefit delivery. It would need strong stakeholder support and is highly dependent upon effective co-operation between agencies. Option 1 confirms the significant risks and </w:t>
      </w:r>
      <w:proofErr w:type="spellStart"/>
      <w:r>
        <w:t>disbenefits</w:t>
      </w:r>
      <w:proofErr w:type="spellEnd"/>
      <w:r>
        <w:t xml:space="preserve"> of continuing with current situation at Noojee and is not recommended.</w:t>
      </w:r>
    </w:p>
    <w:p w:rsidR="00C11778" w:rsidRDefault="00C11778" w:rsidP="00C11778">
      <w:pPr>
        <w:pStyle w:val="Heading1"/>
      </w:pPr>
      <w:r>
        <w:t>Recommendation</w:t>
      </w:r>
    </w:p>
    <w:p w:rsidR="00C11778" w:rsidRDefault="00C11778" w:rsidP="00C11778">
      <w:r>
        <w:t>That Option 3 is further developed to confirm that the scale of benefit delivery is accurate and that the cost, risk and timeframe estimates can be validated. Options 2 and 5 should also be analysed  in more detail as potential alternatives to Option 3, if the assumptions behind Option 3 cannot be validated.</w:t>
      </w:r>
    </w:p>
    <w:bookmarkEnd w:id="0"/>
    <w:p w:rsidR="00C11778" w:rsidRDefault="00C11778" w:rsidP="00C11778"/>
    <w:sectPr w:rsidR="00C11778" w:rsidSect="00C11778">
      <w:footerReference w:type="default" r:id="rId7"/>
      <w:foot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5A" w:rsidRDefault="009A1F5A" w:rsidP="00C11778">
      <w:pPr>
        <w:spacing w:after="0" w:line="240" w:lineRule="auto"/>
      </w:pPr>
      <w:r>
        <w:separator/>
      </w:r>
    </w:p>
  </w:endnote>
  <w:endnote w:type="continuationSeparator" w:id="0">
    <w:p w:rsidR="009A1F5A" w:rsidRDefault="009A1F5A" w:rsidP="00C1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78" w:rsidRPr="00C11778" w:rsidRDefault="00C11778" w:rsidP="00C11778">
    <w:pPr>
      <w:pStyle w:val="Footer"/>
    </w:pPr>
    <w:r>
      <w:tab/>
      <w:t xml:space="preserve">Page </w:t>
    </w:r>
    <w:r>
      <w:fldChar w:fldCharType="begin"/>
    </w:r>
    <w:r>
      <w:instrText xml:space="preserve"> PAGE  \* MERGEFORMAT </w:instrText>
    </w:r>
    <w:r>
      <w:fldChar w:fldCharType="separate"/>
    </w:r>
    <w:r w:rsidR="00457D3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78" w:rsidRPr="00C11778" w:rsidRDefault="00C11778" w:rsidP="00C11778">
    <w:pPr>
      <w:pStyle w:val="Footer"/>
    </w:pPr>
    <w:r>
      <w:t>Created 01 May 2017, 17:28:30</w:t>
    </w:r>
    <w:r>
      <w:tab/>
      <w:t xml:space="preserve">Page </w:t>
    </w:r>
    <w:r>
      <w:fldChar w:fldCharType="begin"/>
    </w:r>
    <w:r>
      <w:instrText xml:space="preserve"> PAGE  \* MERGEFORMAT </w:instrText>
    </w:r>
    <w:r>
      <w:fldChar w:fldCharType="separate"/>
    </w:r>
    <w:r w:rsidR="00457D3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5A" w:rsidRDefault="009A1F5A" w:rsidP="00C11778">
      <w:pPr>
        <w:spacing w:after="0" w:line="240" w:lineRule="auto"/>
      </w:pPr>
      <w:r>
        <w:separator/>
      </w:r>
    </w:p>
  </w:footnote>
  <w:footnote w:type="continuationSeparator" w:id="0">
    <w:p w:rsidR="009A1F5A" w:rsidRDefault="009A1F5A" w:rsidP="00C11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78"/>
    <w:rsid w:val="001C2775"/>
    <w:rsid w:val="002F49F2"/>
    <w:rsid w:val="00457D32"/>
    <w:rsid w:val="00714490"/>
    <w:rsid w:val="00790A4D"/>
    <w:rsid w:val="009A1F5A"/>
    <w:rsid w:val="009D78EF"/>
    <w:rsid w:val="00C11778"/>
    <w:rsid w:val="00CC581A"/>
    <w:rsid w:val="00D22533"/>
    <w:rsid w:val="00D857F6"/>
    <w:rsid w:val="00FA1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77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778"/>
    <w:pPr>
      <w:keepNext/>
      <w:keepLines/>
      <w:pBdr>
        <w:top w:val="single" w:sz="12" w:space="1" w:color="2F5496" w:themeColor="accent1" w:themeShade="BF"/>
      </w:pBdr>
      <w:spacing w:before="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7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177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11778"/>
    <w:pPr>
      <w:tabs>
        <w:tab w:val="right" w:pos="9638"/>
      </w:tabs>
      <w:spacing w:after="0" w:line="240" w:lineRule="auto"/>
    </w:pPr>
    <w:rPr>
      <w:sz w:val="18"/>
    </w:rPr>
  </w:style>
  <w:style w:type="character" w:customStyle="1" w:styleId="FooterChar">
    <w:name w:val="Footer Char"/>
    <w:basedOn w:val="DefaultParagraphFont"/>
    <w:link w:val="Footer"/>
    <w:uiPriority w:val="99"/>
    <w:rsid w:val="00C11778"/>
    <w:rPr>
      <w:sz w:val="18"/>
    </w:rPr>
  </w:style>
  <w:style w:type="table" w:styleId="LightList">
    <w:name w:val="Light List"/>
    <w:basedOn w:val="TableNormal"/>
    <w:uiPriority w:val="61"/>
    <w:unhideWhenUsed/>
    <w:rsid w:val="00C1177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C0C0C0"/>
      </w:tblBorders>
    </w:tblPr>
    <w:trPr>
      <w:cantSplit/>
    </w:trPr>
    <w:tcPr>
      <w:shd w:val="clear" w:color="auto" w:fill="auto"/>
    </w:tcPr>
    <w:tblStylePr w:type="firstRow">
      <w:pPr>
        <w:keepNext/>
        <w:spacing w:before="40" w:after="40"/>
      </w:pPr>
      <w:rPr>
        <w:b/>
        <w:bCs/>
        <w:color w:val="000000"/>
      </w:rPr>
      <w:tblPr/>
      <w:tcPr>
        <w:tcBorders>
          <w:top w:val="single" w:sz="6" w:space="0" w:color="auto"/>
          <w:left w:val="single" w:sz="6" w:space="0" w:color="auto"/>
          <w:bottom w:val="single" w:sz="6" w:space="0" w:color="auto"/>
          <w:right w:val="single" w:sz="6" w:space="0" w:color="auto"/>
        </w:tcBorders>
        <w:shd w:val="clear" w:color="auto" w:fill="CCCCCC"/>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C11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78"/>
  </w:style>
  <w:style w:type="character" w:customStyle="1" w:styleId="Heading3Char">
    <w:name w:val="Heading 3 Char"/>
    <w:basedOn w:val="DefaultParagraphFont"/>
    <w:link w:val="Heading3"/>
    <w:uiPriority w:val="9"/>
    <w:rsid w:val="00C11778"/>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177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778"/>
    <w:pPr>
      <w:keepNext/>
      <w:keepLines/>
      <w:pBdr>
        <w:top w:val="single" w:sz="12" w:space="1" w:color="2F5496" w:themeColor="accent1" w:themeShade="BF"/>
      </w:pBdr>
      <w:spacing w:before="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7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177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11778"/>
    <w:pPr>
      <w:tabs>
        <w:tab w:val="right" w:pos="9638"/>
      </w:tabs>
      <w:spacing w:after="0" w:line="240" w:lineRule="auto"/>
    </w:pPr>
    <w:rPr>
      <w:sz w:val="18"/>
    </w:rPr>
  </w:style>
  <w:style w:type="character" w:customStyle="1" w:styleId="FooterChar">
    <w:name w:val="Footer Char"/>
    <w:basedOn w:val="DefaultParagraphFont"/>
    <w:link w:val="Footer"/>
    <w:uiPriority w:val="99"/>
    <w:rsid w:val="00C11778"/>
    <w:rPr>
      <w:sz w:val="18"/>
    </w:rPr>
  </w:style>
  <w:style w:type="table" w:styleId="LightList">
    <w:name w:val="Light List"/>
    <w:basedOn w:val="TableNormal"/>
    <w:uiPriority w:val="61"/>
    <w:unhideWhenUsed/>
    <w:rsid w:val="00C1177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C0C0C0"/>
      </w:tblBorders>
    </w:tblPr>
    <w:trPr>
      <w:cantSplit/>
    </w:trPr>
    <w:tcPr>
      <w:shd w:val="clear" w:color="auto" w:fill="auto"/>
    </w:tcPr>
    <w:tblStylePr w:type="firstRow">
      <w:pPr>
        <w:keepNext/>
        <w:spacing w:before="40" w:after="40"/>
      </w:pPr>
      <w:rPr>
        <w:b/>
        <w:bCs/>
        <w:color w:val="000000"/>
      </w:rPr>
      <w:tblPr/>
      <w:tcPr>
        <w:tcBorders>
          <w:top w:val="single" w:sz="6" w:space="0" w:color="auto"/>
          <w:left w:val="single" w:sz="6" w:space="0" w:color="auto"/>
          <w:bottom w:val="single" w:sz="6" w:space="0" w:color="auto"/>
          <w:right w:val="single" w:sz="6" w:space="0" w:color="auto"/>
        </w:tcBorders>
        <w:shd w:val="clear" w:color="auto" w:fill="CCCCCC"/>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C11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78"/>
  </w:style>
  <w:style w:type="character" w:customStyle="1" w:styleId="Heading3Char">
    <w:name w:val="Heading 3 Char"/>
    <w:basedOn w:val="DefaultParagraphFont"/>
    <w:link w:val="Heading3"/>
    <w:uiPriority w:val="9"/>
    <w:rsid w:val="00C117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Fankhauser</dc:creator>
  <cp:lastModifiedBy>Julie Marsal</cp:lastModifiedBy>
  <cp:revision>2</cp:revision>
  <dcterms:created xsi:type="dcterms:W3CDTF">2017-06-14T03:19:00Z</dcterms:created>
  <dcterms:modified xsi:type="dcterms:W3CDTF">2017-06-14T03:19:00Z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3568b7b7-7674-430b-8aa9-0558fecf8f0d</vt:lpwstr>
  </property>
  <property fmtid="{D5CDD505-2E9C-101B-9397-08002B2CF9AE}" pid="3" name="PSPFClassification">
    <vt:lpwstr>Do Not Mark</vt:lpwstr>
  </property>
</Properties>
</file>