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36" w:rsidRDefault="002C4636" w:rsidP="002C4636">
      <w:pPr>
        <w:pStyle w:val="InvestmentTitle"/>
      </w:pPr>
      <w:bookmarkStart w:id="0" w:name="_GoBack"/>
      <w:bookmarkEnd w:id="0"/>
      <w:r>
        <w:t>Delivering customer-focused, efficient and secure port services</w:t>
      </w:r>
    </w:p>
    <w:p w:rsidR="002C4636" w:rsidRDefault="002C4636" w:rsidP="002C4636">
      <w:pPr>
        <w:pStyle w:val="InvestmentSubtitle"/>
      </w:pPr>
      <w:r>
        <w:t xml:space="preserve">Upgrade and expansion of </w:t>
      </w:r>
      <w:proofErr w:type="spellStart"/>
      <w:r>
        <w:t>Oldtown</w:t>
      </w:r>
      <w:proofErr w:type="spellEnd"/>
      <w:r>
        <w:t xml:space="preserve"> Port</w:t>
      </w:r>
    </w:p>
    <w:p w:rsidR="002C4636" w:rsidRDefault="002C4636" w:rsidP="002C4636">
      <w:pPr>
        <w:pStyle w:val="InvestmentSubtitle"/>
      </w:pPr>
    </w:p>
    <w:p w:rsidR="002C4636" w:rsidRPr="002C4636" w:rsidRDefault="002C4636" w:rsidP="002C4636">
      <w:pPr>
        <w:pStyle w:val="InvestmentSubtitle"/>
        <w:rPr>
          <w:sz w:val="26"/>
        </w:rPr>
      </w:pPr>
      <w:r w:rsidRPr="002C4636">
        <w:rPr>
          <w:sz w:val="26"/>
        </w:rPr>
        <w:t>Response Options Analysis</w:t>
      </w:r>
    </w:p>
    <w:p w:rsidR="002C4636" w:rsidRDefault="002C4636" w:rsidP="002C4636">
      <w:pPr>
        <w:pStyle w:val="OptionTitle"/>
      </w:pPr>
      <w:r>
        <w:t>Option 1: Business as usual</w:t>
      </w:r>
      <w:r w:rsidR="0007398B">
        <w:t>/</w:t>
      </w:r>
      <w:r>
        <w:t>Do nothing</w:t>
      </w:r>
    </w:p>
    <w:p w:rsidR="002C4636" w:rsidRDefault="002C4636" w:rsidP="002C4636">
      <w:r>
        <w:t>This option involves no change to existing practice with minimal maintenance and security upgrades to existing facilities.</w:t>
      </w:r>
    </w:p>
    <w:tbl>
      <w:tblPr>
        <w:tblStyle w:val="LightList"/>
        <w:tblW w:w="9637" w:type="dxa"/>
        <w:tblLayout w:type="fixed"/>
        <w:tblLook w:val="0620" w:firstRow="1" w:lastRow="0" w:firstColumn="0" w:lastColumn="0" w:noHBand="1" w:noVBand="1"/>
      </w:tblPr>
      <w:tblGrid>
        <w:gridCol w:w="567"/>
        <w:gridCol w:w="8219"/>
        <w:gridCol w:w="851"/>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2C4636" w:rsidRDefault="002C4636" w:rsidP="002C4636">
            <w:pPr>
              <w:spacing w:after="40"/>
            </w:pPr>
            <w:r>
              <w:t>Interventions</w:t>
            </w:r>
          </w:p>
        </w:tc>
        <w:tc>
          <w:tcPr>
            <w:tcW w:w="851" w:type="dxa"/>
          </w:tcPr>
          <w:p w:rsidR="002C4636" w:rsidRDefault="002C4636" w:rsidP="002C4636">
            <w:pPr>
              <w:spacing w:after="40"/>
              <w:jc w:val="center"/>
            </w:pPr>
            <w:r>
              <w:t>%</w:t>
            </w:r>
          </w:p>
        </w:tc>
      </w:tr>
      <w:tr w:rsidR="002C4636" w:rsidTr="002C4636">
        <w:tc>
          <w:tcPr>
            <w:tcW w:w="567" w:type="dxa"/>
          </w:tcPr>
          <w:p w:rsidR="002C4636" w:rsidRDefault="002C4636" w:rsidP="002C4636">
            <w:pPr>
              <w:spacing w:after="40"/>
            </w:pPr>
            <w:r>
              <w:t>1</w:t>
            </w:r>
          </w:p>
        </w:tc>
        <w:tc>
          <w:tcPr>
            <w:tcW w:w="8220" w:type="dxa"/>
          </w:tcPr>
          <w:p w:rsidR="002C4636" w:rsidRDefault="002C4636" w:rsidP="002C4636">
            <w:pPr>
              <w:spacing w:after="40"/>
            </w:pPr>
            <w:r>
              <w:t>Undertake essential maintenance and security upgrades only of existing facilities</w:t>
            </w:r>
          </w:p>
        </w:tc>
        <w:tc>
          <w:tcPr>
            <w:tcW w:w="851" w:type="dxa"/>
          </w:tcPr>
          <w:p w:rsidR="002C4636" w:rsidRDefault="002C4636" w:rsidP="002C4636">
            <w:pPr>
              <w:spacing w:after="40"/>
              <w:jc w:val="center"/>
            </w:pPr>
            <w:r>
              <w:t>100%</w:t>
            </w:r>
          </w:p>
        </w:tc>
      </w:tr>
    </w:tbl>
    <w:p w:rsidR="002F49F2" w:rsidRDefault="002F49F2" w:rsidP="002C4636"/>
    <w:tbl>
      <w:tblPr>
        <w:tblStyle w:val="LightList"/>
        <w:tblW w:w="9637" w:type="dxa"/>
        <w:tblLayout w:type="fixed"/>
        <w:tblLook w:val="0620" w:firstRow="1" w:lastRow="0" w:firstColumn="0" w:lastColumn="0" w:noHBand="1" w:noVBand="1"/>
      </w:tblPr>
      <w:tblGrid>
        <w:gridCol w:w="1815"/>
        <w:gridCol w:w="1814"/>
        <w:gridCol w:w="1814"/>
        <w:gridCol w:w="1814"/>
        <w:gridCol w:w="238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2C4636" w:rsidRDefault="002C4636" w:rsidP="002C4636">
            <w:pPr>
              <w:spacing w:after="40"/>
              <w:jc w:val="center"/>
            </w:pPr>
            <w:r>
              <w:t>Benefit score</w:t>
            </w:r>
          </w:p>
        </w:tc>
        <w:tc>
          <w:tcPr>
            <w:tcW w:w="1814" w:type="dxa"/>
            <w:vAlign w:val="bottom"/>
          </w:tcPr>
          <w:p w:rsidR="002C4636" w:rsidRDefault="002C4636" w:rsidP="002C4636">
            <w:pPr>
              <w:spacing w:after="40"/>
              <w:jc w:val="center"/>
            </w:pPr>
            <w:r>
              <w:t>Capital TEI</w:t>
            </w:r>
          </w:p>
        </w:tc>
        <w:tc>
          <w:tcPr>
            <w:tcW w:w="1814" w:type="dxa"/>
            <w:vAlign w:val="bottom"/>
          </w:tcPr>
          <w:p w:rsidR="002C4636" w:rsidRDefault="002C4636" w:rsidP="002C4636">
            <w:pPr>
              <w:spacing w:after="40"/>
              <w:jc w:val="center"/>
            </w:pPr>
            <w:r>
              <w:t>Time range</w:t>
            </w:r>
          </w:p>
        </w:tc>
        <w:tc>
          <w:tcPr>
            <w:tcW w:w="1814" w:type="dxa"/>
            <w:vAlign w:val="bottom"/>
          </w:tcPr>
          <w:p w:rsidR="002C4636" w:rsidRDefault="002C4636" w:rsidP="002C4636">
            <w:pPr>
              <w:spacing w:after="40"/>
              <w:jc w:val="center"/>
            </w:pPr>
            <w:r>
              <w:t>Ranking</w:t>
            </w:r>
          </w:p>
        </w:tc>
        <w:tc>
          <w:tcPr>
            <w:tcW w:w="2380" w:type="dxa"/>
            <w:vAlign w:val="bottom"/>
          </w:tcPr>
          <w:p w:rsidR="002C4636" w:rsidRDefault="002C4636" w:rsidP="002C4636">
            <w:pPr>
              <w:spacing w:after="40"/>
              <w:jc w:val="center"/>
            </w:pPr>
            <w:r>
              <w:t>Options workshop required?</w:t>
            </w:r>
          </w:p>
        </w:tc>
      </w:tr>
      <w:tr w:rsidR="002C4636" w:rsidTr="002C4636">
        <w:tc>
          <w:tcPr>
            <w:tcW w:w="1814" w:type="dxa"/>
          </w:tcPr>
          <w:p w:rsidR="002C4636" w:rsidRDefault="002C4636" w:rsidP="002C4636">
            <w:pPr>
              <w:spacing w:after="40"/>
              <w:jc w:val="center"/>
            </w:pPr>
            <w:r>
              <w:t>10.0%</w:t>
            </w:r>
          </w:p>
        </w:tc>
        <w:tc>
          <w:tcPr>
            <w:tcW w:w="1814" w:type="dxa"/>
          </w:tcPr>
          <w:p w:rsidR="002C4636" w:rsidRDefault="002C4636" w:rsidP="002C4636">
            <w:pPr>
              <w:spacing w:after="40"/>
              <w:jc w:val="center"/>
            </w:pPr>
            <w:r>
              <w:t>$2-3 mil</w:t>
            </w:r>
          </w:p>
        </w:tc>
        <w:tc>
          <w:tcPr>
            <w:tcW w:w="1814" w:type="dxa"/>
          </w:tcPr>
          <w:p w:rsidR="002C4636" w:rsidRDefault="002C4636" w:rsidP="002C4636">
            <w:pPr>
              <w:spacing w:after="40"/>
              <w:jc w:val="center"/>
            </w:pPr>
            <w:r>
              <w:t>0-12 mm</w:t>
            </w:r>
          </w:p>
        </w:tc>
        <w:tc>
          <w:tcPr>
            <w:tcW w:w="1814" w:type="dxa"/>
          </w:tcPr>
          <w:p w:rsidR="002C4636" w:rsidRDefault="002C4636" w:rsidP="002C4636">
            <w:pPr>
              <w:spacing w:after="40"/>
              <w:jc w:val="center"/>
            </w:pPr>
          </w:p>
        </w:tc>
        <w:tc>
          <w:tcPr>
            <w:tcW w:w="2380" w:type="dxa"/>
          </w:tcPr>
          <w:p w:rsidR="002C4636" w:rsidRDefault="002C4636" w:rsidP="002C4636">
            <w:pPr>
              <w:spacing w:after="40"/>
              <w:jc w:val="center"/>
            </w:pPr>
            <w:r>
              <w:t>No</w:t>
            </w:r>
          </w:p>
        </w:tc>
      </w:tr>
    </w:tbl>
    <w:p w:rsidR="002C4636" w:rsidRDefault="002C4636" w:rsidP="002C4636"/>
    <w:tbl>
      <w:tblPr>
        <w:tblStyle w:val="LightList"/>
        <w:tblW w:w="9648" w:type="dxa"/>
        <w:tblLayout w:type="fixed"/>
        <w:tblLook w:val="0620" w:firstRow="1" w:lastRow="0" w:firstColumn="0" w:lastColumn="0" w:noHBand="1" w:noVBand="1"/>
      </w:tblPr>
      <w:tblGrid>
        <w:gridCol w:w="560"/>
        <w:gridCol w:w="8841"/>
        <w:gridCol w:w="247"/>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48" w:type="dxa"/>
            <w:gridSpan w:val="3"/>
          </w:tcPr>
          <w:p w:rsidR="002C4636" w:rsidRDefault="002C4636" w:rsidP="002C4636">
            <w:pPr>
              <w:spacing w:after="40"/>
            </w:pPr>
            <w:r>
              <w:t>Risks and Uncertainty</w:t>
            </w:r>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 xml:space="preserve">Serious road accident involving </w:t>
            </w:r>
            <w:proofErr w:type="spellStart"/>
            <w:r>
              <w:t>fatalit</w:t>
            </w:r>
            <w:proofErr w:type="spellEnd"/>
            <w:r>
              <w:t>(</w:t>
            </w:r>
            <w:proofErr w:type="spellStart"/>
            <w:r>
              <w:t>ies</w:t>
            </w:r>
            <w:proofErr w:type="spellEnd"/>
            <w:r>
              <w:t>) (H)</w:t>
            </w:r>
          </w:p>
        </w:tc>
        <w:tc>
          <w:tcPr>
            <w:tcW w:w="247"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Breach of maritime regulations &amp; loss of port status (M)</w:t>
            </w:r>
          </w:p>
        </w:tc>
        <w:tc>
          <w:tcPr>
            <w:tcW w:w="247"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3</w:t>
            </w:r>
          </w:p>
        </w:tc>
        <w:tc>
          <w:tcPr>
            <w:tcW w:w="8841" w:type="dxa"/>
          </w:tcPr>
          <w:p w:rsidR="002C4636" w:rsidRDefault="002C4636" w:rsidP="002C4636">
            <w:pPr>
              <w:spacing w:after="40"/>
            </w:pPr>
            <w:r>
              <w:t>Local economic growth, &amp; its diversity, constrained (H)</w:t>
            </w:r>
          </w:p>
        </w:tc>
        <w:tc>
          <w:tcPr>
            <w:tcW w:w="247"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4</w:t>
            </w:r>
          </w:p>
        </w:tc>
        <w:tc>
          <w:tcPr>
            <w:tcW w:w="8841" w:type="dxa"/>
          </w:tcPr>
          <w:p w:rsidR="002C4636" w:rsidRDefault="002C4636" w:rsidP="002C4636">
            <w:pPr>
              <w:spacing w:after="40"/>
            </w:pPr>
            <w:r>
              <w:t>Serious loss or damage to cargo or other assets, leading to customer loss (H)</w:t>
            </w:r>
          </w:p>
        </w:tc>
        <w:tc>
          <w:tcPr>
            <w:tcW w:w="247"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48" w:type="dxa"/>
        <w:tblLayout w:type="fixed"/>
        <w:tblLook w:val="0620" w:firstRow="1" w:lastRow="0" w:firstColumn="0" w:lastColumn="0" w:noHBand="1" w:noVBand="1"/>
      </w:tblPr>
      <w:tblGrid>
        <w:gridCol w:w="560"/>
        <w:gridCol w:w="8841"/>
        <w:gridCol w:w="247"/>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48" w:type="dxa"/>
            <w:gridSpan w:val="3"/>
          </w:tcPr>
          <w:p w:rsidR="002C4636" w:rsidRDefault="002C4636" w:rsidP="002C4636">
            <w:pPr>
              <w:spacing w:after="40"/>
            </w:pPr>
            <w:proofErr w:type="spellStart"/>
            <w:r>
              <w:t>Disbenefits</w:t>
            </w:r>
            <w:proofErr w:type="spellEnd"/>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Delays and costs to local importers and exporters unrelieved (H)</w:t>
            </w:r>
          </w:p>
        </w:tc>
        <w:tc>
          <w:tcPr>
            <w:tcW w:w="247"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07398B"/>
    <w:tbl>
      <w:tblPr>
        <w:tblStyle w:val="LightList"/>
        <w:tblW w:w="9637" w:type="dxa"/>
        <w:tblLayout w:type="fixed"/>
        <w:tblLook w:val="0620" w:firstRow="1" w:lastRow="0" w:firstColumn="0" w:lastColumn="0" w:noHBand="1" w:noVBand="1"/>
      </w:tblPr>
      <w:tblGrid>
        <w:gridCol w:w="9637"/>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9638" w:type="dxa"/>
          </w:tcPr>
          <w:p w:rsidR="002C4636" w:rsidRDefault="002C4636" w:rsidP="002C4636">
            <w:pPr>
              <w:spacing w:after="40"/>
            </w:pPr>
            <w:r>
              <w:t>Interdependencies</w:t>
            </w:r>
          </w:p>
        </w:tc>
      </w:tr>
      <w:tr w:rsidR="002C4636" w:rsidTr="002C4636">
        <w:tc>
          <w:tcPr>
            <w:tcW w:w="9638" w:type="dxa"/>
          </w:tcPr>
          <w:p w:rsidR="002C4636" w:rsidRDefault="002C4636" w:rsidP="002C4636">
            <w:pPr>
              <w:spacing w:after="40"/>
            </w:pPr>
            <w:r>
              <w:t>None</w:t>
            </w:r>
          </w:p>
        </w:tc>
      </w:tr>
    </w:tbl>
    <w:p w:rsidR="002C4636" w:rsidRDefault="002C4636" w:rsidP="002C4636"/>
    <w:p w:rsidR="002C4636" w:rsidRDefault="002C4636" w:rsidP="002C4636">
      <w:pPr>
        <w:pStyle w:val="OptionTitle"/>
      </w:pPr>
      <w:r>
        <w:t>Option 2: Close port and divert activities to Newtown Port</w:t>
      </w:r>
    </w:p>
    <w:p w:rsidR="002C4636" w:rsidRDefault="002C4636" w:rsidP="002C4636">
      <w:r>
        <w:t xml:space="preserve">This option focuses on closing the </w:t>
      </w:r>
      <w:proofErr w:type="spellStart"/>
      <w:r>
        <w:t>Oldtown</w:t>
      </w:r>
      <w:proofErr w:type="spellEnd"/>
      <w:r>
        <w:t xml:space="preserve"> Port and diverting all demand to the Newtown Port. Additional capacity both at Newtown Port and along access roads will be built to cater for increased throughput and traffic. While the </w:t>
      </w:r>
      <w:proofErr w:type="spellStart"/>
      <w:r>
        <w:t>Oldtown</w:t>
      </w:r>
      <w:proofErr w:type="spellEnd"/>
      <w:r>
        <w:t xml:space="preserve"> Port will be decommissioned and assets sold the site and infrastructure will still require some maintenance and security improvements.</w:t>
      </w:r>
    </w:p>
    <w:tbl>
      <w:tblPr>
        <w:tblStyle w:val="LightList"/>
        <w:tblW w:w="9637" w:type="dxa"/>
        <w:tblLayout w:type="fixed"/>
        <w:tblLook w:val="0620" w:firstRow="1" w:lastRow="0" w:firstColumn="0" w:lastColumn="0" w:noHBand="1" w:noVBand="1"/>
      </w:tblPr>
      <w:tblGrid>
        <w:gridCol w:w="567"/>
        <w:gridCol w:w="8219"/>
        <w:gridCol w:w="851"/>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2C4636" w:rsidRDefault="002C4636" w:rsidP="002C4636">
            <w:pPr>
              <w:spacing w:after="40"/>
            </w:pPr>
            <w:r>
              <w:t>Interventions</w:t>
            </w:r>
          </w:p>
        </w:tc>
        <w:tc>
          <w:tcPr>
            <w:tcW w:w="851" w:type="dxa"/>
          </w:tcPr>
          <w:p w:rsidR="002C4636" w:rsidRDefault="002C4636" w:rsidP="002C4636">
            <w:pPr>
              <w:spacing w:after="40"/>
              <w:jc w:val="center"/>
            </w:pPr>
            <w:r>
              <w:t>%</w:t>
            </w:r>
          </w:p>
        </w:tc>
      </w:tr>
      <w:tr w:rsidR="002C4636" w:rsidTr="002C4636">
        <w:tc>
          <w:tcPr>
            <w:tcW w:w="567" w:type="dxa"/>
          </w:tcPr>
          <w:p w:rsidR="002C4636" w:rsidRDefault="002C4636" w:rsidP="002C4636">
            <w:pPr>
              <w:spacing w:after="40"/>
            </w:pPr>
            <w:r>
              <w:t>1</w:t>
            </w:r>
          </w:p>
        </w:tc>
        <w:tc>
          <w:tcPr>
            <w:tcW w:w="8220" w:type="dxa"/>
          </w:tcPr>
          <w:p w:rsidR="002C4636" w:rsidRDefault="002C4636" w:rsidP="002C4636">
            <w:pPr>
              <w:spacing w:after="40"/>
            </w:pPr>
            <w:r>
              <w:t xml:space="preserve">Undertake additional investment at Newtown Port to respond to diverted demand, and decommission and </w:t>
            </w:r>
            <w:r w:rsidR="00FC5EA3">
              <w:t>sell surplus</w:t>
            </w:r>
            <w:r>
              <w:t xml:space="preserve"> </w:t>
            </w:r>
            <w:proofErr w:type="spellStart"/>
            <w:r>
              <w:t>Oldtown</w:t>
            </w:r>
            <w:proofErr w:type="spellEnd"/>
            <w:r>
              <w:t xml:space="preserve"> Port assets</w:t>
            </w:r>
          </w:p>
        </w:tc>
        <w:tc>
          <w:tcPr>
            <w:tcW w:w="851" w:type="dxa"/>
          </w:tcPr>
          <w:p w:rsidR="002C4636" w:rsidRDefault="002C4636" w:rsidP="002C4636">
            <w:pPr>
              <w:spacing w:after="40"/>
              <w:jc w:val="center"/>
            </w:pPr>
            <w:r>
              <w:t>50%</w:t>
            </w:r>
          </w:p>
        </w:tc>
      </w:tr>
      <w:tr w:rsidR="002C4636" w:rsidTr="002C4636">
        <w:tc>
          <w:tcPr>
            <w:tcW w:w="567" w:type="dxa"/>
          </w:tcPr>
          <w:p w:rsidR="002C4636" w:rsidRDefault="002C4636" w:rsidP="002C4636">
            <w:pPr>
              <w:spacing w:after="40"/>
            </w:pPr>
            <w:r>
              <w:t>2</w:t>
            </w:r>
          </w:p>
        </w:tc>
        <w:tc>
          <w:tcPr>
            <w:tcW w:w="8220" w:type="dxa"/>
          </w:tcPr>
          <w:p w:rsidR="002C4636" w:rsidRDefault="002C4636" w:rsidP="002C4636">
            <w:pPr>
              <w:spacing w:after="40"/>
            </w:pPr>
            <w:r>
              <w:t>Upgrade and create additional capacity on access roads to Newtown port</w:t>
            </w:r>
          </w:p>
        </w:tc>
        <w:tc>
          <w:tcPr>
            <w:tcW w:w="851" w:type="dxa"/>
          </w:tcPr>
          <w:p w:rsidR="002C4636" w:rsidRDefault="002C4636" w:rsidP="002C4636">
            <w:pPr>
              <w:spacing w:after="40"/>
              <w:jc w:val="center"/>
            </w:pPr>
            <w:r>
              <w:t>35%</w:t>
            </w:r>
          </w:p>
        </w:tc>
      </w:tr>
      <w:tr w:rsidR="002C4636" w:rsidTr="002C4636">
        <w:tc>
          <w:tcPr>
            <w:tcW w:w="567" w:type="dxa"/>
          </w:tcPr>
          <w:p w:rsidR="002C4636" w:rsidRDefault="002C4636" w:rsidP="002C4636">
            <w:pPr>
              <w:spacing w:after="40"/>
            </w:pPr>
            <w:r>
              <w:t>3</w:t>
            </w:r>
          </w:p>
        </w:tc>
        <w:tc>
          <w:tcPr>
            <w:tcW w:w="8220" w:type="dxa"/>
          </w:tcPr>
          <w:p w:rsidR="002C4636" w:rsidRDefault="002C4636" w:rsidP="002C4636">
            <w:pPr>
              <w:spacing w:after="40"/>
            </w:pPr>
            <w:r>
              <w:t>Undertake essential maintenance and security upgrades only of existing facilities</w:t>
            </w:r>
          </w:p>
        </w:tc>
        <w:tc>
          <w:tcPr>
            <w:tcW w:w="851" w:type="dxa"/>
          </w:tcPr>
          <w:p w:rsidR="002C4636" w:rsidRDefault="002C4636" w:rsidP="002C4636">
            <w:pPr>
              <w:spacing w:after="40"/>
              <w:jc w:val="center"/>
            </w:pPr>
            <w:r>
              <w:t>15%</w:t>
            </w: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1815"/>
        <w:gridCol w:w="1814"/>
        <w:gridCol w:w="1814"/>
        <w:gridCol w:w="1814"/>
        <w:gridCol w:w="238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2C4636" w:rsidRDefault="002C4636" w:rsidP="002C4636">
            <w:pPr>
              <w:spacing w:after="40"/>
              <w:jc w:val="center"/>
            </w:pPr>
            <w:r>
              <w:lastRenderedPageBreak/>
              <w:t>Benefit score</w:t>
            </w:r>
          </w:p>
        </w:tc>
        <w:tc>
          <w:tcPr>
            <w:tcW w:w="1814" w:type="dxa"/>
            <w:vAlign w:val="bottom"/>
          </w:tcPr>
          <w:p w:rsidR="002C4636" w:rsidRDefault="002C4636" w:rsidP="002C4636">
            <w:pPr>
              <w:spacing w:after="40"/>
              <w:jc w:val="center"/>
            </w:pPr>
            <w:r>
              <w:t>Capital TEI</w:t>
            </w:r>
          </w:p>
        </w:tc>
        <w:tc>
          <w:tcPr>
            <w:tcW w:w="1814" w:type="dxa"/>
            <w:vAlign w:val="bottom"/>
          </w:tcPr>
          <w:p w:rsidR="002C4636" w:rsidRDefault="002C4636" w:rsidP="002C4636">
            <w:pPr>
              <w:spacing w:after="40"/>
              <w:jc w:val="center"/>
            </w:pPr>
            <w:r>
              <w:t>Time range</w:t>
            </w:r>
          </w:p>
        </w:tc>
        <w:tc>
          <w:tcPr>
            <w:tcW w:w="1814" w:type="dxa"/>
            <w:vAlign w:val="bottom"/>
          </w:tcPr>
          <w:p w:rsidR="002C4636" w:rsidRDefault="002C4636" w:rsidP="002C4636">
            <w:pPr>
              <w:spacing w:after="40"/>
              <w:jc w:val="center"/>
            </w:pPr>
            <w:r>
              <w:t>Ranking</w:t>
            </w:r>
          </w:p>
        </w:tc>
        <w:tc>
          <w:tcPr>
            <w:tcW w:w="2380" w:type="dxa"/>
            <w:vAlign w:val="bottom"/>
          </w:tcPr>
          <w:p w:rsidR="002C4636" w:rsidRDefault="002C4636" w:rsidP="002C4636">
            <w:pPr>
              <w:spacing w:after="40"/>
              <w:jc w:val="center"/>
            </w:pPr>
            <w:r>
              <w:t>Options workshop required?</w:t>
            </w:r>
          </w:p>
        </w:tc>
      </w:tr>
      <w:tr w:rsidR="002C4636" w:rsidTr="002C4636">
        <w:tc>
          <w:tcPr>
            <w:tcW w:w="1814" w:type="dxa"/>
          </w:tcPr>
          <w:p w:rsidR="002C4636" w:rsidRDefault="002C4636" w:rsidP="002C4636">
            <w:pPr>
              <w:spacing w:after="40"/>
              <w:jc w:val="center"/>
            </w:pPr>
            <w:r>
              <w:t>70.0%</w:t>
            </w:r>
          </w:p>
        </w:tc>
        <w:tc>
          <w:tcPr>
            <w:tcW w:w="1814" w:type="dxa"/>
          </w:tcPr>
          <w:p w:rsidR="002C4636" w:rsidRDefault="002C4636" w:rsidP="002C4636">
            <w:pPr>
              <w:spacing w:after="40"/>
              <w:jc w:val="center"/>
            </w:pPr>
            <w:r>
              <w:t>$500-600 mil</w:t>
            </w:r>
          </w:p>
        </w:tc>
        <w:tc>
          <w:tcPr>
            <w:tcW w:w="1814" w:type="dxa"/>
          </w:tcPr>
          <w:p w:rsidR="002C4636" w:rsidRDefault="002C4636" w:rsidP="002C4636">
            <w:pPr>
              <w:spacing w:after="40"/>
              <w:jc w:val="center"/>
            </w:pPr>
            <w:r>
              <w:t>60</w:t>
            </w:r>
            <w:r w:rsidR="0007398B">
              <w:t xml:space="preserve"> – </w:t>
            </w:r>
            <w:r>
              <w:t>84 mm</w:t>
            </w:r>
          </w:p>
        </w:tc>
        <w:tc>
          <w:tcPr>
            <w:tcW w:w="1814" w:type="dxa"/>
          </w:tcPr>
          <w:p w:rsidR="002C4636" w:rsidRDefault="002C4636" w:rsidP="002C4636">
            <w:pPr>
              <w:spacing w:after="40"/>
              <w:jc w:val="center"/>
            </w:pPr>
            <w:r>
              <w:t>3</w:t>
            </w:r>
          </w:p>
        </w:tc>
        <w:tc>
          <w:tcPr>
            <w:tcW w:w="2380" w:type="dxa"/>
          </w:tcPr>
          <w:p w:rsidR="002C4636" w:rsidRDefault="002C4636" w:rsidP="002C4636">
            <w:pPr>
              <w:spacing w:after="40"/>
              <w:jc w:val="center"/>
            </w:pPr>
            <w:r>
              <w:t>Maybe</w:t>
            </w: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r>
              <w:t>Risks and Uncertainty</w:t>
            </w:r>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Decommissioning &amp; sale of existing port assets do not meet financial objectives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Efficiency savings for customers eliminated by additional freight costs to Newtown (H)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3</w:t>
            </w:r>
          </w:p>
        </w:tc>
        <w:tc>
          <w:tcPr>
            <w:tcW w:w="8841" w:type="dxa"/>
          </w:tcPr>
          <w:p w:rsidR="002C4636" w:rsidRDefault="002C4636" w:rsidP="002C4636">
            <w:pPr>
              <w:spacing w:after="40"/>
            </w:pPr>
            <w:r>
              <w:t>Diversity of local economy constrained leading to longer-term adjustment costs &amp; adverse social impacts (H)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4</w:t>
            </w:r>
          </w:p>
        </w:tc>
        <w:tc>
          <w:tcPr>
            <w:tcW w:w="8841" w:type="dxa"/>
          </w:tcPr>
          <w:p w:rsidR="002C4636" w:rsidRDefault="002C4636" w:rsidP="002C4636">
            <w:pPr>
              <w:spacing w:after="40"/>
            </w:pPr>
            <w:r>
              <w:t>Scope of change and transition underestimated leading to cost &amp; time overruns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023E9C" w:rsidTr="0007398B">
        <w:tc>
          <w:tcPr>
            <w:tcW w:w="560" w:type="dxa"/>
          </w:tcPr>
          <w:p w:rsidR="00023E9C" w:rsidRDefault="00023E9C" w:rsidP="002C4636">
            <w:pPr>
              <w:spacing w:after="40"/>
            </w:pPr>
            <w:r>
              <w:t>5</w:t>
            </w:r>
          </w:p>
        </w:tc>
        <w:tc>
          <w:tcPr>
            <w:tcW w:w="8841" w:type="dxa"/>
          </w:tcPr>
          <w:p w:rsidR="00023E9C" w:rsidRDefault="00023E9C" w:rsidP="00407805">
            <w:pPr>
              <w:spacing w:after="40"/>
            </w:pPr>
            <w:r>
              <w:t>Net loss of capacity across</w:t>
            </w:r>
            <w:r w:rsidR="00407805">
              <w:t xml:space="preserve"> the</w:t>
            </w:r>
            <w:r>
              <w:t xml:space="preserve"> </w:t>
            </w:r>
            <w:proofErr w:type="spellStart"/>
            <w:r>
              <w:t>statewide</w:t>
            </w:r>
            <w:proofErr w:type="spellEnd"/>
            <w:r>
              <w:t xml:space="preserve"> port system requires Government to expedite its long-term plan for a second c</w:t>
            </w:r>
            <w:r w:rsidR="00407805">
              <w:t>ommercial</w:t>
            </w:r>
            <w:r>
              <w:t xml:space="preserve"> port.</w:t>
            </w:r>
          </w:p>
        </w:tc>
        <w:tc>
          <w:tcPr>
            <w:tcW w:w="255" w:type="dxa"/>
            <w:tcBorders>
              <w:top w:val="single" w:sz="6" w:space="0" w:color="C0C0C0"/>
              <w:bottom w:val="single" w:sz="6" w:space="0" w:color="000000" w:themeColor="text1"/>
            </w:tcBorders>
            <w:shd w:val="clear" w:color="auto" w:fill="ED7D31" w:themeFill="accent2"/>
          </w:tcPr>
          <w:p w:rsidR="00023E9C" w:rsidRDefault="00023E9C" w:rsidP="002C4636">
            <w:pPr>
              <w:spacing w:after="40"/>
            </w:pP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proofErr w:type="spellStart"/>
            <w:r>
              <w:t>Disbenefits</w:t>
            </w:r>
            <w:proofErr w:type="spellEnd"/>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Higher local unemployment in short to medium term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 xml:space="preserve">Government </w:t>
            </w:r>
            <w:r w:rsidR="00FC5EA3">
              <w:t>incurs costs</w:t>
            </w:r>
            <w:r>
              <w:t xml:space="preserve"> of managing old site in short to medium term (M)</w:t>
            </w:r>
          </w:p>
        </w:tc>
        <w:tc>
          <w:tcPr>
            <w:tcW w:w="255" w:type="dxa"/>
            <w:tcBorders>
              <w:top w:val="single" w:sz="6" w:space="0" w:color="C0C0C0"/>
              <w:bottom w:val="single" w:sz="6" w:space="0" w:color="000000" w:themeColor="text1"/>
            </w:tcBorders>
            <w:shd w:val="clear" w:color="auto" w:fill="FA9646"/>
          </w:tcPr>
          <w:p w:rsidR="002C4636" w:rsidRDefault="002C4636" w:rsidP="002C4636">
            <w:pPr>
              <w:spacing w:after="40"/>
            </w:pP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567"/>
        <w:gridCol w:w="907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2C4636" w:rsidRDefault="002C4636" w:rsidP="002C4636">
            <w:pPr>
              <w:spacing w:after="40"/>
            </w:pPr>
            <w:r>
              <w:t>Interdependencies</w:t>
            </w:r>
          </w:p>
        </w:tc>
      </w:tr>
      <w:tr w:rsidR="002C4636" w:rsidTr="002C4636">
        <w:tc>
          <w:tcPr>
            <w:tcW w:w="567" w:type="dxa"/>
          </w:tcPr>
          <w:p w:rsidR="002C4636" w:rsidRDefault="002C4636" w:rsidP="002C4636">
            <w:pPr>
              <w:spacing w:after="40"/>
            </w:pPr>
            <w:r>
              <w:t>1</w:t>
            </w:r>
          </w:p>
        </w:tc>
        <w:tc>
          <w:tcPr>
            <w:tcW w:w="9071" w:type="dxa"/>
          </w:tcPr>
          <w:p w:rsidR="002C4636" w:rsidRDefault="002C4636" w:rsidP="002C4636">
            <w:pPr>
              <w:spacing w:after="40"/>
            </w:pPr>
            <w:r>
              <w:t>Sufficient capacity at Newtown Port</w:t>
            </w:r>
          </w:p>
        </w:tc>
      </w:tr>
      <w:tr w:rsidR="002C4636" w:rsidTr="002C4636">
        <w:tc>
          <w:tcPr>
            <w:tcW w:w="567" w:type="dxa"/>
          </w:tcPr>
          <w:p w:rsidR="002C4636" w:rsidRDefault="002C4636" w:rsidP="002C4636">
            <w:pPr>
              <w:spacing w:after="40"/>
            </w:pPr>
            <w:r>
              <w:t>2</w:t>
            </w:r>
          </w:p>
        </w:tc>
        <w:tc>
          <w:tcPr>
            <w:tcW w:w="9071" w:type="dxa"/>
          </w:tcPr>
          <w:p w:rsidR="002C4636" w:rsidRDefault="002C4636" w:rsidP="002C4636">
            <w:pPr>
              <w:spacing w:after="40"/>
            </w:pPr>
            <w:r>
              <w:t xml:space="preserve">Willingness of port customers to relocate and </w:t>
            </w:r>
            <w:r w:rsidR="00FC5EA3">
              <w:t>change operations</w:t>
            </w:r>
          </w:p>
        </w:tc>
      </w:tr>
    </w:tbl>
    <w:p w:rsidR="002C4636" w:rsidRDefault="002C4636" w:rsidP="002C4636"/>
    <w:p w:rsidR="002C4636" w:rsidRDefault="002C4636" w:rsidP="002C4636">
      <w:pPr>
        <w:pStyle w:val="OptionTitle"/>
      </w:pPr>
      <w:r>
        <w:t xml:space="preserve">Option 3: Focus on traditional bulk commodities at </w:t>
      </w:r>
      <w:proofErr w:type="spellStart"/>
      <w:r>
        <w:t>Oldtown</w:t>
      </w:r>
      <w:proofErr w:type="spellEnd"/>
      <w:r>
        <w:t xml:space="preserve"> Port and divert new industries to Newtown Port</w:t>
      </w:r>
    </w:p>
    <w:p w:rsidR="002C4636" w:rsidRDefault="002C4636" w:rsidP="002C4636">
      <w:r>
        <w:t xml:space="preserve">This option focuses on changing the demand at </w:t>
      </w:r>
      <w:proofErr w:type="spellStart"/>
      <w:r>
        <w:t>OldTown</w:t>
      </w:r>
      <w:proofErr w:type="spellEnd"/>
      <w:r>
        <w:t xml:space="preserve"> Port by diverting freight and commodities associated with new industries to the Newtown Port and making </w:t>
      </w:r>
      <w:proofErr w:type="spellStart"/>
      <w:r>
        <w:t>Oldtown</w:t>
      </w:r>
      <w:proofErr w:type="spellEnd"/>
      <w:r>
        <w:t xml:space="preserve"> Port a specialist bulk commodities Port.</w:t>
      </w:r>
      <w:r w:rsidR="0007398B">
        <w:t xml:space="preserve"> </w:t>
      </w:r>
      <w:proofErr w:type="spellStart"/>
      <w:r>
        <w:t>Oldtown</w:t>
      </w:r>
      <w:proofErr w:type="spellEnd"/>
      <w:r>
        <w:t xml:space="preserve"> Port will require some modernisation and improvements to security operations as well as some targeted improvements to access roads. This option will </w:t>
      </w:r>
      <w:r w:rsidR="00FC5EA3">
        <w:t>also require</w:t>
      </w:r>
      <w:r>
        <w:t xml:space="preserve"> additional capacity to be built at Newtown Port. </w:t>
      </w:r>
    </w:p>
    <w:tbl>
      <w:tblPr>
        <w:tblStyle w:val="LightList"/>
        <w:tblW w:w="9637" w:type="dxa"/>
        <w:tblInd w:w="-8" w:type="dxa"/>
        <w:tblLayout w:type="fixed"/>
        <w:tblLook w:val="0620" w:firstRow="1" w:lastRow="0" w:firstColumn="0" w:lastColumn="0" w:noHBand="1" w:noVBand="1"/>
      </w:tblPr>
      <w:tblGrid>
        <w:gridCol w:w="567"/>
        <w:gridCol w:w="8219"/>
        <w:gridCol w:w="851"/>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2C4636" w:rsidRDefault="002C4636" w:rsidP="002C4636">
            <w:pPr>
              <w:spacing w:after="40"/>
            </w:pPr>
            <w:r>
              <w:t>Interventions</w:t>
            </w:r>
          </w:p>
        </w:tc>
        <w:tc>
          <w:tcPr>
            <w:tcW w:w="851" w:type="dxa"/>
          </w:tcPr>
          <w:p w:rsidR="002C4636" w:rsidRDefault="002C4636" w:rsidP="002C4636">
            <w:pPr>
              <w:spacing w:after="40"/>
              <w:jc w:val="center"/>
            </w:pPr>
            <w:r>
              <w:t>%</w:t>
            </w:r>
          </w:p>
        </w:tc>
      </w:tr>
      <w:tr w:rsidR="002C4636" w:rsidTr="002C4636">
        <w:tc>
          <w:tcPr>
            <w:tcW w:w="567" w:type="dxa"/>
          </w:tcPr>
          <w:p w:rsidR="002C4636" w:rsidRDefault="002C4636" w:rsidP="002C4636">
            <w:pPr>
              <w:spacing w:after="40"/>
            </w:pPr>
            <w:r>
              <w:t>1</w:t>
            </w:r>
          </w:p>
        </w:tc>
        <w:tc>
          <w:tcPr>
            <w:tcW w:w="8220" w:type="dxa"/>
          </w:tcPr>
          <w:p w:rsidR="002C4636" w:rsidRDefault="002C4636" w:rsidP="002C4636">
            <w:pPr>
              <w:spacing w:after="40"/>
            </w:pPr>
            <w:r>
              <w:t>Update site security zones, expand surveillance &amp; streamline security operations</w:t>
            </w:r>
          </w:p>
        </w:tc>
        <w:tc>
          <w:tcPr>
            <w:tcW w:w="851" w:type="dxa"/>
          </w:tcPr>
          <w:p w:rsidR="002C4636" w:rsidRDefault="002C4636" w:rsidP="002C4636">
            <w:pPr>
              <w:spacing w:after="40"/>
              <w:jc w:val="center"/>
            </w:pPr>
            <w:r>
              <w:t>10%</w:t>
            </w:r>
          </w:p>
        </w:tc>
      </w:tr>
      <w:tr w:rsidR="002C4636" w:rsidTr="002C4636">
        <w:tc>
          <w:tcPr>
            <w:tcW w:w="567" w:type="dxa"/>
          </w:tcPr>
          <w:p w:rsidR="002C4636" w:rsidRDefault="002C4636" w:rsidP="002C4636">
            <w:pPr>
              <w:spacing w:after="40"/>
            </w:pPr>
            <w:r>
              <w:t>2</w:t>
            </w:r>
          </w:p>
        </w:tc>
        <w:tc>
          <w:tcPr>
            <w:tcW w:w="8220" w:type="dxa"/>
          </w:tcPr>
          <w:p w:rsidR="002C4636" w:rsidRDefault="002C4636" w:rsidP="002C4636">
            <w:pPr>
              <w:spacing w:after="40"/>
            </w:pPr>
            <w:r>
              <w:t xml:space="preserve">Implement targeted treatments to road design and </w:t>
            </w:r>
            <w:r w:rsidR="00FC5EA3">
              <w:t>signalling</w:t>
            </w:r>
            <w:r>
              <w:t xml:space="preserve"> and reduce conflict points between freight and commuter vehicles</w:t>
            </w:r>
          </w:p>
        </w:tc>
        <w:tc>
          <w:tcPr>
            <w:tcW w:w="851" w:type="dxa"/>
          </w:tcPr>
          <w:p w:rsidR="002C4636" w:rsidRDefault="002C4636" w:rsidP="002C4636">
            <w:pPr>
              <w:spacing w:after="40"/>
              <w:jc w:val="center"/>
            </w:pPr>
            <w:r>
              <w:t>20%</w:t>
            </w:r>
          </w:p>
        </w:tc>
      </w:tr>
      <w:tr w:rsidR="002C4636" w:rsidTr="002C4636">
        <w:tc>
          <w:tcPr>
            <w:tcW w:w="567" w:type="dxa"/>
          </w:tcPr>
          <w:p w:rsidR="002C4636" w:rsidRDefault="002C4636" w:rsidP="002C4636">
            <w:pPr>
              <w:spacing w:after="40"/>
            </w:pPr>
            <w:r>
              <w:t>3</w:t>
            </w:r>
          </w:p>
        </w:tc>
        <w:tc>
          <w:tcPr>
            <w:tcW w:w="8220" w:type="dxa"/>
          </w:tcPr>
          <w:p w:rsidR="002C4636" w:rsidRDefault="002C4636" w:rsidP="002C4636">
            <w:pPr>
              <w:spacing w:after="40"/>
            </w:pPr>
            <w:r>
              <w:t>Undertake limited modernisation of port facilities and services to meet existing industry needs</w:t>
            </w:r>
          </w:p>
        </w:tc>
        <w:tc>
          <w:tcPr>
            <w:tcW w:w="851" w:type="dxa"/>
          </w:tcPr>
          <w:p w:rsidR="002C4636" w:rsidRDefault="002C4636" w:rsidP="002C4636">
            <w:pPr>
              <w:spacing w:after="40"/>
              <w:jc w:val="center"/>
            </w:pPr>
            <w:r>
              <w:t>40%</w:t>
            </w:r>
          </w:p>
        </w:tc>
      </w:tr>
      <w:tr w:rsidR="002C4636" w:rsidTr="002C4636">
        <w:tc>
          <w:tcPr>
            <w:tcW w:w="567" w:type="dxa"/>
          </w:tcPr>
          <w:p w:rsidR="002C4636" w:rsidRDefault="002C4636" w:rsidP="002C4636">
            <w:pPr>
              <w:spacing w:after="40"/>
            </w:pPr>
            <w:r>
              <w:t>4</w:t>
            </w:r>
          </w:p>
        </w:tc>
        <w:tc>
          <w:tcPr>
            <w:tcW w:w="8220" w:type="dxa"/>
          </w:tcPr>
          <w:p w:rsidR="002C4636" w:rsidRDefault="002C4636" w:rsidP="002C4636">
            <w:pPr>
              <w:spacing w:after="40"/>
            </w:pPr>
            <w:r>
              <w:t xml:space="preserve">Undertake additional investment at Newtown Port to respond to diverted demand, and decommission and sell surplus </w:t>
            </w:r>
            <w:proofErr w:type="spellStart"/>
            <w:r>
              <w:t>Oldtown</w:t>
            </w:r>
            <w:proofErr w:type="spellEnd"/>
            <w:r>
              <w:t xml:space="preserve"> Port assets</w:t>
            </w:r>
          </w:p>
        </w:tc>
        <w:tc>
          <w:tcPr>
            <w:tcW w:w="851" w:type="dxa"/>
          </w:tcPr>
          <w:p w:rsidR="002C4636" w:rsidRDefault="002C4636" w:rsidP="002C4636">
            <w:pPr>
              <w:spacing w:after="40"/>
              <w:jc w:val="center"/>
            </w:pPr>
            <w:r>
              <w:t>30%</w:t>
            </w: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1815"/>
        <w:gridCol w:w="1814"/>
        <w:gridCol w:w="1814"/>
        <w:gridCol w:w="1814"/>
        <w:gridCol w:w="238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2C4636" w:rsidRDefault="002C4636" w:rsidP="002C4636">
            <w:pPr>
              <w:spacing w:after="40"/>
              <w:jc w:val="center"/>
            </w:pPr>
            <w:r>
              <w:t>Benefit score</w:t>
            </w:r>
          </w:p>
        </w:tc>
        <w:tc>
          <w:tcPr>
            <w:tcW w:w="1814" w:type="dxa"/>
            <w:vAlign w:val="bottom"/>
          </w:tcPr>
          <w:p w:rsidR="002C4636" w:rsidRDefault="002C4636" w:rsidP="002C4636">
            <w:pPr>
              <w:spacing w:after="40"/>
              <w:jc w:val="center"/>
            </w:pPr>
            <w:r>
              <w:t>Capital TEI</w:t>
            </w:r>
          </w:p>
        </w:tc>
        <w:tc>
          <w:tcPr>
            <w:tcW w:w="1814" w:type="dxa"/>
            <w:vAlign w:val="bottom"/>
          </w:tcPr>
          <w:p w:rsidR="002C4636" w:rsidRDefault="002C4636" w:rsidP="002C4636">
            <w:pPr>
              <w:spacing w:after="40"/>
              <w:jc w:val="center"/>
            </w:pPr>
            <w:r>
              <w:t>Time range</w:t>
            </w:r>
          </w:p>
        </w:tc>
        <w:tc>
          <w:tcPr>
            <w:tcW w:w="1814" w:type="dxa"/>
            <w:vAlign w:val="bottom"/>
          </w:tcPr>
          <w:p w:rsidR="002C4636" w:rsidRDefault="002C4636" w:rsidP="002C4636">
            <w:pPr>
              <w:spacing w:after="40"/>
              <w:jc w:val="center"/>
            </w:pPr>
            <w:r>
              <w:t>Ranking</w:t>
            </w:r>
          </w:p>
        </w:tc>
        <w:tc>
          <w:tcPr>
            <w:tcW w:w="2380" w:type="dxa"/>
            <w:vAlign w:val="bottom"/>
          </w:tcPr>
          <w:p w:rsidR="002C4636" w:rsidRDefault="002C4636" w:rsidP="002C4636">
            <w:pPr>
              <w:spacing w:after="40"/>
              <w:jc w:val="center"/>
            </w:pPr>
            <w:r>
              <w:t>Options workshop required?</w:t>
            </w:r>
          </w:p>
        </w:tc>
      </w:tr>
      <w:tr w:rsidR="002C4636" w:rsidTr="002C4636">
        <w:tc>
          <w:tcPr>
            <w:tcW w:w="1814" w:type="dxa"/>
          </w:tcPr>
          <w:p w:rsidR="002C4636" w:rsidRDefault="002C4636" w:rsidP="002C4636">
            <w:pPr>
              <w:spacing w:after="40"/>
              <w:jc w:val="center"/>
            </w:pPr>
            <w:r>
              <w:t>87.5%</w:t>
            </w:r>
          </w:p>
        </w:tc>
        <w:tc>
          <w:tcPr>
            <w:tcW w:w="1814" w:type="dxa"/>
          </w:tcPr>
          <w:p w:rsidR="002C4636" w:rsidRDefault="002C4636" w:rsidP="002C4636">
            <w:pPr>
              <w:spacing w:after="40"/>
              <w:jc w:val="center"/>
            </w:pPr>
            <w:r>
              <w:t>$150-200 mil</w:t>
            </w:r>
          </w:p>
        </w:tc>
        <w:tc>
          <w:tcPr>
            <w:tcW w:w="1814" w:type="dxa"/>
          </w:tcPr>
          <w:p w:rsidR="002C4636" w:rsidRDefault="002C4636" w:rsidP="002C4636">
            <w:pPr>
              <w:spacing w:after="40"/>
              <w:jc w:val="center"/>
            </w:pPr>
            <w:r>
              <w:t>12 -72 mm</w:t>
            </w:r>
          </w:p>
        </w:tc>
        <w:tc>
          <w:tcPr>
            <w:tcW w:w="1814" w:type="dxa"/>
          </w:tcPr>
          <w:p w:rsidR="002C4636" w:rsidRDefault="002C4636" w:rsidP="002C4636">
            <w:pPr>
              <w:spacing w:after="40"/>
              <w:jc w:val="center"/>
            </w:pPr>
            <w:r>
              <w:t>2</w:t>
            </w:r>
          </w:p>
        </w:tc>
        <w:tc>
          <w:tcPr>
            <w:tcW w:w="2380" w:type="dxa"/>
          </w:tcPr>
          <w:p w:rsidR="002C4636" w:rsidRDefault="002C4636" w:rsidP="002C4636">
            <w:pPr>
              <w:spacing w:after="40"/>
              <w:jc w:val="center"/>
            </w:pPr>
            <w:r>
              <w:t>Yes</w:t>
            </w: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r>
              <w:lastRenderedPageBreak/>
              <w:t>Risks and Uncertainty</w:t>
            </w:r>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Decommissioning &amp; sale of existing port assets do not meet financial objectives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Efficiency savings for new industry customers eliminated by additional freight costs to Newtown (H)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3</w:t>
            </w:r>
          </w:p>
        </w:tc>
        <w:tc>
          <w:tcPr>
            <w:tcW w:w="8841" w:type="dxa"/>
          </w:tcPr>
          <w:p w:rsidR="002C4636" w:rsidRDefault="002C4636" w:rsidP="002C4636">
            <w:pPr>
              <w:spacing w:after="40"/>
            </w:pPr>
            <w:r>
              <w:t>Dissatisfied new industry customers relocate to interstate ports or use other freight methods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4</w:t>
            </w:r>
          </w:p>
        </w:tc>
        <w:tc>
          <w:tcPr>
            <w:tcW w:w="8841" w:type="dxa"/>
          </w:tcPr>
          <w:p w:rsidR="002C4636" w:rsidRDefault="002C4636" w:rsidP="002C4636">
            <w:pPr>
              <w:spacing w:after="40"/>
            </w:pPr>
            <w:r>
              <w:t xml:space="preserve">Unexpected </w:t>
            </w:r>
            <w:r w:rsidR="00FC5EA3">
              <w:t>variability in</w:t>
            </w:r>
            <w:r>
              <w:t xml:space="preserve"> global demand for traditional commodities impacts costs </w:t>
            </w:r>
            <w:r w:rsidR="00FC5EA3">
              <w:t>and revenue</w:t>
            </w:r>
            <w:r>
              <w:t xml:space="preserve"> from </w:t>
            </w:r>
            <w:proofErr w:type="spellStart"/>
            <w:r>
              <w:t>Oldtown</w:t>
            </w:r>
            <w:proofErr w:type="spellEnd"/>
            <w:r>
              <w:t xml:space="preserve"> </w:t>
            </w:r>
            <w:r w:rsidR="00FC5EA3">
              <w:t>port and</w:t>
            </w:r>
            <w:r>
              <w:t xml:space="preserve"> performance of Newtown port (H)</w:t>
            </w:r>
          </w:p>
        </w:tc>
        <w:tc>
          <w:tcPr>
            <w:tcW w:w="255"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proofErr w:type="spellStart"/>
            <w:r>
              <w:t>Disbenefits</w:t>
            </w:r>
            <w:proofErr w:type="spellEnd"/>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Port operations lack diversity in customer base (H)</w:t>
            </w:r>
          </w:p>
        </w:tc>
        <w:tc>
          <w:tcPr>
            <w:tcW w:w="255"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567"/>
        <w:gridCol w:w="907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2C4636" w:rsidRDefault="002C4636" w:rsidP="002C4636">
            <w:pPr>
              <w:spacing w:after="40"/>
            </w:pPr>
            <w:r>
              <w:t>Interdependencies</w:t>
            </w:r>
          </w:p>
        </w:tc>
      </w:tr>
      <w:tr w:rsidR="002C4636" w:rsidTr="002C4636">
        <w:tc>
          <w:tcPr>
            <w:tcW w:w="567" w:type="dxa"/>
          </w:tcPr>
          <w:p w:rsidR="002C4636" w:rsidRDefault="002C4636" w:rsidP="002C4636">
            <w:pPr>
              <w:spacing w:after="40"/>
            </w:pPr>
            <w:r>
              <w:t>1</w:t>
            </w:r>
          </w:p>
        </w:tc>
        <w:tc>
          <w:tcPr>
            <w:tcW w:w="9071" w:type="dxa"/>
          </w:tcPr>
          <w:p w:rsidR="002C4636" w:rsidRDefault="002C4636" w:rsidP="002C4636">
            <w:pPr>
              <w:spacing w:after="40"/>
            </w:pPr>
            <w:r>
              <w:t>Sufficient capacity at Newtown Port</w:t>
            </w:r>
          </w:p>
        </w:tc>
      </w:tr>
      <w:tr w:rsidR="002C4636" w:rsidTr="002C4636">
        <w:tc>
          <w:tcPr>
            <w:tcW w:w="567" w:type="dxa"/>
          </w:tcPr>
          <w:p w:rsidR="002C4636" w:rsidRDefault="002C4636" w:rsidP="002C4636">
            <w:pPr>
              <w:spacing w:after="40"/>
            </w:pPr>
            <w:r>
              <w:t>2</w:t>
            </w:r>
          </w:p>
        </w:tc>
        <w:tc>
          <w:tcPr>
            <w:tcW w:w="9071" w:type="dxa"/>
          </w:tcPr>
          <w:p w:rsidR="002C4636" w:rsidRDefault="002C4636" w:rsidP="002C4636">
            <w:pPr>
              <w:spacing w:after="40"/>
            </w:pPr>
            <w:r>
              <w:t>State agribusiness policy &amp; strategy</w:t>
            </w:r>
          </w:p>
        </w:tc>
      </w:tr>
    </w:tbl>
    <w:p w:rsidR="002C4636" w:rsidRDefault="002C4636" w:rsidP="002C4636"/>
    <w:p w:rsidR="002C4636" w:rsidRDefault="002C4636" w:rsidP="002C4636">
      <w:pPr>
        <w:pStyle w:val="OptionTitle"/>
      </w:pPr>
      <w:r>
        <w:t>Option 4: Expand port operating hours, minimal infrastructure</w:t>
      </w:r>
    </w:p>
    <w:p w:rsidR="002C4636" w:rsidRDefault="002C4636" w:rsidP="002C4636">
      <w:r>
        <w:t xml:space="preserve">This option focuses on improving the productivity of the </w:t>
      </w:r>
      <w:proofErr w:type="spellStart"/>
      <w:r>
        <w:t>Oldtown</w:t>
      </w:r>
      <w:proofErr w:type="spellEnd"/>
      <w:r>
        <w:t xml:space="preserve"> Port. It aims to increase utilisation of the Port infrastructure and services through expanded resources and operating hours. This will require a significant upgrade to security operations. Investment in access improvements and road design will make freight </w:t>
      </w:r>
      <w:r w:rsidR="00FC5EA3">
        <w:t>throughput safer</w:t>
      </w:r>
      <w:r>
        <w:t xml:space="preserve"> and journey times more reliable.</w:t>
      </w:r>
    </w:p>
    <w:tbl>
      <w:tblPr>
        <w:tblStyle w:val="LightList"/>
        <w:tblW w:w="9637" w:type="dxa"/>
        <w:tblInd w:w="-8" w:type="dxa"/>
        <w:tblLayout w:type="fixed"/>
        <w:tblLook w:val="0620" w:firstRow="1" w:lastRow="0" w:firstColumn="0" w:lastColumn="0" w:noHBand="1" w:noVBand="1"/>
      </w:tblPr>
      <w:tblGrid>
        <w:gridCol w:w="567"/>
        <w:gridCol w:w="8219"/>
        <w:gridCol w:w="851"/>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2C4636" w:rsidRDefault="002C4636" w:rsidP="002C4636">
            <w:pPr>
              <w:spacing w:after="40"/>
            </w:pPr>
            <w:r>
              <w:t>Interventions</w:t>
            </w:r>
          </w:p>
        </w:tc>
        <w:tc>
          <w:tcPr>
            <w:tcW w:w="851" w:type="dxa"/>
          </w:tcPr>
          <w:p w:rsidR="002C4636" w:rsidRDefault="002C4636" w:rsidP="002C4636">
            <w:pPr>
              <w:spacing w:after="40"/>
              <w:jc w:val="center"/>
            </w:pPr>
            <w:r>
              <w:t>%</w:t>
            </w:r>
          </w:p>
        </w:tc>
      </w:tr>
      <w:tr w:rsidR="002C4636" w:rsidTr="002C4636">
        <w:tc>
          <w:tcPr>
            <w:tcW w:w="567" w:type="dxa"/>
          </w:tcPr>
          <w:p w:rsidR="002C4636" w:rsidRDefault="002C4636" w:rsidP="002C4636">
            <w:pPr>
              <w:spacing w:after="40"/>
            </w:pPr>
            <w:r>
              <w:t>1</w:t>
            </w:r>
          </w:p>
        </w:tc>
        <w:tc>
          <w:tcPr>
            <w:tcW w:w="8220" w:type="dxa"/>
          </w:tcPr>
          <w:p w:rsidR="002C4636" w:rsidRDefault="002C4636" w:rsidP="002C4636">
            <w:pPr>
              <w:spacing w:after="40"/>
            </w:pPr>
            <w:r>
              <w:t>Update site security zones, expand surveillance &amp; streamline security operations</w:t>
            </w:r>
          </w:p>
        </w:tc>
        <w:tc>
          <w:tcPr>
            <w:tcW w:w="851" w:type="dxa"/>
          </w:tcPr>
          <w:p w:rsidR="002C4636" w:rsidRDefault="002C4636" w:rsidP="002C4636">
            <w:pPr>
              <w:spacing w:after="40"/>
              <w:jc w:val="center"/>
            </w:pPr>
            <w:r>
              <w:t>30%</w:t>
            </w:r>
          </w:p>
        </w:tc>
      </w:tr>
      <w:tr w:rsidR="002C4636" w:rsidTr="002C4636">
        <w:tc>
          <w:tcPr>
            <w:tcW w:w="567" w:type="dxa"/>
          </w:tcPr>
          <w:p w:rsidR="002C4636" w:rsidRDefault="002C4636" w:rsidP="002C4636">
            <w:pPr>
              <w:spacing w:after="40"/>
            </w:pPr>
            <w:r>
              <w:t>2</w:t>
            </w:r>
          </w:p>
        </w:tc>
        <w:tc>
          <w:tcPr>
            <w:tcW w:w="8220" w:type="dxa"/>
          </w:tcPr>
          <w:p w:rsidR="002C4636" w:rsidRDefault="002C4636" w:rsidP="002C4636">
            <w:pPr>
              <w:spacing w:after="40"/>
            </w:pPr>
            <w:r>
              <w:t>Improve land side access for port users &amp; separate freight and commuter traffic</w:t>
            </w:r>
          </w:p>
        </w:tc>
        <w:tc>
          <w:tcPr>
            <w:tcW w:w="851" w:type="dxa"/>
          </w:tcPr>
          <w:p w:rsidR="002C4636" w:rsidRDefault="002C4636" w:rsidP="002C4636">
            <w:pPr>
              <w:spacing w:after="40"/>
              <w:jc w:val="center"/>
            </w:pPr>
            <w:r>
              <w:t>20%</w:t>
            </w:r>
          </w:p>
        </w:tc>
      </w:tr>
      <w:tr w:rsidR="002C4636" w:rsidTr="002C4636">
        <w:tc>
          <w:tcPr>
            <w:tcW w:w="567" w:type="dxa"/>
          </w:tcPr>
          <w:p w:rsidR="002C4636" w:rsidRDefault="002C4636" w:rsidP="002C4636">
            <w:pPr>
              <w:spacing w:after="40"/>
            </w:pPr>
            <w:r>
              <w:t>3</w:t>
            </w:r>
          </w:p>
        </w:tc>
        <w:tc>
          <w:tcPr>
            <w:tcW w:w="8220" w:type="dxa"/>
          </w:tcPr>
          <w:p w:rsidR="002C4636" w:rsidRDefault="002C4636" w:rsidP="002C4636">
            <w:pPr>
              <w:spacing w:after="40"/>
            </w:pPr>
            <w:r>
              <w:t xml:space="preserve">Apply additional resources (staff &amp; outsourced </w:t>
            </w:r>
            <w:r w:rsidR="00FC5EA3">
              <w:t>services) to</w:t>
            </w:r>
            <w:r>
              <w:t xml:space="preserve"> support expanded operating hours</w:t>
            </w:r>
          </w:p>
        </w:tc>
        <w:tc>
          <w:tcPr>
            <w:tcW w:w="851" w:type="dxa"/>
          </w:tcPr>
          <w:p w:rsidR="002C4636" w:rsidRDefault="002C4636" w:rsidP="002C4636">
            <w:pPr>
              <w:spacing w:after="40"/>
              <w:jc w:val="center"/>
            </w:pPr>
            <w:r>
              <w:t>50%</w:t>
            </w: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1815"/>
        <w:gridCol w:w="1814"/>
        <w:gridCol w:w="1814"/>
        <w:gridCol w:w="1814"/>
        <w:gridCol w:w="238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2C4636" w:rsidRDefault="002C4636" w:rsidP="002C4636">
            <w:pPr>
              <w:spacing w:after="40"/>
              <w:jc w:val="center"/>
            </w:pPr>
            <w:r>
              <w:t>Benefit score</w:t>
            </w:r>
          </w:p>
        </w:tc>
        <w:tc>
          <w:tcPr>
            <w:tcW w:w="1814" w:type="dxa"/>
            <w:vAlign w:val="bottom"/>
          </w:tcPr>
          <w:p w:rsidR="002C4636" w:rsidRDefault="002C4636" w:rsidP="002C4636">
            <w:pPr>
              <w:spacing w:after="40"/>
              <w:jc w:val="center"/>
            </w:pPr>
            <w:r>
              <w:t>Capital TEI</w:t>
            </w:r>
          </w:p>
        </w:tc>
        <w:tc>
          <w:tcPr>
            <w:tcW w:w="1814" w:type="dxa"/>
            <w:vAlign w:val="bottom"/>
          </w:tcPr>
          <w:p w:rsidR="002C4636" w:rsidRDefault="002C4636" w:rsidP="002C4636">
            <w:pPr>
              <w:spacing w:after="40"/>
              <w:jc w:val="center"/>
            </w:pPr>
            <w:r>
              <w:t>Time range</w:t>
            </w:r>
          </w:p>
        </w:tc>
        <w:tc>
          <w:tcPr>
            <w:tcW w:w="1814" w:type="dxa"/>
            <w:vAlign w:val="bottom"/>
          </w:tcPr>
          <w:p w:rsidR="002C4636" w:rsidRDefault="002C4636" w:rsidP="002C4636">
            <w:pPr>
              <w:spacing w:after="40"/>
              <w:jc w:val="center"/>
            </w:pPr>
            <w:r>
              <w:t>Ranking</w:t>
            </w:r>
          </w:p>
        </w:tc>
        <w:tc>
          <w:tcPr>
            <w:tcW w:w="2380" w:type="dxa"/>
            <w:vAlign w:val="bottom"/>
          </w:tcPr>
          <w:p w:rsidR="002C4636" w:rsidRDefault="002C4636" w:rsidP="002C4636">
            <w:pPr>
              <w:spacing w:after="40"/>
              <w:jc w:val="center"/>
            </w:pPr>
            <w:r>
              <w:t>Options workshop required?</w:t>
            </w:r>
          </w:p>
        </w:tc>
      </w:tr>
      <w:tr w:rsidR="002C4636" w:rsidTr="002C4636">
        <w:tc>
          <w:tcPr>
            <w:tcW w:w="1814" w:type="dxa"/>
          </w:tcPr>
          <w:p w:rsidR="002C4636" w:rsidRDefault="002C4636" w:rsidP="002C4636">
            <w:pPr>
              <w:spacing w:after="40"/>
              <w:jc w:val="center"/>
            </w:pPr>
            <w:r>
              <w:t>67.5%</w:t>
            </w:r>
          </w:p>
        </w:tc>
        <w:tc>
          <w:tcPr>
            <w:tcW w:w="1814" w:type="dxa"/>
          </w:tcPr>
          <w:p w:rsidR="002C4636" w:rsidRDefault="002C4636" w:rsidP="002C4636">
            <w:pPr>
              <w:spacing w:after="40"/>
              <w:jc w:val="center"/>
            </w:pPr>
            <w:r>
              <w:t>$10-20 mil</w:t>
            </w:r>
          </w:p>
        </w:tc>
        <w:tc>
          <w:tcPr>
            <w:tcW w:w="1814" w:type="dxa"/>
          </w:tcPr>
          <w:p w:rsidR="002C4636" w:rsidRDefault="002C4636" w:rsidP="002C4636">
            <w:pPr>
              <w:spacing w:after="40"/>
              <w:jc w:val="center"/>
            </w:pPr>
            <w:r>
              <w:t>12</w:t>
            </w:r>
            <w:r w:rsidR="0007398B">
              <w:t xml:space="preserve"> – </w:t>
            </w:r>
            <w:r>
              <w:t>24 mm</w:t>
            </w:r>
          </w:p>
        </w:tc>
        <w:tc>
          <w:tcPr>
            <w:tcW w:w="1814" w:type="dxa"/>
          </w:tcPr>
          <w:p w:rsidR="002C4636" w:rsidRDefault="002C4636" w:rsidP="002C4636">
            <w:pPr>
              <w:spacing w:after="40"/>
              <w:jc w:val="center"/>
            </w:pPr>
          </w:p>
        </w:tc>
        <w:tc>
          <w:tcPr>
            <w:tcW w:w="2380" w:type="dxa"/>
          </w:tcPr>
          <w:p w:rsidR="002C4636" w:rsidRDefault="002C4636" w:rsidP="002C4636">
            <w:pPr>
              <w:spacing w:after="40"/>
              <w:jc w:val="center"/>
            </w:pPr>
            <w:r>
              <w:t>No</w:t>
            </w: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r>
              <w:t>Risks and Uncertainty</w:t>
            </w:r>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Insufficient staff skills &amp; resources available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Mismatch of demand &amp; resource allocation leads to inefficient and expensive operations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3</w:t>
            </w:r>
          </w:p>
        </w:tc>
        <w:tc>
          <w:tcPr>
            <w:tcW w:w="8841" w:type="dxa"/>
          </w:tcPr>
          <w:p w:rsidR="002C4636" w:rsidRDefault="002C4636" w:rsidP="002C4636">
            <w:pPr>
              <w:spacing w:after="40"/>
            </w:pPr>
            <w:r>
              <w:t>Without capital investment, port services become less competitive over time &amp; less viable (H)</w:t>
            </w:r>
          </w:p>
        </w:tc>
        <w:tc>
          <w:tcPr>
            <w:tcW w:w="255"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proofErr w:type="spellStart"/>
            <w:r>
              <w:t>Disbenefits</w:t>
            </w:r>
            <w:proofErr w:type="spellEnd"/>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 xml:space="preserve">Adverse </w:t>
            </w:r>
            <w:r w:rsidR="00FC5EA3">
              <w:t>environmental &amp;</w:t>
            </w:r>
            <w:r>
              <w:t xml:space="preserve"> amenity impact of 24/7 road traffic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No capacity to scale up in future (H)</w:t>
            </w:r>
          </w:p>
        </w:tc>
        <w:tc>
          <w:tcPr>
            <w:tcW w:w="255"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567"/>
        <w:gridCol w:w="907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2C4636" w:rsidRDefault="002C4636" w:rsidP="002C4636">
            <w:pPr>
              <w:spacing w:after="40"/>
            </w:pPr>
            <w:r>
              <w:lastRenderedPageBreak/>
              <w:t>Interdependencies</w:t>
            </w:r>
          </w:p>
        </w:tc>
      </w:tr>
      <w:tr w:rsidR="002C4636" w:rsidTr="002C4636">
        <w:tc>
          <w:tcPr>
            <w:tcW w:w="567" w:type="dxa"/>
          </w:tcPr>
          <w:p w:rsidR="002C4636" w:rsidRDefault="002C4636" w:rsidP="002C4636">
            <w:pPr>
              <w:spacing w:after="40"/>
            </w:pPr>
            <w:r>
              <w:t>1</w:t>
            </w:r>
          </w:p>
        </w:tc>
        <w:tc>
          <w:tcPr>
            <w:tcW w:w="9071" w:type="dxa"/>
          </w:tcPr>
          <w:p w:rsidR="002C4636" w:rsidRDefault="002C4636" w:rsidP="002C4636">
            <w:pPr>
              <w:spacing w:after="40"/>
            </w:pPr>
            <w:r>
              <w:t>Industrial agreements can be negotiated at cost-effective levels</w:t>
            </w:r>
          </w:p>
        </w:tc>
      </w:tr>
      <w:tr w:rsidR="002C4636" w:rsidTr="002C4636">
        <w:tc>
          <w:tcPr>
            <w:tcW w:w="567" w:type="dxa"/>
          </w:tcPr>
          <w:p w:rsidR="002C4636" w:rsidRDefault="002C4636" w:rsidP="002C4636">
            <w:pPr>
              <w:spacing w:after="40"/>
            </w:pPr>
            <w:r>
              <w:t>2</w:t>
            </w:r>
          </w:p>
        </w:tc>
        <w:tc>
          <w:tcPr>
            <w:tcW w:w="9071" w:type="dxa"/>
          </w:tcPr>
          <w:p w:rsidR="002C4636" w:rsidRDefault="002C4636" w:rsidP="002C4636">
            <w:pPr>
              <w:spacing w:after="40"/>
            </w:pPr>
            <w:r>
              <w:t>Willingness of port customers to adjust schedules and operations</w:t>
            </w:r>
          </w:p>
        </w:tc>
      </w:tr>
    </w:tbl>
    <w:p w:rsidR="002C4636" w:rsidRDefault="002C4636" w:rsidP="002C4636"/>
    <w:p w:rsidR="002C4636" w:rsidRDefault="002C4636" w:rsidP="002C4636">
      <w:pPr>
        <w:pStyle w:val="OptionTitle"/>
      </w:pPr>
      <w:r>
        <w:t>Option 5: Build capacity for future growth in demand</w:t>
      </w:r>
    </w:p>
    <w:p w:rsidR="002C4636" w:rsidRDefault="002C4636" w:rsidP="002C4636">
      <w:r>
        <w:t xml:space="preserve">This option focuses </w:t>
      </w:r>
      <w:r w:rsidR="00FC5EA3">
        <w:t>on expanding</w:t>
      </w:r>
      <w:r>
        <w:t xml:space="preserve"> capacity of </w:t>
      </w:r>
      <w:proofErr w:type="spellStart"/>
      <w:r>
        <w:t>Oldtown</w:t>
      </w:r>
      <w:proofErr w:type="spellEnd"/>
      <w:r>
        <w:t xml:space="preserve"> </w:t>
      </w:r>
      <w:r w:rsidR="00FC5EA3">
        <w:t>Port and</w:t>
      </w:r>
      <w:r>
        <w:t xml:space="preserve"> building new infrastructure to manage forecast demand and growth. Port facilities will be modernised, road access improved considerably and a major upgrade to security capacity and operations across the expanded Port site and perimeter.</w:t>
      </w:r>
    </w:p>
    <w:tbl>
      <w:tblPr>
        <w:tblStyle w:val="LightList"/>
        <w:tblW w:w="9637" w:type="dxa"/>
        <w:tblInd w:w="-8" w:type="dxa"/>
        <w:tblLayout w:type="fixed"/>
        <w:tblLook w:val="0620" w:firstRow="1" w:lastRow="0" w:firstColumn="0" w:lastColumn="0" w:noHBand="1" w:noVBand="1"/>
      </w:tblPr>
      <w:tblGrid>
        <w:gridCol w:w="567"/>
        <w:gridCol w:w="8219"/>
        <w:gridCol w:w="851"/>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2C4636" w:rsidRDefault="002C4636" w:rsidP="002C4636">
            <w:pPr>
              <w:spacing w:after="40"/>
            </w:pPr>
            <w:r>
              <w:t>Interventions</w:t>
            </w:r>
          </w:p>
        </w:tc>
        <w:tc>
          <w:tcPr>
            <w:tcW w:w="851" w:type="dxa"/>
          </w:tcPr>
          <w:p w:rsidR="002C4636" w:rsidRDefault="002C4636" w:rsidP="002C4636">
            <w:pPr>
              <w:spacing w:after="40"/>
              <w:jc w:val="center"/>
            </w:pPr>
            <w:r>
              <w:t>%</w:t>
            </w:r>
          </w:p>
        </w:tc>
      </w:tr>
      <w:tr w:rsidR="002C4636" w:rsidTr="002C4636">
        <w:tc>
          <w:tcPr>
            <w:tcW w:w="567" w:type="dxa"/>
          </w:tcPr>
          <w:p w:rsidR="002C4636" w:rsidRDefault="002C4636" w:rsidP="002C4636">
            <w:pPr>
              <w:spacing w:after="40"/>
            </w:pPr>
            <w:r>
              <w:t>1</w:t>
            </w:r>
          </w:p>
        </w:tc>
        <w:tc>
          <w:tcPr>
            <w:tcW w:w="8220" w:type="dxa"/>
          </w:tcPr>
          <w:p w:rsidR="002C4636" w:rsidRDefault="002C4636" w:rsidP="002C4636">
            <w:pPr>
              <w:spacing w:after="40"/>
            </w:pPr>
            <w:r>
              <w:t>Achieve better alignment between port capacity &amp; forecast demand</w:t>
            </w:r>
          </w:p>
        </w:tc>
        <w:tc>
          <w:tcPr>
            <w:tcW w:w="851" w:type="dxa"/>
          </w:tcPr>
          <w:p w:rsidR="002C4636" w:rsidRDefault="002C4636" w:rsidP="002C4636">
            <w:pPr>
              <w:spacing w:after="40"/>
              <w:jc w:val="center"/>
            </w:pPr>
            <w:r>
              <w:t>20%</w:t>
            </w:r>
          </w:p>
        </w:tc>
      </w:tr>
      <w:tr w:rsidR="002C4636" w:rsidTr="002C4636">
        <w:tc>
          <w:tcPr>
            <w:tcW w:w="567" w:type="dxa"/>
          </w:tcPr>
          <w:p w:rsidR="002C4636" w:rsidRDefault="002C4636" w:rsidP="002C4636">
            <w:pPr>
              <w:spacing w:after="40"/>
            </w:pPr>
            <w:r>
              <w:t>2</w:t>
            </w:r>
          </w:p>
        </w:tc>
        <w:tc>
          <w:tcPr>
            <w:tcW w:w="8220" w:type="dxa"/>
          </w:tcPr>
          <w:p w:rsidR="002C4636" w:rsidRDefault="002C4636" w:rsidP="002C4636">
            <w:pPr>
              <w:spacing w:after="40"/>
            </w:pPr>
            <w:r>
              <w:t xml:space="preserve">Modernise port facilities &amp; services to meet </w:t>
            </w:r>
            <w:r w:rsidR="00FC5EA3">
              <w:t>current &amp;</w:t>
            </w:r>
            <w:r>
              <w:t xml:space="preserve"> projected user needs</w:t>
            </w:r>
          </w:p>
        </w:tc>
        <w:tc>
          <w:tcPr>
            <w:tcW w:w="851" w:type="dxa"/>
          </w:tcPr>
          <w:p w:rsidR="002C4636" w:rsidRDefault="002C4636" w:rsidP="002C4636">
            <w:pPr>
              <w:spacing w:after="40"/>
              <w:jc w:val="center"/>
            </w:pPr>
            <w:r>
              <w:t>50%</w:t>
            </w:r>
          </w:p>
        </w:tc>
      </w:tr>
      <w:tr w:rsidR="002C4636" w:rsidTr="002C4636">
        <w:tc>
          <w:tcPr>
            <w:tcW w:w="567" w:type="dxa"/>
          </w:tcPr>
          <w:p w:rsidR="002C4636" w:rsidRDefault="002C4636" w:rsidP="002C4636">
            <w:pPr>
              <w:spacing w:after="40"/>
            </w:pPr>
            <w:r>
              <w:t>3</w:t>
            </w:r>
          </w:p>
        </w:tc>
        <w:tc>
          <w:tcPr>
            <w:tcW w:w="8220" w:type="dxa"/>
          </w:tcPr>
          <w:p w:rsidR="002C4636" w:rsidRDefault="002C4636" w:rsidP="002C4636">
            <w:pPr>
              <w:spacing w:after="40"/>
            </w:pPr>
            <w:r>
              <w:t>Improve landside access for port users &amp; separate freight and commuter traffic</w:t>
            </w:r>
          </w:p>
        </w:tc>
        <w:tc>
          <w:tcPr>
            <w:tcW w:w="851" w:type="dxa"/>
          </w:tcPr>
          <w:p w:rsidR="002C4636" w:rsidRDefault="002C4636" w:rsidP="002C4636">
            <w:pPr>
              <w:spacing w:after="40"/>
              <w:jc w:val="center"/>
            </w:pPr>
            <w:r>
              <w:t>15%</w:t>
            </w:r>
          </w:p>
        </w:tc>
      </w:tr>
      <w:tr w:rsidR="002C4636" w:rsidTr="002C4636">
        <w:tc>
          <w:tcPr>
            <w:tcW w:w="567" w:type="dxa"/>
          </w:tcPr>
          <w:p w:rsidR="002C4636" w:rsidRDefault="002C4636" w:rsidP="002C4636">
            <w:pPr>
              <w:spacing w:after="40"/>
            </w:pPr>
            <w:r>
              <w:t>4</w:t>
            </w:r>
          </w:p>
        </w:tc>
        <w:tc>
          <w:tcPr>
            <w:tcW w:w="8220" w:type="dxa"/>
          </w:tcPr>
          <w:p w:rsidR="002C4636" w:rsidRDefault="002C4636" w:rsidP="002C4636">
            <w:pPr>
              <w:spacing w:after="40"/>
            </w:pPr>
            <w:r>
              <w:t>Update site security zones, expand surveillance &amp; streamline security operations</w:t>
            </w:r>
          </w:p>
        </w:tc>
        <w:tc>
          <w:tcPr>
            <w:tcW w:w="851" w:type="dxa"/>
          </w:tcPr>
          <w:p w:rsidR="002C4636" w:rsidRDefault="002C4636" w:rsidP="002C4636">
            <w:pPr>
              <w:spacing w:after="40"/>
              <w:jc w:val="center"/>
            </w:pPr>
            <w:r>
              <w:t>15%</w:t>
            </w: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1815"/>
        <w:gridCol w:w="1814"/>
        <w:gridCol w:w="1814"/>
        <w:gridCol w:w="1814"/>
        <w:gridCol w:w="238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2C4636" w:rsidRDefault="002C4636" w:rsidP="002C4636">
            <w:pPr>
              <w:spacing w:after="40"/>
              <w:jc w:val="center"/>
            </w:pPr>
            <w:r>
              <w:t>Benefit score</w:t>
            </w:r>
          </w:p>
        </w:tc>
        <w:tc>
          <w:tcPr>
            <w:tcW w:w="1814" w:type="dxa"/>
            <w:vAlign w:val="bottom"/>
          </w:tcPr>
          <w:p w:rsidR="002C4636" w:rsidRDefault="002C4636" w:rsidP="002C4636">
            <w:pPr>
              <w:spacing w:after="40"/>
              <w:jc w:val="center"/>
            </w:pPr>
            <w:r>
              <w:t>Capital TEI</w:t>
            </w:r>
          </w:p>
        </w:tc>
        <w:tc>
          <w:tcPr>
            <w:tcW w:w="1814" w:type="dxa"/>
            <w:vAlign w:val="bottom"/>
          </w:tcPr>
          <w:p w:rsidR="002C4636" w:rsidRDefault="002C4636" w:rsidP="002C4636">
            <w:pPr>
              <w:spacing w:after="40"/>
              <w:jc w:val="center"/>
            </w:pPr>
            <w:r>
              <w:t>Time range</w:t>
            </w:r>
          </w:p>
        </w:tc>
        <w:tc>
          <w:tcPr>
            <w:tcW w:w="1814" w:type="dxa"/>
            <w:vAlign w:val="bottom"/>
          </w:tcPr>
          <w:p w:rsidR="002C4636" w:rsidRDefault="002C4636" w:rsidP="002C4636">
            <w:pPr>
              <w:spacing w:after="40"/>
              <w:jc w:val="center"/>
            </w:pPr>
            <w:r>
              <w:t>Ranking</w:t>
            </w:r>
          </w:p>
        </w:tc>
        <w:tc>
          <w:tcPr>
            <w:tcW w:w="2380" w:type="dxa"/>
            <w:vAlign w:val="bottom"/>
          </w:tcPr>
          <w:p w:rsidR="002C4636" w:rsidRDefault="002C4636" w:rsidP="002C4636">
            <w:pPr>
              <w:spacing w:after="40"/>
              <w:jc w:val="center"/>
            </w:pPr>
            <w:r>
              <w:t>Options workshop required?</w:t>
            </w:r>
          </w:p>
        </w:tc>
      </w:tr>
      <w:tr w:rsidR="002C4636" w:rsidTr="002C4636">
        <w:tc>
          <w:tcPr>
            <w:tcW w:w="1814" w:type="dxa"/>
          </w:tcPr>
          <w:p w:rsidR="002C4636" w:rsidRDefault="002C4636" w:rsidP="002C4636">
            <w:pPr>
              <w:spacing w:after="40"/>
              <w:jc w:val="center"/>
            </w:pPr>
            <w:r>
              <w:t>90.0%</w:t>
            </w:r>
          </w:p>
        </w:tc>
        <w:tc>
          <w:tcPr>
            <w:tcW w:w="1814" w:type="dxa"/>
          </w:tcPr>
          <w:p w:rsidR="002C4636" w:rsidRDefault="002C4636" w:rsidP="002C4636">
            <w:pPr>
              <w:spacing w:after="40"/>
              <w:jc w:val="center"/>
            </w:pPr>
            <w:r>
              <w:t>$100-150 mil</w:t>
            </w:r>
          </w:p>
        </w:tc>
        <w:tc>
          <w:tcPr>
            <w:tcW w:w="1814" w:type="dxa"/>
          </w:tcPr>
          <w:p w:rsidR="002C4636" w:rsidRDefault="002C4636" w:rsidP="002C4636">
            <w:pPr>
              <w:spacing w:after="40"/>
              <w:jc w:val="center"/>
            </w:pPr>
            <w:r>
              <w:t>12-48 mm</w:t>
            </w:r>
          </w:p>
        </w:tc>
        <w:tc>
          <w:tcPr>
            <w:tcW w:w="1814" w:type="dxa"/>
            <w:tcBorders>
              <w:top w:val="single" w:sz="6" w:space="0" w:color="auto"/>
              <w:bottom w:val="single" w:sz="6" w:space="0" w:color="000000" w:themeColor="text1"/>
            </w:tcBorders>
            <w:shd w:val="clear" w:color="auto" w:fill="96B432"/>
          </w:tcPr>
          <w:p w:rsidR="002C4636" w:rsidRDefault="002C4636" w:rsidP="002C4636">
            <w:pPr>
              <w:spacing w:after="40"/>
              <w:jc w:val="center"/>
            </w:pPr>
            <w:r>
              <w:t>1</w:t>
            </w:r>
          </w:p>
        </w:tc>
        <w:tc>
          <w:tcPr>
            <w:tcW w:w="2380" w:type="dxa"/>
          </w:tcPr>
          <w:p w:rsidR="002C4636" w:rsidRDefault="002C4636" w:rsidP="002C4636">
            <w:pPr>
              <w:spacing w:after="40"/>
              <w:jc w:val="center"/>
            </w:pPr>
            <w:r>
              <w:t>Yes</w:t>
            </w: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r>
              <w:t>Risks and Uncertainty</w:t>
            </w:r>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Appropriate zoning for port-</w:t>
            </w:r>
            <w:r w:rsidR="00FC5EA3">
              <w:t>expansion land</w:t>
            </w:r>
            <w:r>
              <w:t xml:space="preserve"> not obtained (H)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 xml:space="preserve">Insufficient flexibility built into upgrades to warehousing and </w:t>
            </w:r>
            <w:r w:rsidR="00FC5EA3">
              <w:t>infrastructure to</w:t>
            </w:r>
            <w:r>
              <w:t xml:space="preserve"> respond to volatility in future </w:t>
            </w:r>
            <w:r w:rsidR="00FC5EA3">
              <w:t>demand &amp;</w:t>
            </w:r>
            <w:r>
              <w:t xml:space="preserve"> industry </w:t>
            </w:r>
            <w:r w:rsidR="00FC5EA3">
              <w:t>shifts (</w:t>
            </w:r>
            <w:r>
              <w:t>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3</w:t>
            </w:r>
          </w:p>
        </w:tc>
        <w:tc>
          <w:tcPr>
            <w:tcW w:w="8841" w:type="dxa"/>
          </w:tcPr>
          <w:p w:rsidR="002C4636" w:rsidRDefault="00407805" w:rsidP="00407805">
            <w:pPr>
              <w:spacing w:after="40"/>
            </w:pPr>
            <w:r>
              <w:t>Timing and locational u</w:t>
            </w:r>
            <w:r w:rsidR="002C4636">
              <w:t>ncertaint</w:t>
            </w:r>
            <w:r>
              <w:t>ies</w:t>
            </w:r>
            <w:r w:rsidR="002C4636">
              <w:t xml:space="preserve"> </w:t>
            </w:r>
            <w:r>
              <w:t xml:space="preserve">relating to </w:t>
            </w:r>
            <w:r w:rsidR="00BF0B39">
              <w:t xml:space="preserve">Government’s long-term </w:t>
            </w:r>
            <w:r>
              <w:t xml:space="preserve">requirements </w:t>
            </w:r>
            <w:r w:rsidR="00BF0B39">
              <w:t xml:space="preserve">for a new, additional commercial port in the state </w:t>
            </w:r>
            <w:r>
              <w:t>impact</w:t>
            </w:r>
            <w:r w:rsidR="00BF0B39">
              <w:t xml:space="preserve"> the</w:t>
            </w:r>
            <w:r w:rsidR="00FC5EA3">
              <w:t xml:space="preserve"> future demand</w:t>
            </w:r>
            <w:r w:rsidR="002C4636">
              <w:t xml:space="preserve"> for</w:t>
            </w:r>
            <w:r w:rsidR="0007398B">
              <w:t xml:space="preserve"> </w:t>
            </w:r>
            <w:proofErr w:type="spellStart"/>
            <w:r w:rsidR="002C4636">
              <w:t>Oldtown</w:t>
            </w:r>
            <w:proofErr w:type="spellEnd"/>
            <w:r w:rsidR="002C4636">
              <w:t xml:space="preserve"> </w:t>
            </w:r>
            <w:r w:rsidR="00FC5EA3">
              <w:t>port</w:t>
            </w:r>
            <w:r>
              <w:t xml:space="preserve"> services</w:t>
            </w:r>
            <w:r w:rsidR="00FC5EA3">
              <w:t xml:space="preserve"> </w:t>
            </w:r>
            <w:r w:rsidR="002C4636">
              <w:t>(H)</w:t>
            </w:r>
          </w:p>
        </w:tc>
        <w:tc>
          <w:tcPr>
            <w:tcW w:w="255" w:type="dxa"/>
            <w:tcBorders>
              <w:top w:val="single" w:sz="6" w:space="0" w:color="C0C0C0"/>
              <w:bottom w:val="single" w:sz="6" w:space="0" w:color="C0C0C0"/>
            </w:tcBorders>
            <w:shd w:val="clear" w:color="auto" w:fill="C00000"/>
          </w:tcPr>
          <w:p w:rsidR="002C4636" w:rsidRDefault="002C4636" w:rsidP="002C4636">
            <w:pPr>
              <w:spacing w:after="40"/>
            </w:pPr>
          </w:p>
        </w:tc>
      </w:tr>
      <w:tr w:rsidR="002C4636" w:rsidTr="0007398B">
        <w:tc>
          <w:tcPr>
            <w:tcW w:w="560" w:type="dxa"/>
          </w:tcPr>
          <w:p w:rsidR="002C4636" w:rsidRDefault="002C4636" w:rsidP="002C4636">
            <w:pPr>
              <w:spacing w:after="40"/>
            </w:pPr>
            <w:r>
              <w:t>4</w:t>
            </w:r>
          </w:p>
        </w:tc>
        <w:tc>
          <w:tcPr>
            <w:tcW w:w="8841" w:type="dxa"/>
          </w:tcPr>
          <w:p w:rsidR="002C4636" w:rsidRDefault="002C4636" w:rsidP="002C4636">
            <w:pPr>
              <w:spacing w:after="40"/>
            </w:pPr>
            <w:r>
              <w:t>Impacts of climate change on physical infrastructure results in frequent system failures and compromises capacity of the port (H)</w:t>
            </w:r>
          </w:p>
        </w:tc>
        <w:tc>
          <w:tcPr>
            <w:tcW w:w="255" w:type="dxa"/>
            <w:tcBorders>
              <w:top w:val="single" w:sz="6" w:space="0" w:color="C0C0C0"/>
              <w:bottom w:val="single" w:sz="6" w:space="0" w:color="000000" w:themeColor="text1"/>
            </w:tcBorders>
            <w:shd w:val="clear" w:color="auto" w:fill="C00000"/>
          </w:tcPr>
          <w:p w:rsidR="002C4636" w:rsidRDefault="002C4636" w:rsidP="002C4636">
            <w:pPr>
              <w:spacing w:after="40"/>
            </w:pPr>
          </w:p>
        </w:tc>
      </w:tr>
    </w:tbl>
    <w:p w:rsidR="002C4636" w:rsidRDefault="002C4636" w:rsidP="002C4636"/>
    <w:tbl>
      <w:tblPr>
        <w:tblStyle w:val="LightList"/>
        <w:tblW w:w="9656" w:type="dxa"/>
        <w:tblInd w:w="-8" w:type="dxa"/>
        <w:tblLayout w:type="fixed"/>
        <w:tblLook w:val="0620" w:firstRow="1" w:lastRow="0" w:firstColumn="0" w:lastColumn="0" w:noHBand="1" w:noVBand="1"/>
      </w:tblPr>
      <w:tblGrid>
        <w:gridCol w:w="560"/>
        <w:gridCol w:w="8841"/>
        <w:gridCol w:w="255"/>
      </w:tblGrid>
      <w:tr w:rsidR="002C4636" w:rsidTr="0007398B">
        <w:trPr>
          <w:cnfStyle w:val="100000000000" w:firstRow="1" w:lastRow="0" w:firstColumn="0" w:lastColumn="0" w:oddVBand="0" w:evenVBand="0" w:oddHBand="0" w:evenHBand="0" w:firstRowFirstColumn="0" w:firstRowLastColumn="0" w:lastRowFirstColumn="0" w:lastRowLastColumn="0"/>
          <w:tblHeader/>
        </w:trPr>
        <w:tc>
          <w:tcPr>
            <w:tcW w:w="9656" w:type="dxa"/>
            <w:gridSpan w:val="3"/>
          </w:tcPr>
          <w:p w:rsidR="002C4636" w:rsidRDefault="002C4636" w:rsidP="002C4636">
            <w:pPr>
              <w:spacing w:after="40"/>
            </w:pPr>
            <w:proofErr w:type="spellStart"/>
            <w:r>
              <w:t>Disbenefits</w:t>
            </w:r>
            <w:proofErr w:type="spellEnd"/>
          </w:p>
        </w:tc>
      </w:tr>
      <w:tr w:rsidR="002C4636" w:rsidTr="0007398B">
        <w:tc>
          <w:tcPr>
            <w:tcW w:w="560" w:type="dxa"/>
          </w:tcPr>
          <w:p w:rsidR="002C4636" w:rsidRDefault="002C4636" w:rsidP="002C4636">
            <w:pPr>
              <w:spacing w:after="40"/>
            </w:pPr>
            <w:r>
              <w:t>1</w:t>
            </w:r>
          </w:p>
        </w:tc>
        <w:tc>
          <w:tcPr>
            <w:tcW w:w="8841" w:type="dxa"/>
          </w:tcPr>
          <w:p w:rsidR="002C4636" w:rsidRDefault="002C4636" w:rsidP="002C4636">
            <w:pPr>
              <w:spacing w:after="40"/>
            </w:pPr>
            <w:r>
              <w:t>Long-term growth of Newtown Port constrained (M)</w:t>
            </w:r>
          </w:p>
        </w:tc>
        <w:tc>
          <w:tcPr>
            <w:tcW w:w="255" w:type="dxa"/>
            <w:tcBorders>
              <w:top w:val="single" w:sz="6" w:space="0" w:color="C0C0C0"/>
              <w:bottom w:val="single" w:sz="6" w:space="0" w:color="C0C0C0"/>
            </w:tcBorders>
            <w:shd w:val="clear" w:color="auto" w:fill="FA9646"/>
          </w:tcPr>
          <w:p w:rsidR="002C4636" w:rsidRDefault="002C4636" w:rsidP="002C4636">
            <w:pPr>
              <w:spacing w:after="40"/>
            </w:pPr>
          </w:p>
        </w:tc>
      </w:tr>
      <w:tr w:rsidR="002C4636" w:rsidTr="0007398B">
        <w:tc>
          <w:tcPr>
            <w:tcW w:w="560" w:type="dxa"/>
          </w:tcPr>
          <w:p w:rsidR="002C4636" w:rsidRDefault="002C4636" w:rsidP="002C4636">
            <w:pPr>
              <w:spacing w:after="40"/>
            </w:pPr>
            <w:r>
              <w:t>2</w:t>
            </w:r>
          </w:p>
        </w:tc>
        <w:tc>
          <w:tcPr>
            <w:tcW w:w="8841" w:type="dxa"/>
          </w:tcPr>
          <w:p w:rsidR="002C4636" w:rsidRDefault="002C4636" w:rsidP="002C4636">
            <w:pPr>
              <w:spacing w:after="40"/>
            </w:pPr>
            <w:r>
              <w:t>Increased maintenance and asset liability for port enterprise (M)</w:t>
            </w:r>
          </w:p>
        </w:tc>
        <w:tc>
          <w:tcPr>
            <w:tcW w:w="255" w:type="dxa"/>
            <w:tcBorders>
              <w:top w:val="single" w:sz="6" w:space="0" w:color="C0C0C0"/>
              <w:bottom w:val="single" w:sz="6" w:space="0" w:color="000000" w:themeColor="text1"/>
            </w:tcBorders>
            <w:shd w:val="clear" w:color="auto" w:fill="FA9646"/>
          </w:tcPr>
          <w:p w:rsidR="002C4636" w:rsidRDefault="002C4636" w:rsidP="002C4636">
            <w:pPr>
              <w:spacing w:after="40"/>
            </w:pPr>
          </w:p>
        </w:tc>
      </w:tr>
    </w:tbl>
    <w:p w:rsidR="002C4636" w:rsidRDefault="002C4636" w:rsidP="002C4636"/>
    <w:tbl>
      <w:tblPr>
        <w:tblStyle w:val="LightList"/>
        <w:tblW w:w="9637" w:type="dxa"/>
        <w:tblInd w:w="-8" w:type="dxa"/>
        <w:tblLayout w:type="fixed"/>
        <w:tblLook w:val="0620" w:firstRow="1" w:lastRow="0" w:firstColumn="0" w:lastColumn="0" w:noHBand="1" w:noVBand="1"/>
      </w:tblPr>
      <w:tblGrid>
        <w:gridCol w:w="567"/>
        <w:gridCol w:w="9070"/>
      </w:tblGrid>
      <w:tr w:rsidR="002C4636" w:rsidTr="002C4636">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2C4636" w:rsidRDefault="002C4636" w:rsidP="002C4636">
            <w:pPr>
              <w:spacing w:after="40"/>
            </w:pPr>
            <w:r>
              <w:t>Interdependencies</w:t>
            </w:r>
          </w:p>
        </w:tc>
      </w:tr>
      <w:tr w:rsidR="002C4636" w:rsidTr="002C4636">
        <w:tc>
          <w:tcPr>
            <w:tcW w:w="567" w:type="dxa"/>
          </w:tcPr>
          <w:p w:rsidR="002C4636" w:rsidRDefault="002C4636" w:rsidP="002C4636">
            <w:pPr>
              <w:spacing w:after="40"/>
            </w:pPr>
            <w:r>
              <w:t>1</w:t>
            </w:r>
          </w:p>
        </w:tc>
        <w:tc>
          <w:tcPr>
            <w:tcW w:w="9071" w:type="dxa"/>
          </w:tcPr>
          <w:p w:rsidR="002C4636" w:rsidRDefault="002C4636" w:rsidP="002C4636">
            <w:pPr>
              <w:spacing w:after="40"/>
            </w:pPr>
            <w:r>
              <w:t>State economic &amp; transport policy</w:t>
            </w:r>
          </w:p>
        </w:tc>
      </w:tr>
      <w:tr w:rsidR="002C4636" w:rsidTr="002C4636">
        <w:tc>
          <w:tcPr>
            <w:tcW w:w="567" w:type="dxa"/>
          </w:tcPr>
          <w:p w:rsidR="002C4636" w:rsidRDefault="002C4636" w:rsidP="002C4636">
            <w:pPr>
              <w:spacing w:after="40"/>
            </w:pPr>
            <w:r>
              <w:t>2</w:t>
            </w:r>
          </w:p>
        </w:tc>
        <w:tc>
          <w:tcPr>
            <w:tcW w:w="9071" w:type="dxa"/>
          </w:tcPr>
          <w:p w:rsidR="002C4636" w:rsidRDefault="002C4636" w:rsidP="002C4636">
            <w:pPr>
              <w:spacing w:after="40"/>
            </w:pPr>
            <w:r>
              <w:t>Continued growth in freight volumes as modelled</w:t>
            </w:r>
          </w:p>
        </w:tc>
      </w:tr>
    </w:tbl>
    <w:p w:rsidR="002C4636" w:rsidRDefault="002C4636" w:rsidP="002C4636"/>
    <w:p w:rsidR="00902F87" w:rsidRDefault="00902F87">
      <w:pPr>
        <w:spacing w:after="160"/>
        <w:rPr>
          <w:b/>
          <w:sz w:val="28"/>
        </w:rPr>
      </w:pPr>
      <w:r>
        <w:br w:type="page"/>
      </w:r>
    </w:p>
    <w:p w:rsidR="002C4636" w:rsidRDefault="002C4636" w:rsidP="002C4636">
      <w:pPr>
        <w:pStyle w:val="InvestmentTitle"/>
        <w:pBdr>
          <w:top w:val="single" w:sz="12" w:space="1" w:color="000000"/>
        </w:pBdr>
      </w:pPr>
      <w:r>
        <w:t>Overall assessment</w:t>
      </w:r>
    </w:p>
    <w:p w:rsidR="002C4636" w:rsidRDefault="002C4636" w:rsidP="002C4636">
      <w:r>
        <w:t>Option 1 is the 'business as usual' approach with a modest amount of additional resources being applied to essential security and safety upgrades but no other improvements in services or capacity.</w:t>
      </w:r>
      <w:r w:rsidR="0007398B">
        <w:t xml:space="preserve"> </w:t>
      </w:r>
      <w:r>
        <w:t xml:space="preserve">This has low benefit delivery and fails to respond to immediate demand, security and </w:t>
      </w:r>
      <w:r>
        <w:lastRenderedPageBreak/>
        <w:t xml:space="preserve">economic growth imperatives. It largely defers a more substantive decision to further down the track. Option 2 represents a substantial change in the port provision in the region by consolidating all services in one location. This option has relatively high benefit delivery but would be costly and timely to implement and has uncertain wider economic impacts. Option 3 focuses on creating 'specialised' ports for the region </w:t>
      </w:r>
      <w:r w:rsidR="00FC5EA3">
        <w:t>which has</w:t>
      </w:r>
      <w:r>
        <w:t xml:space="preserve"> strong benefit delivery but may limit longer term flexibility and economic diversity in the region and for the ports' longer term operating model. Option 4 is a relatively short-term tactical response which is relatively cheap and speedy to implement.</w:t>
      </w:r>
      <w:r w:rsidR="0007398B">
        <w:t xml:space="preserve"> </w:t>
      </w:r>
      <w:r>
        <w:t>In common with Option 1, it effectively defers a more long-term decision on the port's future whilst eroding its asset base and competitiveness. This option has lower benefit delivery than Options 2 and 3. Option 5 focuses on upgrading and expanding current capacity to meet expected demand without a fundamental change in the overall port provision in the eastern region. This option provides strong benefit delivery and represents good value for money with a manageable risk profile. However, the scale of investment and the risks and uncertainty around the</w:t>
      </w:r>
      <w:r w:rsidR="00BF0B39">
        <w:t xml:space="preserve"> long-term</w:t>
      </w:r>
      <w:r>
        <w:t xml:space="preserve"> demand </w:t>
      </w:r>
      <w:r w:rsidR="00BF0B39">
        <w:t xml:space="preserve">for, </w:t>
      </w:r>
      <w:r>
        <w:t>and timing</w:t>
      </w:r>
      <w:r w:rsidR="00BF0B39">
        <w:t xml:space="preserve"> and location</w:t>
      </w:r>
      <w:r>
        <w:t xml:space="preserve"> of</w:t>
      </w:r>
      <w:r w:rsidR="00BF0B39">
        <w:t>,</w:t>
      </w:r>
      <w:r>
        <w:t xml:space="preserve"> a second container port means that a real options analysis is required.</w:t>
      </w:r>
    </w:p>
    <w:p w:rsidR="002C4636" w:rsidRDefault="002C4636" w:rsidP="002C4636">
      <w:pPr>
        <w:pStyle w:val="InvestmentTitle"/>
      </w:pPr>
      <w:r>
        <w:t>Recommendation</w:t>
      </w:r>
    </w:p>
    <w:p w:rsidR="002C4636" w:rsidRDefault="002C4636" w:rsidP="002C4636">
      <w:r>
        <w:t>Option 5 is the preferred option</w:t>
      </w:r>
      <w:r w:rsidR="0007398B">
        <w:t xml:space="preserve"> – </w:t>
      </w:r>
      <w:r>
        <w:t>it has strong benefit delivery and the risk profile can be managed. It is recommended that this option be developed through a full business case.</w:t>
      </w:r>
      <w:r w:rsidR="0007398B">
        <w:t xml:space="preserve"> </w:t>
      </w:r>
      <w:proofErr w:type="spellStart"/>
      <w:r>
        <w:t>Oldtown</w:t>
      </w:r>
      <w:proofErr w:type="spellEnd"/>
      <w:r>
        <w:t xml:space="preserve"> port is, however, operating in an environment of some uncertainty particularly in respect of the impact of climate change on agricultural production in the region and uncertainty associated with the timing </w:t>
      </w:r>
      <w:r w:rsidR="00BF0B39">
        <w:t xml:space="preserve">and location </w:t>
      </w:r>
      <w:r>
        <w:t xml:space="preserve">of a second container port. As a result, it is recommended that a real options analysis workshop occurs during the business case development. Options 2 and 3 are not without merit and more detailed analysis of these options should be undertaken. </w:t>
      </w:r>
      <w:r w:rsidR="00FC5EA3">
        <w:t>Either may</w:t>
      </w:r>
      <w:r>
        <w:t xml:space="preserve"> become viable </w:t>
      </w:r>
      <w:r w:rsidR="00FC5EA3">
        <w:t>if key</w:t>
      </w:r>
      <w:r>
        <w:t xml:space="preserve"> assumptions and estimations for Option 5 cannot be validated during business case development.</w:t>
      </w:r>
    </w:p>
    <w:p w:rsidR="002C4636" w:rsidRDefault="002C4636" w:rsidP="002C4636"/>
    <w:sectPr w:rsidR="002C4636" w:rsidSect="002C4636">
      <w:footerReference w:type="default" r:id="rId7"/>
      <w:headerReference w:type="first" r:id="rId8"/>
      <w:foot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73" w:rsidRDefault="00DE4A73" w:rsidP="002C4636">
      <w:pPr>
        <w:spacing w:after="0" w:line="240" w:lineRule="auto"/>
      </w:pPr>
      <w:r>
        <w:separator/>
      </w:r>
    </w:p>
  </w:endnote>
  <w:endnote w:type="continuationSeparator" w:id="0">
    <w:p w:rsidR="00DE4A73" w:rsidRDefault="00DE4A73" w:rsidP="002C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6" w:rsidRPr="002C4636" w:rsidRDefault="002C4636" w:rsidP="002C4636">
    <w:pPr>
      <w:pStyle w:val="Footer"/>
      <w:pBdr>
        <w:top w:val="single" w:sz="6" w:space="1" w:color="0B70B4"/>
      </w:pBdr>
    </w:pPr>
    <w:r>
      <w:tab/>
      <w:t xml:space="preserve">Page </w:t>
    </w:r>
    <w:r>
      <w:fldChar w:fldCharType="begin"/>
    </w:r>
    <w:r>
      <w:instrText xml:space="preserve"> PAGE  \* MERGEFORMAT </w:instrText>
    </w:r>
    <w:r>
      <w:fldChar w:fldCharType="separate"/>
    </w:r>
    <w:r w:rsidR="00902F8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6" w:rsidRPr="002C4636" w:rsidRDefault="002C4636" w:rsidP="002C4636">
    <w:pPr>
      <w:pStyle w:val="Footer"/>
      <w:pBdr>
        <w:top w:val="single" w:sz="6" w:space="1" w:color="0B70B4"/>
      </w:pBdr>
    </w:pPr>
    <w:r>
      <w:t>Created 30 April 2017, 06.29 PM</w:t>
    </w:r>
    <w:r>
      <w:tab/>
      <w:t xml:space="preserve">Page </w:t>
    </w:r>
    <w:r>
      <w:fldChar w:fldCharType="begin"/>
    </w:r>
    <w:r>
      <w:instrText xml:space="preserve"> PAGE  \* MERGEFORMAT </w:instrText>
    </w:r>
    <w:r>
      <w:fldChar w:fldCharType="separate"/>
    </w:r>
    <w:r w:rsidR="00902F8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73" w:rsidRDefault="00DE4A73" w:rsidP="002C4636">
      <w:pPr>
        <w:spacing w:after="0" w:line="240" w:lineRule="auto"/>
      </w:pPr>
      <w:r>
        <w:separator/>
      </w:r>
    </w:p>
  </w:footnote>
  <w:footnote w:type="continuationSeparator" w:id="0">
    <w:p w:rsidR="00DE4A73" w:rsidRDefault="00DE4A73" w:rsidP="002C4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6" w:rsidRPr="0007398B" w:rsidRDefault="0007398B" w:rsidP="0007398B">
    <w:pPr>
      <w:pStyle w:val="Header"/>
    </w:pPr>
    <w:r w:rsidRPr="0007398B">
      <mc:AlternateContent>
        <mc:Choice Requires="wps">
          <w:drawing>
            <wp:anchor distT="0" distB="0" distL="114300" distR="114300" simplePos="0" relativeHeight="251659264" behindDoc="0" locked="0" layoutInCell="1" allowOverlap="1" wp14:anchorId="4827E527" wp14:editId="3D8EE69B">
              <wp:simplePos x="0" y="0"/>
              <wp:positionH relativeFrom="column">
                <wp:posOffset>-720090</wp:posOffset>
              </wp:positionH>
              <wp:positionV relativeFrom="paragraph">
                <wp:posOffset>-211455</wp:posOffset>
              </wp:positionV>
              <wp:extent cx="7559675" cy="35941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DCEBF5"/>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6.7pt;margin-top:-16.65pt;width:595.25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" fillcolor="#dcebf5" stroked="f" strokecolor="#1f3763 [1604]" strokeweight="1pt"/>
          </w:pict>
        </mc:Fallback>
      </mc:AlternateContent>
    </w:r>
    <w:r w:rsidRPr="0007398B">
      <mc:AlternateContent>
        <mc:Choice Requires="wps">
          <w:drawing>
            <wp:anchor distT="0" distB="0" distL="114300" distR="114300" simplePos="0" relativeHeight="251660288" behindDoc="0" locked="0" layoutInCell="1" allowOverlap="1" wp14:anchorId="2E318F31" wp14:editId="3E4F1E32">
              <wp:simplePos x="0" y="0"/>
              <wp:positionH relativeFrom="column">
                <wp:posOffset>-862965</wp:posOffset>
              </wp:positionH>
              <wp:positionV relativeFrom="paragraph">
                <wp:posOffset>-87630</wp:posOffset>
              </wp:positionV>
              <wp:extent cx="7702550" cy="359410"/>
              <wp:effectExtent l="0" t="0" r="0" b="2540"/>
              <wp:wrapNone/>
              <wp:docPr id="2" name="Rectangle 2"/>
              <wp:cNvGraphicFramePr/>
              <a:graphic xmlns:a="http://schemas.openxmlformats.org/drawingml/2006/main">
                <a:graphicData uri="http://schemas.microsoft.com/office/word/2010/wordprocessingShape">
                  <wps:wsp>
                    <wps:cNvSpPr/>
                    <wps:spPr>
                      <a:xfrm>
                        <a:off x="0" y="0"/>
                        <a:ext cx="7702550" cy="359410"/>
                      </a:xfrm>
                      <a:prstGeom prst="rect">
                        <a:avLst/>
                      </a:prstGeom>
                      <a:solidFill>
                        <a:srgbClr val="0B70B4"/>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07398B" w:rsidRPr="002C4636" w:rsidRDefault="0007398B" w:rsidP="0007398B">
                          <w:pPr>
                            <w:spacing w:before="60" w:after="60"/>
                            <w:ind w:left="1215"/>
                            <w:rPr>
                              <w:sz w:val="24"/>
                            </w:rPr>
                          </w:pPr>
                          <w:r>
                            <w:rPr>
                              <w:sz w:val="24"/>
                            </w:rPr>
                            <w:t>Department of Treasury and Finance</w:t>
                          </w:r>
                          <w:r>
                            <w:rPr>
                              <w:sz w:val="24"/>
                            </w:rPr>
                            <w:t xml:space="preserve"> – </w:t>
                          </w:r>
                          <w:r>
                            <w:rPr>
                              <w:sz w:val="24"/>
                            </w:rPr>
                            <w:t>FICTIONAL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7.95pt;margin-top:-6.9pt;width:606.5pt;height:2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" fillcolor="#0b70b4" stroked="f" strokecolor="#1f3763 [1604]" strokeweight="1pt">
              <v:textbox>
                <w:txbxContent>
                  <w:p w:rsidR="0007398B" w:rsidRPr="002C4636" w:rsidRDefault="0007398B" w:rsidP="0007398B">
                    <w:pPr>
                      <w:spacing w:before="60" w:after="60"/>
                      <w:ind w:left="1215"/>
                      <w:rPr>
                        <w:sz w:val="24"/>
                      </w:rPr>
                    </w:pPr>
                    <w:r>
                      <w:rPr>
                        <w:sz w:val="24"/>
                      </w:rPr>
                      <w:t>Department of Treasury and Finance</w:t>
                    </w:r>
                    <w:r>
                      <w:rPr>
                        <w:sz w:val="24"/>
                      </w:rPr>
                      <w:t xml:space="preserve"> – </w:t>
                    </w:r>
                    <w:r>
                      <w:rPr>
                        <w:sz w:val="24"/>
                      </w:rPr>
                      <w:t>FICTIONAL</w:t>
                    </w:r>
                  </w:p>
                </w:txbxContent>
              </v:textbox>
            </v:rect>
          </w:pict>
        </mc:Fallback>
      </mc:AlternateContent>
    </w:r>
    <w:r w:rsidRPr="0007398B">
      <mc:AlternateContent>
        <mc:Choice Requires="wps">
          <w:drawing>
            <wp:anchor distT="0" distB="0" distL="114300" distR="114300" simplePos="0" relativeHeight="251661312" behindDoc="0" locked="0" layoutInCell="1" allowOverlap="1" wp14:anchorId="7C46445E" wp14:editId="2EB9D30B">
              <wp:simplePos x="0" y="0"/>
              <wp:positionH relativeFrom="column">
                <wp:posOffset>4928235</wp:posOffset>
              </wp:positionH>
              <wp:positionV relativeFrom="paragraph">
                <wp:posOffset>-478155</wp:posOffset>
              </wp:positionV>
              <wp:extent cx="2069465" cy="2069465"/>
              <wp:effectExtent l="0" t="0" r="26035" b="26035"/>
              <wp:wrapNone/>
              <wp:docPr id="1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88.05pt;margin-top:-37.65pt;width:162.95pt;height:162.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" fillcolor="window" strokecolor="window">
              <v:stroke joinstyle="round"/>
              <v:path arrowok="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36"/>
    <w:rsid w:val="00023E9C"/>
    <w:rsid w:val="00045C01"/>
    <w:rsid w:val="0007398B"/>
    <w:rsid w:val="00163CA2"/>
    <w:rsid w:val="00221D04"/>
    <w:rsid w:val="002B469C"/>
    <w:rsid w:val="002C4636"/>
    <w:rsid w:val="002F49F2"/>
    <w:rsid w:val="00407805"/>
    <w:rsid w:val="00714490"/>
    <w:rsid w:val="008977FE"/>
    <w:rsid w:val="00902F87"/>
    <w:rsid w:val="00A8257F"/>
    <w:rsid w:val="00B605B7"/>
    <w:rsid w:val="00BF0B39"/>
    <w:rsid w:val="00D22533"/>
    <w:rsid w:val="00DE4A73"/>
    <w:rsid w:val="00FC5EA3"/>
    <w:rsid w:val="00FF0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estmentTitle">
    <w:name w:val="Investment Title"/>
    <w:basedOn w:val="Normal"/>
    <w:link w:val="InvestmentTitleChar"/>
    <w:rsid w:val="002C4636"/>
    <w:pPr>
      <w:spacing w:before="240"/>
    </w:pPr>
    <w:rPr>
      <w:b/>
      <w:sz w:val="28"/>
    </w:rPr>
  </w:style>
  <w:style w:type="character" w:customStyle="1" w:styleId="InvestmentTitleChar">
    <w:name w:val="Investment Title Char"/>
    <w:basedOn w:val="DefaultParagraphFont"/>
    <w:link w:val="InvestmentTitle"/>
    <w:rsid w:val="002C4636"/>
    <w:rPr>
      <w:rFonts w:ascii="Arial" w:hAnsi="Arial" w:cs="Arial"/>
      <w:b/>
      <w:sz w:val="28"/>
    </w:rPr>
  </w:style>
  <w:style w:type="paragraph" w:customStyle="1" w:styleId="InvestmentSubtitle">
    <w:name w:val="Investment Subtitle"/>
    <w:basedOn w:val="Normal"/>
    <w:link w:val="InvestmentSubtitleChar"/>
    <w:rsid w:val="002C4636"/>
    <w:pPr>
      <w:spacing w:before="200" w:after="0"/>
    </w:pPr>
    <w:rPr>
      <w:b/>
    </w:rPr>
  </w:style>
  <w:style w:type="character" w:customStyle="1" w:styleId="InvestmentSubtitleChar">
    <w:name w:val="Investment Subtitle Char"/>
    <w:basedOn w:val="DefaultParagraphFont"/>
    <w:link w:val="InvestmentSubtitle"/>
    <w:rsid w:val="002C4636"/>
    <w:rPr>
      <w:rFonts w:ascii="Arial" w:hAnsi="Arial" w:cs="Arial"/>
      <w:b/>
    </w:rPr>
  </w:style>
  <w:style w:type="paragraph" w:customStyle="1" w:styleId="OptionTitle">
    <w:name w:val="Option Title"/>
    <w:basedOn w:val="Normal"/>
    <w:link w:val="OptionTitleChar"/>
    <w:rsid w:val="002C4636"/>
    <w:pPr>
      <w:pBdr>
        <w:top w:val="single" w:sz="12" w:space="1" w:color="auto"/>
      </w:pBdr>
      <w:spacing w:before="200" w:after="240"/>
    </w:pPr>
    <w:rPr>
      <w:sz w:val="26"/>
    </w:rPr>
  </w:style>
  <w:style w:type="character" w:customStyle="1" w:styleId="OptionTitleChar">
    <w:name w:val="Option Title Char"/>
    <w:basedOn w:val="DefaultParagraphFont"/>
    <w:link w:val="OptionTitle"/>
    <w:rsid w:val="002C4636"/>
    <w:rPr>
      <w:rFonts w:ascii="Arial" w:hAnsi="Arial" w:cs="Arial"/>
      <w:sz w:val="26"/>
    </w:rPr>
  </w:style>
  <w:style w:type="paragraph" w:styleId="Footer">
    <w:name w:val="footer"/>
    <w:basedOn w:val="Normal"/>
    <w:link w:val="FooterChar"/>
    <w:uiPriority w:val="99"/>
    <w:unhideWhenUsed/>
    <w:rsid w:val="002C4636"/>
    <w:pPr>
      <w:tabs>
        <w:tab w:val="right" w:pos="9638"/>
      </w:tabs>
      <w:spacing w:after="0" w:line="240" w:lineRule="auto"/>
    </w:pPr>
    <w:rPr>
      <w:sz w:val="18"/>
    </w:rPr>
  </w:style>
  <w:style w:type="character" w:customStyle="1" w:styleId="FooterChar">
    <w:name w:val="Footer Char"/>
    <w:basedOn w:val="DefaultParagraphFont"/>
    <w:link w:val="Footer"/>
    <w:uiPriority w:val="99"/>
    <w:rsid w:val="002C4636"/>
    <w:rPr>
      <w:rFonts w:ascii="Arial" w:hAnsi="Arial" w:cs="Arial"/>
      <w:sz w:val="18"/>
    </w:rPr>
  </w:style>
  <w:style w:type="table" w:styleId="LightList">
    <w:name w:val="Light List"/>
    <w:basedOn w:val="TableNormal"/>
    <w:uiPriority w:val="61"/>
    <w:unhideWhenUsed/>
    <w:rsid w:val="002C4636"/>
    <w:pPr>
      <w:spacing w:before="40" w:after="40" w:line="240" w:lineRule="auto"/>
    </w:p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C0C0C0"/>
      </w:tblBorders>
    </w:tblPr>
    <w:trPr>
      <w:cantSplit/>
    </w:trPr>
    <w:tcPr>
      <w:shd w:val="clear" w:color="auto" w:fill="auto"/>
    </w:tcPr>
    <w:tblStylePr w:type="firstRow">
      <w:pPr>
        <w:keepNext/>
      </w:pPr>
      <w:rPr>
        <w:b/>
        <w:bCs/>
      </w:rPr>
      <w:tblPr/>
      <w:tcPr>
        <w:tcBorders>
          <w:top w:val="single" w:sz="6" w:space="0" w:color="auto"/>
          <w:left w:val="single" w:sz="6" w:space="0" w:color="auto"/>
          <w:bottom w:val="single" w:sz="6" w:space="0" w:color="auto"/>
          <w:right w:val="single" w:sz="6" w:space="0" w:color="auto"/>
        </w:tcBorders>
        <w:shd w:val="clear" w:color="auto" w:fill="CCCCCC"/>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4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636"/>
    <w:rPr>
      <w:rFonts w:ascii="Arial" w:hAnsi="Arial" w:cs="Arial"/>
    </w:rPr>
  </w:style>
  <w:style w:type="paragraph" w:styleId="BalloonText">
    <w:name w:val="Balloon Text"/>
    <w:basedOn w:val="Normal"/>
    <w:link w:val="BalloonTextChar"/>
    <w:uiPriority w:val="99"/>
    <w:semiHidden/>
    <w:unhideWhenUsed/>
    <w:rsid w:val="0002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estmentTitle">
    <w:name w:val="Investment Title"/>
    <w:basedOn w:val="Normal"/>
    <w:link w:val="InvestmentTitleChar"/>
    <w:rsid w:val="002C4636"/>
    <w:pPr>
      <w:spacing w:before="240"/>
    </w:pPr>
    <w:rPr>
      <w:b/>
      <w:sz w:val="28"/>
    </w:rPr>
  </w:style>
  <w:style w:type="character" w:customStyle="1" w:styleId="InvestmentTitleChar">
    <w:name w:val="Investment Title Char"/>
    <w:basedOn w:val="DefaultParagraphFont"/>
    <w:link w:val="InvestmentTitle"/>
    <w:rsid w:val="002C4636"/>
    <w:rPr>
      <w:rFonts w:ascii="Arial" w:hAnsi="Arial" w:cs="Arial"/>
      <w:b/>
      <w:sz w:val="28"/>
    </w:rPr>
  </w:style>
  <w:style w:type="paragraph" w:customStyle="1" w:styleId="InvestmentSubtitle">
    <w:name w:val="Investment Subtitle"/>
    <w:basedOn w:val="Normal"/>
    <w:link w:val="InvestmentSubtitleChar"/>
    <w:rsid w:val="002C4636"/>
    <w:pPr>
      <w:spacing w:before="200" w:after="0"/>
    </w:pPr>
    <w:rPr>
      <w:b/>
    </w:rPr>
  </w:style>
  <w:style w:type="character" w:customStyle="1" w:styleId="InvestmentSubtitleChar">
    <w:name w:val="Investment Subtitle Char"/>
    <w:basedOn w:val="DefaultParagraphFont"/>
    <w:link w:val="InvestmentSubtitle"/>
    <w:rsid w:val="002C4636"/>
    <w:rPr>
      <w:rFonts w:ascii="Arial" w:hAnsi="Arial" w:cs="Arial"/>
      <w:b/>
    </w:rPr>
  </w:style>
  <w:style w:type="paragraph" w:customStyle="1" w:styleId="OptionTitle">
    <w:name w:val="Option Title"/>
    <w:basedOn w:val="Normal"/>
    <w:link w:val="OptionTitleChar"/>
    <w:rsid w:val="002C4636"/>
    <w:pPr>
      <w:pBdr>
        <w:top w:val="single" w:sz="12" w:space="1" w:color="auto"/>
      </w:pBdr>
      <w:spacing w:before="200" w:after="240"/>
    </w:pPr>
    <w:rPr>
      <w:sz w:val="26"/>
    </w:rPr>
  </w:style>
  <w:style w:type="character" w:customStyle="1" w:styleId="OptionTitleChar">
    <w:name w:val="Option Title Char"/>
    <w:basedOn w:val="DefaultParagraphFont"/>
    <w:link w:val="OptionTitle"/>
    <w:rsid w:val="002C4636"/>
    <w:rPr>
      <w:rFonts w:ascii="Arial" w:hAnsi="Arial" w:cs="Arial"/>
      <w:sz w:val="26"/>
    </w:rPr>
  </w:style>
  <w:style w:type="paragraph" w:styleId="Footer">
    <w:name w:val="footer"/>
    <w:basedOn w:val="Normal"/>
    <w:link w:val="FooterChar"/>
    <w:uiPriority w:val="99"/>
    <w:unhideWhenUsed/>
    <w:rsid w:val="002C4636"/>
    <w:pPr>
      <w:tabs>
        <w:tab w:val="right" w:pos="9638"/>
      </w:tabs>
      <w:spacing w:after="0" w:line="240" w:lineRule="auto"/>
    </w:pPr>
    <w:rPr>
      <w:sz w:val="18"/>
    </w:rPr>
  </w:style>
  <w:style w:type="character" w:customStyle="1" w:styleId="FooterChar">
    <w:name w:val="Footer Char"/>
    <w:basedOn w:val="DefaultParagraphFont"/>
    <w:link w:val="Footer"/>
    <w:uiPriority w:val="99"/>
    <w:rsid w:val="002C4636"/>
    <w:rPr>
      <w:rFonts w:ascii="Arial" w:hAnsi="Arial" w:cs="Arial"/>
      <w:sz w:val="18"/>
    </w:rPr>
  </w:style>
  <w:style w:type="table" w:styleId="LightList">
    <w:name w:val="Light List"/>
    <w:basedOn w:val="TableNormal"/>
    <w:uiPriority w:val="61"/>
    <w:unhideWhenUsed/>
    <w:rsid w:val="002C4636"/>
    <w:pPr>
      <w:spacing w:before="40" w:after="40" w:line="240" w:lineRule="auto"/>
    </w:p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C0C0C0"/>
      </w:tblBorders>
    </w:tblPr>
    <w:trPr>
      <w:cantSplit/>
    </w:trPr>
    <w:tcPr>
      <w:shd w:val="clear" w:color="auto" w:fill="auto"/>
    </w:tcPr>
    <w:tblStylePr w:type="firstRow">
      <w:pPr>
        <w:keepNext/>
      </w:pPr>
      <w:rPr>
        <w:b/>
        <w:bCs/>
      </w:rPr>
      <w:tblPr/>
      <w:tcPr>
        <w:tcBorders>
          <w:top w:val="single" w:sz="6" w:space="0" w:color="auto"/>
          <w:left w:val="single" w:sz="6" w:space="0" w:color="auto"/>
          <w:bottom w:val="single" w:sz="6" w:space="0" w:color="auto"/>
          <w:right w:val="single" w:sz="6" w:space="0" w:color="auto"/>
        </w:tcBorders>
        <w:shd w:val="clear" w:color="auto" w:fill="CCCCCC"/>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4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636"/>
    <w:rPr>
      <w:rFonts w:ascii="Arial" w:hAnsi="Arial" w:cs="Arial"/>
    </w:rPr>
  </w:style>
  <w:style w:type="paragraph" w:styleId="BalloonText">
    <w:name w:val="Balloon Text"/>
    <w:basedOn w:val="Normal"/>
    <w:link w:val="BalloonTextChar"/>
    <w:uiPriority w:val="99"/>
    <w:semiHidden/>
    <w:unhideWhenUsed/>
    <w:rsid w:val="0002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Fankhauser</dc:creator>
  <cp:lastModifiedBy>Julie Marsal</cp:lastModifiedBy>
  <cp:revision>2</cp:revision>
  <cp:lastPrinted>2017-04-30T23:20:00Z</cp:lastPrinted>
  <dcterms:created xsi:type="dcterms:W3CDTF">2017-06-14T03:35:00Z</dcterms:created>
  <dcterms:modified xsi:type="dcterms:W3CDTF">2017-06-14T03:35:00Z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5b6d1d50-de96-4fe1-9ed6-a45a7d17379d</vt:lpwstr>
  </property>
  <property fmtid="{D5CDD505-2E9C-101B-9397-08002B2CF9AE}" pid="3" name="PSPFClassification">
    <vt:lpwstr>Do Not Mark</vt:lpwstr>
  </property>
</Properties>
</file>