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1C" w:rsidRDefault="00C3131C" w:rsidP="00C3131C">
      <w:pPr>
        <w:pStyle w:val="NewsletterNormal"/>
        <w:spacing w:before="720" w:after="0"/>
      </w:pPr>
      <w:bookmarkStart w:id="0" w:name="_GoBack"/>
      <w:bookmarkEnd w:id="0"/>
    </w:p>
    <w:p w:rsidR="002620A4" w:rsidRPr="00BB53E8" w:rsidRDefault="00542B5C" w:rsidP="00C3131C">
      <w:pPr>
        <w:pStyle w:val="NewsletterIntroductoryCopy"/>
        <w:spacing w:before="0"/>
        <w:rPr>
          <w:szCs w:val="28"/>
        </w:rPr>
      </w:pPr>
      <w:r w:rsidRPr="0066716B">
        <w:rPr>
          <w:szCs w:val="28"/>
        </w:rPr>
        <w:t>Scope: This bi</w:t>
      </w:r>
      <w:r w:rsidR="00167818">
        <w:rPr>
          <w:szCs w:val="28"/>
        </w:rPr>
        <w:noBreakHyphen/>
      </w:r>
      <w:r w:rsidRPr="00A53A2F">
        <w:rPr>
          <w:szCs w:val="28"/>
        </w:rPr>
        <w:t xml:space="preserve">annual newsletter outlines areas of particular importance in public sector financial reporting. The newsletter is applicable to both budget and financial reporting </w:t>
      </w:r>
      <w:r w:rsidRPr="00FC5CDC">
        <w:rPr>
          <w:szCs w:val="28"/>
        </w:rPr>
        <w:t>areas of Victorian public sector entities.</w:t>
      </w: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6B3A50" w:rsidRDefault="006B3A50" w:rsidP="006B3A50">
      <w:pPr>
        <w:pStyle w:val="NewsletterNormal"/>
      </w:pPr>
    </w:p>
    <w:p w:rsidR="00C3131C" w:rsidRDefault="00C3131C" w:rsidP="006B3A50">
      <w:pPr>
        <w:pStyle w:val="NewsletterNormal"/>
      </w:pPr>
    </w:p>
    <w:p w:rsidR="00C3131C" w:rsidRDefault="00C3131C" w:rsidP="006B3A50">
      <w:pPr>
        <w:pStyle w:val="NewsletterNormal"/>
      </w:pPr>
    </w:p>
    <w:p w:rsidR="00C3131C" w:rsidRDefault="00C3131C" w:rsidP="006B3A50">
      <w:pPr>
        <w:pStyle w:val="NewsletterNormal"/>
      </w:pPr>
    </w:p>
    <w:p w:rsidR="00C3131C" w:rsidRDefault="00C3131C" w:rsidP="006B3A50">
      <w:pPr>
        <w:pStyle w:val="NewsletterNormal"/>
      </w:pPr>
    </w:p>
    <w:p w:rsidR="00C3131C" w:rsidRPr="00777785" w:rsidRDefault="00C3131C" w:rsidP="006B3A50">
      <w:pPr>
        <w:pStyle w:val="NewsletterNormal"/>
      </w:pPr>
    </w:p>
    <w:p w:rsidR="002620A4" w:rsidRPr="00777785" w:rsidRDefault="002620A4" w:rsidP="006B3A50">
      <w:pPr>
        <w:pStyle w:val="NewsletterNormal"/>
      </w:pPr>
      <w:r w:rsidRPr="00777785">
        <w:rPr>
          <w:noProof/>
        </w:rPr>
        <mc:AlternateContent>
          <mc:Choice Requires="wps">
            <w:drawing>
              <wp:anchor distT="0" distB="0" distL="114300" distR="114300" simplePos="0" relativeHeight="251659264" behindDoc="1" locked="0" layoutInCell="1" allowOverlap="1" wp14:anchorId="730895A2" wp14:editId="2B615A92">
                <wp:simplePos x="0" y="0"/>
                <wp:positionH relativeFrom="column">
                  <wp:posOffset>-134620</wp:posOffset>
                </wp:positionH>
                <wp:positionV relativeFrom="paragraph">
                  <wp:posOffset>165735</wp:posOffset>
                </wp:positionV>
                <wp:extent cx="2162175" cy="2018030"/>
                <wp:effectExtent l="0" t="0" r="9525" b="127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018030"/>
                        </a:xfrm>
                        <a:prstGeom prst="rect">
                          <a:avLst/>
                        </a:prstGeom>
                        <a:solidFill>
                          <a:srgbClr val="C4DF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6pt;margin-top:13.05pt;width:170.25pt;height:15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NBgAIAAP0EAAAOAAAAZHJzL2Uyb0RvYy54bWysVNuO0zAQfUfiHyy/d3Npekm06Wq3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" fillcolor="#c4dff6" stroked="f"/>
            </w:pict>
          </mc:Fallback>
        </mc:AlternateContent>
      </w:r>
    </w:p>
    <w:p w:rsidR="002620A4" w:rsidRPr="00777785" w:rsidRDefault="002620A4" w:rsidP="002620A4">
      <w:pPr>
        <w:pStyle w:val="NewsletterTOCheading"/>
        <w:rPr>
          <w:sz w:val="22"/>
          <w:szCs w:val="22"/>
        </w:rPr>
      </w:pPr>
      <w:r w:rsidRPr="00777785">
        <w:rPr>
          <w:sz w:val="22"/>
          <w:szCs w:val="22"/>
        </w:rPr>
        <w:t>Inside this edition</w:t>
      </w:r>
    </w:p>
    <w:p w:rsidR="00987382" w:rsidRDefault="002620A4">
      <w:pPr>
        <w:pStyle w:val="TOC1"/>
        <w:rPr>
          <w:rFonts w:asciiTheme="minorHAnsi" w:eastAsiaTheme="minorEastAsia" w:hAnsiTheme="minorHAnsi" w:cstheme="minorBidi"/>
          <w:color w:val="auto"/>
          <w:sz w:val="22"/>
          <w:szCs w:val="22"/>
        </w:rPr>
      </w:pPr>
      <w:r w:rsidRPr="00777785">
        <w:rPr>
          <w:sz w:val="22"/>
          <w:szCs w:val="22"/>
        </w:rPr>
        <w:fldChar w:fldCharType="begin"/>
      </w:r>
      <w:r w:rsidRPr="00777785">
        <w:rPr>
          <w:sz w:val="22"/>
          <w:szCs w:val="22"/>
        </w:rPr>
        <w:instrText xml:space="preserve"> TOC \h \z \t "</w:instrText>
      </w:r>
      <w:r w:rsidR="00EC02E9" w:rsidRPr="00777785">
        <w:rPr>
          <w:sz w:val="22"/>
          <w:szCs w:val="22"/>
        </w:rPr>
        <w:instrText>Newsletter</w:instrText>
      </w:r>
      <w:r w:rsidRPr="00777785">
        <w:rPr>
          <w:sz w:val="22"/>
          <w:szCs w:val="22"/>
        </w:rPr>
        <w:instrText xml:space="preserve"> Heading 1,1" </w:instrText>
      </w:r>
      <w:r w:rsidRPr="00777785">
        <w:rPr>
          <w:sz w:val="22"/>
          <w:szCs w:val="22"/>
        </w:rPr>
        <w:fldChar w:fldCharType="separate"/>
      </w:r>
      <w:hyperlink w:anchor="_Toc424822612" w:history="1">
        <w:r w:rsidR="00987382" w:rsidRPr="008911BB">
          <w:rPr>
            <w:rStyle w:val="Hyperlink"/>
          </w:rPr>
          <w:t>Overview</w:t>
        </w:r>
        <w:r w:rsidR="00987382">
          <w:rPr>
            <w:webHidden/>
          </w:rPr>
          <w:tab/>
        </w:r>
        <w:r w:rsidR="00987382">
          <w:rPr>
            <w:webHidden/>
          </w:rPr>
          <w:fldChar w:fldCharType="begin"/>
        </w:r>
        <w:r w:rsidR="00987382">
          <w:rPr>
            <w:webHidden/>
          </w:rPr>
          <w:instrText xml:space="preserve"> PAGEREF _Toc424822612 \h </w:instrText>
        </w:r>
        <w:r w:rsidR="00987382">
          <w:rPr>
            <w:webHidden/>
          </w:rPr>
        </w:r>
        <w:r w:rsidR="00987382">
          <w:rPr>
            <w:webHidden/>
          </w:rPr>
          <w:fldChar w:fldCharType="separate"/>
        </w:r>
        <w:r w:rsidR="00987382">
          <w:rPr>
            <w:webHidden/>
          </w:rPr>
          <w:t>1</w:t>
        </w:r>
        <w:r w:rsidR="00987382">
          <w:rPr>
            <w:webHidden/>
          </w:rPr>
          <w:fldChar w:fldCharType="end"/>
        </w:r>
      </w:hyperlink>
    </w:p>
    <w:p w:rsidR="00987382" w:rsidRDefault="00CC1EE6">
      <w:pPr>
        <w:pStyle w:val="TOC1"/>
        <w:rPr>
          <w:rFonts w:asciiTheme="minorHAnsi" w:eastAsiaTheme="minorEastAsia" w:hAnsiTheme="minorHAnsi" w:cstheme="minorBidi"/>
          <w:color w:val="auto"/>
          <w:sz w:val="22"/>
          <w:szCs w:val="22"/>
        </w:rPr>
      </w:pPr>
      <w:hyperlink w:anchor="_Toc424822613" w:history="1">
        <w:r w:rsidR="00987382" w:rsidRPr="008911BB">
          <w:rPr>
            <w:rStyle w:val="Hyperlink"/>
          </w:rPr>
          <w:t>2014</w:t>
        </w:r>
        <w:r w:rsidR="00987382" w:rsidRPr="008911BB">
          <w:rPr>
            <w:rStyle w:val="Hyperlink"/>
          </w:rPr>
          <w:noBreakHyphen/>
          <w:t>15 reporting year</w:t>
        </w:r>
        <w:r w:rsidR="00987382">
          <w:rPr>
            <w:webHidden/>
          </w:rPr>
          <w:tab/>
        </w:r>
        <w:r w:rsidR="00987382">
          <w:rPr>
            <w:webHidden/>
          </w:rPr>
          <w:fldChar w:fldCharType="begin"/>
        </w:r>
        <w:r w:rsidR="00987382">
          <w:rPr>
            <w:webHidden/>
          </w:rPr>
          <w:instrText xml:space="preserve"> PAGEREF _Toc424822613 \h </w:instrText>
        </w:r>
        <w:r w:rsidR="00987382">
          <w:rPr>
            <w:webHidden/>
          </w:rPr>
        </w:r>
        <w:r w:rsidR="00987382">
          <w:rPr>
            <w:webHidden/>
          </w:rPr>
          <w:fldChar w:fldCharType="separate"/>
        </w:r>
        <w:r w:rsidR="00987382">
          <w:rPr>
            <w:webHidden/>
          </w:rPr>
          <w:t>1</w:t>
        </w:r>
        <w:r w:rsidR="00987382">
          <w:rPr>
            <w:webHidden/>
          </w:rPr>
          <w:fldChar w:fldCharType="end"/>
        </w:r>
      </w:hyperlink>
    </w:p>
    <w:p w:rsidR="00987382" w:rsidRDefault="00CC1EE6">
      <w:pPr>
        <w:pStyle w:val="TOC1"/>
        <w:rPr>
          <w:rFonts w:asciiTheme="minorHAnsi" w:eastAsiaTheme="minorEastAsia" w:hAnsiTheme="minorHAnsi" w:cstheme="minorBidi"/>
          <w:color w:val="auto"/>
          <w:sz w:val="22"/>
          <w:szCs w:val="22"/>
        </w:rPr>
      </w:pPr>
      <w:hyperlink w:anchor="_Toc424822614" w:history="1">
        <w:r w:rsidR="00987382" w:rsidRPr="008911BB">
          <w:rPr>
            <w:rStyle w:val="Hyperlink"/>
          </w:rPr>
          <w:t>2014</w:t>
        </w:r>
        <w:r w:rsidR="00987382" w:rsidRPr="008911BB">
          <w:rPr>
            <w:rStyle w:val="Hyperlink"/>
          </w:rPr>
          <w:noBreakHyphen/>
          <w:t>15 financial reporting legislation</w:t>
        </w:r>
        <w:r w:rsidR="00987382">
          <w:rPr>
            <w:webHidden/>
          </w:rPr>
          <w:tab/>
        </w:r>
        <w:r w:rsidR="00987382">
          <w:rPr>
            <w:webHidden/>
          </w:rPr>
          <w:fldChar w:fldCharType="begin"/>
        </w:r>
        <w:r w:rsidR="00987382">
          <w:rPr>
            <w:webHidden/>
          </w:rPr>
          <w:instrText xml:space="preserve"> PAGEREF _Toc424822614 \h </w:instrText>
        </w:r>
        <w:r w:rsidR="00987382">
          <w:rPr>
            <w:webHidden/>
          </w:rPr>
        </w:r>
        <w:r w:rsidR="00987382">
          <w:rPr>
            <w:webHidden/>
          </w:rPr>
          <w:fldChar w:fldCharType="separate"/>
        </w:r>
        <w:r w:rsidR="00987382">
          <w:rPr>
            <w:webHidden/>
          </w:rPr>
          <w:t>3</w:t>
        </w:r>
        <w:r w:rsidR="00987382">
          <w:rPr>
            <w:webHidden/>
          </w:rPr>
          <w:fldChar w:fldCharType="end"/>
        </w:r>
      </w:hyperlink>
    </w:p>
    <w:p w:rsidR="00987382" w:rsidRDefault="00CC1EE6">
      <w:pPr>
        <w:pStyle w:val="TOC1"/>
        <w:rPr>
          <w:rFonts w:asciiTheme="minorHAnsi" w:eastAsiaTheme="minorEastAsia" w:hAnsiTheme="minorHAnsi" w:cstheme="minorBidi"/>
          <w:color w:val="auto"/>
          <w:sz w:val="22"/>
          <w:szCs w:val="22"/>
        </w:rPr>
      </w:pPr>
      <w:hyperlink w:anchor="_Toc424822615" w:history="1">
        <w:r w:rsidR="00987382" w:rsidRPr="008911BB">
          <w:rPr>
            <w:rStyle w:val="Hyperlink"/>
          </w:rPr>
          <w:t>2015</w:t>
        </w:r>
        <w:r w:rsidR="00987382" w:rsidRPr="008911BB">
          <w:rPr>
            <w:rStyle w:val="Hyperlink"/>
          </w:rPr>
          <w:noBreakHyphen/>
          <w:t>16 reporting year</w:t>
        </w:r>
        <w:r w:rsidR="00987382">
          <w:rPr>
            <w:webHidden/>
          </w:rPr>
          <w:tab/>
        </w:r>
        <w:r w:rsidR="00987382">
          <w:rPr>
            <w:webHidden/>
          </w:rPr>
          <w:fldChar w:fldCharType="begin"/>
        </w:r>
        <w:r w:rsidR="00987382">
          <w:rPr>
            <w:webHidden/>
          </w:rPr>
          <w:instrText xml:space="preserve"> PAGEREF _Toc424822615 \h </w:instrText>
        </w:r>
        <w:r w:rsidR="00987382">
          <w:rPr>
            <w:webHidden/>
          </w:rPr>
        </w:r>
        <w:r w:rsidR="00987382">
          <w:rPr>
            <w:webHidden/>
          </w:rPr>
          <w:fldChar w:fldCharType="separate"/>
        </w:r>
        <w:r w:rsidR="00987382">
          <w:rPr>
            <w:webHidden/>
          </w:rPr>
          <w:t>4</w:t>
        </w:r>
        <w:r w:rsidR="00987382">
          <w:rPr>
            <w:webHidden/>
          </w:rPr>
          <w:fldChar w:fldCharType="end"/>
        </w:r>
      </w:hyperlink>
    </w:p>
    <w:p w:rsidR="00987382" w:rsidRDefault="00CC1EE6">
      <w:pPr>
        <w:pStyle w:val="TOC1"/>
        <w:rPr>
          <w:rFonts w:asciiTheme="minorHAnsi" w:eastAsiaTheme="minorEastAsia" w:hAnsiTheme="minorHAnsi" w:cstheme="minorBidi"/>
          <w:color w:val="auto"/>
          <w:sz w:val="22"/>
          <w:szCs w:val="22"/>
        </w:rPr>
      </w:pPr>
      <w:hyperlink w:anchor="_Toc424822616" w:history="1">
        <w:r w:rsidR="00987382" w:rsidRPr="008911BB">
          <w:rPr>
            <w:rStyle w:val="Hyperlink"/>
          </w:rPr>
          <w:t>Looking forward</w:t>
        </w:r>
        <w:r w:rsidR="00987382">
          <w:rPr>
            <w:webHidden/>
          </w:rPr>
          <w:tab/>
        </w:r>
        <w:r w:rsidR="00987382">
          <w:rPr>
            <w:webHidden/>
          </w:rPr>
          <w:fldChar w:fldCharType="begin"/>
        </w:r>
        <w:r w:rsidR="00987382">
          <w:rPr>
            <w:webHidden/>
          </w:rPr>
          <w:instrText xml:space="preserve"> PAGEREF _Toc424822616 \h </w:instrText>
        </w:r>
        <w:r w:rsidR="00987382">
          <w:rPr>
            <w:webHidden/>
          </w:rPr>
        </w:r>
        <w:r w:rsidR="00987382">
          <w:rPr>
            <w:webHidden/>
          </w:rPr>
          <w:fldChar w:fldCharType="separate"/>
        </w:r>
        <w:r w:rsidR="00987382">
          <w:rPr>
            <w:webHidden/>
          </w:rPr>
          <w:t>5</w:t>
        </w:r>
        <w:r w:rsidR="00987382">
          <w:rPr>
            <w:webHidden/>
          </w:rPr>
          <w:fldChar w:fldCharType="end"/>
        </w:r>
      </w:hyperlink>
    </w:p>
    <w:p w:rsidR="00987382" w:rsidRDefault="00CC1EE6">
      <w:pPr>
        <w:pStyle w:val="TOC1"/>
        <w:rPr>
          <w:rFonts w:asciiTheme="minorHAnsi" w:eastAsiaTheme="minorEastAsia" w:hAnsiTheme="minorHAnsi" w:cstheme="minorBidi"/>
          <w:color w:val="auto"/>
          <w:sz w:val="22"/>
          <w:szCs w:val="22"/>
        </w:rPr>
      </w:pPr>
      <w:hyperlink w:anchor="_Toc424822617" w:history="1">
        <w:r w:rsidR="00987382" w:rsidRPr="008911BB">
          <w:rPr>
            <w:rStyle w:val="Hyperlink"/>
          </w:rPr>
          <w:t>How to contact us</w:t>
        </w:r>
        <w:r w:rsidR="00987382">
          <w:rPr>
            <w:webHidden/>
          </w:rPr>
          <w:tab/>
        </w:r>
        <w:r w:rsidR="00987382">
          <w:rPr>
            <w:webHidden/>
          </w:rPr>
          <w:fldChar w:fldCharType="begin"/>
        </w:r>
        <w:r w:rsidR="00987382">
          <w:rPr>
            <w:webHidden/>
          </w:rPr>
          <w:instrText xml:space="preserve"> PAGEREF _Toc424822617 \h </w:instrText>
        </w:r>
        <w:r w:rsidR="00987382">
          <w:rPr>
            <w:webHidden/>
          </w:rPr>
        </w:r>
        <w:r w:rsidR="00987382">
          <w:rPr>
            <w:webHidden/>
          </w:rPr>
          <w:fldChar w:fldCharType="separate"/>
        </w:r>
        <w:r w:rsidR="00987382">
          <w:rPr>
            <w:webHidden/>
          </w:rPr>
          <w:t>10</w:t>
        </w:r>
        <w:r w:rsidR="00987382">
          <w:rPr>
            <w:webHidden/>
          </w:rPr>
          <w:fldChar w:fldCharType="end"/>
        </w:r>
      </w:hyperlink>
    </w:p>
    <w:p w:rsidR="00987382" w:rsidRDefault="00CC1EE6">
      <w:pPr>
        <w:pStyle w:val="TOC1"/>
        <w:rPr>
          <w:rFonts w:asciiTheme="minorHAnsi" w:eastAsiaTheme="minorEastAsia" w:hAnsiTheme="minorHAnsi" w:cstheme="minorBidi"/>
          <w:color w:val="auto"/>
          <w:sz w:val="22"/>
          <w:szCs w:val="22"/>
        </w:rPr>
      </w:pPr>
      <w:hyperlink w:anchor="_Toc424822618" w:history="1">
        <w:r w:rsidR="00987382" w:rsidRPr="008911BB">
          <w:rPr>
            <w:rStyle w:val="Hyperlink"/>
          </w:rPr>
          <w:t>About the Accounting Policy Update</w:t>
        </w:r>
        <w:r w:rsidR="00987382">
          <w:rPr>
            <w:webHidden/>
          </w:rPr>
          <w:tab/>
        </w:r>
        <w:r w:rsidR="00987382">
          <w:rPr>
            <w:webHidden/>
          </w:rPr>
          <w:fldChar w:fldCharType="begin"/>
        </w:r>
        <w:r w:rsidR="00987382">
          <w:rPr>
            <w:webHidden/>
          </w:rPr>
          <w:instrText xml:space="preserve"> PAGEREF _Toc424822618 \h </w:instrText>
        </w:r>
        <w:r w:rsidR="00987382">
          <w:rPr>
            <w:webHidden/>
          </w:rPr>
        </w:r>
        <w:r w:rsidR="00987382">
          <w:rPr>
            <w:webHidden/>
          </w:rPr>
          <w:fldChar w:fldCharType="separate"/>
        </w:r>
        <w:r w:rsidR="00987382">
          <w:rPr>
            <w:webHidden/>
          </w:rPr>
          <w:t>10</w:t>
        </w:r>
        <w:r w:rsidR="00987382">
          <w:rPr>
            <w:webHidden/>
          </w:rPr>
          <w:fldChar w:fldCharType="end"/>
        </w:r>
      </w:hyperlink>
    </w:p>
    <w:p w:rsidR="002620A4" w:rsidRPr="00777785" w:rsidRDefault="002620A4" w:rsidP="001469E0">
      <w:pPr>
        <w:pStyle w:val="TOC1"/>
      </w:pPr>
      <w:r w:rsidRPr="00777785">
        <w:fldChar w:fldCharType="end"/>
      </w:r>
    </w:p>
    <w:p w:rsidR="00C3131C" w:rsidRDefault="002620A4" w:rsidP="00B360A7">
      <w:pPr>
        <w:pStyle w:val="NewsletterHeading1"/>
      </w:pPr>
      <w:r w:rsidRPr="00777785">
        <w:br w:type="column"/>
      </w:r>
      <w:bookmarkStart w:id="1" w:name="_Toc408567316"/>
    </w:p>
    <w:p w:rsidR="00C3131C" w:rsidRDefault="00C3131C" w:rsidP="00C3131C">
      <w:pPr>
        <w:pStyle w:val="NewsletterHeading1"/>
        <w:spacing w:before="0"/>
      </w:pPr>
    </w:p>
    <w:p w:rsidR="004F3CCC" w:rsidRPr="00B360A7" w:rsidRDefault="002620A4" w:rsidP="00B360A7">
      <w:pPr>
        <w:pStyle w:val="NewsletterHeading1"/>
      </w:pPr>
      <w:bookmarkStart w:id="2" w:name="_Toc424822612"/>
      <w:r w:rsidRPr="00777785">
        <w:t>Overview</w:t>
      </w:r>
      <w:bookmarkEnd w:id="1"/>
      <w:bookmarkEnd w:id="2"/>
    </w:p>
    <w:p w:rsidR="009013CE" w:rsidRPr="006E654A" w:rsidRDefault="000A6D68" w:rsidP="00506D07">
      <w:pPr>
        <w:pStyle w:val="NewsletterNormal"/>
        <w:rPr>
          <w:color w:val="000000" w:themeColor="text1"/>
          <w:lang w:val="en"/>
        </w:rPr>
      </w:pPr>
      <w:r>
        <w:t>As part of</w:t>
      </w:r>
      <w:r w:rsidR="00016C21">
        <w:t xml:space="preserve"> the </w:t>
      </w:r>
      <w:r>
        <w:t>year</w:t>
      </w:r>
      <w:r w:rsidR="00167818">
        <w:noBreakHyphen/>
      </w:r>
      <w:r>
        <w:t xml:space="preserve">end </w:t>
      </w:r>
      <w:r w:rsidR="00016C21">
        <w:t xml:space="preserve">preparation </w:t>
      </w:r>
      <w:r>
        <w:t>for 2014</w:t>
      </w:r>
      <w:r w:rsidR="00167818">
        <w:noBreakHyphen/>
      </w:r>
      <w:r>
        <w:t>15 financial reporting</w:t>
      </w:r>
      <w:r w:rsidR="00FF775A">
        <w:t xml:space="preserve">, </w:t>
      </w:r>
      <w:r w:rsidR="00FF775A" w:rsidRPr="00FF775A">
        <w:t>Victorian public sector (VPS)</w:t>
      </w:r>
      <w:r w:rsidR="005A7A13">
        <w:t xml:space="preserve"> entities are expected</w:t>
      </w:r>
      <w:r w:rsidR="00DD00A7">
        <w:t xml:space="preserve"> to </w:t>
      </w:r>
      <w:r w:rsidR="00D96B5B">
        <w:t xml:space="preserve">confirm </w:t>
      </w:r>
      <w:r>
        <w:t>the</w:t>
      </w:r>
      <w:r w:rsidR="005A7A13">
        <w:t>ir</w:t>
      </w:r>
      <w:r>
        <w:t xml:space="preserve"> assessment of </w:t>
      </w:r>
      <w:r w:rsidR="005A7A13">
        <w:t xml:space="preserve">the implementation </w:t>
      </w:r>
      <w:r w:rsidR="005A7A13" w:rsidRPr="00506D07">
        <w:t>of</w:t>
      </w:r>
      <w:r w:rsidR="005A7A13">
        <w:t xml:space="preserve"> </w:t>
      </w:r>
      <w:r>
        <w:t>AASB 10</w:t>
      </w:r>
      <w:r>
        <w:rPr>
          <w:i/>
        </w:rPr>
        <w:t xml:space="preserve"> Consolidated Financial Statements </w:t>
      </w:r>
      <w:r w:rsidR="00DD00A7">
        <w:t xml:space="preserve">with </w:t>
      </w:r>
      <w:r w:rsidR="00016C21">
        <w:t>the Victorian Auditor</w:t>
      </w:r>
      <w:r w:rsidR="00167818">
        <w:noBreakHyphen/>
      </w:r>
      <w:r w:rsidR="00016C21">
        <w:t>General</w:t>
      </w:r>
      <w:r w:rsidR="00987382">
        <w:t>’</w:t>
      </w:r>
      <w:r w:rsidR="00016C21">
        <w:t>s Office (</w:t>
      </w:r>
      <w:r w:rsidR="00DD00A7">
        <w:t>VAGO</w:t>
      </w:r>
      <w:r w:rsidR="00016C21">
        <w:t>)</w:t>
      </w:r>
      <w:r w:rsidR="00DD00A7">
        <w:t xml:space="preserve"> </w:t>
      </w:r>
      <w:r w:rsidR="00D96B5B">
        <w:t xml:space="preserve">and advise </w:t>
      </w:r>
      <w:r w:rsidR="005A7A13">
        <w:t xml:space="preserve">DTF </w:t>
      </w:r>
      <w:r>
        <w:t>if there are</w:t>
      </w:r>
      <w:r w:rsidR="00D96B5B">
        <w:t xml:space="preserve"> any changes </w:t>
      </w:r>
      <w:r>
        <w:t>identified</w:t>
      </w:r>
      <w:r w:rsidR="00DD00A7">
        <w:t xml:space="preserve">. </w:t>
      </w:r>
      <w:r>
        <w:t>Any potential risks to achieving</w:t>
      </w:r>
      <w:r w:rsidR="00FF775A">
        <w:t xml:space="preserve"> the agreed year</w:t>
      </w:r>
      <w:r w:rsidR="00167818">
        <w:noBreakHyphen/>
      </w:r>
      <w:r w:rsidR="00FF775A">
        <w:t>end reporting sign</w:t>
      </w:r>
      <w:r w:rsidR="00167818">
        <w:noBreakHyphen/>
      </w:r>
      <w:r w:rsidR="00FF775A">
        <w:t>off deadlines</w:t>
      </w:r>
      <w:r w:rsidR="00DD00A7">
        <w:t xml:space="preserve"> </w:t>
      </w:r>
      <w:r>
        <w:t>must</w:t>
      </w:r>
      <w:r w:rsidR="00DD00A7">
        <w:t xml:space="preserve"> be communicated </w:t>
      </w:r>
      <w:r w:rsidR="00016C21">
        <w:t xml:space="preserve">to relevant DTF contacts on a timely and ongoing basis. </w:t>
      </w:r>
      <w:r w:rsidR="001A189D">
        <w:t xml:space="preserve">As communicated in earlier alerts, </w:t>
      </w:r>
      <w:r w:rsidR="00FF775A">
        <w:t xml:space="preserve">VPS entities </w:t>
      </w:r>
      <w:r w:rsidR="00C85B3C">
        <w:t>should be aware of the new or revised reporting requirements relating to</w:t>
      </w:r>
      <w:r w:rsidR="00FF775A">
        <w:t xml:space="preserve"> the</w:t>
      </w:r>
      <w:r w:rsidR="00C85B3C">
        <w:t xml:space="preserve"> recently revised Financial R</w:t>
      </w:r>
      <w:r w:rsidR="00016C21">
        <w:t>epo</w:t>
      </w:r>
      <w:r w:rsidR="00C85B3C">
        <w:t>rting D</w:t>
      </w:r>
      <w:r w:rsidR="002A1FB3">
        <w:t>irection</w:t>
      </w:r>
      <w:r w:rsidR="00016C21">
        <w:t>s</w:t>
      </w:r>
      <w:r w:rsidR="00C85B3C">
        <w:t xml:space="preserve"> (FRDs)</w:t>
      </w:r>
      <w:r w:rsidR="00016C21">
        <w:t xml:space="preserve"> </w:t>
      </w:r>
      <w:r w:rsidR="00B8457D">
        <w:rPr>
          <w:color w:val="000000" w:themeColor="text1"/>
          <w:lang w:val="en"/>
        </w:rPr>
        <w:t>when</w:t>
      </w:r>
      <w:r w:rsidR="00622DD4">
        <w:rPr>
          <w:color w:val="000000" w:themeColor="text1"/>
          <w:lang w:val="en"/>
        </w:rPr>
        <w:t xml:space="preserve"> preparing their 2014</w:t>
      </w:r>
      <w:r w:rsidR="00167818">
        <w:rPr>
          <w:color w:val="000000" w:themeColor="text1"/>
          <w:lang w:val="en"/>
        </w:rPr>
        <w:noBreakHyphen/>
      </w:r>
      <w:r w:rsidR="00C85B3C">
        <w:rPr>
          <w:color w:val="000000" w:themeColor="text1"/>
          <w:lang w:val="en"/>
        </w:rPr>
        <w:t>15 annual financial report</w:t>
      </w:r>
      <w:r w:rsidR="00016C21">
        <w:rPr>
          <w:color w:val="000000" w:themeColor="text1"/>
          <w:lang w:val="en"/>
        </w:rPr>
        <w:t>.</w:t>
      </w:r>
    </w:p>
    <w:p w:rsidR="00705EE0" w:rsidRPr="00777785" w:rsidRDefault="009013CE" w:rsidP="00506D07">
      <w:pPr>
        <w:pStyle w:val="NewsletterNormal"/>
        <w:rPr>
          <w:lang w:val="en"/>
        </w:rPr>
      </w:pPr>
      <w:r w:rsidRPr="00F54152">
        <w:rPr>
          <w:lang w:val="en"/>
        </w:rPr>
        <w:t>Looking forward, the</w:t>
      </w:r>
      <w:r w:rsidR="00680ABE" w:rsidRPr="00F54152">
        <w:rPr>
          <w:lang w:val="en"/>
        </w:rPr>
        <w:t xml:space="preserve">re </w:t>
      </w:r>
      <w:r w:rsidR="00766163" w:rsidRPr="00F54152">
        <w:rPr>
          <w:lang w:val="en"/>
        </w:rPr>
        <w:t>will be</w:t>
      </w:r>
      <w:r w:rsidR="00680ABE" w:rsidRPr="00F54152">
        <w:rPr>
          <w:lang w:val="en"/>
        </w:rPr>
        <w:t xml:space="preserve"> a number of accounting standards </w:t>
      </w:r>
      <w:r w:rsidR="00DA3CAA" w:rsidRPr="00F54152">
        <w:rPr>
          <w:lang w:val="en"/>
        </w:rPr>
        <w:t xml:space="preserve">and </w:t>
      </w:r>
      <w:r w:rsidR="00C85B3C">
        <w:rPr>
          <w:lang w:val="en"/>
        </w:rPr>
        <w:t>AASB</w:t>
      </w:r>
      <w:r w:rsidR="00766163" w:rsidRPr="00F54152">
        <w:rPr>
          <w:lang w:val="en"/>
        </w:rPr>
        <w:t xml:space="preserve"> projects </w:t>
      </w:r>
      <w:r w:rsidRPr="00F54152">
        <w:rPr>
          <w:lang w:val="en"/>
        </w:rPr>
        <w:t>that</w:t>
      </w:r>
      <w:r w:rsidR="00766163" w:rsidRPr="00F54152">
        <w:rPr>
          <w:lang w:val="en"/>
        </w:rPr>
        <w:t xml:space="preserve"> </w:t>
      </w:r>
      <w:r w:rsidR="00141537">
        <w:rPr>
          <w:lang w:val="en"/>
        </w:rPr>
        <w:t>will</w:t>
      </w:r>
      <w:r w:rsidR="00646B57" w:rsidRPr="00F54152">
        <w:rPr>
          <w:lang w:val="en"/>
        </w:rPr>
        <w:t xml:space="preserve"> have </w:t>
      </w:r>
      <w:r w:rsidR="00766163" w:rsidRPr="00F54152">
        <w:rPr>
          <w:lang w:val="en"/>
        </w:rPr>
        <w:t>potential</w:t>
      </w:r>
      <w:r w:rsidRPr="00F54152">
        <w:rPr>
          <w:lang w:val="en"/>
        </w:rPr>
        <w:t xml:space="preserve"> </w:t>
      </w:r>
      <w:r w:rsidR="00646B57" w:rsidRPr="00F54152">
        <w:rPr>
          <w:lang w:val="en"/>
        </w:rPr>
        <w:t>implication</w:t>
      </w:r>
      <w:r w:rsidR="00C60F2D" w:rsidRPr="00F54152">
        <w:rPr>
          <w:lang w:val="en"/>
        </w:rPr>
        <w:t>s</w:t>
      </w:r>
      <w:r w:rsidR="00646B57" w:rsidRPr="00F54152">
        <w:rPr>
          <w:lang w:val="en"/>
        </w:rPr>
        <w:t xml:space="preserve"> for </w:t>
      </w:r>
      <w:r w:rsidRPr="00F54152">
        <w:rPr>
          <w:lang w:val="en"/>
        </w:rPr>
        <w:t>entities across the public sector</w:t>
      </w:r>
      <w:r w:rsidR="00680ABE" w:rsidRPr="00F54152">
        <w:rPr>
          <w:lang w:val="en"/>
        </w:rPr>
        <w:t>,</w:t>
      </w:r>
      <w:r w:rsidR="00766163" w:rsidRPr="00F54152">
        <w:rPr>
          <w:lang w:val="en"/>
        </w:rPr>
        <w:t xml:space="preserve"> </w:t>
      </w:r>
      <w:r w:rsidR="00646B57" w:rsidRPr="00F54152">
        <w:rPr>
          <w:lang w:val="en"/>
        </w:rPr>
        <w:t>particularly</w:t>
      </w:r>
      <w:r w:rsidR="00766163" w:rsidRPr="00F54152">
        <w:rPr>
          <w:lang w:val="en"/>
        </w:rPr>
        <w:t xml:space="preserve"> </w:t>
      </w:r>
      <w:r w:rsidR="00622DD4">
        <w:rPr>
          <w:lang w:val="en"/>
        </w:rPr>
        <w:t>AASB </w:t>
      </w:r>
      <w:r w:rsidR="00F54152" w:rsidRPr="00116F0B">
        <w:rPr>
          <w:lang w:val="en"/>
        </w:rPr>
        <w:t>124</w:t>
      </w:r>
      <w:r w:rsidR="00F54152" w:rsidRPr="00F54152">
        <w:rPr>
          <w:lang w:val="en"/>
        </w:rPr>
        <w:t xml:space="preserve"> </w:t>
      </w:r>
      <w:r w:rsidR="00F54152" w:rsidRPr="00116F0B">
        <w:rPr>
          <w:i/>
          <w:lang w:val="en"/>
        </w:rPr>
        <w:t>Related Party Disclosures</w:t>
      </w:r>
      <w:r w:rsidR="00F54152" w:rsidRPr="00F54152">
        <w:rPr>
          <w:lang w:val="en"/>
        </w:rPr>
        <w:t>,</w:t>
      </w:r>
      <w:r w:rsidR="00766163" w:rsidRPr="00F54152">
        <w:rPr>
          <w:lang w:val="en"/>
        </w:rPr>
        <w:t xml:space="preserve"> </w:t>
      </w:r>
      <w:r w:rsidR="00622DD4">
        <w:rPr>
          <w:lang w:val="en"/>
        </w:rPr>
        <w:t>AASB </w:t>
      </w:r>
      <w:r w:rsidR="007D7A6F">
        <w:rPr>
          <w:lang w:val="en"/>
        </w:rPr>
        <w:t xml:space="preserve">15 </w:t>
      </w:r>
      <w:r w:rsidR="007D7A6F" w:rsidRPr="007D7A6F">
        <w:rPr>
          <w:i/>
          <w:lang w:val="en"/>
        </w:rPr>
        <w:t>Revenue from Contracts with Customers</w:t>
      </w:r>
      <w:r w:rsidR="007D7A6F">
        <w:rPr>
          <w:lang w:val="en"/>
        </w:rPr>
        <w:t xml:space="preserve">, </w:t>
      </w:r>
      <w:r w:rsidR="007D7A6F" w:rsidRPr="00F54152">
        <w:rPr>
          <w:lang w:val="en"/>
        </w:rPr>
        <w:t>recognition of income from transactions of non</w:t>
      </w:r>
      <w:r w:rsidR="00167818">
        <w:rPr>
          <w:lang w:val="en"/>
        </w:rPr>
        <w:noBreakHyphen/>
      </w:r>
      <w:r w:rsidR="007D7A6F" w:rsidRPr="00F54152">
        <w:rPr>
          <w:lang w:val="en"/>
        </w:rPr>
        <w:t>for</w:t>
      </w:r>
      <w:r w:rsidR="00167818">
        <w:rPr>
          <w:lang w:val="en"/>
        </w:rPr>
        <w:noBreakHyphen/>
      </w:r>
      <w:r w:rsidR="007D7A6F" w:rsidRPr="00F54152">
        <w:rPr>
          <w:lang w:val="en"/>
        </w:rPr>
        <w:t>profit (NFP) entities</w:t>
      </w:r>
      <w:r w:rsidR="00C85B3C">
        <w:rPr>
          <w:lang w:val="en"/>
        </w:rPr>
        <w:t xml:space="preserve"> and</w:t>
      </w:r>
      <w:r w:rsidR="00646B57" w:rsidRPr="00F54152">
        <w:rPr>
          <w:lang w:val="en"/>
        </w:rPr>
        <w:t xml:space="preserve"> </w:t>
      </w:r>
      <w:r w:rsidR="00766163" w:rsidRPr="00F54152">
        <w:rPr>
          <w:lang w:val="en"/>
        </w:rPr>
        <w:t>grantor</w:t>
      </w:r>
      <w:r w:rsidR="00987382">
        <w:rPr>
          <w:lang w:val="en"/>
        </w:rPr>
        <w:t>’</w:t>
      </w:r>
      <w:r w:rsidR="00766163" w:rsidRPr="00F54152">
        <w:rPr>
          <w:lang w:val="en"/>
        </w:rPr>
        <w:t>s accounting for service concession arrangements</w:t>
      </w:r>
      <w:r w:rsidR="00680ABE" w:rsidRPr="00F54152">
        <w:rPr>
          <w:lang w:val="en"/>
        </w:rPr>
        <w:t xml:space="preserve">. </w:t>
      </w:r>
      <w:r w:rsidR="00213277" w:rsidRPr="00F54152">
        <w:rPr>
          <w:lang w:val="en"/>
        </w:rPr>
        <w:t>T</w:t>
      </w:r>
      <w:r w:rsidRPr="00F54152">
        <w:rPr>
          <w:lang w:val="en"/>
        </w:rPr>
        <w:t xml:space="preserve">his </w:t>
      </w:r>
      <w:r w:rsidR="00345F09" w:rsidRPr="00F54152">
        <w:rPr>
          <w:lang w:val="en"/>
        </w:rPr>
        <w:t>n</w:t>
      </w:r>
      <w:r w:rsidR="00213277" w:rsidRPr="00F54152">
        <w:rPr>
          <w:lang w:val="en"/>
        </w:rPr>
        <w:t>ewsletter</w:t>
      </w:r>
      <w:r w:rsidRPr="00F54152">
        <w:rPr>
          <w:lang w:val="en"/>
        </w:rPr>
        <w:t xml:space="preserve"> </w:t>
      </w:r>
      <w:r w:rsidR="00DC0743" w:rsidRPr="00F54152">
        <w:rPr>
          <w:lang w:val="en"/>
        </w:rPr>
        <w:t>provide</w:t>
      </w:r>
      <w:r w:rsidR="00CD035D">
        <w:rPr>
          <w:lang w:val="en"/>
        </w:rPr>
        <w:t>s</w:t>
      </w:r>
      <w:r w:rsidRPr="00F54152">
        <w:rPr>
          <w:lang w:val="en"/>
        </w:rPr>
        <w:t xml:space="preserve"> a </w:t>
      </w:r>
      <w:r w:rsidR="00DC0743" w:rsidRPr="00F54152">
        <w:rPr>
          <w:lang w:val="en"/>
        </w:rPr>
        <w:t xml:space="preserve">brief overview </w:t>
      </w:r>
      <w:r w:rsidRPr="00F54152">
        <w:rPr>
          <w:lang w:val="en"/>
        </w:rPr>
        <w:t xml:space="preserve">of </w:t>
      </w:r>
      <w:r w:rsidR="00766163" w:rsidRPr="00F54152">
        <w:rPr>
          <w:lang w:val="en"/>
        </w:rPr>
        <w:t>those new standards/projects</w:t>
      </w:r>
      <w:r w:rsidRPr="00F54152">
        <w:rPr>
          <w:lang w:val="en"/>
        </w:rPr>
        <w:t xml:space="preserve"> with a </w:t>
      </w:r>
      <w:r w:rsidR="00B27089" w:rsidRPr="00F54152">
        <w:rPr>
          <w:lang w:val="en"/>
        </w:rPr>
        <w:t>high level assessment of</w:t>
      </w:r>
      <w:r w:rsidR="00DC0743" w:rsidRPr="00F54152">
        <w:rPr>
          <w:lang w:val="en"/>
        </w:rPr>
        <w:t xml:space="preserve"> the </w:t>
      </w:r>
      <w:r w:rsidR="00124047" w:rsidRPr="00F54152">
        <w:rPr>
          <w:lang w:val="en"/>
        </w:rPr>
        <w:t xml:space="preserve">potential </w:t>
      </w:r>
      <w:r w:rsidR="00DC0743" w:rsidRPr="00F54152">
        <w:rPr>
          <w:lang w:val="en"/>
        </w:rPr>
        <w:t>implications</w:t>
      </w:r>
      <w:r w:rsidRPr="00F54152">
        <w:rPr>
          <w:lang w:val="en"/>
        </w:rPr>
        <w:t>.</w:t>
      </w:r>
    </w:p>
    <w:p w:rsidR="006E2A09" w:rsidRPr="00777785" w:rsidRDefault="006A0DD2" w:rsidP="00B360A7">
      <w:pPr>
        <w:pStyle w:val="NewsletterHeading1"/>
      </w:pPr>
      <w:bookmarkStart w:id="3" w:name="_Toc408567317"/>
      <w:bookmarkStart w:id="4" w:name="_Toc424822613"/>
      <w:r w:rsidRPr="00777785">
        <w:t>201</w:t>
      </w:r>
      <w:r w:rsidR="00F443E4" w:rsidRPr="00777785">
        <w:t>4</w:t>
      </w:r>
      <w:r w:rsidR="00167818">
        <w:noBreakHyphen/>
      </w:r>
      <w:r w:rsidRPr="00777785">
        <w:t>1</w:t>
      </w:r>
      <w:r w:rsidR="00F443E4" w:rsidRPr="00777785">
        <w:t>5</w:t>
      </w:r>
      <w:r w:rsidRPr="00777785">
        <w:t xml:space="preserve"> </w:t>
      </w:r>
      <w:r w:rsidRPr="00B360A7">
        <w:t>reporting</w:t>
      </w:r>
      <w:r w:rsidRPr="00777785">
        <w:t xml:space="preserve"> y</w:t>
      </w:r>
      <w:r w:rsidR="006E2A09" w:rsidRPr="00777785">
        <w:t>ear</w:t>
      </w:r>
      <w:bookmarkEnd w:id="3"/>
      <w:bookmarkEnd w:id="4"/>
    </w:p>
    <w:p w:rsidR="009013CE" w:rsidRPr="00777785" w:rsidRDefault="00FF775A" w:rsidP="00B360A7">
      <w:pPr>
        <w:pStyle w:val="NewsletterHeading2"/>
      </w:pPr>
      <w:r>
        <w:t>Alert</w:t>
      </w:r>
    </w:p>
    <w:p w:rsidR="00F87717" w:rsidRPr="00BF32B3" w:rsidRDefault="00F87717" w:rsidP="00F87717">
      <w:pPr>
        <w:pStyle w:val="NewsletterHeading3"/>
        <w:tabs>
          <w:tab w:val="clear" w:pos="567"/>
          <w:tab w:val="left" w:pos="0"/>
        </w:tabs>
        <w:ind w:left="0" w:firstLine="0"/>
      </w:pPr>
      <w:r w:rsidRPr="00BF32B3">
        <w:t>Limited exemption</w:t>
      </w:r>
      <w:r>
        <w:t xml:space="preserve"> from</w:t>
      </w:r>
      <w:r w:rsidRPr="00BF32B3">
        <w:t xml:space="preserve"> fair valuation disclosures</w:t>
      </w:r>
      <w:r>
        <w:t xml:space="preserve"> by n</w:t>
      </w:r>
      <w:r w:rsidRPr="00BF32B3">
        <w:t>ot</w:t>
      </w:r>
      <w:r w:rsidR="00167818">
        <w:noBreakHyphen/>
      </w:r>
      <w:r w:rsidRPr="00BF32B3">
        <w:t>for</w:t>
      </w:r>
      <w:r w:rsidR="00167818">
        <w:noBreakHyphen/>
      </w:r>
      <w:r w:rsidRPr="00BF32B3">
        <w:t>profit public sector entities</w:t>
      </w:r>
    </w:p>
    <w:p w:rsidR="00F87717" w:rsidRDefault="00F87717" w:rsidP="00506D07">
      <w:pPr>
        <w:pStyle w:val="NewsletterNormal"/>
        <w:rPr>
          <w:b/>
          <w:lang w:val="en"/>
        </w:rPr>
      </w:pPr>
      <w:r>
        <w:rPr>
          <w:lang w:val="en"/>
        </w:rPr>
        <w:t xml:space="preserve">The AASB has issued </w:t>
      </w:r>
      <w:r w:rsidRPr="00CC66BF">
        <w:rPr>
          <w:lang w:val="en"/>
        </w:rPr>
        <w:t xml:space="preserve">an amending standard to AASB 13 </w:t>
      </w:r>
      <w:r w:rsidRPr="00CC66BF">
        <w:rPr>
          <w:i/>
          <w:lang w:val="en"/>
        </w:rPr>
        <w:t>Fair Value Measurement</w:t>
      </w:r>
      <w:r w:rsidRPr="00CC66BF">
        <w:rPr>
          <w:lang w:val="en"/>
        </w:rPr>
        <w:t xml:space="preserve"> that will provide limited scope exemption on the</w:t>
      </w:r>
      <w:r>
        <w:rPr>
          <w:lang w:val="en"/>
        </w:rPr>
        <w:t xml:space="preserve"> fair value disclosures by NFP </w:t>
      </w:r>
      <w:r w:rsidRPr="00CC66BF">
        <w:rPr>
          <w:lang w:val="en"/>
        </w:rPr>
        <w:t>public sector entities.</w:t>
      </w:r>
    </w:p>
    <w:p w:rsidR="00F87717" w:rsidRDefault="00F87717" w:rsidP="00622DD4">
      <w:pPr>
        <w:pStyle w:val="NewsletterNormal"/>
        <w:rPr>
          <w:b/>
          <w:lang w:val="en"/>
        </w:rPr>
      </w:pPr>
      <w:r>
        <w:rPr>
          <w:lang w:val="en"/>
        </w:rPr>
        <w:t xml:space="preserve">The amending standard will exempt NFP public sector entities from making certain specified disclosures about the fair value measurement of assets within the scope of AASB 116 </w:t>
      </w:r>
      <w:r w:rsidRPr="00042C71">
        <w:rPr>
          <w:i/>
          <w:lang w:val="en"/>
        </w:rPr>
        <w:t>Property, Plant and Equipment</w:t>
      </w:r>
      <w:r>
        <w:rPr>
          <w:lang w:val="en"/>
        </w:rPr>
        <w:t xml:space="preserve"> that are primarily held for their current service potential rather than to generate future net cash inflows.</w:t>
      </w:r>
    </w:p>
    <w:p w:rsidR="00F87717" w:rsidRDefault="00887C59" w:rsidP="00622DD4">
      <w:pPr>
        <w:pStyle w:val="NewsletterNormal"/>
        <w:rPr>
          <w:b/>
          <w:lang w:val="en"/>
        </w:rPr>
      </w:pPr>
      <w:r>
        <w:rPr>
          <w:lang w:val="en"/>
        </w:rPr>
        <w:t>The Department of Treasury and Finance (</w:t>
      </w:r>
      <w:r w:rsidR="00F87717">
        <w:rPr>
          <w:lang w:val="en"/>
        </w:rPr>
        <w:t>DTF</w:t>
      </w:r>
      <w:r>
        <w:rPr>
          <w:lang w:val="en"/>
        </w:rPr>
        <w:t>)</w:t>
      </w:r>
      <w:r w:rsidR="00144E0D">
        <w:rPr>
          <w:lang w:val="en"/>
        </w:rPr>
        <w:t xml:space="preserve"> has sought</w:t>
      </w:r>
      <w:r w:rsidR="00F87717">
        <w:rPr>
          <w:lang w:val="en"/>
        </w:rPr>
        <w:t xml:space="preserve"> </w:t>
      </w:r>
      <w:r w:rsidR="00144E0D">
        <w:rPr>
          <w:lang w:val="en"/>
        </w:rPr>
        <w:t xml:space="preserve">and received </w:t>
      </w:r>
      <w:r w:rsidR="00F87717">
        <w:rPr>
          <w:lang w:val="en"/>
        </w:rPr>
        <w:t xml:space="preserve">ministerial approval for the early adoption of the standard for </w:t>
      </w:r>
      <w:r>
        <w:rPr>
          <w:lang w:val="en"/>
        </w:rPr>
        <w:t xml:space="preserve">the </w:t>
      </w:r>
      <w:r w:rsidR="00F87717">
        <w:rPr>
          <w:lang w:val="en"/>
        </w:rPr>
        <w:t>2014</w:t>
      </w:r>
      <w:r w:rsidR="00167818">
        <w:rPr>
          <w:lang w:val="en"/>
        </w:rPr>
        <w:noBreakHyphen/>
      </w:r>
      <w:r w:rsidR="00F87717">
        <w:rPr>
          <w:lang w:val="en"/>
        </w:rPr>
        <w:t xml:space="preserve">15 reporting period in accordance with </w:t>
      </w:r>
      <w:r w:rsidR="00F87717" w:rsidRPr="002E5726">
        <w:rPr>
          <w:lang w:val="en"/>
        </w:rPr>
        <w:t>FRD 7</w:t>
      </w:r>
      <w:r w:rsidR="00F87717">
        <w:rPr>
          <w:lang w:val="en"/>
        </w:rPr>
        <w:t xml:space="preserve">A </w:t>
      </w:r>
      <w:r w:rsidR="00F87717" w:rsidRPr="002E5726">
        <w:rPr>
          <w:i/>
          <w:lang w:val="en"/>
        </w:rPr>
        <w:t>Early adoption of authoritative accounting pronouncements</w:t>
      </w:r>
      <w:r w:rsidR="00F87717">
        <w:rPr>
          <w:lang w:val="en"/>
        </w:rPr>
        <w:t xml:space="preserve"> to allow VPS entities to benefit from the disclosure relief provided by the standard. </w:t>
      </w:r>
    </w:p>
    <w:p w:rsidR="00622DD4" w:rsidRDefault="00622DD4">
      <w:pPr>
        <w:spacing w:before="0" w:after="200" w:line="276" w:lineRule="auto"/>
        <w:rPr>
          <w:b/>
          <w:lang w:val="en"/>
        </w:rPr>
      </w:pPr>
      <w:r>
        <w:rPr>
          <w:lang w:val="en"/>
        </w:rPr>
        <w:br w:type="page"/>
      </w:r>
    </w:p>
    <w:p w:rsidR="00622DD4" w:rsidRDefault="00622DD4" w:rsidP="00622DD4">
      <w:pPr>
        <w:pStyle w:val="NewsletterNormal"/>
        <w:rPr>
          <w:lang w:val="en"/>
        </w:rPr>
      </w:pPr>
    </w:p>
    <w:p w:rsidR="00622DD4" w:rsidRPr="00F87717" w:rsidRDefault="00622DD4" w:rsidP="00037844">
      <w:pPr>
        <w:pStyle w:val="NewsletterHeading3"/>
        <w:rPr>
          <w:lang w:val="en"/>
        </w:rPr>
      </w:pPr>
      <w:r>
        <w:rPr>
          <w:lang w:val="en"/>
        </w:rPr>
        <w:br w:type="column"/>
      </w:r>
      <w:r>
        <w:rPr>
          <w:lang w:val="en"/>
        </w:rPr>
        <w:lastRenderedPageBreak/>
        <w:t>Fair valuation of non</w:t>
      </w:r>
      <w:r w:rsidR="00167818">
        <w:rPr>
          <w:lang w:val="en"/>
        </w:rPr>
        <w:noBreakHyphen/>
      </w:r>
      <w:r>
        <w:rPr>
          <w:lang w:val="en"/>
        </w:rPr>
        <w:t>financial physical assets</w:t>
      </w:r>
    </w:p>
    <w:p w:rsidR="00622DD4" w:rsidRDefault="00622DD4" w:rsidP="00622DD4">
      <w:pPr>
        <w:pStyle w:val="NewsletterNormal"/>
        <w:rPr>
          <w:lang w:val="en"/>
        </w:rPr>
      </w:pPr>
      <w:r>
        <w:rPr>
          <w:lang w:val="en"/>
        </w:rPr>
        <w:t xml:space="preserve">In June 2015, DTF issued FRD 103F </w:t>
      </w:r>
      <w:r w:rsidRPr="005B5176">
        <w:rPr>
          <w:i/>
          <w:lang w:val="en"/>
        </w:rPr>
        <w:t>Non</w:t>
      </w:r>
      <w:r w:rsidR="00167818">
        <w:rPr>
          <w:i/>
          <w:lang w:val="en"/>
        </w:rPr>
        <w:noBreakHyphen/>
      </w:r>
      <w:r w:rsidRPr="005B5176">
        <w:rPr>
          <w:i/>
          <w:lang w:val="en"/>
        </w:rPr>
        <w:t xml:space="preserve">financial </w:t>
      </w:r>
      <w:r>
        <w:rPr>
          <w:i/>
          <w:lang w:val="en"/>
        </w:rPr>
        <w:t>P</w:t>
      </w:r>
      <w:r w:rsidRPr="005B5176">
        <w:rPr>
          <w:i/>
          <w:lang w:val="en"/>
        </w:rPr>
        <w:t xml:space="preserve">hysical </w:t>
      </w:r>
      <w:r>
        <w:rPr>
          <w:i/>
          <w:lang w:val="en"/>
        </w:rPr>
        <w:t>A</w:t>
      </w:r>
      <w:r w:rsidRPr="005B5176">
        <w:rPr>
          <w:i/>
          <w:lang w:val="en"/>
        </w:rPr>
        <w:t>ssets</w:t>
      </w:r>
      <w:r>
        <w:rPr>
          <w:i/>
          <w:lang w:val="en"/>
        </w:rPr>
        <w:t xml:space="preserve"> </w:t>
      </w:r>
      <w:r>
        <w:rPr>
          <w:lang w:val="en"/>
        </w:rPr>
        <w:t>to clarify the application of economic obsolescence when a non</w:t>
      </w:r>
      <w:r w:rsidR="00167818">
        <w:rPr>
          <w:lang w:val="en"/>
        </w:rPr>
        <w:noBreakHyphen/>
      </w:r>
      <w:r>
        <w:rPr>
          <w:lang w:val="en"/>
        </w:rPr>
        <w:t>financial physical asset is measured at fair value using the cost approach. It states that no adjustment for economic obsolescence should be made to the value of a non</w:t>
      </w:r>
      <w:r w:rsidR="00167818">
        <w:rPr>
          <w:lang w:val="en"/>
        </w:rPr>
        <w:noBreakHyphen/>
      </w:r>
      <w:r>
        <w:rPr>
          <w:lang w:val="en"/>
        </w:rPr>
        <w:t xml:space="preserve">financial physical asset if the asset is still in use. This FRD is </w:t>
      </w:r>
      <w:r w:rsidRPr="007D599F">
        <w:rPr>
          <w:lang w:val="en"/>
        </w:rPr>
        <w:t>applicable for the 2014</w:t>
      </w:r>
      <w:r w:rsidR="00167818">
        <w:rPr>
          <w:lang w:val="en"/>
        </w:rPr>
        <w:noBreakHyphen/>
      </w:r>
      <w:r w:rsidRPr="007D599F">
        <w:rPr>
          <w:lang w:val="en"/>
        </w:rPr>
        <w:t>15 reporting period</w:t>
      </w:r>
      <w:r>
        <w:rPr>
          <w:lang w:val="en"/>
        </w:rPr>
        <w:t>.</w:t>
      </w:r>
    </w:p>
    <w:p w:rsidR="00622DD4" w:rsidRDefault="00622DD4" w:rsidP="00622DD4">
      <w:pPr>
        <w:pStyle w:val="NewsletterNormal"/>
        <w:rPr>
          <w:lang w:val="en"/>
        </w:rPr>
      </w:pPr>
      <w:r>
        <w:rPr>
          <w:lang w:val="en"/>
        </w:rPr>
        <w:t>Further guidance has also been included to clarify the consideration of highest and best use of an asset when it becomes surplus.</w:t>
      </w:r>
    </w:p>
    <w:p w:rsidR="00F87717" w:rsidRDefault="00F87717" w:rsidP="00622DD4">
      <w:pPr>
        <w:pStyle w:val="NewsletterNormal"/>
        <w:rPr>
          <w:b/>
          <w:color w:val="000000" w:themeColor="text1"/>
          <w:lang w:val="en"/>
        </w:rPr>
      </w:pPr>
      <w:r>
        <w:rPr>
          <w:color w:val="000000" w:themeColor="text1"/>
          <w:lang w:val="en"/>
        </w:rPr>
        <w:t xml:space="preserve">In addition, DTF, in partnership with the </w:t>
      </w:r>
      <w:proofErr w:type="spellStart"/>
      <w:r>
        <w:rPr>
          <w:color w:val="000000" w:themeColor="text1"/>
          <w:lang w:val="en"/>
        </w:rPr>
        <w:t>Valuer</w:t>
      </w:r>
      <w:proofErr w:type="spellEnd"/>
      <w:r w:rsidR="00167818">
        <w:rPr>
          <w:color w:val="000000" w:themeColor="text1"/>
          <w:lang w:val="en"/>
        </w:rPr>
        <w:noBreakHyphen/>
      </w:r>
      <w:r>
        <w:rPr>
          <w:color w:val="000000" w:themeColor="text1"/>
          <w:lang w:val="en"/>
        </w:rPr>
        <w:t xml:space="preserve">General Victoria (VGV), has developed a set of valuation guidance </w:t>
      </w:r>
      <w:r w:rsidRPr="005B0534">
        <w:rPr>
          <w:color w:val="000000" w:themeColor="text1"/>
          <w:lang w:val="en"/>
        </w:rPr>
        <w:t>to ensure consis</w:t>
      </w:r>
      <w:r>
        <w:rPr>
          <w:color w:val="000000" w:themeColor="text1"/>
          <w:lang w:val="en"/>
        </w:rPr>
        <w:t xml:space="preserve">tent valuation practice across the </w:t>
      </w:r>
      <w:r w:rsidR="00685510">
        <w:rPr>
          <w:color w:val="000000" w:themeColor="text1"/>
          <w:lang w:val="en"/>
        </w:rPr>
        <w:t>s</w:t>
      </w:r>
      <w:r>
        <w:rPr>
          <w:color w:val="000000" w:themeColor="text1"/>
          <w:lang w:val="en"/>
        </w:rPr>
        <w:t>tate. This guidance is not intended to replace FRD 103F, but rather provide a supplementary guide to FRD 103F. The guidance will be distributed to all CFOs and located on VGV website once it has been finalised with VAGO.</w:t>
      </w:r>
    </w:p>
    <w:p w:rsidR="00EF2D2D" w:rsidRPr="00EF2D2D" w:rsidRDefault="00EF2D2D" w:rsidP="00EF2D2D">
      <w:pPr>
        <w:pStyle w:val="NewsletterBullet1"/>
        <w:numPr>
          <w:ilvl w:val="0"/>
          <w:numId w:val="0"/>
        </w:numPr>
        <w:rPr>
          <w:b/>
          <w:color w:val="000000" w:themeColor="text1"/>
          <w:lang w:val="en"/>
        </w:rPr>
      </w:pPr>
      <w:r>
        <w:rPr>
          <w:b/>
          <w:color w:val="000000" w:themeColor="text1"/>
          <w:lang w:val="en"/>
        </w:rPr>
        <w:t>2014</w:t>
      </w:r>
      <w:r w:rsidR="00167818">
        <w:rPr>
          <w:b/>
          <w:color w:val="000000" w:themeColor="text1"/>
          <w:lang w:val="en"/>
        </w:rPr>
        <w:noBreakHyphen/>
      </w:r>
      <w:r>
        <w:rPr>
          <w:b/>
          <w:color w:val="000000" w:themeColor="text1"/>
          <w:lang w:val="en"/>
        </w:rPr>
        <w:t>15</w:t>
      </w:r>
      <w:r w:rsidRPr="00EF2D2D">
        <w:rPr>
          <w:b/>
          <w:color w:val="000000" w:themeColor="text1"/>
          <w:lang w:val="en"/>
        </w:rPr>
        <w:t xml:space="preserve"> Model Report for Victori</w:t>
      </w:r>
      <w:r>
        <w:rPr>
          <w:b/>
          <w:color w:val="000000" w:themeColor="text1"/>
          <w:lang w:val="en"/>
        </w:rPr>
        <w:t xml:space="preserve">an Government Departments </w:t>
      </w:r>
      <w:r>
        <w:rPr>
          <w:b/>
          <w:color w:val="000000" w:themeColor="text1"/>
          <w:lang w:val="en"/>
        </w:rPr>
        <w:br/>
        <w:t>(2014</w:t>
      </w:r>
      <w:r w:rsidR="00167818">
        <w:rPr>
          <w:b/>
          <w:color w:val="000000" w:themeColor="text1"/>
          <w:lang w:val="en"/>
        </w:rPr>
        <w:noBreakHyphen/>
      </w:r>
      <w:r>
        <w:rPr>
          <w:b/>
          <w:color w:val="000000" w:themeColor="text1"/>
          <w:lang w:val="en"/>
        </w:rPr>
        <w:t>15</w:t>
      </w:r>
      <w:r w:rsidR="00037844">
        <w:rPr>
          <w:b/>
          <w:color w:val="000000" w:themeColor="text1"/>
          <w:lang w:val="en"/>
        </w:rPr>
        <w:t> </w:t>
      </w:r>
      <w:r w:rsidRPr="00EF2D2D">
        <w:rPr>
          <w:b/>
          <w:color w:val="000000" w:themeColor="text1"/>
          <w:lang w:val="en"/>
        </w:rPr>
        <w:t>Model Report)</w:t>
      </w:r>
    </w:p>
    <w:p w:rsidR="00EF2D2D" w:rsidRPr="00622DD4" w:rsidRDefault="00EF2D2D" w:rsidP="00622DD4">
      <w:pPr>
        <w:pStyle w:val="NewsletterNormal"/>
      </w:pPr>
      <w:r>
        <w:t>DTF r</w:t>
      </w:r>
      <w:r w:rsidRPr="00C035B4">
        <w:t>elease</w:t>
      </w:r>
      <w:r>
        <w:t xml:space="preserve">d </w:t>
      </w:r>
      <w:r w:rsidRPr="00622DD4">
        <w:t>the 2014</w:t>
      </w:r>
      <w:r w:rsidR="00167818">
        <w:noBreakHyphen/>
      </w:r>
      <w:r w:rsidRPr="00622DD4">
        <w:t xml:space="preserve">15 Model Report in </w:t>
      </w:r>
      <w:r w:rsidR="007F3D2F" w:rsidRPr="00622DD4">
        <w:t>mid</w:t>
      </w:r>
      <w:r w:rsidR="00167818">
        <w:noBreakHyphen/>
      </w:r>
      <w:r w:rsidRPr="00622DD4">
        <w:t>April 2015.</w:t>
      </w:r>
    </w:p>
    <w:p w:rsidR="00A92813" w:rsidRDefault="00A92813" w:rsidP="00622DD4">
      <w:pPr>
        <w:pStyle w:val="NewsletterNormal"/>
      </w:pPr>
      <w:r w:rsidRPr="00622DD4">
        <w:t>The key changes compared</w:t>
      </w:r>
      <w:r>
        <w:t xml:space="preserve"> with the 2013</w:t>
      </w:r>
      <w:r w:rsidR="00167818">
        <w:noBreakHyphen/>
      </w:r>
      <w:r>
        <w:t>14 Model Report include:</w:t>
      </w:r>
    </w:p>
    <w:p w:rsidR="00A92813" w:rsidRPr="00A92813" w:rsidRDefault="00A92813" w:rsidP="00622DD4">
      <w:pPr>
        <w:pStyle w:val="NewsletterBullet1"/>
      </w:pPr>
      <w:r>
        <w:t>i</w:t>
      </w:r>
      <w:r w:rsidRPr="00A92813">
        <w:t xml:space="preserve">mplementation of the reporting requirements of the suite of accounting standards which comprise AASB 10, AASB 11 </w:t>
      </w:r>
      <w:r w:rsidRPr="00A92813">
        <w:rPr>
          <w:i/>
        </w:rPr>
        <w:t>Joint Arrangements</w:t>
      </w:r>
      <w:r w:rsidRPr="00A92813">
        <w:t xml:space="preserve"> and AASB 12 </w:t>
      </w:r>
      <w:r w:rsidRPr="00A92813">
        <w:rPr>
          <w:i/>
        </w:rPr>
        <w:t>Disclosure of Interests in Other Entities</w:t>
      </w:r>
      <w:r>
        <w:t>;</w:t>
      </w:r>
    </w:p>
    <w:p w:rsidR="00A92813" w:rsidRPr="00A92813" w:rsidRDefault="00A92813" w:rsidP="00A92813">
      <w:pPr>
        <w:pStyle w:val="NewsletterBullet1"/>
      </w:pPr>
      <w:r>
        <w:t>i</w:t>
      </w:r>
      <w:r w:rsidRPr="00A92813">
        <w:t xml:space="preserve">mplementation of </w:t>
      </w:r>
      <w:r w:rsidRPr="001A46F5">
        <w:rPr>
          <w:sz w:val="24"/>
          <w:szCs w:val="24"/>
          <w:lang w:eastAsia="en-US"/>
        </w:rPr>
        <w:t>Public Accounts and Estimates Committee</w:t>
      </w:r>
      <w:r w:rsidRPr="00A92813">
        <w:t xml:space="preserve"> </w:t>
      </w:r>
      <w:r>
        <w:t>(</w:t>
      </w:r>
      <w:r w:rsidRPr="00A92813">
        <w:t>PAEC</w:t>
      </w:r>
      <w:r>
        <w:t>)</w:t>
      </w:r>
      <w:r w:rsidRPr="00A92813">
        <w:t xml:space="preserve"> recommendations and guidance in the Report of Operations in relation to performance reporting</w:t>
      </w:r>
      <w:r w:rsidR="007D236C">
        <w:t>,</w:t>
      </w:r>
      <w:r w:rsidRPr="00A92813">
        <w:t xml:space="preserve"> which </w:t>
      </w:r>
      <w:r w:rsidR="003F2B15">
        <w:t xml:space="preserve">have also been reflected in </w:t>
      </w:r>
      <w:r w:rsidR="003F2B15" w:rsidRPr="00B56FD8">
        <w:t xml:space="preserve">FRD 8C </w:t>
      </w:r>
      <w:r w:rsidR="003F2B15">
        <w:rPr>
          <w:i/>
        </w:rPr>
        <w:t>Consistency of Budget and Departmental R</w:t>
      </w:r>
      <w:r w:rsidR="003F2B15" w:rsidRPr="00B56FD8">
        <w:rPr>
          <w:i/>
        </w:rPr>
        <w:t>eporting</w:t>
      </w:r>
      <w:r w:rsidR="003F2B15">
        <w:rPr>
          <w:i/>
        </w:rPr>
        <w:t xml:space="preserve"> </w:t>
      </w:r>
      <w:r w:rsidR="003F2B15" w:rsidRPr="003F2B15">
        <w:t>and</w:t>
      </w:r>
      <w:r w:rsidR="003F2B15">
        <w:rPr>
          <w:i/>
        </w:rPr>
        <w:t xml:space="preserve"> </w:t>
      </w:r>
      <w:r w:rsidR="003F2B15" w:rsidRPr="00B56FD8">
        <w:t xml:space="preserve">FRD 22F </w:t>
      </w:r>
      <w:r w:rsidR="003F2B15">
        <w:rPr>
          <w:i/>
        </w:rPr>
        <w:t>Standard Disclosures in the R</w:t>
      </w:r>
      <w:r w:rsidR="003F2B15" w:rsidRPr="00B56FD8">
        <w:rPr>
          <w:i/>
        </w:rPr>
        <w:t xml:space="preserve">eport </w:t>
      </w:r>
      <w:r w:rsidR="003F2B15">
        <w:rPr>
          <w:i/>
        </w:rPr>
        <w:t>of O</w:t>
      </w:r>
      <w:r w:rsidR="003F2B15" w:rsidRPr="00B56FD8">
        <w:rPr>
          <w:i/>
        </w:rPr>
        <w:t>perations</w:t>
      </w:r>
      <w:r w:rsidR="003F2B15">
        <w:rPr>
          <w:i/>
        </w:rPr>
        <w:t xml:space="preserve"> </w:t>
      </w:r>
      <w:r w:rsidR="003F2B15" w:rsidRPr="003F2B15">
        <w:t>(as referred later in this newsletter)</w:t>
      </w:r>
      <w:r w:rsidR="003F2B15">
        <w:t>;</w:t>
      </w:r>
      <w:r w:rsidR="00CD035D">
        <w:t xml:space="preserve"> and</w:t>
      </w:r>
    </w:p>
    <w:p w:rsidR="00AD3D71" w:rsidRDefault="00A92813" w:rsidP="003F2B15">
      <w:pPr>
        <w:pStyle w:val="NewsletterBullet1"/>
      </w:pPr>
      <w:r>
        <w:t>i</w:t>
      </w:r>
      <w:r w:rsidRPr="00A92813">
        <w:t>mplementation of agreed VAGO recommendations</w:t>
      </w:r>
      <w:r>
        <w:t xml:space="preserve"> (mainly editorial improvements).</w:t>
      </w:r>
      <w:r w:rsidR="00AD3D71" w:rsidRPr="003F2B15">
        <w:t xml:space="preserve"> </w:t>
      </w:r>
    </w:p>
    <w:p w:rsidR="00C3131C" w:rsidRDefault="00C3131C" w:rsidP="00C3131C">
      <w:pPr>
        <w:pStyle w:val="NewsletterHeading2"/>
      </w:pPr>
      <w:r w:rsidRPr="00F87717">
        <w:t>Financial Report Directions (FRDs) and guidance notes</w:t>
      </w:r>
    </w:p>
    <w:p w:rsidR="00C3131C" w:rsidRPr="00777785" w:rsidRDefault="00C3131C" w:rsidP="00C3131C">
      <w:r>
        <w:t>Since the last newsletter, several FRDs have been amended and are applicable for the 2014</w:t>
      </w:r>
      <w:r w:rsidR="00167818">
        <w:noBreakHyphen/>
      </w:r>
      <w:r>
        <w:t>15 reporting year. These FRDs include:</w:t>
      </w:r>
    </w:p>
    <w:p w:rsidR="00C3131C" w:rsidRPr="00B56FD8" w:rsidRDefault="00C3131C" w:rsidP="00C3131C">
      <w:pPr>
        <w:pStyle w:val="NewsletterBullet1"/>
      </w:pPr>
      <w:r w:rsidRPr="00B56FD8">
        <w:t xml:space="preserve">FRD 8C </w:t>
      </w:r>
      <w:r>
        <w:rPr>
          <w:i/>
        </w:rPr>
        <w:t>Consistency of Budget and Departmental R</w:t>
      </w:r>
      <w:r w:rsidRPr="00B56FD8">
        <w:rPr>
          <w:i/>
        </w:rPr>
        <w:t>eporting</w:t>
      </w:r>
      <w:r w:rsidRPr="00B56FD8">
        <w:t xml:space="preserve"> </w:t>
      </w:r>
      <w:r>
        <w:rPr>
          <w:i/>
        </w:rPr>
        <w:t>(April 2015)</w:t>
      </w:r>
      <w:r w:rsidRPr="00B56FD8">
        <w:rPr>
          <w:i/>
        </w:rPr>
        <w:t xml:space="preserve"> </w:t>
      </w:r>
      <w:r w:rsidRPr="00622DD4">
        <w:t>requires</w:t>
      </w:r>
      <w:r>
        <w:t xml:space="preserve"> a more detailed explanation for significant or material variances to budgeted financial performance</w:t>
      </w:r>
      <w:r w:rsidRPr="00B56FD8">
        <w:t>;</w:t>
      </w:r>
    </w:p>
    <w:p w:rsidR="00C3131C" w:rsidRDefault="00C3131C" w:rsidP="00C3131C">
      <w:pPr>
        <w:pStyle w:val="NewsletterBullet1"/>
      </w:pPr>
      <w:r w:rsidRPr="00B56FD8">
        <w:t xml:space="preserve">FRD 22F </w:t>
      </w:r>
      <w:r>
        <w:rPr>
          <w:i/>
        </w:rPr>
        <w:t>Standard Disclosures in the R</w:t>
      </w:r>
      <w:r w:rsidRPr="00B56FD8">
        <w:rPr>
          <w:i/>
        </w:rPr>
        <w:t xml:space="preserve">eport </w:t>
      </w:r>
      <w:r>
        <w:rPr>
          <w:i/>
        </w:rPr>
        <w:t>of O</w:t>
      </w:r>
      <w:r w:rsidRPr="00B56FD8">
        <w:rPr>
          <w:i/>
        </w:rPr>
        <w:t>perations</w:t>
      </w:r>
      <w:r w:rsidRPr="00B56FD8">
        <w:t xml:space="preserve"> </w:t>
      </w:r>
      <w:r>
        <w:rPr>
          <w:i/>
        </w:rPr>
        <w:t>(April 2015)</w:t>
      </w:r>
      <w:r w:rsidRPr="00B56FD8">
        <w:rPr>
          <w:i/>
        </w:rPr>
        <w:t xml:space="preserve"> </w:t>
      </w:r>
      <w:r w:rsidRPr="00B56FD8">
        <w:t xml:space="preserve">requires </w:t>
      </w:r>
      <w:r>
        <w:t xml:space="preserve">additional </w:t>
      </w:r>
      <w:r w:rsidRPr="00B56FD8">
        <w:t>disclosures</w:t>
      </w:r>
      <w:r w:rsidRPr="006B2C4A">
        <w:t xml:space="preserve"> </w:t>
      </w:r>
      <w:r>
        <w:t>on an entity</w:t>
      </w:r>
      <w:r w:rsidR="00987382">
        <w:t>’</w:t>
      </w:r>
      <w:r>
        <w:t xml:space="preserve">s key initiatives and progress, workforce inclusion policy and reporting occupational health and safety measures, and </w:t>
      </w:r>
      <w:r w:rsidRPr="00622DD4">
        <w:t>performance</w:t>
      </w:r>
      <w:r>
        <w:t xml:space="preserve"> against those measures</w:t>
      </w:r>
      <w:r w:rsidRPr="00B56FD8">
        <w:t>;</w:t>
      </w:r>
    </w:p>
    <w:p w:rsidR="00C3131C" w:rsidRPr="00B56FD8" w:rsidRDefault="00C3131C" w:rsidP="00C3131C">
      <w:pPr>
        <w:pStyle w:val="NewsletterBullet1"/>
      </w:pPr>
      <w:r w:rsidRPr="00B56FD8">
        <w:t xml:space="preserve">FRD 29A </w:t>
      </w:r>
      <w:r>
        <w:t>Workforce Data Disclosures in the Report of Operations</w:t>
      </w:r>
      <w:r w:rsidR="00167818">
        <w:t xml:space="preserve"> – </w:t>
      </w:r>
      <w:r>
        <w:t>Public Service E</w:t>
      </w:r>
      <w:r w:rsidRPr="00B56FD8">
        <w:t>mployees</w:t>
      </w:r>
      <w:r w:rsidRPr="00B56FD8">
        <w:rPr>
          <w:rFonts w:hAnsi="Calibri"/>
          <w:color w:val="000000" w:themeColor="text1"/>
          <w:kern w:val="24"/>
          <w:sz w:val="24"/>
          <w:szCs w:val="24"/>
        </w:rPr>
        <w:t xml:space="preserve"> </w:t>
      </w:r>
      <w:r>
        <w:t>(April 2015)</w:t>
      </w:r>
      <w:r w:rsidRPr="00B56FD8">
        <w:t xml:space="preserve"> clarifies the reporti</w:t>
      </w:r>
      <w:r>
        <w:t>ng requirements for</w:t>
      </w:r>
      <w:r w:rsidRPr="00B56FD8">
        <w:t xml:space="preserve"> graduates;</w:t>
      </w:r>
    </w:p>
    <w:p w:rsidR="00F273F8" w:rsidRDefault="00F273F8">
      <w:pPr>
        <w:spacing w:before="0" w:after="200" w:line="276" w:lineRule="auto"/>
      </w:pPr>
      <w:r>
        <w:br w:type="page"/>
      </w:r>
    </w:p>
    <w:p w:rsidR="00F273F8" w:rsidRDefault="00F273F8" w:rsidP="00F273F8">
      <w:pPr>
        <w:pStyle w:val="NewsletterNormal"/>
      </w:pPr>
    </w:p>
    <w:p w:rsidR="00C3131C" w:rsidRDefault="00F273F8" w:rsidP="00C3131C">
      <w:pPr>
        <w:pStyle w:val="NewsletterBullet1"/>
      </w:pPr>
      <w:r>
        <w:br w:type="column"/>
      </w:r>
      <w:r w:rsidR="00C3131C" w:rsidRPr="00B56FD8">
        <w:lastRenderedPageBreak/>
        <w:t xml:space="preserve">FRD 30B </w:t>
      </w:r>
      <w:r w:rsidR="00C3131C">
        <w:rPr>
          <w:i/>
        </w:rPr>
        <w:t>Standard Requirements for the Publication of Annual R</w:t>
      </w:r>
      <w:r w:rsidR="00C3131C" w:rsidRPr="00B56FD8">
        <w:rPr>
          <w:i/>
        </w:rPr>
        <w:t>eports</w:t>
      </w:r>
      <w:r w:rsidR="00C3131C" w:rsidRPr="00B56FD8">
        <w:rPr>
          <w:rFonts w:hAnsi="Calibri"/>
          <w:color w:val="000000" w:themeColor="text1"/>
          <w:kern w:val="24"/>
          <w:sz w:val="24"/>
          <w:szCs w:val="24"/>
        </w:rPr>
        <w:t xml:space="preserve"> </w:t>
      </w:r>
      <w:r w:rsidR="00C3131C">
        <w:rPr>
          <w:i/>
        </w:rPr>
        <w:t>(April 2015)</w:t>
      </w:r>
      <w:r w:rsidR="00C3131C" w:rsidRPr="00B56FD8">
        <w:rPr>
          <w:i/>
        </w:rPr>
        <w:t xml:space="preserve"> </w:t>
      </w:r>
      <w:r w:rsidR="00C3131C">
        <w:t xml:space="preserve">reflects the requirement in </w:t>
      </w:r>
      <w:r w:rsidR="00C3131C" w:rsidRPr="00384ED2">
        <w:rPr>
          <w:i/>
        </w:rPr>
        <w:t>Standing Direction</w:t>
      </w:r>
      <w:r w:rsidR="00C3131C">
        <w:t xml:space="preserve"> for the rounding of monetary amounts in financial statements and revised printing specifications</w:t>
      </w:r>
      <w:r w:rsidR="00C3131C" w:rsidRPr="00B56FD8">
        <w:t>;</w:t>
      </w:r>
    </w:p>
    <w:p w:rsidR="00F87717" w:rsidRDefault="00F87717" w:rsidP="00037844">
      <w:pPr>
        <w:pStyle w:val="NewsletterBullet1"/>
      </w:pPr>
      <w:r w:rsidRPr="00B56FD8">
        <w:t xml:space="preserve">FRD 103F </w:t>
      </w:r>
      <w:r w:rsidRPr="00C3131C">
        <w:rPr>
          <w:i/>
        </w:rPr>
        <w:t>Non</w:t>
      </w:r>
      <w:r w:rsidR="00167818">
        <w:rPr>
          <w:i/>
        </w:rPr>
        <w:noBreakHyphen/>
      </w:r>
      <w:r w:rsidRPr="00C3131C">
        <w:rPr>
          <w:i/>
        </w:rPr>
        <w:t>financial Physical Assets (June 2015)</w:t>
      </w:r>
      <w:r w:rsidRPr="003F2B15">
        <w:t xml:space="preserve"> </w:t>
      </w:r>
      <w:r>
        <w:t>states</w:t>
      </w:r>
      <w:r w:rsidRPr="00B56FD8">
        <w:t xml:space="preserve"> that </w:t>
      </w:r>
      <w:r w:rsidRPr="003F2B15">
        <w:t>no adjustment for economic obsolescence should be made to the value of a non</w:t>
      </w:r>
      <w:r w:rsidR="00167818">
        <w:noBreakHyphen/>
      </w:r>
      <w:r w:rsidRPr="003F2B15">
        <w:t>financial physical asset if the asset is still in use</w:t>
      </w:r>
      <w:r w:rsidRPr="00B56FD8">
        <w:t>;</w:t>
      </w:r>
    </w:p>
    <w:p w:rsidR="00B56FD8" w:rsidRPr="00B56FD8" w:rsidRDefault="00B56FD8" w:rsidP="00037844">
      <w:pPr>
        <w:pStyle w:val="NewsletterBullet1"/>
      </w:pPr>
      <w:r w:rsidRPr="00B56FD8">
        <w:t xml:space="preserve">FRD 113A </w:t>
      </w:r>
      <w:r w:rsidR="00615193" w:rsidRPr="0091317E">
        <w:rPr>
          <w:i/>
        </w:rPr>
        <w:t>Investments in Subsidiaries, Joint Ventures and Associates in Separate Financial S</w:t>
      </w:r>
      <w:r w:rsidRPr="0091317E">
        <w:rPr>
          <w:i/>
        </w:rPr>
        <w:t>tatements</w:t>
      </w:r>
      <w:r w:rsidR="007C3494" w:rsidRPr="0091317E">
        <w:rPr>
          <w:i/>
        </w:rPr>
        <w:t xml:space="preserve"> (June</w:t>
      </w:r>
      <w:r w:rsidR="000755B9" w:rsidRPr="0091317E">
        <w:rPr>
          <w:i/>
        </w:rPr>
        <w:t xml:space="preserve"> 2015</w:t>
      </w:r>
      <w:r w:rsidR="007C3494" w:rsidRPr="0091317E">
        <w:rPr>
          <w:i/>
        </w:rPr>
        <w:t>)</w:t>
      </w:r>
      <w:r w:rsidRPr="0091317E">
        <w:t xml:space="preserve"> </w:t>
      </w:r>
      <w:r w:rsidRPr="00B56FD8">
        <w:t xml:space="preserve">requires an entity to seek Ministerial approval </w:t>
      </w:r>
      <w:r w:rsidR="000755B9">
        <w:t xml:space="preserve">for </w:t>
      </w:r>
      <w:r w:rsidRPr="00B56FD8">
        <w:t>an exemption from presenting consolidated financial statements</w:t>
      </w:r>
      <w:r w:rsidR="00604F9C">
        <w:t>. It also</w:t>
      </w:r>
      <w:r w:rsidR="000755B9">
        <w:t xml:space="preserve"> provides additional guidance to clarify when an entity can present separate financial statements subject to </w:t>
      </w:r>
      <w:r w:rsidR="000755B9" w:rsidRPr="00B56FD8">
        <w:t>Ministerial approval</w:t>
      </w:r>
      <w:r w:rsidRPr="00B56FD8">
        <w:t>; and</w:t>
      </w:r>
    </w:p>
    <w:p w:rsidR="00B56FD8" w:rsidRPr="00B56FD8" w:rsidRDefault="00B56FD8" w:rsidP="00037844">
      <w:pPr>
        <w:pStyle w:val="NewsletterBullet1"/>
      </w:pPr>
      <w:r w:rsidRPr="00B56FD8">
        <w:t>FRD 120</w:t>
      </w:r>
      <w:r w:rsidR="00043A0B">
        <w:t>I</w:t>
      </w:r>
      <w:r w:rsidRPr="00B56FD8">
        <w:t xml:space="preserve"> </w:t>
      </w:r>
      <w:r w:rsidR="00C64E09">
        <w:rPr>
          <w:i/>
        </w:rPr>
        <w:t>Accounting and Reporting P</w:t>
      </w:r>
      <w:r w:rsidRPr="00B56FD8">
        <w:rPr>
          <w:i/>
        </w:rPr>
        <w:t>ronouncements applicable to</w:t>
      </w:r>
      <w:r w:rsidR="00622DD4">
        <w:rPr>
          <w:i/>
        </w:rPr>
        <w:t xml:space="preserve"> </w:t>
      </w:r>
      <w:r w:rsidR="00622DD4">
        <w:rPr>
          <w:i/>
        </w:rPr>
        <w:br/>
        <w:t>the 2014</w:t>
      </w:r>
      <w:r w:rsidR="00167818">
        <w:rPr>
          <w:i/>
        </w:rPr>
        <w:noBreakHyphen/>
      </w:r>
      <w:r w:rsidR="00622DD4">
        <w:rPr>
          <w:i/>
        </w:rPr>
        <w:t>15 </w:t>
      </w:r>
      <w:r w:rsidR="00C64E09">
        <w:rPr>
          <w:i/>
        </w:rPr>
        <w:t>Reporting P</w:t>
      </w:r>
      <w:r w:rsidRPr="00B56FD8">
        <w:rPr>
          <w:i/>
        </w:rPr>
        <w:t xml:space="preserve">eriod </w:t>
      </w:r>
      <w:r w:rsidR="007C3494">
        <w:rPr>
          <w:i/>
        </w:rPr>
        <w:t xml:space="preserve">(June 2015) </w:t>
      </w:r>
      <w:r w:rsidRPr="00B56FD8">
        <w:t>updates the accounting standards and other pronouncements applicable for the 2014</w:t>
      </w:r>
      <w:r w:rsidR="00167818">
        <w:noBreakHyphen/>
      </w:r>
      <w:r w:rsidRPr="00B56FD8">
        <w:t>15 reporting period and those that are issued but not yet effective for the current period.</w:t>
      </w:r>
    </w:p>
    <w:p w:rsidR="00B56FD8" w:rsidRPr="00B56FD8" w:rsidRDefault="007C3494" w:rsidP="00B56FD8">
      <w:pPr>
        <w:pStyle w:val="NewsletterBullet1"/>
        <w:numPr>
          <w:ilvl w:val="0"/>
          <w:numId w:val="0"/>
        </w:numPr>
      </w:pPr>
      <w:r>
        <w:t>T</w:t>
      </w:r>
      <w:r w:rsidR="00B56FD8" w:rsidRPr="00B56FD8">
        <w:t>he following FRDs have been withdraw</w:t>
      </w:r>
      <w:r>
        <w:t xml:space="preserve">n as they are no longer </w:t>
      </w:r>
      <w:r w:rsidR="002A1FB3">
        <w:t>relevant</w:t>
      </w:r>
      <w:r w:rsidR="00B56FD8" w:rsidRPr="00B56FD8">
        <w:t>:</w:t>
      </w:r>
    </w:p>
    <w:p w:rsidR="00B56FD8" w:rsidRPr="00B56FD8" w:rsidRDefault="00B56FD8" w:rsidP="00037844">
      <w:pPr>
        <w:pStyle w:val="NewsletterBullet1"/>
      </w:pPr>
      <w:r w:rsidRPr="00B56FD8">
        <w:t xml:space="preserve">FRD 19 </w:t>
      </w:r>
      <w:r w:rsidRPr="00037844">
        <w:rPr>
          <w:i/>
        </w:rPr>
        <w:t>Private Provision of Public Infrastructure (BOO/BOOT)</w:t>
      </w:r>
      <w:r w:rsidRPr="00B56FD8">
        <w:t>; and</w:t>
      </w:r>
    </w:p>
    <w:p w:rsidR="00B56FD8" w:rsidRPr="00037844" w:rsidRDefault="00B56FD8" w:rsidP="00037844">
      <w:pPr>
        <w:pStyle w:val="NewsletterBullet1"/>
      </w:pPr>
      <w:r w:rsidRPr="00B56FD8">
        <w:t xml:space="preserve">FRD 101 </w:t>
      </w:r>
      <w:r w:rsidRPr="00164666">
        <w:rPr>
          <w:i/>
        </w:rPr>
        <w:t>First</w:t>
      </w:r>
      <w:r w:rsidR="00167818">
        <w:rPr>
          <w:i/>
        </w:rPr>
        <w:noBreakHyphen/>
      </w:r>
      <w:r w:rsidRPr="00164666">
        <w:rPr>
          <w:i/>
        </w:rPr>
        <w:t>time Adoption of Australian Equivalents to International Financial Reporting Standards</w:t>
      </w:r>
      <w:r w:rsidRPr="00B56FD8">
        <w:t>.</w:t>
      </w:r>
    </w:p>
    <w:p w:rsidR="00073142" w:rsidRPr="00777785" w:rsidRDefault="00073142" w:rsidP="00037844">
      <w:pPr>
        <w:pStyle w:val="NewsletterHeading1"/>
      </w:pPr>
      <w:bookmarkStart w:id="5" w:name="_Toc424822614"/>
      <w:bookmarkStart w:id="6" w:name="_Toc365553149"/>
      <w:r w:rsidRPr="00777785">
        <w:t>201</w:t>
      </w:r>
      <w:r w:rsidR="00A40F48" w:rsidRPr="00777785">
        <w:t>4</w:t>
      </w:r>
      <w:r w:rsidR="00167818">
        <w:noBreakHyphen/>
      </w:r>
      <w:r w:rsidRPr="00777785">
        <w:t>1</w:t>
      </w:r>
      <w:r w:rsidR="00A40F48" w:rsidRPr="00777785">
        <w:t>5</w:t>
      </w:r>
      <w:r w:rsidRPr="00777785">
        <w:t xml:space="preserve"> </w:t>
      </w:r>
      <w:r w:rsidRPr="00184F8B">
        <w:t>financial</w:t>
      </w:r>
      <w:r w:rsidRPr="00777785">
        <w:t xml:space="preserve"> </w:t>
      </w:r>
      <w:r w:rsidRPr="00622DD4">
        <w:t>reporting</w:t>
      </w:r>
      <w:r w:rsidRPr="00777785">
        <w:t xml:space="preserve"> legislation</w:t>
      </w:r>
      <w:bookmarkEnd w:id="5"/>
    </w:p>
    <w:p w:rsidR="00832BFB" w:rsidRDefault="00073142" w:rsidP="00164666">
      <w:pPr>
        <w:pStyle w:val="NewsletterNormal"/>
      </w:pPr>
      <w:r w:rsidRPr="00777785">
        <w:t xml:space="preserve">The </w:t>
      </w:r>
      <w:r w:rsidR="00622DD4">
        <w:rPr>
          <w:i/>
        </w:rPr>
        <w:t>Financial Management Act </w:t>
      </w:r>
      <w:r w:rsidRPr="00777785">
        <w:rPr>
          <w:i/>
        </w:rPr>
        <w:t>1994</w:t>
      </w:r>
      <w:r w:rsidRPr="00777785">
        <w:t xml:space="preserve"> continues to be th</w:t>
      </w:r>
      <w:r w:rsidRPr="00164666">
        <w:rPr>
          <w:rStyle w:val="NewsletterNormalChar"/>
        </w:rPr>
        <w:t>e</w:t>
      </w:r>
      <w:r w:rsidRPr="00777785">
        <w:t xml:space="preserve"> principal legislation governing </w:t>
      </w:r>
      <w:r w:rsidR="00FF775A">
        <w:t>VPS</w:t>
      </w:r>
      <w:r w:rsidR="00BF0BB8">
        <w:t xml:space="preserve"> </w:t>
      </w:r>
      <w:r w:rsidRPr="00777785">
        <w:t>financial reporting for 201</w:t>
      </w:r>
      <w:r w:rsidR="009529FB" w:rsidRPr="00777785">
        <w:t>4</w:t>
      </w:r>
      <w:r w:rsidR="00167818">
        <w:noBreakHyphen/>
      </w:r>
      <w:r w:rsidRPr="00777785">
        <w:t>1</w:t>
      </w:r>
      <w:r w:rsidR="009529FB" w:rsidRPr="00777785">
        <w:t>5</w:t>
      </w:r>
      <w:r w:rsidRPr="00777785">
        <w:t>.</w:t>
      </w:r>
    </w:p>
    <w:p w:rsidR="003F2B15" w:rsidRPr="00777785" w:rsidRDefault="003F2B15" w:rsidP="00164666">
      <w:pPr>
        <w:pStyle w:val="NewsletterHeading2"/>
      </w:pPr>
      <w:r w:rsidRPr="00777785">
        <w:t xml:space="preserve">Other </w:t>
      </w:r>
      <w:r w:rsidRPr="00164666">
        <w:t>guidance</w:t>
      </w:r>
      <w:r w:rsidRPr="00777785">
        <w:t xml:space="preserve"> </w:t>
      </w:r>
    </w:p>
    <w:p w:rsidR="003F2B15" w:rsidRPr="00777785" w:rsidRDefault="003F2B15" w:rsidP="00164666">
      <w:pPr>
        <w:pStyle w:val="NewsletterHeading3"/>
      </w:pPr>
      <w:r w:rsidRPr="00777785">
        <w:t xml:space="preserve">Superannuation </w:t>
      </w:r>
      <w:r w:rsidRPr="00164666">
        <w:t>Guarantee</w:t>
      </w:r>
      <w:r w:rsidRPr="00777785">
        <w:t xml:space="preserve"> Levy</w:t>
      </w:r>
      <w:r w:rsidRPr="00777785">
        <w:rPr>
          <w:vertAlign w:val="superscript"/>
        </w:rPr>
        <w:t xml:space="preserve"> </w:t>
      </w:r>
    </w:p>
    <w:p w:rsidR="003F2B15" w:rsidRPr="00777785" w:rsidRDefault="003F2B15" w:rsidP="00164666">
      <w:pPr>
        <w:pStyle w:val="NewsletterNormal"/>
      </w:pPr>
      <w:r w:rsidRPr="00C53F62">
        <w:t xml:space="preserve">The Superannuation Guarantee Levy (SGL) schedule has been updated in accordance to the </w:t>
      </w:r>
      <w:r w:rsidRPr="00067C51">
        <w:rPr>
          <w:i/>
        </w:rPr>
        <w:t>Minerals Resource Rent Tax Repeal and Other Measures Act</w:t>
      </w:r>
      <w:r w:rsidR="00622DD4">
        <w:t> </w:t>
      </w:r>
      <w:r w:rsidRPr="00067C51">
        <w:rPr>
          <w:i/>
        </w:rPr>
        <w:t>2014</w:t>
      </w:r>
      <w:r w:rsidRPr="00C53F62">
        <w:t xml:space="preserve"> (the Act) passed in September 2014. Based on the Act, the future SGL rates will remain at 9.5</w:t>
      </w:r>
      <w:r>
        <w:t xml:space="preserve"> per cent</w:t>
      </w:r>
      <w:r w:rsidRPr="00C53F62">
        <w:t xml:space="preserve"> for </w:t>
      </w:r>
      <w:r>
        <w:t>seven</w:t>
      </w:r>
      <w:r w:rsidRPr="00C53F62">
        <w:t xml:space="preserve"> years, before making yearly increments of 0.5</w:t>
      </w:r>
      <w:r>
        <w:t xml:space="preserve"> per cent</w:t>
      </w:r>
      <w:r w:rsidRPr="00C53F62">
        <w:t xml:space="preserve"> from 2021 to 2025. </w:t>
      </w:r>
    </w:p>
    <w:p w:rsidR="003F2B15" w:rsidRPr="00777785" w:rsidRDefault="003F2B15" w:rsidP="00164666">
      <w:pPr>
        <w:pStyle w:val="NewsletterNormal"/>
        <w:rPr>
          <w:rFonts w:ascii="Calibri" w:eastAsia="Times New Roman" w:hAnsi="Calibri" w:cs="Calibri"/>
          <w:b/>
          <w:bCs/>
          <w:color w:val="1665A1"/>
        </w:rPr>
      </w:pPr>
      <w:r w:rsidRPr="00C53F62">
        <w:t xml:space="preserve">Departments and entities should use the new SGL schedule when estimating and measuring their employee benefit liabilities and expenses for financial reporting and future budget estimates. The table below outlines the new SGL rates </w:t>
      </w:r>
      <w:r>
        <w:t>for</w:t>
      </w:r>
      <w:r w:rsidRPr="00C53F62">
        <w:t xml:space="preserve"> the financial year</w:t>
      </w:r>
      <w:r>
        <w:t>s</w:t>
      </w:r>
      <w:r w:rsidRPr="00C53F62">
        <w:t xml:space="preserve"> starting </w:t>
      </w:r>
      <w:r>
        <w:t xml:space="preserve">from </w:t>
      </w:r>
      <w:r w:rsidRPr="00C53F62">
        <w:t xml:space="preserve">1 July 2014 to 1 July 2025, with the previous SGL schedule </w:t>
      </w:r>
      <w:r>
        <w:t>includ</w:t>
      </w:r>
      <w:r w:rsidRPr="00C53F62">
        <w:t xml:space="preserve">ed for </w:t>
      </w:r>
      <w:r>
        <w:t>comparison</w:t>
      </w:r>
      <w:r w:rsidRPr="00C53F62">
        <w:t>.</w:t>
      </w:r>
    </w:p>
    <w:tbl>
      <w:tblPr>
        <w:tblStyle w:val="TableGrid"/>
        <w:tblW w:w="6876" w:type="dxa"/>
        <w:tblInd w:w="72" w:type="dxa"/>
        <w:tblBorders>
          <w:insideV w:val="single" w:sz="4" w:space="0" w:color="1665A1"/>
        </w:tblBorders>
        <w:tblLayout w:type="fixed"/>
        <w:tblCellMar>
          <w:left w:w="72" w:type="dxa"/>
          <w:right w:w="72" w:type="dxa"/>
        </w:tblCellMar>
        <w:tblLook w:val="04A0" w:firstRow="1" w:lastRow="0" w:firstColumn="1" w:lastColumn="0" w:noHBand="0" w:noVBand="1"/>
      </w:tblPr>
      <w:tblGrid>
        <w:gridCol w:w="1560"/>
        <w:gridCol w:w="2658"/>
        <w:gridCol w:w="2658"/>
      </w:tblGrid>
      <w:tr w:rsidR="00A7264B" w:rsidRPr="00184F8B" w:rsidTr="00396B49">
        <w:trPr>
          <w:cnfStyle w:val="100000000000" w:firstRow="1" w:lastRow="0" w:firstColumn="0" w:lastColumn="0" w:oddVBand="0" w:evenVBand="0" w:oddHBand="0" w:evenHBand="0" w:firstRowFirstColumn="0" w:firstRowLastColumn="0" w:lastRowFirstColumn="0" w:lastRowLastColumn="0"/>
          <w:trHeight w:val="335"/>
        </w:trPr>
        <w:tc>
          <w:tcPr>
            <w:tcW w:w="1560" w:type="dxa"/>
            <w:vMerge w:val="restart"/>
            <w:vAlign w:val="center"/>
          </w:tcPr>
          <w:p w:rsidR="00A7264B" w:rsidRPr="00184F8B" w:rsidRDefault="00A7264B" w:rsidP="00396B49">
            <w:pPr>
              <w:pStyle w:val="TableHeading"/>
              <w:jc w:val="center"/>
            </w:pPr>
            <w:r w:rsidRPr="00184F8B">
              <w:t>Date</w:t>
            </w:r>
          </w:p>
        </w:tc>
        <w:tc>
          <w:tcPr>
            <w:tcW w:w="2658" w:type="dxa"/>
          </w:tcPr>
          <w:p w:rsidR="00A7264B" w:rsidRPr="00184F8B" w:rsidRDefault="00A7264B" w:rsidP="00A7264B">
            <w:pPr>
              <w:pStyle w:val="TableHeading"/>
              <w:jc w:val="center"/>
            </w:pPr>
            <w:r w:rsidRPr="00184F8B">
              <w:t xml:space="preserve">New SGL </w:t>
            </w:r>
            <w:r>
              <w:t>s</w:t>
            </w:r>
            <w:r w:rsidRPr="00184F8B">
              <w:t>chedule</w:t>
            </w:r>
          </w:p>
        </w:tc>
        <w:tc>
          <w:tcPr>
            <w:tcW w:w="2658" w:type="dxa"/>
          </w:tcPr>
          <w:p w:rsidR="00A7264B" w:rsidRPr="00184F8B" w:rsidRDefault="00A7264B" w:rsidP="001A3B80">
            <w:pPr>
              <w:pStyle w:val="TableHeading"/>
              <w:jc w:val="center"/>
            </w:pPr>
            <w:r w:rsidRPr="00184F8B">
              <w:t xml:space="preserve">Old SGL </w:t>
            </w:r>
            <w:r>
              <w:t>s</w:t>
            </w:r>
            <w:r w:rsidRPr="00184F8B">
              <w:t>chedule</w:t>
            </w:r>
          </w:p>
        </w:tc>
      </w:tr>
      <w:tr w:rsidR="00A7264B" w:rsidRPr="00184F8B" w:rsidTr="00421201">
        <w:trPr>
          <w:trHeight w:val="335"/>
        </w:trPr>
        <w:tc>
          <w:tcPr>
            <w:tcW w:w="1560" w:type="dxa"/>
            <w:vMerge/>
          </w:tcPr>
          <w:p w:rsidR="00A7264B" w:rsidRPr="00184F8B" w:rsidRDefault="00A7264B" w:rsidP="00184F8B">
            <w:pPr>
              <w:pStyle w:val="TableHeading"/>
              <w:jc w:val="center"/>
            </w:pPr>
          </w:p>
        </w:tc>
        <w:tc>
          <w:tcPr>
            <w:tcW w:w="5316" w:type="dxa"/>
            <w:gridSpan w:val="2"/>
            <w:shd w:val="clear" w:color="auto" w:fill="D9D9D9" w:themeFill="background1" w:themeFillShade="D9"/>
          </w:tcPr>
          <w:p w:rsidR="00A7264B" w:rsidRPr="00396B49" w:rsidRDefault="00A7264B" w:rsidP="00396B49">
            <w:pPr>
              <w:pStyle w:val="TableHeading"/>
              <w:jc w:val="center"/>
            </w:pPr>
            <w:r w:rsidRPr="00396B49">
              <w:t>(per cent)</w:t>
            </w:r>
          </w:p>
        </w:tc>
      </w:tr>
      <w:tr w:rsidR="003B04AF" w:rsidRPr="00184F8B" w:rsidTr="00184F8B">
        <w:trPr>
          <w:trHeight w:val="335"/>
        </w:trPr>
        <w:tc>
          <w:tcPr>
            <w:tcW w:w="1560" w:type="dxa"/>
          </w:tcPr>
          <w:p w:rsidR="003B04AF" w:rsidRPr="00184F8B" w:rsidRDefault="003B04AF" w:rsidP="00184F8B">
            <w:pPr>
              <w:pStyle w:val="TableText"/>
              <w:jc w:val="center"/>
            </w:pPr>
            <w:r w:rsidRPr="00184F8B">
              <w:t>1 July 2014</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9.5</w:t>
            </w:r>
            <w:r w:rsidR="0066716B" w:rsidRPr="00184F8B">
              <w:t>0</w:t>
            </w:r>
          </w:p>
        </w:tc>
      </w:tr>
      <w:tr w:rsidR="003B04AF" w:rsidRPr="00184F8B" w:rsidTr="00184F8B">
        <w:trPr>
          <w:trHeight w:val="335"/>
        </w:trPr>
        <w:tc>
          <w:tcPr>
            <w:tcW w:w="1560" w:type="dxa"/>
          </w:tcPr>
          <w:p w:rsidR="003B04AF" w:rsidRPr="00184F8B" w:rsidRDefault="003B04AF" w:rsidP="00184F8B">
            <w:pPr>
              <w:pStyle w:val="TableText"/>
              <w:jc w:val="center"/>
            </w:pPr>
            <w:r w:rsidRPr="00184F8B">
              <w:t>1 July 2015</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10.0</w:t>
            </w:r>
            <w:r w:rsidR="0066716B" w:rsidRPr="00184F8B">
              <w:t>0</w:t>
            </w:r>
          </w:p>
        </w:tc>
      </w:tr>
      <w:tr w:rsidR="003B04AF" w:rsidRPr="00184F8B" w:rsidTr="00184F8B">
        <w:trPr>
          <w:trHeight w:val="325"/>
        </w:trPr>
        <w:tc>
          <w:tcPr>
            <w:tcW w:w="1560" w:type="dxa"/>
          </w:tcPr>
          <w:p w:rsidR="003B04AF" w:rsidRPr="00184F8B" w:rsidRDefault="003B04AF" w:rsidP="00184F8B">
            <w:pPr>
              <w:pStyle w:val="TableText"/>
              <w:jc w:val="center"/>
            </w:pPr>
            <w:r w:rsidRPr="00184F8B">
              <w:t>1 July 2016</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10.5</w:t>
            </w:r>
            <w:r w:rsidR="0066716B" w:rsidRPr="00184F8B">
              <w:t>0</w:t>
            </w:r>
          </w:p>
        </w:tc>
      </w:tr>
    </w:tbl>
    <w:p w:rsidR="00F273F8" w:rsidRDefault="00F273F8"/>
    <w:p w:rsidR="00F273F8" w:rsidRDefault="00F273F8">
      <w:pPr>
        <w:spacing w:before="0" w:after="200" w:line="276" w:lineRule="auto"/>
      </w:pPr>
      <w:r>
        <w:br w:type="page"/>
      </w:r>
    </w:p>
    <w:p w:rsidR="00F273F8" w:rsidRDefault="00F273F8">
      <w:r>
        <w:lastRenderedPageBreak/>
        <w:br w:type="column"/>
      </w:r>
    </w:p>
    <w:tbl>
      <w:tblPr>
        <w:tblStyle w:val="TableGrid"/>
        <w:tblW w:w="6876" w:type="dxa"/>
        <w:tblInd w:w="72" w:type="dxa"/>
        <w:tblBorders>
          <w:insideV w:val="single" w:sz="4" w:space="0" w:color="1665A1"/>
        </w:tblBorders>
        <w:tblLayout w:type="fixed"/>
        <w:tblCellMar>
          <w:left w:w="72" w:type="dxa"/>
          <w:right w:w="72" w:type="dxa"/>
        </w:tblCellMar>
        <w:tblLook w:val="04A0" w:firstRow="1" w:lastRow="0" w:firstColumn="1" w:lastColumn="0" w:noHBand="0" w:noVBand="1"/>
      </w:tblPr>
      <w:tblGrid>
        <w:gridCol w:w="1560"/>
        <w:gridCol w:w="2658"/>
        <w:gridCol w:w="2658"/>
      </w:tblGrid>
      <w:tr w:rsidR="00F273F8" w:rsidRPr="00184F8B" w:rsidTr="00EB40E5">
        <w:trPr>
          <w:cnfStyle w:val="100000000000" w:firstRow="1" w:lastRow="0" w:firstColumn="0" w:lastColumn="0" w:oddVBand="0" w:evenVBand="0" w:oddHBand="0" w:evenHBand="0" w:firstRowFirstColumn="0" w:firstRowLastColumn="0" w:lastRowFirstColumn="0" w:lastRowLastColumn="0"/>
          <w:trHeight w:val="335"/>
        </w:trPr>
        <w:tc>
          <w:tcPr>
            <w:tcW w:w="1560" w:type="dxa"/>
            <w:vMerge w:val="restart"/>
            <w:vAlign w:val="center"/>
          </w:tcPr>
          <w:p w:rsidR="00F273F8" w:rsidRPr="00184F8B" w:rsidRDefault="00F273F8" w:rsidP="009548A8">
            <w:pPr>
              <w:pStyle w:val="TableHeading"/>
              <w:jc w:val="center"/>
            </w:pPr>
            <w:r w:rsidRPr="00184F8B">
              <w:t>Date</w:t>
            </w:r>
          </w:p>
        </w:tc>
        <w:tc>
          <w:tcPr>
            <w:tcW w:w="2658" w:type="dxa"/>
          </w:tcPr>
          <w:p w:rsidR="00F273F8" w:rsidRPr="00184F8B" w:rsidRDefault="00F273F8" w:rsidP="009548A8">
            <w:pPr>
              <w:pStyle w:val="TableHeading"/>
              <w:jc w:val="center"/>
            </w:pPr>
            <w:r w:rsidRPr="00184F8B">
              <w:t xml:space="preserve">New SGL </w:t>
            </w:r>
            <w:r>
              <w:t>s</w:t>
            </w:r>
            <w:r w:rsidRPr="00184F8B">
              <w:t>chedule</w:t>
            </w:r>
          </w:p>
        </w:tc>
        <w:tc>
          <w:tcPr>
            <w:tcW w:w="2658" w:type="dxa"/>
          </w:tcPr>
          <w:p w:rsidR="00F273F8" w:rsidRPr="00184F8B" w:rsidRDefault="00F273F8" w:rsidP="009548A8">
            <w:pPr>
              <w:pStyle w:val="TableHeading"/>
              <w:jc w:val="center"/>
            </w:pPr>
            <w:r w:rsidRPr="00184F8B">
              <w:t xml:space="preserve">Old SGL </w:t>
            </w:r>
            <w:r>
              <w:t>s</w:t>
            </w:r>
            <w:r w:rsidRPr="00184F8B">
              <w:t>chedule</w:t>
            </w:r>
          </w:p>
        </w:tc>
      </w:tr>
      <w:tr w:rsidR="00F273F8" w:rsidRPr="00184F8B" w:rsidTr="00965291">
        <w:trPr>
          <w:trHeight w:val="335"/>
        </w:trPr>
        <w:tc>
          <w:tcPr>
            <w:tcW w:w="1560" w:type="dxa"/>
            <w:vMerge/>
            <w:shd w:val="clear" w:color="auto" w:fill="D9D9D9" w:themeFill="background1" w:themeFillShade="D9"/>
          </w:tcPr>
          <w:p w:rsidR="00F273F8" w:rsidRPr="00184F8B" w:rsidRDefault="00F273F8" w:rsidP="009548A8">
            <w:pPr>
              <w:pStyle w:val="TableHeading"/>
              <w:jc w:val="center"/>
            </w:pPr>
          </w:p>
        </w:tc>
        <w:tc>
          <w:tcPr>
            <w:tcW w:w="5316" w:type="dxa"/>
            <w:gridSpan w:val="2"/>
            <w:shd w:val="clear" w:color="auto" w:fill="D9D9D9" w:themeFill="background1" w:themeFillShade="D9"/>
          </w:tcPr>
          <w:p w:rsidR="00F273F8" w:rsidRPr="00F273F8" w:rsidRDefault="00F273F8" w:rsidP="00184F8B">
            <w:pPr>
              <w:pStyle w:val="TableText"/>
              <w:jc w:val="center"/>
              <w:rPr>
                <w:b/>
              </w:rPr>
            </w:pPr>
            <w:r w:rsidRPr="00F273F8">
              <w:rPr>
                <w:b/>
              </w:rPr>
              <w:t>(per cent)</w:t>
            </w:r>
          </w:p>
        </w:tc>
      </w:tr>
      <w:tr w:rsidR="00F273F8" w:rsidRPr="00184F8B" w:rsidTr="00184F8B">
        <w:trPr>
          <w:trHeight w:val="335"/>
        </w:trPr>
        <w:tc>
          <w:tcPr>
            <w:tcW w:w="1560" w:type="dxa"/>
          </w:tcPr>
          <w:p w:rsidR="00F273F8" w:rsidRPr="00184F8B" w:rsidRDefault="00F273F8" w:rsidP="00184F8B">
            <w:pPr>
              <w:pStyle w:val="TableText"/>
              <w:jc w:val="center"/>
            </w:pPr>
            <w:r w:rsidRPr="00184F8B">
              <w:t>1 July 2017</w:t>
            </w:r>
          </w:p>
        </w:tc>
        <w:tc>
          <w:tcPr>
            <w:tcW w:w="2658" w:type="dxa"/>
          </w:tcPr>
          <w:p w:rsidR="00F273F8" w:rsidRPr="00184F8B" w:rsidRDefault="00F273F8" w:rsidP="00184F8B">
            <w:pPr>
              <w:pStyle w:val="TableText"/>
              <w:jc w:val="center"/>
            </w:pPr>
            <w:r w:rsidRPr="00184F8B">
              <w:t>9.50</w:t>
            </w:r>
          </w:p>
        </w:tc>
        <w:tc>
          <w:tcPr>
            <w:tcW w:w="2658" w:type="dxa"/>
          </w:tcPr>
          <w:p w:rsidR="00F273F8" w:rsidRPr="00184F8B" w:rsidRDefault="00F273F8" w:rsidP="00184F8B">
            <w:pPr>
              <w:pStyle w:val="TableText"/>
              <w:jc w:val="center"/>
            </w:pPr>
            <w:r w:rsidRPr="00184F8B">
              <w:t>11.00</w:t>
            </w:r>
          </w:p>
        </w:tc>
      </w:tr>
      <w:tr w:rsidR="00F273F8" w:rsidRPr="00184F8B" w:rsidTr="00184F8B">
        <w:trPr>
          <w:trHeight w:val="325"/>
        </w:trPr>
        <w:tc>
          <w:tcPr>
            <w:tcW w:w="1560" w:type="dxa"/>
          </w:tcPr>
          <w:p w:rsidR="00F273F8" w:rsidRPr="00184F8B" w:rsidRDefault="00F273F8" w:rsidP="00184F8B">
            <w:pPr>
              <w:pStyle w:val="TableText"/>
              <w:jc w:val="center"/>
            </w:pPr>
            <w:r w:rsidRPr="00184F8B">
              <w:t>1 July 2018</w:t>
            </w:r>
          </w:p>
        </w:tc>
        <w:tc>
          <w:tcPr>
            <w:tcW w:w="2658" w:type="dxa"/>
          </w:tcPr>
          <w:p w:rsidR="00F273F8" w:rsidRPr="00184F8B" w:rsidRDefault="00F273F8" w:rsidP="00184F8B">
            <w:pPr>
              <w:pStyle w:val="TableText"/>
              <w:jc w:val="center"/>
            </w:pPr>
            <w:r w:rsidRPr="00184F8B">
              <w:t>9.50</w:t>
            </w:r>
          </w:p>
        </w:tc>
        <w:tc>
          <w:tcPr>
            <w:tcW w:w="2658" w:type="dxa"/>
          </w:tcPr>
          <w:p w:rsidR="00F273F8" w:rsidRPr="00184F8B" w:rsidRDefault="00F273F8" w:rsidP="00184F8B">
            <w:pPr>
              <w:pStyle w:val="TableText"/>
              <w:jc w:val="center"/>
            </w:pPr>
            <w:r w:rsidRPr="00184F8B">
              <w:t>11.50</w:t>
            </w:r>
          </w:p>
        </w:tc>
      </w:tr>
      <w:tr w:rsidR="00F273F8" w:rsidRPr="00184F8B" w:rsidTr="00184F8B">
        <w:trPr>
          <w:trHeight w:val="335"/>
        </w:trPr>
        <w:tc>
          <w:tcPr>
            <w:tcW w:w="1560" w:type="dxa"/>
          </w:tcPr>
          <w:p w:rsidR="00F273F8" w:rsidRPr="00184F8B" w:rsidRDefault="00F273F8" w:rsidP="00184F8B">
            <w:pPr>
              <w:pStyle w:val="TableText"/>
              <w:jc w:val="center"/>
            </w:pPr>
            <w:r w:rsidRPr="00184F8B">
              <w:t>1 July 2019</w:t>
            </w:r>
          </w:p>
        </w:tc>
        <w:tc>
          <w:tcPr>
            <w:tcW w:w="2658" w:type="dxa"/>
          </w:tcPr>
          <w:p w:rsidR="00F273F8" w:rsidRPr="00184F8B" w:rsidRDefault="00F273F8" w:rsidP="00184F8B">
            <w:pPr>
              <w:pStyle w:val="TableText"/>
              <w:jc w:val="center"/>
            </w:pPr>
            <w:r w:rsidRPr="00184F8B">
              <w:t>9.50</w:t>
            </w:r>
          </w:p>
        </w:tc>
        <w:tc>
          <w:tcPr>
            <w:tcW w:w="2658" w:type="dxa"/>
          </w:tcPr>
          <w:p w:rsidR="00F273F8" w:rsidRPr="00184F8B" w:rsidRDefault="00F273F8" w:rsidP="00184F8B">
            <w:pPr>
              <w:pStyle w:val="TableText"/>
              <w:jc w:val="center"/>
            </w:pPr>
            <w:r w:rsidRPr="00184F8B">
              <w:t>12.00</w:t>
            </w:r>
          </w:p>
        </w:tc>
      </w:tr>
      <w:tr w:rsidR="00F273F8" w:rsidRPr="00184F8B" w:rsidTr="00184F8B">
        <w:trPr>
          <w:trHeight w:val="88"/>
        </w:trPr>
        <w:tc>
          <w:tcPr>
            <w:tcW w:w="1560" w:type="dxa"/>
          </w:tcPr>
          <w:p w:rsidR="00F273F8" w:rsidRPr="00184F8B" w:rsidRDefault="00F273F8" w:rsidP="00184F8B">
            <w:pPr>
              <w:pStyle w:val="TableText"/>
              <w:jc w:val="center"/>
            </w:pPr>
            <w:r w:rsidRPr="00184F8B">
              <w:t>1 July 2020</w:t>
            </w:r>
          </w:p>
        </w:tc>
        <w:tc>
          <w:tcPr>
            <w:tcW w:w="2658" w:type="dxa"/>
          </w:tcPr>
          <w:p w:rsidR="00F273F8" w:rsidRPr="00184F8B" w:rsidRDefault="00F273F8" w:rsidP="00184F8B">
            <w:pPr>
              <w:pStyle w:val="TableText"/>
              <w:jc w:val="center"/>
            </w:pPr>
            <w:r w:rsidRPr="00184F8B">
              <w:t>9.50</w:t>
            </w:r>
          </w:p>
        </w:tc>
        <w:tc>
          <w:tcPr>
            <w:tcW w:w="2658" w:type="dxa"/>
          </w:tcPr>
          <w:p w:rsidR="00F273F8" w:rsidRPr="00184F8B" w:rsidRDefault="00F273F8" w:rsidP="00184F8B">
            <w:pPr>
              <w:pStyle w:val="TableText"/>
              <w:jc w:val="center"/>
            </w:pPr>
            <w:r w:rsidRPr="00184F8B">
              <w:t>12.00</w:t>
            </w:r>
          </w:p>
        </w:tc>
      </w:tr>
      <w:tr w:rsidR="00F273F8" w:rsidRPr="00184F8B" w:rsidTr="00184F8B">
        <w:trPr>
          <w:trHeight w:val="88"/>
        </w:trPr>
        <w:tc>
          <w:tcPr>
            <w:tcW w:w="1560" w:type="dxa"/>
          </w:tcPr>
          <w:p w:rsidR="00F273F8" w:rsidRPr="00184F8B" w:rsidRDefault="00F273F8" w:rsidP="00184F8B">
            <w:pPr>
              <w:pStyle w:val="TableText"/>
              <w:jc w:val="center"/>
            </w:pPr>
            <w:r w:rsidRPr="00184F8B">
              <w:t>1 July 2021</w:t>
            </w:r>
          </w:p>
        </w:tc>
        <w:tc>
          <w:tcPr>
            <w:tcW w:w="2658" w:type="dxa"/>
          </w:tcPr>
          <w:p w:rsidR="00F273F8" w:rsidRPr="00184F8B" w:rsidRDefault="00F273F8" w:rsidP="00184F8B">
            <w:pPr>
              <w:pStyle w:val="TableText"/>
              <w:jc w:val="center"/>
            </w:pPr>
            <w:r w:rsidRPr="00184F8B">
              <w:t>10.00</w:t>
            </w:r>
          </w:p>
        </w:tc>
        <w:tc>
          <w:tcPr>
            <w:tcW w:w="2658" w:type="dxa"/>
          </w:tcPr>
          <w:p w:rsidR="00F273F8" w:rsidRPr="00184F8B" w:rsidRDefault="00F273F8" w:rsidP="00184F8B">
            <w:pPr>
              <w:pStyle w:val="TableText"/>
              <w:jc w:val="center"/>
            </w:pPr>
            <w:r w:rsidRPr="00184F8B">
              <w:t>12.00</w:t>
            </w:r>
          </w:p>
        </w:tc>
      </w:tr>
      <w:tr w:rsidR="00F273F8" w:rsidRPr="00184F8B" w:rsidTr="00F273F8">
        <w:tblPrEx>
          <w:tblLook w:val="0480" w:firstRow="0" w:lastRow="0" w:firstColumn="1" w:lastColumn="0" w:noHBand="0" w:noVBand="1"/>
        </w:tblPrEx>
        <w:trPr>
          <w:trHeight w:val="88"/>
        </w:trPr>
        <w:tc>
          <w:tcPr>
            <w:tcW w:w="1560" w:type="dxa"/>
          </w:tcPr>
          <w:p w:rsidR="00F273F8" w:rsidRPr="00184F8B" w:rsidRDefault="00F273F8" w:rsidP="00184F8B">
            <w:pPr>
              <w:pStyle w:val="TableText"/>
              <w:jc w:val="center"/>
            </w:pPr>
            <w:r>
              <w:br w:type="column"/>
            </w:r>
            <w:r w:rsidRPr="00184F8B">
              <w:t>1 July 2022</w:t>
            </w:r>
          </w:p>
        </w:tc>
        <w:tc>
          <w:tcPr>
            <w:tcW w:w="2658" w:type="dxa"/>
          </w:tcPr>
          <w:p w:rsidR="00F273F8" w:rsidRPr="00184F8B" w:rsidRDefault="00F273F8" w:rsidP="00184F8B">
            <w:pPr>
              <w:pStyle w:val="TableText"/>
              <w:jc w:val="center"/>
            </w:pPr>
            <w:r w:rsidRPr="00184F8B">
              <w:t>10.50</w:t>
            </w:r>
          </w:p>
        </w:tc>
        <w:tc>
          <w:tcPr>
            <w:tcW w:w="2658" w:type="dxa"/>
          </w:tcPr>
          <w:p w:rsidR="00F273F8" w:rsidRPr="00184F8B" w:rsidRDefault="00F273F8" w:rsidP="00184F8B">
            <w:pPr>
              <w:pStyle w:val="TableText"/>
              <w:jc w:val="center"/>
            </w:pPr>
            <w:r w:rsidRPr="00184F8B">
              <w:t>12.00</w:t>
            </w:r>
          </w:p>
        </w:tc>
      </w:tr>
      <w:tr w:rsidR="00F273F8" w:rsidRPr="00184F8B" w:rsidTr="00F273F8">
        <w:tblPrEx>
          <w:tblLook w:val="0480" w:firstRow="0" w:lastRow="0" w:firstColumn="1" w:lastColumn="0" w:noHBand="0" w:noVBand="1"/>
        </w:tblPrEx>
        <w:trPr>
          <w:trHeight w:val="88"/>
        </w:trPr>
        <w:tc>
          <w:tcPr>
            <w:tcW w:w="1560" w:type="dxa"/>
          </w:tcPr>
          <w:p w:rsidR="00F273F8" w:rsidRPr="00184F8B" w:rsidRDefault="00F273F8" w:rsidP="00184F8B">
            <w:pPr>
              <w:pStyle w:val="TableText"/>
              <w:jc w:val="center"/>
            </w:pPr>
            <w:r w:rsidRPr="00184F8B">
              <w:t>1 July 2023</w:t>
            </w:r>
          </w:p>
        </w:tc>
        <w:tc>
          <w:tcPr>
            <w:tcW w:w="2658" w:type="dxa"/>
          </w:tcPr>
          <w:p w:rsidR="00F273F8" w:rsidRPr="00184F8B" w:rsidRDefault="00F273F8" w:rsidP="00184F8B">
            <w:pPr>
              <w:pStyle w:val="TableText"/>
              <w:jc w:val="center"/>
            </w:pPr>
            <w:r w:rsidRPr="00184F8B">
              <w:t>11.00</w:t>
            </w:r>
          </w:p>
        </w:tc>
        <w:tc>
          <w:tcPr>
            <w:tcW w:w="2658" w:type="dxa"/>
          </w:tcPr>
          <w:p w:rsidR="00F273F8" w:rsidRPr="00184F8B" w:rsidRDefault="00F273F8" w:rsidP="00184F8B">
            <w:pPr>
              <w:pStyle w:val="TableText"/>
              <w:jc w:val="center"/>
            </w:pPr>
            <w:r w:rsidRPr="00184F8B">
              <w:t>12.00</w:t>
            </w:r>
          </w:p>
        </w:tc>
      </w:tr>
      <w:tr w:rsidR="00F273F8" w:rsidRPr="00184F8B" w:rsidTr="00F273F8">
        <w:tblPrEx>
          <w:tblLook w:val="0480" w:firstRow="0" w:lastRow="0" w:firstColumn="1" w:lastColumn="0" w:noHBand="0" w:noVBand="1"/>
        </w:tblPrEx>
        <w:trPr>
          <w:trHeight w:val="88"/>
        </w:trPr>
        <w:tc>
          <w:tcPr>
            <w:tcW w:w="1560" w:type="dxa"/>
          </w:tcPr>
          <w:p w:rsidR="00F273F8" w:rsidRPr="00184F8B" w:rsidRDefault="00F273F8" w:rsidP="00184F8B">
            <w:pPr>
              <w:pStyle w:val="TableText"/>
              <w:jc w:val="center"/>
            </w:pPr>
            <w:r w:rsidRPr="00184F8B">
              <w:t>1 July 2024</w:t>
            </w:r>
          </w:p>
        </w:tc>
        <w:tc>
          <w:tcPr>
            <w:tcW w:w="2658" w:type="dxa"/>
          </w:tcPr>
          <w:p w:rsidR="00F273F8" w:rsidRPr="00184F8B" w:rsidRDefault="00F273F8" w:rsidP="00184F8B">
            <w:pPr>
              <w:pStyle w:val="TableText"/>
              <w:jc w:val="center"/>
            </w:pPr>
            <w:r w:rsidRPr="00184F8B">
              <w:t>11.50</w:t>
            </w:r>
          </w:p>
        </w:tc>
        <w:tc>
          <w:tcPr>
            <w:tcW w:w="2658" w:type="dxa"/>
          </w:tcPr>
          <w:p w:rsidR="00F273F8" w:rsidRPr="00184F8B" w:rsidRDefault="00F273F8" w:rsidP="00184F8B">
            <w:pPr>
              <w:pStyle w:val="TableText"/>
              <w:jc w:val="center"/>
            </w:pPr>
            <w:r w:rsidRPr="00184F8B">
              <w:t>12.00</w:t>
            </w:r>
          </w:p>
        </w:tc>
      </w:tr>
      <w:tr w:rsidR="00F273F8" w:rsidRPr="00184F8B" w:rsidTr="00F273F8">
        <w:tblPrEx>
          <w:tblLook w:val="0480" w:firstRow="0" w:lastRow="0" w:firstColumn="1" w:lastColumn="0" w:noHBand="0" w:noVBand="1"/>
        </w:tblPrEx>
        <w:trPr>
          <w:trHeight w:val="88"/>
        </w:trPr>
        <w:tc>
          <w:tcPr>
            <w:tcW w:w="1560" w:type="dxa"/>
          </w:tcPr>
          <w:p w:rsidR="00F273F8" w:rsidRPr="00184F8B" w:rsidRDefault="00F273F8" w:rsidP="00184F8B">
            <w:pPr>
              <w:pStyle w:val="TableText"/>
              <w:jc w:val="center"/>
            </w:pPr>
            <w:r w:rsidRPr="00184F8B">
              <w:t>1 July 2025</w:t>
            </w:r>
          </w:p>
        </w:tc>
        <w:tc>
          <w:tcPr>
            <w:tcW w:w="2658" w:type="dxa"/>
          </w:tcPr>
          <w:p w:rsidR="00F273F8" w:rsidRPr="00184F8B" w:rsidRDefault="00F273F8" w:rsidP="00184F8B">
            <w:pPr>
              <w:pStyle w:val="TableText"/>
              <w:jc w:val="center"/>
            </w:pPr>
            <w:r w:rsidRPr="00184F8B">
              <w:t>12.00</w:t>
            </w:r>
          </w:p>
        </w:tc>
        <w:tc>
          <w:tcPr>
            <w:tcW w:w="2658" w:type="dxa"/>
          </w:tcPr>
          <w:p w:rsidR="00F273F8" w:rsidRPr="00184F8B" w:rsidRDefault="00F273F8" w:rsidP="00184F8B">
            <w:pPr>
              <w:pStyle w:val="TableText"/>
              <w:jc w:val="center"/>
            </w:pPr>
            <w:r w:rsidRPr="00184F8B">
              <w:t>12.00</w:t>
            </w:r>
          </w:p>
        </w:tc>
      </w:tr>
    </w:tbl>
    <w:p w:rsidR="00B72895" w:rsidRPr="00777785" w:rsidRDefault="00B72895" w:rsidP="00164666">
      <w:pPr>
        <w:pStyle w:val="NewsletterHeading3"/>
      </w:pPr>
      <w:r w:rsidRPr="00777785">
        <w:t xml:space="preserve">Wage </w:t>
      </w:r>
      <w:r w:rsidRPr="00164666">
        <w:t>inflation</w:t>
      </w:r>
      <w:r w:rsidRPr="00777785">
        <w:t xml:space="preserve"> and </w:t>
      </w:r>
      <w:r w:rsidRPr="00622DD4">
        <w:t>discount</w:t>
      </w:r>
      <w:r w:rsidRPr="00777785">
        <w:t xml:space="preserve"> rates</w:t>
      </w:r>
      <w:r w:rsidR="00702748" w:rsidRPr="00777785">
        <w:t xml:space="preserve"> </w:t>
      </w:r>
    </w:p>
    <w:p w:rsidR="00396B49" w:rsidRDefault="00B72895" w:rsidP="00164666">
      <w:pPr>
        <w:pStyle w:val="NewsletterNormal"/>
      </w:pPr>
      <w:r w:rsidRPr="00E20255">
        <w:t>The wage inflation and discount rates are published quarterly (m</w:t>
      </w:r>
      <w:r w:rsidR="001D56CC" w:rsidRPr="00E20255">
        <w:t>onthly in the last quarter of each</w:t>
      </w:r>
      <w:r w:rsidRPr="00E20255">
        <w:t xml:space="preserve"> financial year), to assist entities in ascertaining their financial position for the </w:t>
      </w:r>
      <w:r w:rsidR="006F042D" w:rsidRPr="00E20255">
        <w:t>year</w:t>
      </w:r>
      <w:r w:rsidR="00167818">
        <w:noBreakHyphen/>
      </w:r>
      <w:r w:rsidR="006F042D" w:rsidRPr="00E20255">
        <w:t>end</w:t>
      </w:r>
      <w:r w:rsidRPr="00E20255">
        <w:t xml:space="preserve">. </w:t>
      </w:r>
      <w:r w:rsidR="00D951A7" w:rsidRPr="00E20255">
        <w:t xml:space="preserve">The rates for 30 June 2015 </w:t>
      </w:r>
      <w:r w:rsidR="00474D6E">
        <w:t xml:space="preserve">were </w:t>
      </w:r>
      <w:r w:rsidR="00D951A7" w:rsidRPr="00E20255">
        <w:t>published on the DTF website on 1 July. The rates for 30 September 2015 will be published on the DTF website at the beginning of October</w:t>
      </w:r>
      <w:r w:rsidRPr="00E20255">
        <w:t>.</w:t>
      </w:r>
    </w:p>
    <w:p w:rsidR="003F2B15" w:rsidRPr="00777785" w:rsidRDefault="003F2B15" w:rsidP="00164666">
      <w:pPr>
        <w:pStyle w:val="NewsletterHeading1"/>
      </w:pPr>
      <w:bookmarkStart w:id="7" w:name="_Toc424822615"/>
      <w:r w:rsidRPr="00777785">
        <w:t>201</w:t>
      </w:r>
      <w:r>
        <w:t>5</w:t>
      </w:r>
      <w:r w:rsidR="00167818">
        <w:noBreakHyphen/>
      </w:r>
      <w:r w:rsidRPr="00777785">
        <w:t>1</w:t>
      </w:r>
      <w:r>
        <w:t>6</w:t>
      </w:r>
      <w:r w:rsidRPr="00777785">
        <w:t xml:space="preserve"> </w:t>
      </w:r>
      <w:r w:rsidRPr="00B360A7">
        <w:t>reporting</w:t>
      </w:r>
      <w:r w:rsidRPr="00777785">
        <w:t xml:space="preserve"> year</w:t>
      </w:r>
      <w:bookmarkEnd w:id="7"/>
      <w:r w:rsidRPr="00777785">
        <w:t xml:space="preserve"> </w:t>
      </w:r>
    </w:p>
    <w:p w:rsidR="003F2B15" w:rsidRDefault="003F2B15" w:rsidP="00164666">
      <w:pPr>
        <w:pStyle w:val="NewsletterHeading2"/>
      </w:pPr>
      <w:r>
        <w:t>2015</w:t>
      </w:r>
      <w:r w:rsidR="00167818">
        <w:noBreakHyphen/>
      </w:r>
      <w:r>
        <w:t xml:space="preserve">16 Model </w:t>
      </w:r>
      <w:r w:rsidRPr="00164666">
        <w:t>Report</w:t>
      </w:r>
      <w:r>
        <w:t xml:space="preserve"> for Victorian Government Departments </w:t>
      </w:r>
      <w:r>
        <w:br/>
        <w:t>(2015</w:t>
      </w:r>
      <w:r w:rsidR="00167818">
        <w:noBreakHyphen/>
      </w:r>
      <w:r w:rsidRPr="00622DD4">
        <w:t>16</w:t>
      </w:r>
      <w:r>
        <w:t xml:space="preserve"> Model Report)</w:t>
      </w:r>
    </w:p>
    <w:p w:rsidR="003F2B15" w:rsidRPr="00C035B4" w:rsidRDefault="003F2B15" w:rsidP="00164666">
      <w:pPr>
        <w:pStyle w:val="NewsletterNormal"/>
      </w:pPr>
      <w:r>
        <w:t>DTF</w:t>
      </w:r>
      <w:r w:rsidRPr="00C035B4">
        <w:t xml:space="preserve"> is planning the </w:t>
      </w:r>
      <w:r w:rsidRPr="00164666">
        <w:t>release</w:t>
      </w:r>
      <w:r w:rsidRPr="00C035B4">
        <w:t xml:space="preserve"> of the 2015</w:t>
      </w:r>
      <w:r w:rsidR="00167818">
        <w:noBreakHyphen/>
      </w:r>
      <w:r w:rsidRPr="00C035B4">
        <w:t xml:space="preserve">16 Model Report </w:t>
      </w:r>
      <w:r>
        <w:t xml:space="preserve">in </w:t>
      </w:r>
      <w:r w:rsidRPr="0001142B">
        <w:t>April 2016.</w:t>
      </w:r>
    </w:p>
    <w:p w:rsidR="003F2B15" w:rsidRPr="00C035B4" w:rsidRDefault="003F2B15" w:rsidP="00164666">
      <w:pPr>
        <w:pStyle w:val="NewsletterNormal"/>
      </w:pPr>
      <w:r w:rsidRPr="00C035B4">
        <w:t>Updates to the Model</w:t>
      </w:r>
      <w:r>
        <w:t xml:space="preserve"> Report</w:t>
      </w:r>
      <w:r w:rsidRPr="00C035B4">
        <w:t xml:space="preserve"> will include illustrative examples in response to new and revised accounting standards and applicable FRDs. In addition, consistent with previous practice, DTF</w:t>
      </w:r>
      <w:r w:rsidR="00987382">
        <w:t>’</w:t>
      </w:r>
      <w:r w:rsidRPr="00C035B4">
        <w:t>s responses to the recommendations from P</w:t>
      </w:r>
      <w:r w:rsidR="00474D6E">
        <w:t xml:space="preserve">AEC </w:t>
      </w:r>
      <w:r w:rsidRPr="00622DD4">
        <w:t>and</w:t>
      </w:r>
      <w:r w:rsidRPr="00C035B4">
        <w:t xml:space="preserve"> </w:t>
      </w:r>
      <w:r>
        <w:t xml:space="preserve">VAGO </w:t>
      </w:r>
      <w:r w:rsidRPr="00C035B4">
        <w:t>will also be considered for illustration where appropriate.</w:t>
      </w:r>
    </w:p>
    <w:p w:rsidR="003F2B15" w:rsidRPr="003F36C3" w:rsidRDefault="003F2B15" w:rsidP="00164666">
      <w:pPr>
        <w:pStyle w:val="NewsletterNormal"/>
        <w:rPr>
          <w:b/>
          <w:bCs/>
        </w:rPr>
      </w:pPr>
      <w:r w:rsidRPr="00C035B4">
        <w:t>More detail regarding proposed upda</w:t>
      </w:r>
      <w:r w:rsidR="00037844">
        <w:t>tes and changes for the 2015</w:t>
      </w:r>
      <w:r w:rsidR="00167818">
        <w:noBreakHyphen/>
      </w:r>
      <w:r w:rsidR="00037844">
        <w:t>16 </w:t>
      </w:r>
      <w:r w:rsidRPr="00C035B4">
        <w:t>Model Report w</w:t>
      </w:r>
      <w:r>
        <w:t>ill be communicated in the January</w:t>
      </w:r>
      <w:r w:rsidRPr="00C035B4">
        <w:t xml:space="preserve"> 2016 newsletter when the Model</w:t>
      </w:r>
      <w:r>
        <w:t xml:space="preserve"> Report</w:t>
      </w:r>
      <w:r w:rsidRPr="00C035B4">
        <w:t xml:space="preserve"> is closer to finalisation/ministerial approval.</w:t>
      </w:r>
    </w:p>
    <w:p w:rsidR="00F273F8" w:rsidRDefault="00F273F8">
      <w:pPr>
        <w:spacing w:before="0" w:after="200" w:line="276" w:lineRule="auto"/>
        <w:rPr>
          <w:rFonts w:ascii="Calibri" w:eastAsia="Times New Roman" w:hAnsi="Calibri" w:cs="Calibri"/>
          <w:b/>
          <w:bCs/>
          <w:color w:val="1665A1"/>
          <w:szCs w:val="24"/>
        </w:rPr>
      </w:pPr>
      <w:bookmarkStart w:id="8" w:name="_Toc365553150"/>
      <w:bookmarkEnd w:id="6"/>
      <w:r>
        <w:br w:type="page"/>
      </w:r>
    </w:p>
    <w:p w:rsidR="00F273F8" w:rsidRDefault="00F273F8" w:rsidP="00164666">
      <w:pPr>
        <w:pStyle w:val="NewsletterHeading2"/>
      </w:pPr>
    </w:p>
    <w:p w:rsidR="001C61F7" w:rsidRPr="00777785" w:rsidRDefault="00F273F8" w:rsidP="00164666">
      <w:pPr>
        <w:pStyle w:val="NewsletterHeading2"/>
      </w:pPr>
      <w:r>
        <w:br w:type="column"/>
      </w:r>
      <w:r w:rsidR="007D236C">
        <w:lastRenderedPageBreak/>
        <w:t>K</w:t>
      </w:r>
      <w:r w:rsidR="001C61F7" w:rsidRPr="00777785">
        <w:t xml:space="preserve">ey financial publication </w:t>
      </w:r>
      <w:r w:rsidR="001C61F7" w:rsidRPr="00164666">
        <w:t>dates</w:t>
      </w:r>
      <w:r w:rsidR="001C61F7" w:rsidRPr="00777785">
        <w:t xml:space="preserve"> for the State of Victoria</w:t>
      </w:r>
      <w:bookmarkEnd w:id="8"/>
      <w:r w:rsidR="00BB7A48" w:rsidRPr="00777785">
        <w:t xml:space="preserve"> </w:t>
      </w:r>
      <w:r w:rsidR="002909CF">
        <w:t>up to 2015</w:t>
      </w:r>
      <w:r w:rsidR="00167818">
        <w:noBreakHyphen/>
      </w:r>
      <w:r w:rsidR="002909CF">
        <w:t>16</w:t>
      </w:r>
    </w:p>
    <w:p w:rsidR="001C61F7" w:rsidRPr="00777785" w:rsidRDefault="001C61F7" w:rsidP="00164666">
      <w:pPr>
        <w:pStyle w:val="NewsletterNormal"/>
      </w:pPr>
      <w:r w:rsidRPr="00E20255">
        <w:t>The following table shows the indicative key publication tabling dates for</w:t>
      </w:r>
      <w:r w:rsidR="002909CF">
        <w:t xml:space="preserve"> </w:t>
      </w:r>
      <w:r w:rsidR="007D236C">
        <w:t>some o</w:t>
      </w:r>
      <w:r w:rsidR="00DF71E8">
        <w:t>f the S</w:t>
      </w:r>
      <w:r w:rsidR="007D236C">
        <w:t>tate</w:t>
      </w:r>
      <w:r w:rsidR="00987382">
        <w:t>’</w:t>
      </w:r>
      <w:r w:rsidR="007D236C">
        <w:t>s upcoming financial publications</w:t>
      </w:r>
      <w:r w:rsidRPr="00E20255">
        <w:t>.</w:t>
      </w:r>
    </w:p>
    <w:tbl>
      <w:tblPr>
        <w:tblStyle w:val="TableGrid"/>
        <w:tblW w:w="7051" w:type="dxa"/>
        <w:tblLook w:val="01E0" w:firstRow="1" w:lastRow="1" w:firstColumn="1" w:lastColumn="1" w:noHBand="0" w:noVBand="0"/>
      </w:tblPr>
      <w:tblGrid>
        <w:gridCol w:w="1036"/>
        <w:gridCol w:w="2325"/>
        <w:gridCol w:w="3690"/>
      </w:tblGrid>
      <w:tr w:rsidR="001C61F7" w:rsidRPr="00184F8B" w:rsidTr="00164666">
        <w:trPr>
          <w:cnfStyle w:val="100000000000" w:firstRow="1" w:lastRow="0" w:firstColumn="0" w:lastColumn="0" w:oddVBand="0" w:evenVBand="0" w:oddHBand="0" w:evenHBand="0" w:firstRowFirstColumn="0" w:firstRowLastColumn="0" w:lastRowFirstColumn="0" w:lastRowLastColumn="0"/>
          <w:tblHeader/>
        </w:trPr>
        <w:tc>
          <w:tcPr>
            <w:tcW w:w="1036" w:type="dxa"/>
          </w:tcPr>
          <w:p w:rsidR="001C61F7" w:rsidRPr="00184F8B" w:rsidRDefault="001C61F7" w:rsidP="00184F8B">
            <w:pPr>
              <w:pStyle w:val="TableHeading"/>
            </w:pPr>
            <w:r w:rsidRPr="00184F8B">
              <w:t>Reporting year</w:t>
            </w:r>
          </w:p>
        </w:tc>
        <w:tc>
          <w:tcPr>
            <w:tcW w:w="2325" w:type="dxa"/>
          </w:tcPr>
          <w:p w:rsidR="001C61F7" w:rsidRPr="00184F8B" w:rsidRDefault="001C61F7" w:rsidP="00184F8B">
            <w:pPr>
              <w:pStyle w:val="TableHeading"/>
            </w:pPr>
            <w:r w:rsidRPr="00184F8B">
              <w:t>Publication</w:t>
            </w:r>
          </w:p>
        </w:tc>
        <w:tc>
          <w:tcPr>
            <w:tcW w:w="3690" w:type="dxa"/>
          </w:tcPr>
          <w:p w:rsidR="001C61F7" w:rsidRPr="00184F8B" w:rsidRDefault="00114693" w:rsidP="00184F8B">
            <w:pPr>
              <w:pStyle w:val="TableHeading"/>
            </w:pPr>
            <w:r w:rsidRPr="00184F8B">
              <w:t>Anticipated release dates</w:t>
            </w:r>
            <w:r w:rsidR="001C61F7" w:rsidRPr="00184F8B">
              <w:t xml:space="preserve"> – </w:t>
            </w:r>
            <w:r w:rsidR="001C61F7" w:rsidRPr="00184F8B">
              <w:br/>
              <w:t>actual dates to be confirmed</w:t>
            </w:r>
          </w:p>
        </w:tc>
      </w:tr>
      <w:tr w:rsidR="009453C4" w:rsidRPr="00184F8B" w:rsidTr="00C64E09">
        <w:tc>
          <w:tcPr>
            <w:tcW w:w="1036" w:type="dxa"/>
          </w:tcPr>
          <w:p w:rsidR="009453C4" w:rsidRPr="00184F8B" w:rsidRDefault="009453C4" w:rsidP="00AE0801">
            <w:pPr>
              <w:pStyle w:val="TableHeading"/>
            </w:pPr>
            <w:r w:rsidRPr="00184F8B">
              <w:t>201</w:t>
            </w:r>
            <w:r>
              <w:t>4</w:t>
            </w:r>
            <w:r w:rsidR="00167818">
              <w:noBreakHyphen/>
            </w:r>
            <w:r w:rsidRPr="00184F8B">
              <w:t>1</w:t>
            </w:r>
            <w:r>
              <w:t>5</w:t>
            </w:r>
          </w:p>
        </w:tc>
        <w:tc>
          <w:tcPr>
            <w:tcW w:w="2325" w:type="dxa"/>
          </w:tcPr>
          <w:p w:rsidR="009453C4" w:rsidRPr="00184F8B" w:rsidRDefault="009453C4" w:rsidP="00AE0801">
            <w:pPr>
              <w:pStyle w:val="TableText"/>
            </w:pPr>
            <w:r w:rsidRPr="00184F8B">
              <w:t>Annual Financial Report</w:t>
            </w:r>
          </w:p>
        </w:tc>
        <w:tc>
          <w:tcPr>
            <w:tcW w:w="3690" w:type="dxa"/>
          </w:tcPr>
          <w:p w:rsidR="009453C4" w:rsidRPr="00184F8B" w:rsidRDefault="009453C4" w:rsidP="00AE0801">
            <w:pPr>
              <w:pStyle w:val="TableText"/>
            </w:pPr>
            <w:r w:rsidRPr="00184F8B">
              <w:t>Anticipat</w:t>
            </w:r>
            <w:r>
              <w:t>ed for the end of September 2015</w:t>
            </w:r>
            <w:r w:rsidRPr="00184F8B">
              <w:t>.</w:t>
            </w:r>
            <w:r>
              <w:t xml:space="preserve"> Legislated due date is</w:t>
            </w:r>
            <w:r w:rsidRPr="00184F8B">
              <w:t xml:space="preserve"> </w:t>
            </w:r>
            <w:r w:rsidR="00037844">
              <w:t>15 </w:t>
            </w:r>
            <w:r>
              <w:t>October 2015</w:t>
            </w:r>
            <w:r w:rsidRPr="00184F8B">
              <w:t>.</w:t>
            </w:r>
          </w:p>
        </w:tc>
      </w:tr>
      <w:tr w:rsidR="009453C4" w:rsidRPr="00184F8B" w:rsidTr="00C64E09">
        <w:tc>
          <w:tcPr>
            <w:tcW w:w="1036" w:type="dxa"/>
          </w:tcPr>
          <w:p w:rsidR="009453C4" w:rsidRPr="00184F8B" w:rsidRDefault="009453C4" w:rsidP="00AE0801">
            <w:pPr>
              <w:pStyle w:val="TableHeading"/>
            </w:pPr>
            <w:r>
              <w:t>2014</w:t>
            </w:r>
            <w:r w:rsidR="00167818">
              <w:noBreakHyphen/>
            </w:r>
            <w:r>
              <w:t>15</w:t>
            </w:r>
          </w:p>
        </w:tc>
        <w:tc>
          <w:tcPr>
            <w:tcW w:w="2325" w:type="dxa"/>
          </w:tcPr>
          <w:p w:rsidR="009453C4" w:rsidRPr="00184F8B" w:rsidRDefault="009453C4" w:rsidP="00AE0801">
            <w:pPr>
              <w:pStyle w:val="TableText"/>
            </w:pPr>
            <w:r w:rsidRPr="00184F8B">
              <w:t>Department and entity reporting</w:t>
            </w:r>
          </w:p>
        </w:tc>
        <w:tc>
          <w:tcPr>
            <w:tcW w:w="3690" w:type="dxa"/>
          </w:tcPr>
          <w:p w:rsidR="009453C4" w:rsidRPr="00184F8B" w:rsidRDefault="009453C4" w:rsidP="00AE0801">
            <w:pPr>
              <w:pStyle w:val="TableText"/>
            </w:pPr>
            <w:r w:rsidRPr="00184F8B">
              <w:t>Expected to be tabled progressively on or before the la</w:t>
            </w:r>
            <w:r>
              <w:t xml:space="preserve">st sitting day in </w:t>
            </w:r>
            <w:r>
              <w:br/>
              <w:t>September 2015</w:t>
            </w:r>
            <w:r w:rsidRPr="00184F8B">
              <w:t>.</w:t>
            </w:r>
          </w:p>
        </w:tc>
      </w:tr>
      <w:tr w:rsidR="009453C4" w:rsidRPr="00184F8B" w:rsidTr="00C64E09">
        <w:tc>
          <w:tcPr>
            <w:tcW w:w="1036" w:type="dxa"/>
          </w:tcPr>
          <w:p w:rsidR="009453C4" w:rsidRPr="00184F8B" w:rsidRDefault="009453C4" w:rsidP="00AE0801">
            <w:pPr>
              <w:pStyle w:val="TableHeading"/>
            </w:pPr>
            <w:r>
              <w:t>2015</w:t>
            </w:r>
            <w:r w:rsidR="00167818">
              <w:noBreakHyphen/>
            </w:r>
            <w:r>
              <w:t>16</w:t>
            </w:r>
          </w:p>
        </w:tc>
        <w:tc>
          <w:tcPr>
            <w:tcW w:w="2325" w:type="dxa"/>
          </w:tcPr>
          <w:p w:rsidR="009453C4" w:rsidRPr="00184F8B" w:rsidRDefault="009453C4" w:rsidP="00AE0801">
            <w:pPr>
              <w:pStyle w:val="TableText"/>
            </w:pPr>
            <w:r>
              <w:rPr>
                <w:color w:val="000000" w:themeColor="text1"/>
              </w:rPr>
              <w:t>September Quarterly Financial Report</w:t>
            </w:r>
          </w:p>
        </w:tc>
        <w:tc>
          <w:tcPr>
            <w:tcW w:w="3690" w:type="dxa"/>
          </w:tcPr>
          <w:p w:rsidR="009453C4" w:rsidRPr="00184F8B" w:rsidRDefault="00E92857" w:rsidP="00AE0801">
            <w:pPr>
              <w:pStyle w:val="TableText"/>
            </w:pPr>
            <w:r>
              <w:t xml:space="preserve">Legislative due </w:t>
            </w:r>
            <w:r w:rsidR="00037844">
              <w:t>date is 15 </w:t>
            </w:r>
            <w:r w:rsidR="009453C4">
              <w:t>November 2015.</w:t>
            </w:r>
          </w:p>
        </w:tc>
      </w:tr>
      <w:tr w:rsidR="009453C4" w:rsidRPr="00184F8B" w:rsidTr="00C64E09">
        <w:tc>
          <w:tcPr>
            <w:tcW w:w="1036" w:type="dxa"/>
          </w:tcPr>
          <w:p w:rsidR="009453C4" w:rsidRDefault="009453C4" w:rsidP="00184F8B">
            <w:pPr>
              <w:pStyle w:val="TableHeading"/>
            </w:pPr>
            <w:r>
              <w:t>2015</w:t>
            </w:r>
            <w:r w:rsidR="00167818">
              <w:noBreakHyphen/>
            </w:r>
            <w:r>
              <w:t>16</w:t>
            </w:r>
          </w:p>
        </w:tc>
        <w:tc>
          <w:tcPr>
            <w:tcW w:w="2325" w:type="dxa"/>
          </w:tcPr>
          <w:p w:rsidR="009453C4" w:rsidRDefault="009453C4" w:rsidP="00184F8B">
            <w:pPr>
              <w:pStyle w:val="TableText"/>
              <w:rPr>
                <w:color w:val="000000" w:themeColor="text1"/>
              </w:rPr>
            </w:pPr>
            <w:r>
              <w:t>Budget Update</w:t>
            </w:r>
          </w:p>
        </w:tc>
        <w:tc>
          <w:tcPr>
            <w:tcW w:w="3690" w:type="dxa"/>
          </w:tcPr>
          <w:p w:rsidR="009453C4" w:rsidRDefault="00E92857" w:rsidP="00184F8B">
            <w:pPr>
              <w:pStyle w:val="TableText"/>
            </w:pPr>
            <w:r>
              <w:t>Legislative due</w:t>
            </w:r>
            <w:r w:rsidR="00037844">
              <w:t xml:space="preserve"> date is 15 </w:t>
            </w:r>
            <w:r w:rsidR="009453C4">
              <w:t>December 2015.</w:t>
            </w:r>
          </w:p>
        </w:tc>
      </w:tr>
      <w:tr w:rsidR="009453C4" w:rsidRPr="00184F8B" w:rsidTr="00C64E09">
        <w:tc>
          <w:tcPr>
            <w:tcW w:w="1036" w:type="dxa"/>
          </w:tcPr>
          <w:p w:rsidR="009453C4" w:rsidRDefault="009453C4" w:rsidP="00184F8B">
            <w:pPr>
              <w:pStyle w:val="TableHeading"/>
            </w:pPr>
            <w:r>
              <w:t>2015</w:t>
            </w:r>
            <w:r w:rsidR="00167818">
              <w:noBreakHyphen/>
            </w:r>
            <w:r>
              <w:t>16</w:t>
            </w:r>
          </w:p>
        </w:tc>
        <w:tc>
          <w:tcPr>
            <w:tcW w:w="2325" w:type="dxa"/>
          </w:tcPr>
          <w:p w:rsidR="009453C4" w:rsidRDefault="009453C4" w:rsidP="00184F8B">
            <w:pPr>
              <w:pStyle w:val="TableText"/>
            </w:pPr>
            <w:r>
              <w:t>Mid</w:t>
            </w:r>
            <w:r w:rsidR="00167818">
              <w:noBreakHyphen/>
            </w:r>
            <w:r>
              <w:t>Year Financial Report</w:t>
            </w:r>
          </w:p>
        </w:tc>
        <w:tc>
          <w:tcPr>
            <w:tcW w:w="3690" w:type="dxa"/>
          </w:tcPr>
          <w:p w:rsidR="009453C4" w:rsidRDefault="00E92857" w:rsidP="00184F8B">
            <w:pPr>
              <w:pStyle w:val="TableText"/>
            </w:pPr>
            <w:r>
              <w:t xml:space="preserve">Legislative due </w:t>
            </w:r>
            <w:r w:rsidR="00037844">
              <w:t>date is 15 </w:t>
            </w:r>
            <w:r w:rsidR="009453C4">
              <w:t>March 2016.</w:t>
            </w:r>
          </w:p>
        </w:tc>
      </w:tr>
      <w:tr w:rsidR="009453C4" w:rsidRPr="00184F8B" w:rsidTr="00164666">
        <w:tblPrEx>
          <w:tblLook w:val="01C0" w:firstRow="0" w:lastRow="1" w:firstColumn="1" w:lastColumn="1" w:noHBand="0" w:noVBand="0"/>
        </w:tblPrEx>
        <w:tc>
          <w:tcPr>
            <w:tcW w:w="1036" w:type="dxa"/>
          </w:tcPr>
          <w:p w:rsidR="009453C4" w:rsidRPr="00184F8B" w:rsidRDefault="009453C4" w:rsidP="00184F8B">
            <w:pPr>
              <w:pStyle w:val="TableHeading"/>
            </w:pPr>
            <w:r>
              <w:t>2016</w:t>
            </w:r>
            <w:r w:rsidR="00167818">
              <w:noBreakHyphen/>
            </w:r>
            <w:r>
              <w:t>17</w:t>
            </w:r>
          </w:p>
        </w:tc>
        <w:tc>
          <w:tcPr>
            <w:tcW w:w="2325" w:type="dxa"/>
          </w:tcPr>
          <w:p w:rsidR="009453C4" w:rsidRPr="00184F8B" w:rsidRDefault="009453C4" w:rsidP="00184F8B">
            <w:pPr>
              <w:pStyle w:val="TableText"/>
            </w:pPr>
            <w:r w:rsidRPr="00184F8B">
              <w:t>Budget papers</w:t>
            </w:r>
          </w:p>
        </w:tc>
        <w:tc>
          <w:tcPr>
            <w:tcW w:w="3690" w:type="dxa"/>
          </w:tcPr>
          <w:p w:rsidR="009453C4" w:rsidRPr="00184F8B" w:rsidRDefault="009453C4" w:rsidP="00144E0D">
            <w:pPr>
              <w:pStyle w:val="TableText"/>
            </w:pPr>
            <w:r>
              <w:t xml:space="preserve">Anticipated date is </w:t>
            </w:r>
            <w:r w:rsidR="00144E0D">
              <w:t>3</w:t>
            </w:r>
            <w:r>
              <w:t xml:space="preserve"> May 2016</w:t>
            </w:r>
            <w:r w:rsidRPr="00184F8B">
              <w:t>, with a potential change to a later date subject to government discretion.</w:t>
            </w:r>
          </w:p>
        </w:tc>
      </w:tr>
      <w:tr w:rsidR="009453C4" w:rsidRPr="00184F8B" w:rsidTr="00164666">
        <w:tblPrEx>
          <w:tblLook w:val="01C0" w:firstRow="0" w:lastRow="1" w:firstColumn="1" w:lastColumn="1" w:noHBand="0" w:noVBand="0"/>
        </w:tblPrEx>
        <w:tc>
          <w:tcPr>
            <w:tcW w:w="1036" w:type="dxa"/>
            <w:tcBorders>
              <w:bottom w:val="single" w:sz="4" w:space="0" w:color="1665A1"/>
            </w:tcBorders>
          </w:tcPr>
          <w:p w:rsidR="009453C4" w:rsidRPr="00184F8B" w:rsidRDefault="009453C4" w:rsidP="00184F8B">
            <w:pPr>
              <w:pStyle w:val="TableHeading"/>
            </w:pPr>
            <w:r w:rsidRPr="00184F8B">
              <w:t>201</w:t>
            </w:r>
            <w:r>
              <w:t>5</w:t>
            </w:r>
            <w:r w:rsidR="00167818">
              <w:noBreakHyphen/>
            </w:r>
            <w:r w:rsidRPr="00184F8B">
              <w:t>1</w:t>
            </w:r>
            <w:r>
              <w:t>6</w:t>
            </w:r>
          </w:p>
        </w:tc>
        <w:tc>
          <w:tcPr>
            <w:tcW w:w="2325" w:type="dxa"/>
            <w:tcBorders>
              <w:bottom w:val="single" w:sz="4" w:space="0" w:color="1665A1"/>
            </w:tcBorders>
          </w:tcPr>
          <w:p w:rsidR="009453C4" w:rsidRPr="00184F8B" w:rsidRDefault="009453C4" w:rsidP="00184F8B">
            <w:pPr>
              <w:pStyle w:val="TableText"/>
            </w:pPr>
            <w:r w:rsidRPr="00184F8B">
              <w:t>Annual Financial Report</w:t>
            </w:r>
          </w:p>
        </w:tc>
        <w:tc>
          <w:tcPr>
            <w:tcW w:w="3690" w:type="dxa"/>
            <w:tcBorders>
              <w:bottom w:val="single" w:sz="4" w:space="0" w:color="1665A1"/>
            </w:tcBorders>
          </w:tcPr>
          <w:p w:rsidR="009453C4" w:rsidRPr="00184F8B" w:rsidRDefault="009453C4" w:rsidP="00184F8B">
            <w:pPr>
              <w:pStyle w:val="TableText"/>
            </w:pPr>
            <w:r w:rsidRPr="00184F8B">
              <w:t>Anticipat</w:t>
            </w:r>
            <w:r>
              <w:t>ed for the end of September 2016</w:t>
            </w:r>
            <w:r w:rsidRPr="00184F8B">
              <w:t>.</w:t>
            </w:r>
            <w:r>
              <w:t xml:space="preserve"> Legislated due date is</w:t>
            </w:r>
            <w:r w:rsidRPr="00184F8B">
              <w:t xml:space="preserve"> </w:t>
            </w:r>
            <w:r>
              <w:t>15 October 2016</w:t>
            </w:r>
            <w:r w:rsidRPr="00184F8B">
              <w:t>.</w:t>
            </w:r>
          </w:p>
        </w:tc>
      </w:tr>
      <w:tr w:rsidR="009453C4" w:rsidRPr="00184F8B" w:rsidTr="00164666">
        <w:tblPrEx>
          <w:tblLook w:val="01C0" w:firstRow="0"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Pr>
        <w:tc>
          <w:tcPr>
            <w:tcW w:w="1036" w:type="dxa"/>
            <w:tcBorders>
              <w:top w:val="single" w:sz="4" w:space="0" w:color="1665A1"/>
              <w:bottom w:val="single" w:sz="4" w:space="0" w:color="4F81BD" w:themeColor="accent1"/>
            </w:tcBorders>
          </w:tcPr>
          <w:p w:rsidR="009453C4" w:rsidRPr="00184F8B" w:rsidRDefault="009453C4" w:rsidP="00184F8B">
            <w:pPr>
              <w:pStyle w:val="TableHeading"/>
            </w:pPr>
            <w:r>
              <w:t>2015</w:t>
            </w:r>
            <w:r w:rsidR="00167818">
              <w:noBreakHyphen/>
            </w:r>
            <w:r>
              <w:t>16</w:t>
            </w:r>
          </w:p>
        </w:tc>
        <w:tc>
          <w:tcPr>
            <w:tcW w:w="2325" w:type="dxa"/>
            <w:tcBorders>
              <w:top w:val="single" w:sz="4" w:space="0" w:color="1665A1"/>
              <w:bottom w:val="single" w:sz="4" w:space="0" w:color="4F81BD" w:themeColor="accent1"/>
            </w:tcBorders>
          </w:tcPr>
          <w:p w:rsidR="009453C4" w:rsidRPr="00184F8B" w:rsidRDefault="009453C4" w:rsidP="00184F8B">
            <w:pPr>
              <w:pStyle w:val="TableText"/>
            </w:pPr>
            <w:r w:rsidRPr="00184F8B">
              <w:t>Department and entity reporting</w:t>
            </w:r>
          </w:p>
        </w:tc>
        <w:tc>
          <w:tcPr>
            <w:tcW w:w="3690" w:type="dxa"/>
            <w:tcBorders>
              <w:top w:val="single" w:sz="4" w:space="0" w:color="1665A1"/>
              <w:bottom w:val="single" w:sz="4" w:space="0" w:color="4F81BD" w:themeColor="accent1"/>
            </w:tcBorders>
          </w:tcPr>
          <w:p w:rsidR="009453C4" w:rsidRPr="00184F8B" w:rsidRDefault="009453C4" w:rsidP="00184F8B">
            <w:pPr>
              <w:pStyle w:val="TableText"/>
            </w:pPr>
            <w:r w:rsidRPr="00184F8B">
              <w:t>Expected to be tabled progressively on or before the la</w:t>
            </w:r>
            <w:r>
              <w:t xml:space="preserve">st sitting day in </w:t>
            </w:r>
            <w:r>
              <w:br/>
              <w:t>September 2016</w:t>
            </w:r>
            <w:r w:rsidRPr="00184F8B">
              <w:t>.</w:t>
            </w:r>
          </w:p>
        </w:tc>
      </w:tr>
    </w:tbl>
    <w:p w:rsidR="00E34219" w:rsidRDefault="00E34219" w:rsidP="00164666">
      <w:pPr>
        <w:pStyle w:val="NewsletterHeading1"/>
      </w:pPr>
      <w:bookmarkStart w:id="9" w:name="_Toc424822616"/>
      <w:bookmarkStart w:id="10" w:name="_Toc283735124"/>
      <w:bookmarkStart w:id="11" w:name="_Toc365553151"/>
      <w:r w:rsidRPr="00E34219">
        <w:t xml:space="preserve">Looking </w:t>
      </w:r>
      <w:r w:rsidRPr="00164666">
        <w:t>forward</w:t>
      </w:r>
      <w:bookmarkEnd w:id="9"/>
    </w:p>
    <w:p w:rsidR="001C61F7" w:rsidRPr="00777785" w:rsidRDefault="00E31E1D" w:rsidP="00164666">
      <w:pPr>
        <w:pStyle w:val="NewsletterHeading2"/>
      </w:pPr>
      <w:r w:rsidRPr="00777785">
        <w:t xml:space="preserve">Key </w:t>
      </w:r>
      <w:r w:rsidR="00705EE0" w:rsidRPr="00777785">
        <w:t>AASB </w:t>
      </w:r>
      <w:r w:rsidRPr="00777785">
        <w:t xml:space="preserve">Standards </w:t>
      </w:r>
      <w:r w:rsidRPr="00164666">
        <w:t>issued</w:t>
      </w:r>
      <w:r w:rsidRPr="00777785">
        <w:t xml:space="preserve"> </w:t>
      </w:r>
      <w:bookmarkEnd w:id="10"/>
      <w:r w:rsidR="00143829" w:rsidRPr="00777785">
        <w:t>but not effective for 2014</w:t>
      </w:r>
      <w:r w:rsidR="00167818">
        <w:noBreakHyphen/>
      </w:r>
      <w:r w:rsidRPr="00777785">
        <w:t>1</w:t>
      </w:r>
      <w:bookmarkEnd w:id="11"/>
      <w:r w:rsidR="00143829" w:rsidRPr="00777785">
        <w:t>5</w:t>
      </w:r>
    </w:p>
    <w:p w:rsidR="001C2E40" w:rsidRDefault="001C2E40" w:rsidP="00184F8B">
      <w:pPr>
        <w:pStyle w:val="NewsletterHeading3"/>
      </w:pPr>
      <w:r>
        <w:t xml:space="preserve">AASB 124 </w:t>
      </w:r>
      <w:r w:rsidRPr="001C2E40">
        <w:rPr>
          <w:i/>
        </w:rPr>
        <w:t>Related Party Disclosures</w:t>
      </w:r>
    </w:p>
    <w:p w:rsidR="001C2E40" w:rsidRDefault="00FF775A" w:rsidP="00164666">
      <w:pPr>
        <w:pStyle w:val="NewsletterNormal"/>
      </w:pPr>
      <w:r w:rsidRPr="00CC66BF">
        <w:rPr>
          <w:color w:val="000000" w:themeColor="text1"/>
          <w:lang w:val="en"/>
        </w:rPr>
        <w:t xml:space="preserve">The </w:t>
      </w:r>
      <w:r w:rsidR="00B91A4E">
        <w:rPr>
          <w:color w:val="000000" w:themeColor="text1"/>
          <w:lang w:val="en"/>
        </w:rPr>
        <w:t xml:space="preserve">recent amendment to </w:t>
      </w:r>
      <w:r w:rsidR="00D860B4" w:rsidRPr="00D860B4">
        <w:t xml:space="preserve">AASB 124 </w:t>
      </w:r>
      <w:r w:rsidR="00D860B4" w:rsidRPr="0068667D">
        <w:rPr>
          <w:i/>
        </w:rPr>
        <w:t>Related Party Disclosures</w:t>
      </w:r>
      <w:r w:rsidR="00D860B4" w:rsidRPr="00D860B4">
        <w:t xml:space="preserve"> </w:t>
      </w:r>
      <w:r w:rsidR="00B91A4E">
        <w:t xml:space="preserve">extend the scope of AASB 124 to mandatorily require all NFP entities to disclose related party information </w:t>
      </w:r>
      <w:r w:rsidR="00B91A4E">
        <w:rPr>
          <w:rFonts w:cs="Arial"/>
          <w:bCs/>
        </w:rPr>
        <w:t xml:space="preserve">in the same way as private sector entities </w:t>
      </w:r>
      <w:r w:rsidR="00407CF9">
        <w:rPr>
          <w:rFonts w:cs="Arial"/>
          <w:bCs/>
        </w:rPr>
        <w:t xml:space="preserve">for reporting periods commencing </w:t>
      </w:r>
      <w:r w:rsidR="00B91A4E">
        <w:rPr>
          <w:rFonts w:cs="Arial"/>
          <w:bCs/>
        </w:rPr>
        <w:t>from 1 July 2016</w:t>
      </w:r>
      <w:r w:rsidR="00D860B4">
        <w:t xml:space="preserve">. </w:t>
      </w:r>
    </w:p>
    <w:p w:rsidR="00AB5379" w:rsidRPr="00BF0BB8" w:rsidRDefault="004E7F85" w:rsidP="00164666">
      <w:pPr>
        <w:pStyle w:val="NewsletterNormal"/>
        <w:rPr>
          <w:i/>
        </w:rPr>
      </w:pPr>
      <w:r>
        <w:t xml:space="preserve">Currently VPS entities at the departmental and entity levels are required to comply with the disclosure requirements of FRD 21B </w:t>
      </w:r>
      <w:r w:rsidR="00BF0BB8">
        <w:rPr>
          <w:i/>
        </w:rPr>
        <w:t>Disclosure of Responsible Persons, Executive Officers and Other Personnel (Contractors with Significant Management Responsibilities) in the Financial R</w:t>
      </w:r>
      <w:r w:rsidRPr="007029DE">
        <w:rPr>
          <w:i/>
        </w:rPr>
        <w:t>eport</w:t>
      </w:r>
      <w:r>
        <w:rPr>
          <w:i/>
        </w:rPr>
        <w:t>.</w:t>
      </w:r>
      <w:r w:rsidRPr="004E7F85">
        <w:t xml:space="preserve"> </w:t>
      </w:r>
      <w:r>
        <w:t xml:space="preserve">The amendments to AASB 124 would override the disclosure requirements of </w:t>
      </w:r>
      <w:r w:rsidR="00C64E09">
        <w:br/>
      </w:r>
      <w:r w:rsidR="00164666">
        <w:t>FRD </w:t>
      </w:r>
      <w:r>
        <w:t xml:space="preserve">21B. </w:t>
      </w:r>
    </w:p>
    <w:p w:rsidR="00F273F8" w:rsidRDefault="00F273F8">
      <w:pPr>
        <w:spacing w:before="0" w:after="200" w:line="276" w:lineRule="auto"/>
      </w:pPr>
      <w:r>
        <w:br w:type="page"/>
      </w:r>
    </w:p>
    <w:p w:rsidR="00F273F8" w:rsidRDefault="00F273F8" w:rsidP="00164666">
      <w:pPr>
        <w:pStyle w:val="NewsletterNormal"/>
      </w:pPr>
    </w:p>
    <w:p w:rsidR="004D582C" w:rsidRDefault="00F273F8" w:rsidP="00164666">
      <w:pPr>
        <w:pStyle w:val="NewsletterNormal"/>
      </w:pPr>
      <w:r>
        <w:br w:type="column"/>
      </w:r>
      <w:r w:rsidR="00AB5379">
        <w:lastRenderedPageBreak/>
        <w:t>Compared with</w:t>
      </w:r>
      <w:r w:rsidR="004E7F85">
        <w:t xml:space="preserve"> the current requir</w:t>
      </w:r>
      <w:r w:rsidR="00AB5379">
        <w:t xml:space="preserve">ements of FRD 21B, the new requirements of </w:t>
      </w:r>
      <w:r w:rsidR="00DB038C">
        <w:t xml:space="preserve">the amended </w:t>
      </w:r>
      <w:r w:rsidR="00AB5379">
        <w:t>AASB 124</w:t>
      </w:r>
      <w:r w:rsidR="00604F9C">
        <w:t xml:space="preserve"> would</w:t>
      </w:r>
      <w:r w:rsidR="00AB5379">
        <w:t>:</w:t>
      </w:r>
    </w:p>
    <w:p w:rsidR="004E7F85" w:rsidRPr="00AB5379" w:rsidRDefault="002959F3" w:rsidP="00164666">
      <w:pPr>
        <w:pStyle w:val="NewsletterBullet1"/>
      </w:pPr>
      <w:r>
        <w:t xml:space="preserve">potentially </w:t>
      </w:r>
      <w:r w:rsidR="004E7F85" w:rsidRPr="00AB5379">
        <w:t xml:space="preserve">widen the scope of </w:t>
      </w:r>
      <w:r w:rsidR="00014680">
        <w:t>key management personnel (</w:t>
      </w:r>
      <w:r w:rsidR="004E7F85" w:rsidRPr="00AB5379">
        <w:t>KMP</w:t>
      </w:r>
      <w:r w:rsidR="00014680">
        <w:t>)</w:t>
      </w:r>
      <w:r w:rsidR="004E7F85" w:rsidRPr="00AB5379">
        <w:t xml:space="preserve"> to the Ministers who are ultimately responsible for the entities;</w:t>
      </w:r>
    </w:p>
    <w:p w:rsidR="009A44A7" w:rsidRPr="00AB5379" w:rsidRDefault="00AB5379" w:rsidP="00164666">
      <w:pPr>
        <w:pStyle w:val="NewsletterBullet1"/>
      </w:pPr>
      <w:r w:rsidRPr="00AB5379">
        <w:t>e</w:t>
      </w:r>
      <w:r w:rsidR="009A44A7" w:rsidRPr="00AB5379">
        <w:t xml:space="preserve">xtend the scope of remuneration </w:t>
      </w:r>
      <w:r w:rsidRPr="00AB5379">
        <w:t xml:space="preserve">disclosure </w:t>
      </w:r>
      <w:r w:rsidR="009A44A7" w:rsidRPr="00AB5379">
        <w:t>to include termination benefits</w:t>
      </w:r>
      <w:r w:rsidRPr="00AB5379">
        <w:t>;</w:t>
      </w:r>
    </w:p>
    <w:p w:rsidR="009A44A7" w:rsidRPr="00AB5379" w:rsidRDefault="00AB5379" w:rsidP="00164666">
      <w:pPr>
        <w:pStyle w:val="NewsletterBullet1"/>
      </w:pPr>
      <w:r w:rsidRPr="00AB5379">
        <w:t>r</w:t>
      </w:r>
      <w:r w:rsidR="009A44A7" w:rsidRPr="00AB5379">
        <w:t>equire all related party transa</w:t>
      </w:r>
      <w:r w:rsidR="005111F6">
        <w:t xml:space="preserve">ctions to be disclosed, with a partial </w:t>
      </w:r>
      <w:r w:rsidR="009A44A7" w:rsidRPr="00AB5379">
        <w:t xml:space="preserve">exemption </w:t>
      </w:r>
      <w:r w:rsidRPr="00AB5379">
        <w:t>for</w:t>
      </w:r>
      <w:r w:rsidR="009A44A7" w:rsidRPr="00AB5379">
        <w:t xml:space="preserve"> transactions between government related entities </w:t>
      </w:r>
      <w:r w:rsidR="005111F6" w:rsidRPr="005111F6">
        <w:t>of the same jurisdiction</w:t>
      </w:r>
      <w:r w:rsidRPr="00AB5379">
        <w:t>; and</w:t>
      </w:r>
    </w:p>
    <w:p w:rsidR="00AB5379" w:rsidRDefault="00604F9C" w:rsidP="00164666">
      <w:pPr>
        <w:pStyle w:val="NewsletterBullet1"/>
      </w:pPr>
      <w:r>
        <w:t>require more</w:t>
      </w:r>
      <w:r w:rsidR="00AB5379" w:rsidRPr="00AB5379">
        <w:t xml:space="preserve"> disaggregated information about K</w:t>
      </w:r>
      <w:r>
        <w:t>MPs</w:t>
      </w:r>
      <w:r w:rsidR="00987382">
        <w:t>’</w:t>
      </w:r>
      <w:r>
        <w:t xml:space="preserve"> total compensation and</w:t>
      </w:r>
      <w:r w:rsidR="00AB5379" w:rsidRPr="00AB5379">
        <w:t xml:space="preserve"> more extensive data collection.</w:t>
      </w:r>
    </w:p>
    <w:p w:rsidR="00C3131C" w:rsidRPr="00AB5379" w:rsidRDefault="00C3131C" w:rsidP="00C3131C">
      <w:pPr>
        <w:pStyle w:val="NewsletterNormal"/>
      </w:pPr>
      <w:r>
        <w:t>While comparatives will not be required in the first period to which these changes apply, VPS entities will need to give prompt consideration to the requirements of the amended standard, including identifying whom the new disclosure requirements would apply to, what related party transactions are likely to be material, and what information systems are needed to ensure that all the necessary supporting information is captured.</w:t>
      </w:r>
    </w:p>
    <w:p w:rsidR="002721DE" w:rsidRDefault="0031473F" w:rsidP="00C3131C">
      <w:pPr>
        <w:pStyle w:val="NewsletterNormal"/>
      </w:pPr>
      <w:r>
        <w:rPr>
          <w:rFonts w:cs="Arial"/>
          <w:bCs/>
        </w:rPr>
        <w:t>In l</w:t>
      </w:r>
      <w:r w:rsidR="0091317E">
        <w:rPr>
          <w:rFonts w:cs="Arial"/>
          <w:bCs/>
        </w:rPr>
        <w:t>ight of the potential</w:t>
      </w:r>
      <w:r>
        <w:rPr>
          <w:rFonts w:cs="Arial"/>
          <w:bCs/>
        </w:rPr>
        <w:t xml:space="preserve"> implications of this standard, DTF is planning to conduct consultation workshops </w:t>
      </w:r>
      <w:r w:rsidR="007B5EA8">
        <w:rPr>
          <w:rFonts w:cs="Arial"/>
          <w:bCs/>
        </w:rPr>
        <w:t xml:space="preserve">to engage all relevant stakeholders to identify the implications of the new requirements and </w:t>
      </w:r>
      <w:r>
        <w:rPr>
          <w:rFonts w:cs="Arial"/>
          <w:bCs/>
        </w:rPr>
        <w:t>the necessary processes required to capture the information</w:t>
      </w:r>
      <w:r w:rsidR="007B5EA8">
        <w:rPr>
          <w:rFonts w:cs="Arial"/>
          <w:bCs/>
        </w:rPr>
        <w:t>.</w:t>
      </w:r>
    </w:p>
    <w:p w:rsidR="00B70179" w:rsidRPr="00777785" w:rsidRDefault="00B70179" w:rsidP="00184F8B">
      <w:pPr>
        <w:pStyle w:val="NewsletterHeading3"/>
      </w:pPr>
      <w:r w:rsidRPr="00777785">
        <w:t xml:space="preserve">AASB 15 </w:t>
      </w:r>
      <w:r w:rsidR="00DB038C">
        <w:rPr>
          <w:i/>
        </w:rPr>
        <w:t>Revenue from C</w:t>
      </w:r>
      <w:r w:rsidRPr="00184F8B">
        <w:rPr>
          <w:i/>
        </w:rPr>
        <w:t>ontracts wi</w:t>
      </w:r>
      <w:r w:rsidR="00DB038C">
        <w:rPr>
          <w:i/>
        </w:rPr>
        <w:t>th C</w:t>
      </w:r>
      <w:r w:rsidR="00B73FBE" w:rsidRPr="00184F8B">
        <w:rPr>
          <w:i/>
        </w:rPr>
        <w:t>ustomers</w:t>
      </w:r>
    </w:p>
    <w:p w:rsidR="001469E0" w:rsidRPr="00550A5C" w:rsidRDefault="001726F1" w:rsidP="00164666">
      <w:pPr>
        <w:pStyle w:val="NewsletterNormal"/>
      </w:pPr>
      <w:r w:rsidRPr="00CE0664">
        <w:t xml:space="preserve">Following </w:t>
      </w:r>
      <w:r w:rsidR="00970E2E">
        <w:t>the International Accounting Standards Board</w:t>
      </w:r>
      <w:r w:rsidR="00550A5C">
        <w:t xml:space="preserve"> (IASB)</w:t>
      </w:r>
      <w:r w:rsidR="00987382">
        <w:t>’</w:t>
      </w:r>
      <w:r w:rsidRPr="00CE0664">
        <w:t xml:space="preserve">s release of IFRS 15 </w:t>
      </w:r>
      <w:r w:rsidRPr="00CE0664">
        <w:rPr>
          <w:i/>
        </w:rPr>
        <w:t>Revenue from Contracts with Customers</w:t>
      </w:r>
      <w:r w:rsidRPr="00CE0664">
        <w:t>, the AASB has</w:t>
      </w:r>
      <w:r w:rsidR="00A9118D">
        <w:t xml:space="preserve"> </w:t>
      </w:r>
      <w:r w:rsidRPr="00CE0664">
        <w:t xml:space="preserve">issued AASB 15 </w:t>
      </w:r>
      <w:r w:rsidRPr="00CE0664">
        <w:rPr>
          <w:i/>
        </w:rPr>
        <w:t>Revenue from Contracts with Customers</w:t>
      </w:r>
      <w:r w:rsidR="00A9118D">
        <w:t xml:space="preserve"> in December</w:t>
      </w:r>
      <w:r w:rsidRPr="00CE0664">
        <w:t xml:space="preserve"> 2014.</w:t>
      </w:r>
      <w:r w:rsidR="00550A5C">
        <w:t xml:space="preserve"> </w:t>
      </w:r>
      <w:r w:rsidR="0040685C">
        <w:t xml:space="preserve">In </w:t>
      </w:r>
      <w:r w:rsidR="00FF775A">
        <w:br/>
      </w:r>
      <w:r w:rsidR="0040685C">
        <w:t xml:space="preserve">May 2015, </w:t>
      </w:r>
      <w:r w:rsidR="00DB038C">
        <w:t xml:space="preserve">the </w:t>
      </w:r>
      <w:r w:rsidR="0040685C">
        <w:t>IASB</w:t>
      </w:r>
      <w:r w:rsidR="00550A5C" w:rsidRPr="00550A5C">
        <w:t xml:space="preserve"> proposed amendments to IFRS 15</w:t>
      </w:r>
      <w:r w:rsidR="0040685C">
        <w:t xml:space="preserve"> to</w:t>
      </w:r>
      <w:r w:rsidR="00EF0B85">
        <w:t xml:space="preserve"> defer</w:t>
      </w:r>
      <w:r w:rsidR="00550A5C" w:rsidRPr="00550A5C">
        <w:t xml:space="preserve"> the effective date from 1 January 2017 to 1 January 2018. </w:t>
      </w:r>
      <w:r w:rsidR="00550A5C">
        <w:t>AASB 15</w:t>
      </w:r>
      <w:r w:rsidR="00987382">
        <w:t>’</w:t>
      </w:r>
      <w:r w:rsidR="00550A5C">
        <w:t>s</w:t>
      </w:r>
      <w:r w:rsidR="003508EB">
        <w:t xml:space="preserve"> effective date is </w:t>
      </w:r>
      <w:r w:rsidR="00407CF9">
        <w:t xml:space="preserve">also </w:t>
      </w:r>
      <w:r w:rsidR="003508EB">
        <w:t>likely to be</w:t>
      </w:r>
      <w:r w:rsidR="00DB038C">
        <w:t xml:space="preserve"> deferred</w:t>
      </w:r>
      <w:r w:rsidR="00550A5C">
        <w:t>.</w:t>
      </w:r>
    </w:p>
    <w:p w:rsidR="003508EB" w:rsidRDefault="00B70179" w:rsidP="00164666">
      <w:pPr>
        <w:pStyle w:val="NewsletterNormal"/>
      </w:pPr>
      <w:r w:rsidRPr="00777785">
        <w:t xml:space="preserve">The core principle of AASB 15 is that an entity will only recognise revenue upon the transfer of promised goods or services to customers </w:t>
      </w:r>
      <w:r w:rsidR="00407CF9">
        <w:t>for</w:t>
      </w:r>
      <w:r w:rsidRPr="00777785">
        <w:t xml:space="preserve"> an amount that reflects the consideration to which the entity expects to be entitled in </w:t>
      </w:r>
      <w:r w:rsidR="00FE7DCD" w:rsidRPr="000A5AC8">
        <w:t xml:space="preserve">exchange for those goods or </w:t>
      </w:r>
      <w:r w:rsidR="00FE7DCD" w:rsidRPr="00184F8B">
        <w:t>services</w:t>
      </w:r>
      <w:r w:rsidR="00FE7DCD" w:rsidRPr="000A5AC8">
        <w:t xml:space="preserve">. </w:t>
      </w:r>
      <w:r w:rsidR="004E2AA1">
        <w:t xml:space="preserve">Therefore, entities need to allocate the transaction price to each performance obligation in a contract to transfer goods or services and recognise the revenue only when the related performance obligation is satisfied. </w:t>
      </w:r>
      <w:r w:rsidR="00DB038C" w:rsidRPr="00777785">
        <w:t xml:space="preserve">A potential significant impact </w:t>
      </w:r>
      <w:r w:rsidR="00DB038C">
        <w:t>will</w:t>
      </w:r>
      <w:r w:rsidR="00DB038C" w:rsidRPr="00777785">
        <w:t xml:space="preserve"> be the upfront recognition of revenue</w:t>
      </w:r>
      <w:r w:rsidR="00DB038C">
        <w:t xml:space="preserve"> from licenses covering multiple reporting periods</w:t>
      </w:r>
      <w:r w:rsidR="00DB038C" w:rsidRPr="00777785">
        <w:t xml:space="preserve"> if </w:t>
      </w:r>
      <w:r w:rsidR="00DB038C">
        <w:t xml:space="preserve">there is </w:t>
      </w:r>
      <w:r w:rsidR="00DB038C" w:rsidRPr="00777785">
        <w:t xml:space="preserve">no substantive </w:t>
      </w:r>
      <w:r w:rsidR="00DB038C">
        <w:t xml:space="preserve">continuing </w:t>
      </w:r>
      <w:r w:rsidR="00DB038C" w:rsidRPr="005F1D76">
        <w:t>performance obligation</w:t>
      </w:r>
      <w:r w:rsidR="00DB038C" w:rsidRPr="00777785">
        <w:t xml:space="preserve">. </w:t>
      </w:r>
    </w:p>
    <w:p w:rsidR="00B70179" w:rsidRDefault="00DB038C" w:rsidP="00164666">
      <w:pPr>
        <w:pStyle w:val="NewsletterNormal"/>
      </w:pPr>
      <w:r>
        <w:t xml:space="preserve">VPS </w:t>
      </w:r>
      <w:r w:rsidR="0040685C" w:rsidRPr="005F1D76">
        <w:t xml:space="preserve">entities are </w:t>
      </w:r>
      <w:r w:rsidR="0040685C" w:rsidRPr="00777785">
        <w:t>encouraged to assess the extent of AASB 15</w:t>
      </w:r>
      <w:r w:rsidR="00987382">
        <w:t>’</w:t>
      </w:r>
      <w:r w:rsidR="0040685C" w:rsidRPr="00777785">
        <w:t xml:space="preserve">s </w:t>
      </w:r>
      <w:r w:rsidR="003508EB">
        <w:t xml:space="preserve">financial and operational </w:t>
      </w:r>
      <w:r w:rsidR="007B5EA8">
        <w:t>systems</w:t>
      </w:r>
      <w:r w:rsidR="00987382">
        <w:t>’</w:t>
      </w:r>
      <w:r w:rsidR="007B5EA8">
        <w:t xml:space="preserve"> </w:t>
      </w:r>
      <w:r w:rsidR="0040685C" w:rsidRPr="00777785">
        <w:t>impact</w:t>
      </w:r>
      <w:r w:rsidR="003508EB">
        <w:t xml:space="preserve"> as early as practicable</w:t>
      </w:r>
      <w:r w:rsidR="0040685C" w:rsidRPr="00777785">
        <w:t>.</w:t>
      </w:r>
      <w:r w:rsidR="0040685C">
        <w:t xml:space="preserve"> For more detailed information of AASB 15 and its implications, please visit </w:t>
      </w:r>
      <w:r w:rsidR="00C64E09">
        <w:t xml:space="preserve">the </w:t>
      </w:r>
      <w:r w:rsidR="0040685C">
        <w:t xml:space="preserve">DTF website for </w:t>
      </w:r>
      <w:r w:rsidR="0040685C" w:rsidRPr="00C64E09">
        <w:rPr>
          <w:i/>
        </w:rPr>
        <w:t>Accounting Policy Update Newsletter Edition No. 27, January 2015</w:t>
      </w:r>
      <w:r w:rsidR="0040685C">
        <w:t>.</w:t>
      </w:r>
    </w:p>
    <w:p w:rsidR="00F65A3F" w:rsidRPr="00777785" w:rsidRDefault="00F65A3F" w:rsidP="00164666">
      <w:pPr>
        <w:pStyle w:val="NewsletterNormal"/>
      </w:pPr>
      <w:r>
        <w:t>The AASB has issued an e</w:t>
      </w:r>
      <w:r w:rsidRPr="00302E4C">
        <w:t xml:space="preserve">xposure </w:t>
      </w:r>
      <w:r>
        <w:t>d</w:t>
      </w:r>
      <w:r w:rsidRPr="00302E4C">
        <w:t>raft (ED</w:t>
      </w:r>
      <w:r>
        <w:t>) to provide i</w:t>
      </w:r>
      <w:r w:rsidRPr="00F65A3F">
        <w:t xml:space="preserve">mplementation </w:t>
      </w:r>
      <w:r>
        <w:t>g</w:t>
      </w:r>
      <w:r w:rsidRPr="00F65A3F">
        <w:t xml:space="preserve">uidance for </w:t>
      </w:r>
      <w:r>
        <w:t>NFP e</w:t>
      </w:r>
      <w:r w:rsidRPr="00F65A3F">
        <w:t>ntities</w:t>
      </w:r>
      <w:r w:rsidR="007E2991">
        <w:t xml:space="preserve"> to apply </w:t>
      </w:r>
      <w:r w:rsidR="008E61FA">
        <w:t xml:space="preserve">the requirements of </w:t>
      </w:r>
      <w:r w:rsidR="007E2991">
        <w:t>AASB 15</w:t>
      </w:r>
      <w:r>
        <w:t xml:space="preserve">, </w:t>
      </w:r>
      <w:r w:rsidR="007E2991">
        <w:t>as</w:t>
      </w:r>
      <w:r>
        <w:t xml:space="preserve"> </w:t>
      </w:r>
      <w:r w:rsidRPr="003F2B15">
        <w:t>referred later in this newsletter</w:t>
      </w:r>
      <w:r>
        <w:t>.</w:t>
      </w:r>
    </w:p>
    <w:p w:rsidR="00F273F8" w:rsidRDefault="00F273F8">
      <w:pPr>
        <w:spacing w:before="0" w:after="200" w:line="276" w:lineRule="auto"/>
        <w:rPr>
          <w:rFonts w:ascii="Calibri" w:eastAsia="Times New Roman" w:hAnsi="Calibri" w:cs="Calibri"/>
          <w:b/>
          <w:bCs/>
          <w:color w:val="1665A1"/>
          <w:szCs w:val="24"/>
        </w:rPr>
      </w:pPr>
      <w:r>
        <w:br w:type="page"/>
      </w:r>
    </w:p>
    <w:p w:rsidR="00A25CC1" w:rsidRPr="00777785" w:rsidRDefault="00F273F8" w:rsidP="00164666">
      <w:pPr>
        <w:pStyle w:val="NewsletterHeading2"/>
      </w:pPr>
      <w:r>
        <w:lastRenderedPageBreak/>
        <w:br w:type="column"/>
      </w:r>
      <w:r w:rsidR="00A25CC1">
        <w:lastRenderedPageBreak/>
        <w:t>AASB</w:t>
      </w:r>
      <w:r w:rsidR="00987382">
        <w:t>’</w:t>
      </w:r>
      <w:r w:rsidR="00A25CC1">
        <w:t>s major domestic projects</w:t>
      </w:r>
    </w:p>
    <w:p w:rsidR="00F65A3F" w:rsidRPr="00777785" w:rsidRDefault="00F65A3F" w:rsidP="00164666">
      <w:pPr>
        <w:pStyle w:val="NewsletterHeading3"/>
      </w:pPr>
      <w:r w:rsidRPr="00777785">
        <w:t xml:space="preserve">Service </w:t>
      </w:r>
      <w:r w:rsidRPr="00164666">
        <w:t>concession</w:t>
      </w:r>
      <w:r w:rsidRPr="00777785">
        <w:t xml:space="preserve"> </w:t>
      </w:r>
      <w:r w:rsidRPr="00184F8B">
        <w:t>arrangements</w:t>
      </w:r>
      <w:r w:rsidRPr="00777785">
        <w:t>: grantor accounting</w:t>
      </w:r>
    </w:p>
    <w:p w:rsidR="00164666" w:rsidRDefault="00F65A3F" w:rsidP="00164666">
      <w:pPr>
        <w:pStyle w:val="NewsletterNormal"/>
      </w:pPr>
      <w:r>
        <w:t>The AASB recently issued ED</w:t>
      </w:r>
      <w:r w:rsidRPr="00302E4C">
        <w:t xml:space="preserve"> 261 </w:t>
      </w:r>
      <w:r w:rsidRPr="00302E4C">
        <w:rPr>
          <w:i/>
        </w:rPr>
        <w:t xml:space="preserve">Service Concession Arrangements: Grantor </w:t>
      </w:r>
      <w:r w:rsidRPr="004D4052">
        <w:t xml:space="preserve">based on </w:t>
      </w:r>
      <w:r w:rsidRPr="00302E4C">
        <w:t xml:space="preserve">the control approach of International Public Sector Accounting Standard (IPSAS) 32 </w:t>
      </w:r>
      <w:r w:rsidRPr="00302E4C">
        <w:rPr>
          <w:i/>
        </w:rPr>
        <w:t>Service Concession Arrangements: Grantor</w:t>
      </w:r>
      <w:r w:rsidRPr="004D4052">
        <w:t>, to address the lack of guidance in Australian Accounting Standards for accounting for service concession arrangemen</w:t>
      </w:r>
      <w:r w:rsidRPr="00302E4C">
        <w:t>ts from the grantor perspective.</w:t>
      </w:r>
      <w:r>
        <w:t xml:space="preserve"> Once issued as a standard, it would be applicable to all public sector entities.</w:t>
      </w:r>
    </w:p>
    <w:p w:rsidR="00F65A3F" w:rsidRPr="006F079C" w:rsidRDefault="00F65A3F" w:rsidP="00164666">
      <w:pPr>
        <w:pStyle w:val="NewsletterNormal"/>
      </w:pPr>
      <w:r w:rsidRPr="006F079C">
        <w:t>The ED proposes that the grantor would recognise a service concession asset when it controls the asset. The grantor controls the asset if, and only if:</w:t>
      </w:r>
    </w:p>
    <w:p w:rsidR="00F65A3F" w:rsidRPr="006F079C" w:rsidRDefault="00F65A3F" w:rsidP="00F65A3F">
      <w:pPr>
        <w:pStyle w:val="Default"/>
        <w:numPr>
          <w:ilvl w:val="0"/>
          <w:numId w:val="3"/>
        </w:numPr>
        <w:ind w:left="266" w:hanging="252"/>
        <w:rPr>
          <w:rFonts w:asciiTheme="minorHAnsi" w:eastAsiaTheme="minorEastAsia" w:hAnsiTheme="minorHAnsi" w:cstheme="minorBidi"/>
          <w:color w:val="auto"/>
          <w:sz w:val="22"/>
          <w:szCs w:val="22"/>
          <w:lang w:eastAsia="en-AU"/>
        </w:rPr>
      </w:pPr>
      <w:r w:rsidRPr="006F079C">
        <w:rPr>
          <w:rFonts w:asciiTheme="minorHAnsi" w:eastAsiaTheme="minorEastAsia" w:hAnsiTheme="minorHAnsi" w:cstheme="minorBidi"/>
          <w:color w:val="auto"/>
          <w:sz w:val="22"/>
          <w:szCs w:val="22"/>
          <w:lang w:eastAsia="en-AU"/>
        </w:rPr>
        <w:t>the grantor controls or regulates what services the operator must provide with the asset, to whom it must provide them, and at what price; and</w:t>
      </w:r>
    </w:p>
    <w:p w:rsidR="00F65A3F" w:rsidRPr="006F079C" w:rsidRDefault="00F65A3F" w:rsidP="00F65A3F">
      <w:pPr>
        <w:pStyle w:val="Default"/>
        <w:numPr>
          <w:ilvl w:val="0"/>
          <w:numId w:val="3"/>
        </w:numPr>
        <w:ind w:left="266" w:hanging="252"/>
        <w:rPr>
          <w:rFonts w:asciiTheme="minorHAnsi" w:eastAsiaTheme="minorEastAsia" w:hAnsiTheme="minorHAnsi" w:cstheme="minorBidi"/>
          <w:color w:val="auto"/>
          <w:sz w:val="22"/>
          <w:szCs w:val="22"/>
          <w:lang w:eastAsia="en-AU"/>
        </w:rPr>
      </w:pPr>
      <w:r w:rsidRPr="006F079C">
        <w:rPr>
          <w:rFonts w:asciiTheme="minorHAnsi" w:eastAsiaTheme="minorEastAsia" w:hAnsiTheme="minorHAnsi" w:cstheme="minorBidi"/>
          <w:color w:val="auto"/>
          <w:sz w:val="22"/>
          <w:szCs w:val="22"/>
          <w:lang w:eastAsia="en-AU"/>
        </w:rPr>
        <w:t>the grantor controls – through ownership, beneficial entitlement or any significant residual interest in the asset at the end of the term of the arrangement.</w:t>
      </w:r>
    </w:p>
    <w:p w:rsidR="00E24F83" w:rsidRDefault="006F079C" w:rsidP="00C62DA7">
      <w:pPr>
        <w:pStyle w:val="NewsletterNormal"/>
      </w:pPr>
      <w:r>
        <w:t xml:space="preserve">The grantor would measure the service concession asset at </w:t>
      </w:r>
      <w:r w:rsidR="00E24F83">
        <w:t xml:space="preserve">its fair value in accordance with AASB 13 </w:t>
      </w:r>
      <w:r w:rsidR="00E24F83" w:rsidRPr="00302E4C">
        <w:rPr>
          <w:i/>
        </w:rPr>
        <w:t>Fair Value Measurement</w:t>
      </w:r>
      <w:r w:rsidR="00E24F83">
        <w:t xml:space="preserve"> upon initial </w:t>
      </w:r>
      <w:r w:rsidR="00E24F83" w:rsidRPr="00C62DA7">
        <w:t>recognition</w:t>
      </w:r>
      <w:r w:rsidR="00E24F83">
        <w:t xml:space="preserve"> and </w:t>
      </w:r>
      <w:r w:rsidR="00E24F83" w:rsidRPr="00302E4C">
        <w:t xml:space="preserve">AASB 116 </w:t>
      </w:r>
      <w:r w:rsidR="00E24F83" w:rsidRPr="00302E4C">
        <w:rPr>
          <w:i/>
        </w:rPr>
        <w:t>Property, Plant and Equipment</w:t>
      </w:r>
      <w:r w:rsidR="00E24F83" w:rsidRPr="00302E4C">
        <w:t xml:space="preserve"> or AASB 138 </w:t>
      </w:r>
      <w:r w:rsidR="00E24F83" w:rsidRPr="00302E4C">
        <w:rPr>
          <w:i/>
        </w:rPr>
        <w:t>Intangible Assets</w:t>
      </w:r>
      <w:r w:rsidR="00E24F83" w:rsidRPr="00302E4C">
        <w:t xml:space="preserve"> </w:t>
      </w:r>
      <w:r w:rsidR="00302E4C">
        <w:t>subsequently.</w:t>
      </w:r>
    </w:p>
    <w:p w:rsidR="00302E4C" w:rsidRDefault="00302E4C" w:rsidP="00C62DA7">
      <w:pPr>
        <w:pStyle w:val="NewsletterNormal"/>
      </w:pPr>
      <w:r>
        <w:t xml:space="preserve">A corresponding liability would be initially recognised at the fair value of the service concession asset. The subsequent treatment is dependent on </w:t>
      </w:r>
      <w:r w:rsidR="00DB038C">
        <w:t xml:space="preserve">how </w:t>
      </w:r>
      <w:r>
        <w:t xml:space="preserve">the </w:t>
      </w:r>
      <w:r w:rsidRPr="00C62DA7">
        <w:t>grantor</w:t>
      </w:r>
      <w:r>
        <w:t xml:space="preserve"> compensates </w:t>
      </w:r>
      <w:r w:rsidR="007E061E">
        <w:t>the operator in exchange of the service concession asset:</w:t>
      </w:r>
    </w:p>
    <w:p w:rsidR="007E061E" w:rsidRPr="007E061E" w:rsidRDefault="00923B69" w:rsidP="00C62DA7">
      <w:pPr>
        <w:pStyle w:val="NewsletterBullet1"/>
      </w:pPr>
      <w:r>
        <w:t>wh</w:t>
      </w:r>
      <w:r w:rsidR="007E061E" w:rsidRPr="007E061E">
        <w:t>ere the grantor has a contractual obligation to deliver cash or another financial asset to the operator, the grantor would account for the liab</w:t>
      </w:r>
      <w:r w:rsidR="00DB038C">
        <w:t xml:space="preserve">ility as a financial liability. The </w:t>
      </w:r>
      <w:r w:rsidR="007E061E" w:rsidRPr="007E061E">
        <w:t xml:space="preserve">payments to the operator under the contract </w:t>
      </w:r>
      <w:r w:rsidR="00DB038C">
        <w:t>would be</w:t>
      </w:r>
      <w:r w:rsidR="007E061E" w:rsidRPr="007E061E">
        <w:t xml:space="preserve"> account</w:t>
      </w:r>
      <w:r w:rsidR="00DB038C">
        <w:t>ed</w:t>
      </w:r>
      <w:r w:rsidR="007E061E" w:rsidRPr="007E061E">
        <w:t xml:space="preserve"> for according to their substance as a reduction in the liability, a finance charge and charges for ser</w:t>
      </w:r>
      <w:r>
        <w:t>vices provided by the operator; and</w:t>
      </w:r>
    </w:p>
    <w:p w:rsidR="00C035B4" w:rsidRDefault="003264DE" w:rsidP="00C62DA7">
      <w:pPr>
        <w:pStyle w:val="NewsletterBullet1"/>
      </w:pPr>
      <w:r>
        <w:t xml:space="preserve">where the grantor </w:t>
      </w:r>
      <w:r w:rsidRPr="00923B69">
        <w:t>grants the operator the right to earn revenue from third</w:t>
      </w:r>
      <w:r w:rsidR="00167818">
        <w:noBreakHyphen/>
      </w:r>
      <w:r w:rsidRPr="00923B69">
        <w:t>party users or another revenue</w:t>
      </w:r>
      <w:r w:rsidR="00167818">
        <w:noBreakHyphen/>
      </w:r>
      <w:r w:rsidRPr="00923B69">
        <w:t>gen</w:t>
      </w:r>
      <w:r>
        <w:t>erating asset, the grantor would</w:t>
      </w:r>
      <w:r w:rsidRPr="00923B69">
        <w:t xml:space="preserve"> account for the liability as the unearned portion of the revenue arising from the exchange of assets betwe</w:t>
      </w:r>
      <w:r>
        <w:t>en the grantor and the operator. Revenue would be recognised over the service concession arrangement period based on the economic substance and the liability reduced accordingly.</w:t>
      </w:r>
    </w:p>
    <w:p w:rsidR="00544C2C" w:rsidRDefault="00544C2C" w:rsidP="00C62DA7">
      <w:pPr>
        <w:pStyle w:val="NewsletterNormal"/>
      </w:pPr>
      <w:r>
        <w:t>The main implications of the E</w:t>
      </w:r>
      <w:r w:rsidR="00DB038C">
        <w:t>D include</w:t>
      </w:r>
      <w:r>
        <w:t>:</w:t>
      </w:r>
    </w:p>
    <w:p w:rsidR="00544C2C" w:rsidRDefault="00544C2C" w:rsidP="00C62DA7">
      <w:pPr>
        <w:pStyle w:val="NewsletterBullet1"/>
      </w:pPr>
      <w:r w:rsidRPr="00544C2C">
        <w:t>earlier recognition of assets and liabilities of a service co</w:t>
      </w:r>
      <w:r w:rsidR="003272D6">
        <w:t>ncession arrangement. A</w:t>
      </w:r>
      <w:r w:rsidRPr="00544C2C">
        <w:t>ssets and liabilities would be recognised during the period in which the assets are constructed or d</w:t>
      </w:r>
      <w:r w:rsidR="003272D6">
        <w:t>eveloped</w:t>
      </w:r>
      <w:r w:rsidR="00290F86">
        <w:t xml:space="preserve"> if the proposed</w:t>
      </w:r>
      <w:r w:rsidR="004009F8">
        <w:t xml:space="preserve"> control criterion are met</w:t>
      </w:r>
      <w:r w:rsidR="00290F86">
        <w:t>. This contrasts to the</w:t>
      </w:r>
      <w:r w:rsidRPr="00544C2C">
        <w:t xml:space="preserve"> current practice of recognising assets and liabilities of a service concession arrangement only at the</w:t>
      </w:r>
      <w:r w:rsidR="00DB038C">
        <w:t xml:space="preserve"> end of the construction period</w:t>
      </w:r>
      <w:r w:rsidR="00CD4DB0">
        <w:t xml:space="preserve"> when</w:t>
      </w:r>
      <w:r w:rsidR="00003AB2">
        <w:t xml:space="preserve"> the risks and rewards</w:t>
      </w:r>
      <w:r w:rsidR="009D77D1">
        <w:t xml:space="preserve"> of ownership</w:t>
      </w:r>
      <w:r w:rsidR="00003AB2">
        <w:t xml:space="preserve"> are transferred to the grantor</w:t>
      </w:r>
      <w:r w:rsidR="00DB038C">
        <w:t>; and</w:t>
      </w:r>
    </w:p>
    <w:p w:rsidR="00F273F8" w:rsidRDefault="00F273F8">
      <w:pPr>
        <w:spacing w:before="0" w:after="200" w:line="276" w:lineRule="auto"/>
      </w:pPr>
      <w:r>
        <w:br w:type="page"/>
      </w:r>
    </w:p>
    <w:p w:rsidR="00DB038C" w:rsidRPr="00544C2C" w:rsidRDefault="00F273F8" w:rsidP="00C62DA7">
      <w:pPr>
        <w:pStyle w:val="NewsletterBullet1"/>
      </w:pPr>
      <w:r>
        <w:lastRenderedPageBreak/>
        <w:br w:type="column"/>
      </w:r>
      <w:r w:rsidR="00DB038C" w:rsidRPr="00544C2C">
        <w:lastRenderedPageBreak/>
        <w:t>an increase in the recognition of assets and liabilities associated with a service concession arrangement</w:t>
      </w:r>
      <w:r w:rsidR="009D77D1">
        <w:t xml:space="preserve"> which were previously not recognised</w:t>
      </w:r>
      <w:r w:rsidR="00DB038C">
        <w:t>. Arrangements involving</w:t>
      </w:r>
      <w:r w:rsidR="00DB038C" w:rsidRPr="00544C2C">
        <w:t xml:space="preserve"> the grantor granting the private sector operator a right to earn revenue from a third</w:t>
      </w:r>
      <w:r w:rsidR="00167818">
        <w:noBreakHyphen/>
      </w:r>
      <w:r w:rsidR="00DB038C" w:rsidRPr="00544C2C">
        <w:t xml:space="preserve">party user of the service concession asset </w:t>
      </w:r>
      <w:r w:rsidR="00DB038C">
        <w:t>is not</w:t>
      </w:r>
      <w:r w:rsidR="00DB038C" w:rsidRPr="00544C2C">
        <w:t xml:space="preserve"> curren</w:t>
      </w:r>
      <w:r w:rsidR="00DB038C">
        <w:t xml:space="preserve">tly recognised </w:t>
      </w:r>
      <w:r w:rsidR="002B7A50">
        <w:t>on the balance sheet</w:t>
      </w:r>
      <w:r w:rsidR="00DB038C">
        <w:t xml:space="preserve">. They would </w:t>
      </w:r>
      <w:r w:rsidR="009D77D1">
        <w:t xml:space="preserve">now have to </w:t>
      </w:r>
      <w:r w:rsidR="00DB038C">
        <w:t>be recognised as service concession assets and liabilities to the extent</w:t>
      </w:r>
      <w:r w:rsidR="009D77D1">
        <w:t xml:space="preserve"> that</w:t>
      </w:r>
      <w:r w:rsidR="00DB038C">
        <w:t xml:space="preserve"> the ED</w:t>
      </w:r>
      <w:r w:rsidR="00987382">
        <w:t>’</w:t>
      </w:r>
      <w:r w:rsidR="00DB038C">
        <w:t>s control criterion are met.</w:t>
      </w:r>
    </w:p>
    <w:p w:rsidR="00184F8B" w:rsidRDefault="00544C2C" w:rsidP="00A805A4">
      <w:r>
        <w:t>The proposed application date for the draft standard is 1 January 2017, with early adoption permitted. The ED is open for comments until 27 July 2015.</w:t>
      </w:r>
      <w:r w:rsidR="003454BA">
        <w:t xml:space="preserve"> </w:t>
      </w:r>
    </w:p>
    <w:p w:rsidR="00FE7DCD" w:rsidRPr="000A5AC8" w:rsidRDefault="00FF775A" w:rsidP="00FE7DCD">
      <w:pPr>
        <w:pStyle w:val="NewsletterHeading3"/>
      </w:pPr>
      <w:r>
        <w:t>Income from transactions of n</w:t>
      </w:r>
      <w:r w:rsidR="002750AC">
        <w:t>ot</w:t>
      </w:r>
      <w:r w:rsidR="00167818">
        <w:noBreakHyphen/>
      </w:r>
      <w:r w:rsidR="002750AC">
        <w:t>for</w:t>
      </w:r>
      <w:r w:rsidR="00167818">
        <w:noBreakHyphen/>
      </w:r>
      <w:r w:rsidR="00290F86">
        <w:t>p</w:t>
      </w:r>
      <w:r w:rsidR="002750AC">
        <w:t>rofit</w:t>
      </w:r>
      <w:r w:rsidR="00FE7DCD" w:rsidRPr="000A5AC8">
        <w:t xml:space="preserve"> entities</w:t>
      </w:r>
    </w:p>
    <w:p w:rsidR="007D0C99" w:rsidRDefault="003A4B02" w:rsidP="00FE7DCD">
      <w:pPr>
        <w:pStyle w:val="NewsletterNormal"/>
      </w:pPr>
      <w:r>
        <w:t>AASB</w:t>
      </w:r>
      <w:r w:rsidR="007D0C99">
        <w:t xml:space="preserve"> recently issued ED 260 </w:t>
      </w:r>
      <w:r w:rsidR="007D0C99" w:rsidRPr="007D0C99">
        <w:rPr>
          <w:i/>
        </w:rPr>
        <w:t>Income of Not</w:t>
      </w:r>
      <w:r w:rsidR="00167818">
        <w:rPr>
          <w:i/>
        </w:rPr>
        <w:noBreakHyphen/>
      </w:r>
      <w:r w:rsidR="007D0C99" w:rsidRPr="007D0C99">
        <w:rPr>
          <w:i/>
        </w:rPr>
        <w:t>for</w:t>
      </w:r>
      <w:r w:rsidR="00167818">
        <w:rPr>
          <w:i/>
        </w:rPr>
        <w:noBreakHyphen/>
      </w:r>
      <w:r w:rsidR="007D0C99" w:rsidRPr="007D0C99">
        <w:rPr>
          <w:i/>
        </w:rPr>
        <w:t>Profit Entities</w:t>
      </w:r>
      <w:r w:rsidR="007D0C99">
        <w:t>. The ED consists of two parts:</w:t>
      </w:r>
    </w:p>
    <w:p w:rsidR="000562F7" w:rsidRPr="00C62DA7" w:rsidRDefault="007D0C99" w:rsidP="000F3DAE">
      <w:pPr>
        <w:pStyle w:val="NewsletterHeading4"/>
      </w:pPr>
      <w:r w:rsidRPr="00C62DA7">
        <w:t>Part A: AASB 2015</w:t>
      </w:r>
      <w:r w:rsidR="00167818">
        <w:noBreakHyphen/>
      </w:r>
      <w:r w:rsidRPr="00C62DA7">
        <w:t>X Revenue from Contracts with Customers – Australian Implementation Guidance fo</w:t>
      </w:r>
      <w:r w:rsidR="00B26C9E" w:rsidRPr="00C62DA7">
        <w:t>r Not</w:t>
      </w:r>
      <w:r w:rsidR="00167818">
        <w:noBreakHyphen/>
      </w:r>
      <w:r w:rsidR="00B26C9E" w:rsidRPr="00C62DA7">
        <w:t>for</w:t>
      </w:r>
      <w:r w:rsidR="00167818">
        <w:noBreakHyphen/>
      </w:r>
      <w:r w:rsidR="00B26C9E" w:rsidRPr="00C62DA7">
        <w:t>Profit Entities</w:t>
      </w:r>
    </w:p>
    <w:p w:rsidR="007D0C99" w:rsidRDefault="000562F7" w:rsidP="000562F7">
      <w:pPr>
        <w:pStyle w:val="NewsletterNormal"/>
      </w:pPr>
      <w:r>
        <w:t>Part A of the ED</w:t>
      </w:r>
      <w:r w:rsidR="00B26C9E">
        <w:t xml:space="preserve"> provides authoritative implementation guidance to assist NFP entities apply the requirements of AASB 15</w:t>
      </w:r>
      <w:r>
        <w:t>.</w:t>
      </w:r>
    </w:p>
    <w:p w:rsidR="008844BB" w:rsidRDefault="008844BB" w:rsidP="00FE7DCD">
      <w:pPr>
        <w:pStyle w:val="NewsletterNormal"/>
      </w:pPr>
      <w:r>
        <w:t xml:space="preserve">According to the ED, a NFP entity would be required to first consider whether a transaction is a contract that has performance obligations. </w:t>
      </w:r>
      <w:r w:rsidR="003A4B02">
        <w:t>If it does, then AASB 15 would apply and r</w:t>
      </w:r>
      <w:r>
        <w:t xml:space="preserve">evenue would </w:t>
      </w:r>
      <w:r w:rsidR="0001142B">
        <w:t xml:space="preserve">only </w:t>
      </w:r>
      <w:r>
        <w:t>be recognised when the performance obligation is satisfied.</w:t>
      </w:r>
    </w:p>
    <w:p w:rsidR="003264DE" w:rsidRDefault="003264DE" w:rsidP="00FE7DCD">
      <w:pPr>
        <w:pStyle w:val="NewsletterNormal"/>
      </w:pPr>
      <w:r>
        <w:t xml:space="preserve">It should be noted that if a NFP entity promises goods or services that </w:t>
      </w:r>
      <w:r w:rsidR="00233FC3">
        <w:t xml:space="preserve">are </w:t>
      </w:r>
      <w:r>
        <w:t>not part of an enforceable arrangement, or makes promises that are not stipulated in sufficient detail to be able to determine when they are satisfied, the transaction would not be in the scope of AASB 15</w:t>
      </w:r>
      <w:r w:rsidR="004A2DF4">
        <w:t xml:space="preserve"> and then Part B of the ED would apply</w:t>
      </w:r>
      <w:r w:rsidRPr="00302F3A">
        <w:rPr>
          <w:i/>
        </w:rPr>
        <w:t>.</w:t>
      </w:r>
      <w:r w:rsidR="007B5EA8">
        <w:rPr>
          <w:i/>
        </w:rPr>
        <w:t xml:space="preserve"> </w:t>
      </w:r>
      <w:r>
        <w:t>For example, where a charity has discretion over how donated money is used, or where a contract only specifies the period over which the grant money is to be expended but not the particular service to be delivered, there is no performance obligation, therefore income</w:t>
      </w:r>
      <w:r w:rsidR="007B5EA8">
        <w:t xml:space="preserve"> would be recognised as soon as it is received</w:t>
      </w:r>
      <w:r>
        <w:t>.</w:t>
      </w:r>
    </w:p>
    <w:p w:rsidR="000562F7" w:rsidRDefault="000562F7" w:rsidP="007F438E">
      <w:pPr>
        <w:pStyle w:val="Default"/>
        <w:rPr>
          <w:sz w:val="22"/>
        </w:rPr>
      </w:pPr>
      <w:r>
        <w:rPr>
          <w:sz w:val="22"/>
        </w:rPr>
        <w:t xml:space="preserve">The ED also proposes to amend AASB 117 </w:t>
      </w:r>
      <w:r w:rsidRPr="00C035B4">
        <w:rPr>
          <w:i/>
          <w:sz w:val="22"/>
        </w:rPr>
        <w:t>Leases</w:t>
      </w:r>
      <w:r>
        <w:rPr>
          <w:sz w:val="22"/>
        </w:rPr>
        <w:t xml:space="preserve"> such that NFP entities would be required to measure the lease</w:t>
      </w:r>
      <w:r w:rsidR="0001142B">
        <w:rPr>
          <w:sz w:val="22"/>
        </w:rPr>
        <w:t>d</w:t>
      </w:r>
      <w:r>
        <w:rPr>
          <w:sz w:val="22"/>
        </w:rPr>
        <w:t xml:space="preserve"> asset at the fair value of the leased property at </w:t>
      </w:r>
      <w:r w:rsidR="006B45F7">
        <w:rPr>
          <w:sz w:val="22"/>
        </w:rPr>
        <w:t>the inception of the lease</w:t>
      </w:r>
      <w:r w:rsidR="007F438E">
        <w:rPr>
          <w:sz w:val="22"/>
        </w:rPr>
        <w:t xml:space="preserve">, </w:t>
      </w:r>
      <w:r w:rsidR="007F438E" w:rsidRPr="007F438E">
        <w:rPr>
          <w:sz w:val="22"/>
        </w:rPr>
        <w:t>when there are indications that the c</w:t>
      </w:r>
      <w:r w:rsidR="007F438E">
        <w:rPr>
          <w:sz w:val="22"/>
        </w:rPr>
        <w:t>onsideration paid or payable is</w:t>
      </w:r>
      <w:r w:rsidR="007F438E" w:rsidRPr="007F438E">
        <w:rPr>
          <w:sz w:val="22"/>
        </w:rPr>
        <w:t xml:space="preserve"> int</w:t>
      </w:r>
      <w:r w:rsidR="00FC7588">
        <w:rPr>
          <w:sz w:val="22"/>
        </w:rPr>
        <w:t>entionally less than fair value</w:t>
      </w:r>
      <w:r w:rsidR="006B45F7">
        <w:rPr>
          <w:sz w:val="22"/>
        </w:rPr>
        <w:t>. T</w:t>
      </w:r>
      <w:r>
        <w:rPr>
          <w:sz w:val="22"/>
        </w:rPr>
        <w:t xml:space="preserve">he difference </w:t>
      </w:r>
      <w:r w:rsidR="00003AB2">
        <w:rPr>
          <w:sz w:val="22"/>
        </w:rPr>
        <w:t>between the asset</w:t>
      </w:r>
      <w:r w:rsidR="00987382">
        <w:rPr>
          <w:sz w:val="22"/>
        </w:rPr>
        <w:t>’</w:t>
      </w:r>
      <w:r w:rsidR="00003AB2">
        <w:rPr>
          <w:sz w:val="22"/>
        </w:rPr>
        <w:t>s fair value and</w:t>
      </w:r>
      <w:r>
        <w:rPr>
          <w:sz w:val="22"/>
        </w:rPr>
        <w:t xml:space="preserve"> the present value of the minimum lease payments would be recognised as donation income. </w:t>
      </w:r>
    </w:p>
    <w:p w:rsidR="000562F7" w:rsidRPr="000F3DAE" w:rsidRDefault="000562F7" w:rsidP="000F3DAE">
      <w:pPr>
        <w:pStyle w:val="NewsletterHeading4"/>
      </w:pPr>
      <w:r w:rsidRPr="000F3DAE">
        <w:t>Part B: Draft AASB 10XX Income of Not</w:t>
      </w:r>
      <w:r w:rsidR="00167818" w:rsidRPr="000F3DAE">
        <w:noBreakHyphen/>
      </w:r>
      <w:r w:rsidRPr="000F3DAE">
        <w:t>for</w:t>
      </w:r>
      <w:r w:rsidR="00167818" w:rsidRPr="000F3DAE">
        <w:noBreakHyphen/>
      </w:r>
      <w:r w:rsidRPr="000F3DAE">
        <w:t xml:space="preserve">Profit Entities </w:t>
      </w:r>
    </w:p>
    <w:p w:rsidR="003A27FA" w:rsidRDefault="000562F7" w:rsidP="003A27FA">
      <w:pPr>
        <w:pStyle w:val="NewsletterNormal"/>
      </w:pPr>
      <w:r w:rsidRPr="004A2DF4">
        <w:t xml:space="preserve">Part B of the ED </w:t>
      </w:r>
      <w:r w:rsidR="00A30AA7" w:rsidRPr="004A2DF4">
        <w:t>is</w:t>
      </w:r>
      <w:r w:rsidR="006B45F7" w:rsidRPr="004A2DF4">
        <w:t xml:space="preserve"> a re</w:t>
      </w:r>
      <w:r w:rsidR="00302F3A" w:rsidRPr="004A2DF4">
        <w:t xml:space="preserve">placement standard of AASB </w:t>
      </w:r>
      <w:r w:rsidR="00302F3A" w:rsidRPr="00760E23">
        <w:t>1004</w:t>
      </w:r>
      <w:r w:rsidR="00760E23" w:rsidRPr="00760E23">
        <w:t xml:space="preserve"> </w:t>
      </w:r>
      <w:r w:rsidR="00760E23" w:rsidRPr="00760E23">
        <w:rPr>
          <w:i/>
        </w:rPr>
        <w:t>Contributions</w:t>
      </w:r>
      <w:r w:rsidR="006B45F7" w:rsidRPr="004A2DF4">
        <w:t xml:space="preserve">. It </w:t>
      </w:r>
      <w:r w:rsidRPr="004A2DF4">
        <w:t xml:space="preserve">addresses the accounting by NFP entities </w:t>
      </w:r>
      <w:r w:rsidR="003C70A1" w:rsidRPr="004A2DF4">
        <w:t xml:space="preserve">for </w:t>
      </w:r>
      <w:r w:rsidR="00003AB2" w:rsidRPr="004A2DF4">
        <w:t xml:space="preserve">the </w:t>
      </w:r>
      <w:r w:rsidR="003C70A1" w:rsidRPr="004A2DF4">
        <w:t>transfer</w:t>
      </w:r>
      <w:r w:rsidRPr="004A2DF4">
        <w:t xml:space="preserve"> of assets that do not arise from cont</w:t>
      </w:r>
      <w:r w:rsidR="003A4B02" w:rsidRPr="004A2DF4">
        <w:t>racts that have</w:t>
      </w:r>
      <w:r w:rsidR="003A4B02">
        <w:t xml:space="preserve"> performance obligations</w:t>
      </w:r>
      <w:r w:rsidRPr="004A2DF4">
        <w:t xml:space="preserve">. </w:t>
      </w:r>
      <w:r w:rsidR="003C70A1" w:rsidRPr="004A2DF4">
        <w:t xml:space="preserve">Such transfers include, but </w:t>
      </w:r>
      <w:r w:rsidR="00003AB2" w:rsidRPr="004A2DF4">
        <w:t xml:space="preserve">is </w:t>
      </w:r>
      <w:r w:rsidR="003C70A1" w:rsidRPr="004A2DF4">
        <w:t>not limited to,</w:t>
      </w:r>
      <w:r w:rsidRPr="004A2DF4">
        <w:t xml:space="preserve"> voluntary transfers such as donations, grants, appropriations, and </w:t>
      </w:r>
      <w:r w:rsidRPr="003A27FA">
        <w:t>compulsory</w:t>
      </w:r>
      <w:r w:rsidRPr="004A2DF4">
        <w:t xml:space="preserve"> transfers such as taxes, </w:t>
      </w:r>
      <w:r w:rsidR="006B45F7" w:rsidRPr="004A2DF4">
        <w:t xml:space="preserve">rates, and fines. </w:t>
      </w:r>
      <w:r w:rsidR="003C70A1" w:rsidRPr="004A2DF4">
        <w:t>For these items, the draft AASB 10XX carries forward the current accou</w:t>
      </w:r>
      <w:r w:rsidR="004A2DF4" w:rsidRPr="004A2DF4">
        <w:t>nting treatment under AASB 1004</w:t>
      </w:r>
      <w:r w:rsidR="00AC5C63">
        <w:t xml:space="preserve">, which requires recognition of an asset when the entity obtains </w:t>
      </w:r>
      <w:r w:rsidR="005C334E">
        <w:t>control of the resource.</w:t>
      </w:r>
      <w:r w:rsidR="004A2DF4" w:rsidRPr="004A2DF4">
        <w:t xml:space="preserve"> </w:t>
      </w:r>
    </w:p>
    <w:p w:rsidR="00F273F8" w:rsidRDefault="00F273F8">
      <w:pPr>
        <w:spacing w:before="0" w:after="200" w:line="276" w:lineRule="auto"/>
        <w:rPr>
          <w:b/>
          <w:color w:val="737373"/>
        </w:rPr>
      </w:pPr>
      <w:r>
        <w:br w:type="page"/>
      </w:r>
    </w:p>
    <w:p w:rsidR="00295DA9" w:rsidRPr="00011B1B" w:rsidRDefault="00F273F8" w:rsidP="000F3DAE">
      <w:pPr>
        <w:pStyle w:val="NewsletterHeading4"/>
      </w:pPr>
      <w:r>
        <w:lastRenderedPageBreak/>
        <w:br w:type="column"/>
      </w:r>
      <w:r w:rsidR="002B0F37">
        <w:lastRenderedPageBreak/>
        <w:t>Main i</w:t>
      </w:r>
      <w:r w:rsidR="00011B1B" w:rsidRPr="00011B1B">
        <w:t>mplications of the ED</w:t>
      </w:r>
    </w:p>
    <w:p w:rsidR="00011B1B" w:rsidRDefault="008A3280" w:rsidP="003A27FA">
      <w:pPr>
        <w:pStyle w:val="NewsletterNormal"/>
      </w:pPr>
      <w:r>
        <w:t>The ED remove</w:t>
      </w:r>
      <w:r w:rsidR="00882230">
        <w:t>s</w:t>
      </w:r>
      <w:r>
        <w:t xml:space="preserve"> the reciprocal/no</w:t>
      </w:r>
      <w:r w:rsidR="003A4B02">
        <w:t>n</w:t>
      </w:r>
      <w:r w:rsidR="00167818">
        <w:noBreakHyphen/>
      </w:r>
      <w:r>
        <w:t>reciprocal distinc</w:t>
      </w:r>
      <w:r w:rsidR="006B45F7">
        <w:t>tion under AASB 1004. Instead, NFP entities would need to consider their</w:t>
      </w:r>
      <w:r w:rsidR="00295DA9">
        <w:t xml:space="preserve"> funding arrangements and assess whether they fall within the scope of AASB 15 or draft AASB 10XX, or both</w:t>
      </w:r>
      <w:r>
        <w:t>,</w:t>
      </w:r>
      <w:r w:rsidR="00290F86">
        <w:t xml:space="preserve"> by assessing the existence of</w:t>
      </w:r>
      <w:r>
        <w:t xml:space="preserve"> performance obligation</w:t>
      </w:r>
      <w:r w:rsidR="00290F86">
        <w:t>s</w:t>
      </w:r>
      <w:r w:rsidR="00295DA9">
        <w:t xml:space="preserve">. This assessment will involve analysing arrangements at a level of detail previously not required. </w:t>
      </w:r>
    </w:p>
    <w:p w:rsidR="006B45F7" w:rsidRDefault="006B45F7" w:rsidP="003A27FA">
      <w:pPr>
        <w:pStyle w:val="NewsletterNormal"/>
      </w:pPr>
      <w:r>
        <w:t>The main implications on the financial statements would include:</w:t>
      </w:r>
    </w:p>
    <w:p w:rsidR="00011B1B" w:rsidRDefault="006B45F7" w:rsidP="003A27FA">
      <w:pPr>
        <w:pStyle w:val="NewsletterBullet1"/>
      </w:pPr>
      <w:r>
        <w:t>deferral in i</w:t>
      </w:r>
      <w:r w:rsidR="00011B1B" w:rsidRPr="006B45F7">
        <w:t>ncome recognition for</w:t>
      </w:r>
      <w:r w:rsidR="00882230">
        <w:t xml:space="preserve"> non</w:t>
      </w:r>
      <w:r w:rsidR="00167818">
        <w:noBreakHyphen/>
      </w:r>
      <w:r w:rsidR="00882230">
        <w:t>reciprocal</w:t>
      </w:r>
      <w:r w:rsidR="00011B1B" w:rsidRPr="006B45F7">
        <w:t xml:space="preserve"> contracts </w:t>
      </w:r>
      <w:r w:rsidR="00CC51CC" w:rsidRPr="006B45F7">
        <w:t>that have</w:t>
      </w:r>
      <w:r w:rsidR="00011B1B" w:rsidRPr="006B45F7">
        <w:t xml:space="preserve"> performance obligations</w:t>
      </w:r>
      <w:r>
        <w:t>,</w:t>
      </w:r>
      <w:r w:rsidR="00011B1B" w:rsidRPr="006B45F7">
        <w:t xml:space="preserve"> compared with the cu</w:t>
      </w:r>
      <w:r>
        <w:t xml:space="preserve">rrent practice under </w:t>
      </w:r>
      <w:r w:rsidR="003A1B15">
        <w:br/>
      </w:r>
      <w:r>
        <w:t>AASB 1004</w:t>
      </w:r>
      <w:r w:rsidR="005375C6">
        <w:t xml:space="preserve"> of recognising income from a non</w:t>
      </w:r>
      <w:r w:rsidR="00167818">
        <w:noBreakHyphen/>
      </w:r>
      <w:r w:rsidR="005375C6">
        <w:t>reciprocal transfer of assets once the entity obtains control of</w:t>
      </w:r>
      <w:r w:rsidR="00FF775A">
        <w:t>,</w:t>
      </w:r>
      <w:r w:rsidR="005375C6">
        <w:t xml:space="preserve"> or the right to receive</w:t>
      </w:r>
      <w:r w:rsidR="00FF775A">
        <w:t>,</w:t>
      </w:r>
      <w:r w:rsidR="005375C6">
        <w:t xml:space="preserve"> the asset</w:t>
      </w:r>
      <w:r>
        <w:t>;</w:t>
      </w:r>
      <w:r w:rsidR="00D9519C">
        <w:t xml:space="preserve"> and</w:t>
      </w:r>
    </w:p>
    <w:p w:rsidR="003264DE" w:rsidRPr="006B45F7" w:rsidRDefault="003264DE" w:rsidP="003A27FA">
      <w:pPr>
        <w:pStyle w:val="NewsletterBullet1"/>
      </w:pPr>
      <w:r>
        <w:t xml:space="preserve">the recognition of the </w:t>
      </w:r>
      <w:r w:rsidRPr="006B45F7">
        <w:t xml:space="preserve">donation </w:t>
      </w:r>
      <w:r>
        <w:t xml:space="preserve">component in a </w:t>
      </w:r>
      <w:r w:rsidR="008F5666">
        <w:t xml:space="preserve">lease </w:t>
      </w:r>
      <w:r>
        <w:t>contract</w:t>
      </w:r>
      <w:r w:rsidRPr="006B45F7">
        <w:t xml:space="preserve"> as income immediately </w:t>
      </w:r>
      <w:r>
        <w:t xml:space="preserve">if identifiable </w:t>
      </w:r>
      <w:r w:rsidRPr="006B45F7">
        <w:t xml:space="preserve">and the </w:t>
      </w:r>
      <w:r>
        <w:t xml:space="preserve">initial measurement of the </w:t>
      </w:r>
      <w:r w:rsidR="00EF2D2D">
        <w:t>leased asset</w:t>
      </w:r>
      <w:r>
        <w:t xml:space="preserve"> </w:t>
      </w:r>
      <w:r w:rsidR="00EF2D2D">
        <w:t xml:space="preserve">under a finance lease contract </w:t>
      </w:r>
      <w:r>
        <w:t xml:space="preserve">at </w:t>
      </w:r>
      <w:r w:rsidRPr="006B45F7">
        <w:t xml:space="preserve">its fair value. This </w:t>
      </w:r>
      <w:r>
        <w:t>may</w:t>
      </w:r>
      <w:r w:rsidRPr="006B45F7">
        <w:t xml:space="preserve"> also impact the entity</w:t>
      </w:r>
      <w:r w:rsidR="00987382">
        <w:t>’</w:t>
      </w:r>
      <w:r w:rsidRPr="006B45F7">
        <w:t xml:space="preserve">s results on an ongoing basis due to </w:t>
      </w:r>
      <w:r w:rsidR="005C334E">
        <w:t xml:space="preserve">the </w:t>
      </w:r>
      <w:r w:rsidRPr="006B45F7">
        <w:t>higher depreciation or amortisation expenses</w:t>
      </w:r>
      <w:r>
        <w:t xml:space="preserve"> of these assets.</w:t>
      </w:r>
    </w:p>
    <w:p w:rsidR="00A25CC1" w:rsidRDefault="003264DE" w:rsidP="003A27FA">
      <w:pPr>
        <w:pStyle w:val="NewsletterNormal"/>
      </w:pPr>
      <w:r w:rsidRPr="00D9519C">
        <w:t xml:space="preserve">The </w:t>
      </w:r>
      <w:r w:rsidRPr="003A27FA">
        <w:t>proposed</w:t>
      </w:r>
      <w:r w:rsidRPr="00D9519C">
        <w:t xml:space="preserve"> application date for the draft standard is 1 January 2017, with early adoption permitted. The ED is open for co</w:t>
      </w:r>
      <w:r w:rsidR="003A27FA">
        <w:t>mments until 14 August 2015. ED </w:t>
      </w:r>
      <w:r w:rsidRPr="00D9519C">
        <w:t>260 is based on the principles of AASB 15. Accordingly, a deferral of the applicati</w:t>
      </w:r>
      <w:r w:rsidR="00760E23">
        <w:t>on date for AASB 15 (as referred earlier in this newsletter) would also potentially</w:t>
      </w:r>
      <w:r w:rsidRPr="00D9519C">
        <w:t xml:space="preserve"> </w:t>
      </w:r>
      <w:r>
        <w:t xml:space="preserve">defer </w:t>
      </w:r>
      <w:r w:rsidRPr="00D9519C">
        <w:t>the proposed application date of ED 260.</w:t>
      </w:r>
    </w:p>
    <w:p w:rsidR="00D9519C" w:rsidRPr="00D9519C" w:rsidRDefault="00D9519C" w:rsidP="003A27FA">
      <w:pPr>
        <w:pStyle w:val="NewsletterNormal"/>
      </w:pPr>
      <w:r w:rsidRPr="00D9519C">
        <w:t xml:space="preserve">The draft standard </w:t>
      </w:r>
      <w:r w:rsidR="005375C6">
        <w:t xml:space="preserve">is </w:t>
      </w:r>
      <w:r w:rsidR="005375C6" w:rsidRPr="003A27FA">
        <w:t>expected</w:t>
      </w:r>
      <w:r w:rsidR="005375C6">
        <w:t xml:space="preserve"> to apply</w:t>
      </w:r>
      <w:r w:rsidRPr="00D9519C">
        <w:t xml:space="preserve"> retrospectively</w:t>
      </w:r>
      <w:r w:rsidR="00882230">
        <w:t>.</w:t>
      </w:r>
      <w:r w:rsidRPr="00D9519C">
        <w:t xml:space="preserve"> VPS entities are encouraged to </w:t>
      </w:r>
      <w:r w:rsidR="007B3240">
        <w:t xml:space="preserve">review the proposals in the ED and </w:t>
      </w:r>
      <w:r w:rsidRPr="00D9519C">
        <w:t>assess the</w:t>
      </w:r>
      <w:r w:rsidR="007B3240">
        <w:t xml:space="preserve"> potential</w:t>
      </w:r>
      <w:r w:rsidRPr="00D9519C">
        <w:t xml:space="preserve"> implications </w:t>
      </w:r>
      <w:r w:rsidR="007B3240">
        <w:t>considering their own circumstances and arrangements.</w:t>
      </w:r>
    </w:p>
    <w:p w:rsidR="004B10CD" w:rsidRPr="00777785" w:rsidRDefault="004B10CD" w:rsidP="003A27FA">
      <w:pPr>
        <w:pStyle w:val="NewsletterHeading2"/>
      </w:pPr>
      <w:r>
        <w:t xml:space="preserve">Major </w:t>
      </w:r>
      <w:r w:rsidRPr="003A27FA">
        <w:t>international</w:t>
      </w:r>
      <w:r>
        <w:t xml:space="preserve"> project</w:t>
      </w:r>
    </w:p>
    <w:p w:rsidR="004B10CD" w:rsidRDefault="004B10CD" w:rsidP="003A27FA">
      <w:pPr>
        <w:pStyle w:val="NewsletterHeading3"/>
      </w:pPr>
      <w:r w:rsidRPr="003A27FA">
        <w:t>Leases</w:t>
      </w:r>
    </w:p>
    <w:p w:rsidR="004B10CD" w:rsidRDefault="004B10CD" w:rsidP="003A27FA">
      <w:pPr>
        <w:pStyle w:val="NewsletterNormal"/>
      </w:pPr>
      <w:r>
        <w:t>This is an IASB and Financial Accounting Standard Board</w:t>
      </w:r>
      <w:r w:rsidR="005A069D">
        <w:t xml:space="preserve"> (FASB)</w:t>
      </w:r>
      <w:r w:rsidRPr="00B56FD8">
        <w:t xml:space="preserve"> joint project to develop a new standard for both lessors</w:t>
      </w:r>
      <w:r>
        <w:t xml:space="preserve"> and lessees</w:t>
      </w:r>
      <w:r w:rsidRPr="00B56FD8">
        <w:t xml:space="preserve">, which would supersede the current requirements under IAS 17 </w:t>
      </w:r>
      <w:r w:rsidRPr="00DB038C">
        <w:rPr>
          <w:i/>
        </w:rPr>
        <w:t>Leases</w:t>
      </w:r>
      <w:r w:rsidRPr="00B56FD8">
        <w:t xml:space="preserve">. The AASB issued </w:t>
      </w:r>
      <w:r w:rsidR="003A27FA">
        <w:t>ED </w:t>
      </w:r>
      <w:r w:rsidRPr="00B56FD8">
        <w:t xml:space="preserve">242 </w:t>
      </w:r>
      <w:r w:rsidRPr="00DB038C">
        <w:rPr>
          <w:i/>
        </w:rPr>
        <w:t>Leases</w:t>
      </w:r>
      <w:r w:rsidRPr="00B56FD8">
        <w:t xml:space="preserve"> in 2013, which incorporated the IASB</w:t>
      </w:r>
      <w:r w:rsidR="00987382">
        <w:t>’</w:t>
      </w:r>
      <w:r w:rsidRPr="00B56FD8">
        <w:t>s corresponding ED.</w:t>
      </w:r>
    </w:p>
    <w:p w:rsidR="004B10CD" w:rsidRDefault="004B10CD" w:rsidP="003A27FA">
      <w:pPr>
        <w:pStyle w:val="NewsletterNormal"/>
      </w:pPr>
      <w:r>
        <w:t>The</w:t>
      </w:r>
      <w:r w:rsidRPr="00B56FD8">
        <w:t xml:space="preserve"> ED</w:t>
      </w:r>
      <w:r>
        <w:t xml:space="preserve"> proposes that</w:t>
      </w:r>
      <w:r w:rsidRPr="00B56FD8">
        <w:t xml:space="preserve"> most leases (with the except</w:t>
      </w:r>
      <w:r>
        <w:t>ion of</w:t>
      </w:r>
      <w:r w:rsidRPr="00B56FD8">
        <w:t xml:space="preserve"> those with </w:t>
      </w:r>
      <w:r>
        <w:t>a term</w:t>
      </w:r>
      <w:r w:rsidRPr="00B56FD8">
        <w:t xml:space="preserve"> less than 12 months) would require the lessee</w:t>
      </w:r>
      <w:r>
        <w:t xml:space="preserve"> to recognise</w:t>
      </w:r>
      <w:r w:rsidRPr="00B56FD8">
        <w:t xml:space="preserve"> a right</w:t>
      </w:r>
      <w:r w:rsidR="00167818">
        <w:noBreakHyphen/>
      </w:r>
      <w:r w:rsidRPr="00B56FD8">
        <w:t>of</w:t>
      </w:r>
      <w:r w:rsidR="00167818">
        <w:noBreakHyphen/>
      </w:r>
      <w:r w:rsidRPr="00B56FD8">
        <w:t xml:space="preserve">use asset and a lease liability at </w:t>
      </w:r>
      <w:r>
        <w:t>the commencement of the lease</w:t>
      </w:r>
      <w:r w:rsidRPr="00B56FD8">
        <w:t>. Subsequently the lessee would recognise the unwinding of the discount on the lease liability and amortisation of the right</w:t>
      </w:r>
      <w:r w:rsidR="00167818">
        <w:noBreakHyphen/>
      </w:r>
      <w:r w:rsidRPr="00B56FD8">
        <w:t>of</w:t>
      </w:r>
      <w:r w:rsidR="00167818">
        <w:noBreakHyphen/>
      </w:r>
      <w:r w:rsidRPr="00B56FD8">
        <w:t>use asset.</w:t>
      </w:r>
    </w:p>
    <w:p w:rsidR="003A27FA" w:rsidRDefault="003A27FA" w:rsidP="003A27FA">
      <w:r w:rsidRPr="00B56FD8">
        <w:t>For leases with a maximum possible term (including any options to</w:t>
      </w:r>
      <w:r>
        <w:t xml:space="preserve"> extend) </w:t>
      </w:r>
      <w:r>
        <w:br/>
        <w:t>of 12 months or less, the</w:t>
      </w:r>
      <w:r w:rsidRPr="00B56FD8">
        <w:t xml:space="preserve"> lessee would be permitted to make an accounting policy election to apply simplified requirements that would be similar to existing operating lease accounting.</w:t>
      </w:r>
    </w:p>
    <w:p w:rsidR="004B10CD" w:rsidRPr="004B10CD" w:rsidRDefault="004B10CD" w:rsidP="003A27FA">
      <w:pPr>
        <w:pStyle w:val="NewsletterNormal"/>
      </w:pPr>
      <w:r w:rsidRPr="004B10CD">
        <w:t>A key change is that most of those current operating leases will now need to be recognised on the balance sheet, with the subsequent unwinding of the liability discount and asset amortisation recognised in the operating statement.</w:t>
      </w:r>
    </w:p>
    <w:p w:rsidR="003A27FA" w:rsidRDefault="004B10CD" w:rsidP="003A27FA">
      <w:pPr>
        <w:pStyle w:val="NewsletterNormal"/>
      </w:pPr>
      <w:r w:rsidRPr="004B10CD">
        <w:t xml:space="preserve">The IASB is planning to issue the new </w:t>
      </w:r>
      <w:r w:rsidR="00290F86">
        <w:t xml:space="preserve">leasing standard </w:t>
      </w:r>
      <w:r w:rsidR="00F273F8">
        <w:t>by the end of 2015. An </w:t>
      </w:r>
      <w:r w:rsidRPr="004B10CD">
        <w:t>AASB equivalent standard is expected to follow.</w:t>
      </w:r>
    </w:p>
    <w:p w:rsidR="00F273F8" w:rsidRDefault="00F273F8">
      <w:pPr>
        <w:spacing w:before="0" w:after="200" w:line="276" w:lineRule="auto"/>
        <w:rPr>
          <w:rFonts w:ascii="Calibri" w:eastAsia="Times New Roman" w:hAnsi="Calibri" w:cs="Calibri"/>
          <w:b/>
          <w:bCs/>
          <w:color w:val="1665A1"/>
          <w:sz w:val="25"/>
          <w:szCs w:val="24"/>
        </w:rPr>
      </w:pPr>
      <w:bookmarkStart w:id="12" w:name="_Toc365556385"/>
      <w:r>
        <w:br w:type="page"/>
      </w:r>
    </w:p>
    <w:p w:rsidR="00F273F8" w:rsidRDefault="00F273F8" w:rsidP="00F273F8">
      <w:pPr>
        <w:pStyle w:val="NewsletterNote"/>
      </w:pPr>
    </w:p>
    <w:p w:rsidR="00F273F8" w:rsidRPr="004B443C" w:rsidRDefault="00F273F8" w:rsidP="0094321A">
      <w:pPr>
        <w:pStyle w:val="NewsletterNote"/>
        <w:spacing w:before="8760"/>
      </w:pPr>
      <w:r w:rsidRPr="004B443C">
        <w:t xml:space="preserve">Accounting Policy Update </w:t>
      </w:r>
      <w:r w:rsidR="0094321A">
        <w:br/>
      </w:r>
      <w:r w:rsidRPr="004B443C">
        <w:t>ISSN 2205</w:t>
      </w:r>
      <w:r w:rsidR="00167818">
        <w:noBreakHyphen/>
      </w:r>
      <w:r w:rsidRPr="004B443C">
        <w:t>4014</w:t>
      </w:r>
    </w:p>
    <w:p w:rsidR="00F273F8" w:rsidRPr="00AD0D31" w:rsidRDefault="00F273F8" w:rsidP="00F273F8">
      <w:pPr>
        <w:pStyle w:val="NewsletterNote"/>
      </w:pPr>
      <w:r>
        <w:t>© State of Victoria 2015</w:t>
      </w:r>
    </w:p>
    <w:p w:rsidR="00F273F8" w:rsidRPr="00AD0D31" w:rsidRDefault="00F273F8" w:rsidP="00F273F8">
      <w:pPr>
        <w:pStyle w:val="NewsletterNote"/>
      </w:pPr>
      <w:r w:rsidRPr="00AD0D31">
        <w:rPr>
          <w:noProof/>
          <w:lang w:eastAsia="en-AU"/>
        </w:rPr>
        <w:drawing>
          <wp:inline distT="0" distB="0" distL="0" distR="0" wp14:anchorId="598E8E45" wp14:editId="4CF4C302">
            <wp:extent cx="1117460" cy="393651"/>
            <wp:effectExtent l="0" t="0" r="6985" b="6985"/>
            <wp:docPr id="60" name="Picture 6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F273F8" w:rsidRDefault="00F273F8" w:rsidP="00F273F8">
      <w:pPr>
        <w:pStyle w:val="NewsletterNote"/>
      </w:pPr>
      <w:r>
        <w:t>You are free to re</w:t>
      </w:r>
      <w:r w:rsidR="00167818">
        <w:noBreakHyphen/>
      </w:r>
      <w:r w:rsidRPr="00600E46">
        <w:t xml:space="preserve">use this work under a </w:t>
      </w:r>
      <w:hyperlink r:id="rId11" w:history="1">
        <w:r w:rsidRPr="00600E46">
          <w:rPr>
            <w:rStyle w:val="Hyperlink"/>
            <w:rFonts w:cstheme="minorHAnsi"/>
            <w:sz w:val="20"/>
          </w:rPr>
          <w:t>Creative Commons Attribution 4.0 licence</w:t>
        </w:r>
      </w:hyperlink>
      <w:r w:rsidRPr="00600E46">
        <w:t>, provided you credit the State of Victoria (Department of Treasury and Finance) as author, indicate if changes were made and comply with the other licence terms. The licence does not apply to any branding, including Government logos.</w:t>
      </w:r>
    </w:p>
    <w:p w:rsidR="00F273F8" w:rsidRDefault="00F273F8" w:rsidP="00F273F8">
      <w:pPr>
        <w:pStyle w:val="NewsletterNote"/>
      </w:pPr>
      <w:r w:rsidRPr="00AD0D31">
        <w:t xml:space="preserve">Copyright queries may be directed to IPpolicy@dtf.vic.gov.au. </w:t>
      </w:r>
    </w:p>
    <w:p w:rsidR="00F273F8" w:rsidRDefault="00F273F8" w:rsidP="00F273F8">
      <w:pPr>
        <w:pStyle w:val="NewsletterNote"/>
      </w:pPr>
    </w:p>
    <w:p w:rsidR="009A160D" w:rsidRDefault="00F273F8" w:rsidP="003A27FA">
      <w:pPr>
        <w:pStyle w:val="NewsletterHeading1"/>
      </w:pPr>
      <w:r>
        <w:br w:type="column"/>
      </w:r>
      <w:bookmarkStart w:id="13" w:name="_Toc424822617"/>
      <w:r w:rsidR="009A160D" w:rsidRPr="00E27478">
        <w:lastRenderedPageBreak/>
        <w:t>How to contact us</w:t>
      </w:r>
      <w:bookmarkEnd w:id="12"/>
      <w:bookmarkEnd w:id="13"/>
    </w:p>
    <w:p w:rsidR="009A160D" w:rsidRPr="009A160D" w:rsidRDefault="009A160D" w:rsidP="003A27FA">
      <w:pPr>
        <w:pStyle w:val="NewsletterHeading2"/>
      </w:pPr>
      <w:proofErr w:type="spellStart"/>
      <w:r w:rsidRPr="009A160D">
        <w:t>AccPol</w:t>
      </w:r>
      <w:proofErr w:type="spellEnd"/>
      <w:r w:rsidRPr="009A160D">
        <w:t xml:space="preserve"> </w:t>
      </w:r>
      <w:r w:rsidRPr="003A27FA">
        <w:t>mail</w:t>
      </w:r>
      <w:r w:rsidRPr="009A160D">
        <w:t xml:space="preserve"> box</w:t>
      </w:r>
    </w:p>
    <w:p w:rsidR="009A160D" w:rsidRPr="009A160D" w:rsidRDefault="009A160D" w:rsidP="003A27FA">
      <w:pPr>
        <w:pStyle w:val="NewsletterNormal"/>
        <w:rPr>
          <w:rFonts w:eastAsiaTheme="minorHAnsi"/>
          <w:lang w:eastAsia="en-US"/>
        </w:rPr>
      </w:pPr>
      <w:r w:rsidRPr="009A160D">
        <w:rPr>
          <w:rFonts w:eastAsiaTheme="minorHAnsi"/>
          <w:lang w:eastAsia="en-US"/>
        </w:rPr>
        <w:t xml:space="preserve">When </w:t>
      </w:r>
      <w:r w:rsidRPr="009A160D">
        <w:t xml:space="preserve">directing accounting policy enquiries to DTF at </w:t>
      </w:r>
      <w:hyperlink r:id="rId12" w:history="1">
        <w:r w:rsidRPr="009A160D">
          <w:rPr>
            <w:rStyle w:val="Hyperlink"/>
          </w:rPr>
          <w:t>accpol@dtf.vic.gov.au</w:t>
        </w:r>
      </w:hyperlink>
      <w:r w:rsidRPr="009A160D">
        <w:t>,</w:t>
      </w:r>
      <w:r w:rsidRPr="009A160D">
        <w:rPr>
          <w:rFonts w:eastAsiaTheme="minorHAnsi"/>
          <w:lang w:eastAsia="en-US"/>
        </w:rPr>
        <w:t xml:space="preserve"> </w:t>
      </w:r>
      <w:r w:rsidRPr="009A160D">
        <w:rPr>
          <w:rFonts w:eastAsiaTheme="minorHAnsi"/>
          <w:b/>
          <w:bCs/>
          <w:lang w:eastAsia="en-US"/>
        </w:rPr>
        <w:t>Departments</w:t>
      </w:r>
      <w:r w:rsidRPr="009A160D">
        <w:rPr>
          <w:rFonts w:eastAsiaTheme="minorHAnsi"/>
          <w:lang w:eastAsia="en-US"/>
        </w:rPr>
        <w:t xml:space="preserve"> are requested to </w:t>
      </w:r>
      <w:r w:rsidRPr="003A27FA">
        <w:t>support</w:t>
      </w:r>
      <w:r w:rsidRPr="009A160D">
        <w:rPr>
          <w:rFonts w:eastAsiaTheme="minorHAnsi"/>
          <w:lang w:eastAsia="en-US"/>
        </w:rPr>
        <w:t xml:space="preserve"> their questions with the facts and with clear referencing to Accounting Standards, FRDs and </w:t>
      </w:r>
      <w:r w:rsidRPr="009A160D">
        <w:t>other</w:t>
      </w:r>
      <w:r w:rsidRPr="009A160D">
        <w:rPr>
          <w:rFonts w:eastAsiaTheme="minorHAnsi"/>
          <w:lang w:eastAsia="en-US"/>
        </w:rPr>
        <w:t xml:space="preserve"> authoritative pronouncements related to their queries. </w:t>
      </w:r>
    </w:p>
    <w:p w:rsidR="009A160D" w:rsidRPr="009A160D" w:rsidRDefault="009A160D" w:rsidP="003A27FA">
      <w:pPr>
        <w:pStyle w:val="NewsletterNormal"/>
      </w:pPr>
      <w:r w:rsidRPr="009A160D">
        <w:rPr>
          <w:rFonts w:eastAsiaTheme="minorHAnsi"/>
          <w:b/>
          <w:bCs/>
          <w:lang w:eastAsia="en-US"/>
        </w:rPr>
        <w:t>Other entities</w:t>
      </w:r>
      <w:r w:rsidRPr="009A160D">
        <w:rPr>
          <w:rFonts w:eastAsiaTheme="minorHAnsi"/>
          <w:lang w:eastAsia="en-US"/>
        </w:rPr>
        <w:t xml:space="preserve"> are requested to contact their portfolio department in the first instance to resolve any accounting policy issues.</w:t>
      </w:r>
    </w:p>
    <w:p w:rsidR="009A160D" w:rsidRPr="009A160D" w:rsidRDefault="009A160D" w:rsidP="003A27FA">
      <w:pPr>
        <w:pStyle w:val="NewsletterHeading2"/>
      </w:pPr>
      <w:r w:rsidRPr="003A27FA">
        <w:t>Useful</w:t>
      </w:r>
      <w:r w:rsidRPr="009A160D">
        <w:t xml:space="preserve"> </w:t>
      </w:r>
      <w:r w:rsidRPr="003A27FA">
        <w:t>websites</w:t>
      </w:r>
    </w:p>
    <w:p w:rsidR="009A160D" w:rsidRPr="009A160D" w:rsidRDefault="009A160D" w:rsidP="003A27FA">
      <w:pPr>
        <w:pStyle w:val="NewsletterNormal"/>
      </w:pPr>
      <w:r w:rsidRPr="009A160D">
        <w:rPr>
          <w:b/>
        </w:rPr>
        <w:t>AASB</w:t>
      </w:r>
      <w:r w:rsidRPr="009A160D">
        <w:t xml:space="preserve"> – </w:t>
      </w:r>
      <w:hyperlink r:id="rId13" w:history="1">
        <w:r w:rsidRPr="009A160D">
          <w:rPr>
            <w:rStyle w:val="Hyperlink"/>
          </w:rPr>
          <w:t>www.aasb.com.au</w:t>
        </w:r>
      </w:hyperlink>
      <w:r w:rsidRPr="009A160D">
        <w:t xml:space="preserve"> for information on AASB pronouncements, discussion papers and ED publications.</w:t>
      </w:r>
    </w:p>
    <w:p w:rsidR="009A160D" w:rsidRDefault="009A160D" w:rsidP="003A27FA">
      <w:pPr>
        <w:pStyle w:val="NewsletterNormal"/>
      </w:pPr>
      <w:r w:rsidRPr="009A160D">
        <w:rPr>
          <w:b/>
        </w:rPr>
        <w:t>International Public Sector Accounting Standards Board</w:t>
      </w:r>
      <w:r w:rsidRPr="009A160D">
        <w:t xml:space="preserve"> (IPSASB) – </w:t>
      </w:r>
      <w:hyperlink r:id="rId14" w:history="1">
        <w:r w:rsidRPr="009A160D">
          <w:rPr>
            <w:rStyle w:val="Hyperlink"/>
          </w:rPr>
          <w:t>www.ifac.org/</w:t>
        </w:r>
        <w:r w:rsidRPr="003A27FA">
          <w:rPr>
            <w:rStyle w:val="Hyperlink"/>
            <w:color w:val="auto"/>
          </w:rPr>
          <w:t>PublicSector</w:t>
        </w:r>
      </w:hyperlink>
      <w:r w:rsidRPr="009A160D">
        <w:t xml:space="preserve"> for information on IPSASB and IPSASB pronouncements</w:t>
      </w:r>
      <w:r>
        <w:t xml:space="preserve">. </w:t>
      </w:r>
    </w:p>
    <w:p w:rsidR="009A160D" w:rsidRPr="009A160D" w:rsidRDefault="009A160D" w:rsidP="003A27FA">
      <w:pPr>
        <w:pStyle w:val="NewsletterHeading2"/>
      </w:pPr>
      <w:r w:rsidRPr="009A160D">
        <w:t xml:space="preserve">DTF website </w:t>
      </w:r>
    </w:p>
    <w:p w:rsidR="009A160D" w:rsidRPr="009A160D" w:rsidRDefault="009A160D" w:rsidP="003A27FA">
      <w:pPr>
        <w:pStyle w:val="NewsletterNormal"/>
      </w:pPr>
      <w:r w:rsidRPr="009A160D">
        <w:rPr>
          <w:b/>
        </w:rPr>
        <w:t>The DTF website (for all internet users)</w:t>
      </w:r>
      <w:r w:rsidRPr="009A160D">
        <w:t xml:space="preserve"> – </w:t>
      </w:r>
      <w:hyperlink r:id="rId15" w:history="1">
        <w:r w:rsidR="00ED647B" w:rsidRPr="00ED647B">
          <w:rPr>
            <w:rStyle w:val="Hyperlink"/>
          </w:rPr>
          <w:t>www.dtf.vic.gov.au</w:t>
        </w:r>
      </w:hyperlink>
      <w:r w:rsidRPr="009A160D">
        <w:t xml:space="preserve">, covers FRDs and guidance, the Model Report, accounting policy updates, </w:t>
      </w:r>
      <w:r w:rsidR="00882230">
        <w:t>wage inflation and</w:t>
      </w:r>
      <w:r w:rsidRPr="009A160D">
        <w:t xml:space="preserve"> discount rates. From the menu on the top of the home page, users should select Government Financial Management, then Financial Reporting Policy.</w:t>
      </w:r>
    </w:p>
    <w:p w:rsidR="009A160D" w:rsidRPr="009A160D" w:rsidRDefault="009A160D" w:rsidP="003A27FA">
      <w:pPr>
        <w:pStyle w:val="NewsletterNormal"/>
      </w:pPr>
      <w:r w:rsidRPr="009A160D">
        <w:rPr>
          <w:b/>
        </w:rPr>
        <w:t>VPS users</w:t>
      </w:r>
      <w:r w:rsidRPr="009A160D">
        <w:t xml:space="preserve"> should contact their portfolio department in the first instance for the login </w:t>
      </w:r>
      <w:r w:rsidRPr="003A27FA">
        <w:t>details</w:t>
      </w:r>
      <w:r w:rsidRPr="009A160D">
        <w:t xml:space="preserve"> to access the information relating to the 2008 L</w:t>
      </w:r>
      <w:r w:rsidR="00ED647B">
        <w:t xml:space="preserve">ong </w:t>
      </w:r>
      <w:r w:rsidRPr="009A160D">
        <w:t>S</w:t>
      </w:r>
      <w:r w:rsidR="00ED647B">
        <w:t xml:space="preserve">ervice </w:t>
      </w:r>
      <w:r w:rsidRPr="009A160D">
        <w:t>L</w:t>
      </w:r>
      <w:r w:rsidR="00ED647B">
        <w:t>eave</w:t>
      </w:r>
      <w:r w:rsidRPr="009A160D">
        <w:t xml:space="preserve"> Model, the </w:t>
      </w:r>
      <w:proofErr w:type="spellStart"/>
      <w:r w:rsidRPr="009A160D">
        <w:t>Valuer</w:t>
      </w:r>
      <w:proofErr w:type="spellEnd"/>
      <w:r w:rsidR="00167818">
        <w:noBreakHyphen/>
      </w:r>
      <w:r w:rsidRPr="009A160D">
        <w:t xml:space="preserve">General </w:t>
      </w:r>
      <w:r w:rsidR="00ED647B">
        <w:t>b</w:t>
      </w:r>
      <w:r w:rsidRPr="009A160D">
        <w:t xml:space="preserve">uilding and </w:t>
      </w:r>
      <w:r w:rsidR="00ED647B">
        <w:t>l</w:t>
      </w:r>
      <w:r w:rsidRPr="009A160D">
        <w:t xml:space="preserve">and </w:t>
      </w:r>
      <w:r w:rsidR="00ED647B">
        <w:t>i</w:t>
      </w:r>
      <w:r w:rsidRPr="009A160D">
        <w:t xml:space="preserve">ndices. </w:t>
      </w:r>
    </w:p>
    <w:p w:rsidR="00C3131C" w:rsidRDefault="009A160D" w:rsidP="003A27FA">
      <w:pPr>
        <w:pStyle w:val="NewsletterNormal"/>
        <w:rPr>
          <w:rStyle w:val="Hyperlink"/>
        </w:rPr>
      </w:pPr>
      <w:r w:rsidRPr="009A160D">
        <w:t xml:space="preserve">For assistance with technical difficulties using the DTF website, e.g. broken links, please contact the DTF web team via email at </w:t>
      </w:r>
      <w:hyperlink r:id="rId16" w:history="1">
        <w:r w:rsidRPr="009A160D">
          <w:rPr>
            <w:rStyle w:val="Hyperlink"/>
          </w:rPr>
          <w:t>dtfweb@dtf.vic.gov.au</w:t>
        </w:r>
      </w:hyperlink>
      <w:r w:rsidR="00C3131C">
        <w:rPr>
          <w:rStyle w:val="Hyperlink"/>
        </w:rPr>
        <w:t>.</w:t>
      </w:r>
    </w:p>
    <w:p w:rsidR="009A160D" w:rsidRPr="009A160D" w:rsidRDefault="009A160D" w:rsidP="00C3131C">
      <w:pPr>
        <w:pStyle w:val="NewsletterHeading1"/>
      </w:pPr>
      <w:bookmarkStart w:id="14" w:name="_Toc424822618"/>
      <w:r w:rsidRPr="009A160D">
        <w:t>About the Accounting Policy Update</w:t>
      </w:r>
      <w:bookmarkEnd w:id="14"/>
    </w:p>
    <w:p w:rsidR="009A160D" w:rsidRPr="009A160D" w:rsidRDefault="009A160D" w:rsidP="003A27FA">
      <w:pPr>
        <w:pStyle w:val="NewsletterNormal"/>
      </w:pPr>
      <w:r w:rsidRPr="009A160D">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E27478" w:rsidRDefault="00E27478" w:rsidP="009A160D">
      <w:pPr>
        <w:pStyle w:val="NewsletterNormal"/>
        <w:pBdr>
          <w:bottom w:val="single" w:sz="4" w:space="1" w:color="1665A1"/>
        </w:pBdr>
      </w:pPr>
    </w:p>
    <w:p w:rsidR="00DD6C6B" w:rsidRPr="00DD6C6B" w:rsidRDefault="00DD6C6B" w:rsidP="00DD6C6B">
      <w:pPr>
        <w:pStyle w:val="NewsletterNormal"/>
        <w:spacing w:after="0"/>
      </w:pPr>
      <w:r w:rsidRPr="00DD6C6B">
        <w:rPr>
          <w:b/>
        </w:rPr>
        <w:t>Disclaimer:</w:t>
      </w:r>
      <w:r w:rsidRPr="00DD6C6B">
        <w:t xml:space="preserve"> No responsibility is taken for any action(s) taken on the basis of information contained in this </w:t>
      </w:r>
      <w:r w:rsidR="00ED647B">
        <w:t>n</w:t>
      </w:r>
      <w:r w:rsidRPr="00DD6C6B">
        <w:t>ewsletter nor for any errors or omissions in that information.</w:t>
      </w:r>
    </w:p>
    <w:p w:rsidR="00DD6C6B" w:rsidRPr="00F273F8" w:rsidRDefault="00DD6C6B" w:rsidP="00DD6C6B">
      <w:pPr>
        <w:pStyle w:val="NewsletterNormal"/>
        <w:pBdr>
          <w:bottom w:val="single" w:sz="4" w:space="1" w:color="1665A1"/>
        </w:pBdr>
        <w:spacing w:before="0"/>
        <w:rPr>
          <w:sz w:val="8"/>
          <w:szCs w:val="8"/>
        </w:rPr>
      </w:pPr>
    </w:p>
    <w:p w:rsidR="00F273F8" w:rsidRDefault="00F273F8" w:rsidP="00F273F8">
      <w:pPr>
        <w:pStyle w:val="NewsletterNormal"/>
      </w:pPr>
    </w:p>
    <w:p w:rsidR="00F273F8" w:rsidRDefault="00F273F8" w:rsidP="00F273F8">
      <w:pPr>
        <w:pStyle w:val="NewsletterNormal"/>
      </w:pPr>
    </w:p>
    <w:sectPr w:rsidR="00F273F8" w:rsidSect="003A27FA">
      <w:headerReference w:type="default" r:id="rId17"/>
      <w:footerReference w:type="default" r:id="rId18"/>
      <w:headerReference w:type="first" r:id="rId19"/>
      <w:footerReference w:type="first" r:id="rId20"/>
      <w:pgSz w:w="11906" w:h="16838" w:code="9"/>
      <w:pgMar w:top="1134" w:right="709" w:bottom="1134" w:left="709" w:header="561" w:footer="454" w:gutter="0"/>
      <w:cols w:num="2" w:space="451" w:equalWidth="0">
        <w:col w:w="3067" w:space="451"/>
        <w:col w:w="697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DA" w:rsidRDefault="00FE42DA" w:rsidP="002620A4">
      <w:pPr>
        <w:spacing w:after="0"/>
      </w:pPr>
      <w:r>
        <w:separator/>
      </w:r>
    </w:p>
  </w:endnote>
  <w:endnote w:type="continuationSeparator" w:id="0">
    <w:p w:rsidR="00FE42DA" w:rsidRDefault="00FE42DA" w:rsidP="00262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oundryFormSans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01" w:rsidRDefault="00F273F8" w:rsidP="005A317D">
    <w:pPr>
      <w:pStyle w:val="Footer"/>
    </w:pPr>
    <w:r w:rsidRPr="00BE3677">
      <mc:AlternateContent>
        <mc:Choice Requires="wps">
          <w:drawing>
            <wp:anchor distT="0" distB="0" distL="114300" distR="114300" simplePos="0" relativeHeight="251694080" behindDoc="1" locked="0" layoutInCell="1" allowOverlap="1" wp14:anchorId="65600E34" wp14:editId="310DBF74">
              <wp:simplePos x="0" y="0"/>
              <wp:positionH relativeFrom="page">
                <wp:posOffset>0</wp:posOffset>
              </wp:positionH>
              <wp:positionV relativeFrom="page">
                <wp:posOffset>9620250</wp:posOffset>
              </wp:positionV>
              <wp:extent cx="7562088" cy="1078992"/>
              <wp:effectExtent l="0" t="0" r="1270" b="6985"/>
              <wp:wrapNone/>
              <wp:docPr id="14" name="Rectangle 14"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088" cy="1078992"/>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alt="Title: Cover Coloured Footer Section - Description: Cover Coloured Footer Section" style="position:absolute;margin-left:0;margin-top:757.5pt;width:595.45pt;height:84.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" fillcolor="#00557e" stroked="f" strokeweight="2pt">
              <v:path arrowok="t"/>
              <w10:wrap anchorx="page" anchory="page"/>
            </v:rect>
          </w:pict>
        </mc:Fallback>
      </mc:AlternateContent>
    </w:r>
    <w:r w:rsidRPr="00BE3677">
      <w:t xml:space="preserve">Page </w:t>
    </w:r>
    <w:r w:rsidRPr="00BE3677">
      <w:fldChar w:fldCharType="begin"/>
    </w:r>
    <w:r w:rsidRPr="00BE3677">
      <w:instrText xml:space="preserve"> page </w:instrText>
    </w:r>
    <w:r w:rsidRPr="00BE3677">
      <w:fldChar w:fldCharType="separate"/>
    </w:r>
    <w:r w:rsidR="00CC1EE6">
      <w:t>10</w:t>
    </w:r>
    <w:r w:rsidRPr="00BE3677">
      <w:fldChar w:fldCharType="end"/>
    </w:r>
  </w:p>
  <w:p w:rsidR="00F273F8" w:rsidRDefault="00DF2401" w:rsidP="00DF2401">
    <w:pPr>
      <w:pStyle w:val="Footer"/>
      <w:tabs>
        <w:tab w:val="left" w:pos="3510"/>
      </w:tabs>
    </w:pPr>
    <w:r>
      <w:t>Accounting policy update, Newsletter – Edition No. 28, July 2015</w:t>
    </w:r>
    <w:r w:rsidR="00F273F8">
      <mc:AlternateContent>
        <mc:Choice Requires="wpg">
          <w:drawing>
            <wp:anchor distT="0" distB="0" distL="114300" distR="114300" simplePos="0" relativeHeight="251693056" behindDoc="0" locked="0" layoutInCell="1" allowOverlap="1" wp14:anchorId="77768174" wp14:editId="185147D0">
              <wp:simplePos x="0" y="0"/>
              <wp:positionH relativeFrom="page">
                <wp:posOffset>-2790825</wp:posOffset>
              </wp:positionH>
              <wp:positionV relativeFrom="page">
                <wp:posOffset>9420225</wp:posOffset>
              </wp:positionV>
              <wp:extent cx="5543550" cy="1579880"/>
              <wp:effectExtent l="0" t="0" r="19050" b="2032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246"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47"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48"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49"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50"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51"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52"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53"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54"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55"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56"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7"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8"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9"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0"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61"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62"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63"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6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6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6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6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6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219.75pt;margin-top:741.75pt;width:436.5pt;height:124.4pt;z-index:25169305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JH8UAAADcAAAADwAAAGRycy9kb3ducmV2LnhtbESPW2vCQBSE3wv+h+UIfasbQ70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JH8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hMQAAADcAAAADwAAAGRycy9kb3ducmV2LnhtbESP3WrCQBSE7wu+w3IE7+rGo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myE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49sEAAADcAAAADwAAAGRycy9kb3ducmV2LnhtbERPy4rCMBTdC/MP4Q7MTlOLL6pRhhFh&#10;BkTwAd1em2tbbW5qk9H692YhuDyc92zRmkrcqHGlZQX9XgSCOLO65FzBYb/qTkA4j6yxskwKHuRg&#10;Mf/ozDDR9s5buu18LkIIuwQVFN7XiZQuK8ig69maOHAn2xj0ATa51A3eQ7ipZBxFI2mw5NBQYE0/&#10;BWWX3b9RcEzH6YYdub80u8r1MD6bw36p1Ndn+z0F4an1b/HL/asVxIO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fj2wQAAANw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bcUAAADcAAAADwAAAGRycy9kb3ducmV2LnhtbESP3WrCQBSE7wu+w3KE3unGU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db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iLcEAAADcAAAADwAAAGRycy9kb3ducmV2LnhtbERPy4rCMBTdD/gP4QrupqkFH1SjiDLg&#10;gAg+oNtrc22rzU2nyWjn7ycLweXhvOfLztTiQa2rLCsYRjEI4tzqigsF59PX5xSE88gaa8uk4I8c&#10;LBe9jzmm2j75QI+jL0QIYZeigtL7JpXS5SUZdJFtiAN3ta1BH2BbSN3iM4SbWiZxPJYGKw4NJTa0&#10;Lim/H3+Ngks2yfbsyH1n+Y/cjZKbOZ82Sg363WoGwlPn3+KXe6sVJKMwP5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mIt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HtsUAAADcAAAADwAAAGRycy9kb3ducmV2LnhtbESPQWvCQBSE7wX/w/KE3pqNgdiSukpR&#10;ChVEqAq5vmZfk7TZt2l2TeK/dwWhx2FmvmEWq9E0oqfO1ZYVzKIYBHFhdc2lgtPx/ekFhPPIGhvL&#10;pOBCDlbLycMCM20H/qT+4EsRIOwyVFB532ZSuqIigy6yLXHwvm1n0AfZlVJ3OAS4aWQSx3NpsOaw&#10;UGFL64qK38PZKPjKn/M9O3LbvPiTuzT5MafjRqnH6fj2CsLT6P/D9/aHVpCkM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Ht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ZwcQAAADcAAAADwAAAGRycy9kb3ducmV2LnhtbESPW4vCMBSE3xf2P4Sz4NuaWvBCNYrs&#10;IiiI4AX6emyObbU5qU3U+u+NsLCPw8x8w0xmranEnRpXWlbQ60YgiDOrS84VHPaL7xEI55E1VpZJ&#10;wZMczKafHxNMtH3wlu47n4sAYZeggsL7OpHSZQUZdF1bEwfvZBuDPsgml7rBR4CbSsZRNJAGSw4L&#10;Bdb0U1B22d2MgmM6TDfsyK3S7CrX/fhsDvtfpTpf7XwMwlPr/8N/7aVWEPd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FnB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z8WsUAAADcAAAADwAAAGRycy9kb3ducmV2LnhtbESP3WrCQBSE7wu+w3KE3tWNK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z8W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kLsUAAADcAAAADwAAAGRycy9kb3ducmV2LnhtbESP3WrCQBSE7wu+w3KE3tWNo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VkLs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tcUAAADcAAAADwAAAGRycy9kb3ducmV2LnhtbESPQWvCQBSE70L/w/IKvenGQFRSN0Fa&#10;ChWkoBFyfWZfk7TZt2l21fjv3UKhx2FmvmHW+Wg6caHBtZYVzGcRCOLK6pZrBcfibboC4Tyyxs4y&#10;KbiRgzx7mKwx1fbKe7ocfC0ChF2KChrv+1RKVzVk0M1sTxy8TzsY9EEOtdQDXgPcdDKOooU02HJY&#10;aLCnl4aq78PZKDiVy/KDHbltWf3IXRJ/mWPxqtTT47h5BuFp9P/hv/a7VhAn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tc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fwsUAAADcAAAADwAAAGRycy9kb3ducmV2LnhtbESPQWvCQBSE70L/w/IEb2ZjwLSkrlIq&#10;hRaKUBPI9TX7mqTNvo3ZVeO/dwWhx2FmvmFWm9F04kSDay0rWEQxCOLK6pZrBUX+Nn8C4Tyyxs4y&#10;KbiQg836YbLCTNszf9Fp72sRIOwyVNB432dSuqohgy6yPXHwfuxg0Ac51FIPeA5w08kkjlNpsOWw&#10;0GBPrw1Vf/ujUfBdPpY7duQ+yuogP5fJrynyrVKz6fjyDMLT6P/D9/a7VpAsU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tfw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6WcUAAADcAAAADwAAAGRycy9kb3ducmV2LnhtbESPQWvCQBSE7wX/w/KE3pqNARtJXUUs&#10;hQoi1ARyfc2+JqnZt2l2q+m/dwuCx2FmvmGW69F04kyDay0rmEUxCOLK6pZrBUX+9rQA4Tyyxs4y&#10;KfgjB+vV5GGJmbYX/qDz0dciQNhlqKDxvs+kdFVDBl1ke+LgfdnBoA9yqKUe8BLgppNJHD9Lgy2H&#10;hQZ72jZUnY6/RsFnmZYHduR2ZfUj9/Pk2xT5q1KP03HzAsLT6O/hW/tdK0jmKfyfC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6W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uK8EAAADcAAAADwAAAGRycy9kb3ducmV2LnhtbERPy4rCMBTdD/gP4QrupqkFH1SjiDLg&#10;gAg+oNtrc22rzU2nyWjn7ycLweXhvOfLztTiQa2rLCsYRjEI4tzqigsF59PX5xSE88gaa8uk4I8c&#10;LBe9jzmm2j75QI+jL0QIYZeigtL7JpXS5SUZdJFtiAN3ta1BH2BbSN3iM4SbWiZxPJYGKw4NJTa0&#10;Lim/H3+Ngks2yfbsyH1n+Y/cjZKbOZ82Sg363WoGwlPn3+KXe6sVJKOwNp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G4rwQAAANwAAAAPAAAAAAAAAAAAAAAA&#10;AKECAABkcnMvZG93bnJldi54bWxQSwUGAAAAAAQABAD5AAAAjw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sMQAAADcAAAADwAAAGRycy9kb3ducmV2LnhtbESP3WrCQBSE7wu+w3IE7+rGgFajq0hF&#10;UCgFfyC3x+wxiWbPptlV49t3CwUvh5n5hpktWlOJOzWutKxg0I9AEGdWl5wrOB7W72MQziNrrCyT&#10;gic5WMw7bzNMtH3wju57n4sAYZeggsL7OpHSZQUZdH1bEwfvbBuDPsgml7rBR4CbSsZRNJIGSw4L&#10;Bdb0WVB23d+MglP6kX6zI7dNsx/5NYwv5nhYKdXrtsspCE+tf4X/2xutIB5O4O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Muw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okMIAAADcAAAADwAAAGRycy9kb3ducmV2LnhtbERPTWvCQBC9F/wPywi9NZsGGiW6SmkR&#10;WiiCJpDrmB2TtNnZmN2a9N93D4LHx/tebyfTiSsNrrWs4DmKQRBXVrdcKyjy3dMShPPIGjvLpOCP&#10;HGw3s4c1ZtqOfKDr0dcihLDLUEHjfZ9J6aqGDLrI9sSBO9vBoA9wqKUecAzhppNJHKfSYMuhocGe&#10;3hqqfo6/RsGpXJR7duQ+y+oiv16Sb1Pk70o9zqfXFQhPk7+Lb+4PrSBJw/x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KokMIAAADcAAAADwAAAAAAAAAAAAAA&#10;AAChAgAAZHJzL2Rvd25yZXYueG1sUEsFBgAAAAAEAAQA+QAAAJA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NC8QAAADcAAAADwAAAGRycy9kb3ducmV2LnhtbESPW4vCMBSE3xf8D+EI+7amFrxQjSKK&#10;oCALXqCvx+bYVpuT2mS1++83C4KPw8x8w0znranEgxpXWlbQ70UgiDOrS84VnI7rrzEI55E1VpZJ&#10;wS85mM86H1NMtH3ynh4Hn4sAYZeggsL7OpHSZQUZdD1bEwfvYhuDPsgml7rBZ4CbSsZRNJQGSw4L&#10;Bda0LCi7HX6MgnM6Sr/Zkdum2V3uBvHVnI4rpT677WICwlPr3+FXe6MVxM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g0L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TfMQAAADcAAAADwAAAGRycy9kb3ducmV2LnhtbESPW4vCMBSE3xf2P4Sz4NuaWvBCNYrs&#10;IiiI4AX6emyObbU5qU3U+u+NsLCPw8x8w0xmranEnRpXWlbQ60YgiDOrS84VHPaL7xEI55E1VpZJ&#10;wZMczKafHxNMtH3wlu47n4sAYZeggsL7OpHSZQUZdF1bEwfvZBuDPsgml7rBR4CbSsZRNJAGSw4L&#10;Bdb0U1B22d2MgmM6TDfsyK3S7CrX/fhsDvtfpTpf7XwMwlPr/8N/7aVWEA9i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JN8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258UAAADcAAAADwAAAGRycy9kb3ducmV2LnhtbESPW2vCQBSE3wv+h+UIfasbU7w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25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uk8UAAADcAAAADwAAAGRycy9kb3ducmV2LnhtbESPW2vCQBSE3wv+h+UIfasbQ70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muk8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LCMUAAADcAAAADwAAAGRycy9kb3ducmV2LnhtbESPQWvCQBSE70L/w/IEb2ZjwLSkrlIq&#10;hRaKUBPI9TX7mqTNvo3ZVeO/dwWhx2FmvmFWm9F04kSDay0rWEQxCOLK6pZrBUX+Nn8C4Tyyxs4y&#10;KbiQg836YbLCTNszf9Fp72sRIOwyVNB432dSuqohgy6yPXHwfuxg0Ac51FIPeA5w08kkjlNpsOWw&#10;0GBPrw1Vf/ujUfBdPpY7duQ+yuogP5fJrynyrVKz6fjyDMLT6P/D9/a7VpCkS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ULCM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f8QAAADcAAAADwAAAGRycy9kb3ducmV2LnhtbESP3WrCQBSE7wu+w3IE7+rGgFGiq4hS&#10;sFAEfyC3x+wxiWbPptlV07fvCoVeDjPzDTNfdqYWD2pdZVnBaBiBIM6trrhQcDp+vE9BOI+ssbZM&#10;Cn7IwXLRe5tjqu2T9/Q4+EIECLsUFZTeN6mULi/JoBvahjh4F9sa9EG2hdQtPgPc1DKOokQarDgs&#10;lNjQuqT8drgbBedsku3YkfvM8m/5NY6v5nTcKDXod6sZCE+d/w//tbdaQZwk8Do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5V/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w5MMAAADcAAAADwAAAGRycy9kb3ducmV2LnhtbESPQYvCMBSE74L/ITxhb5paWJVqFHER&#10;FBZhVej12TzbavPSbaJ2/71ZEDwOM/MNM1u0phJ3alxpWcFwEIEgzqwuOVdwPKz7ExDOI2usLJOC&#10;P3KwmHc7M0y0ffAP3fc+FwHCLkEFhfd1IqXLCjLoBrYmDt7ZNgZ9kE0udYOPADeVjKNoJA2WHBYK&#10;rGlVUHbd34yCUzpOd+zIbdPsV35/xhdzPHwp9dFrl1MQnlr/Dr/aG60gHo3h/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MOTDAAAA3AAAAA8AAAAAAAAAAAAA&#10;AAAAoQIAAGRycy9kb3ducmV2LnhtbFBLBQYAAAAABAAEAPkAAACR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klsIAAADcAAAADwAAAGRycy9kb3ducmV2LnhtbERPTWvCQBC9F/wPywi9NZsGGiW6SmkR&#10;WiiCJpDrmB2TtNnZmN2a9N93D4LHx/tebyfTiSsNrrWs4DmKQRBXVrdcKyjy3dMShPPIGjvLpOCP&#10;HGw3s4c1ZtqOfKDr0dcihLDLUEHjfZ9J6aqGDLrI9sSBO9vBoA9wqKUecAzhppNJHKfSYMuhocGe&#10;3hqqfo6/RsGpXJR7duQ+y+oiv16Sb1Pk70o9zqfXFQhPk7+Lb+4PrSBJw9p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klsIAAADcAAAADwAAAAAAAAAAAAAA&#10;AAChAgAAZHJzL2Rvd25yZXYueG1sUEsFBgAAAAAEAAQA+QAAAJADAAAAAA==&#10;" strokecolor="window" strokeweight=".5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DA" w:rsidRDefault="00C3131C">
    <w:pPr>
      <w:pStyle w:val="Footer"/>
    </w:pPr>
    <w:r>
      <w:drawing>
        <wp:anchor distT="0" distB="0" distL="114300" distR="114300" simplePos="0" relativeHeight="251685888" behindDoc="0" locked="0" layoutInCell="1" allowOverlap="1" wp14:anchorId="0B528321" wp14:editId="777D381D">
          <wp:simplePos x="0" y="0"/>
          <wp:positionH relativeFrom="column">
            <wp:posOffset>5912485</wp:posOffset>
          </wp:positionH>
          <wp:positionV relativeFrom="page">
            <wp:posOffset>9917601</wp:posOffset>
          </wp:positionV>
          <wp:extent cx="758825" cy="434632"/>
          <wp:effectExtent l="0" t="0" r="3175"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_blue_reversed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 cy="434632"/>
                  </a:xfrm>
                  <a:prstGeom prst="rect">
                    <a:avLst/>
                  </a:prstGeom>
                </pic:spPr>
              </pic:pic>
            </a:graphicData>
          </a:graphic>
          <wp14:sizeRelH relativeFrom="margin">
            <wp14:pctWidth>0</wp14:pctWidth>
          </wp14:sizeRelH>
          <wp14:sizeRelV relativeFrom="margin">
            <wp14:pctHeight>0</wp14:pctHeight>
          </wp14:sizeRelV>
        </wp:anchor>
      </w:drawing>
    </w:r>
    <w:r w:rsidR="00FE42DA">
      <mc:AlternateContent>
        <mc:Choice Requires="wpg">
          <w:drawing>
            <wp:anchor distT="0" distB="0" distL="114300" distR="114300" simplePos="0" relativeHeight="251687936" behindDoc="0" locked="0" layoutInCell="1" allowOverlap="1" wp14:anchorId="19DEBA68" wp14:editId="10A1E3A7">
              <wp:simplePos x="0" y="0"/>
              <wp:positionH relativeFrom="page">
                <wp:posOffset>-3449789</wp:posOffset>
              </wp:positionH>
              <wp:positionV relativeFrom="page">
                <wp:posOffset>6982626</wp:posOffset>
              </wp:positionV>
              <wp:extent cx="5543550" cy="1579880"/>
              <wp:effectExtent l="0" t="0" r="19050" b="2032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449"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450"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451"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452"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453"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454"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455"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456"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457"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458"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459"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460"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461"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462"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463"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464"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465"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466"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467"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468"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469"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470"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471"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48" o:spid="_x0000_s1026" style="position:absolute;margin-left:-271.65pt;margin-top:549.8pt;width:436.5pt;height:124.4pt;z-index:25168793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flcUAAADcAAAADwAAAGRycy9kb3ducmV2LnhtbESPQWvCQBSE7wX/w/KE3nRTUdvGrCIt&#10;BQsiGAO5vmafSWr2bZrdavrvXUHocZiZb5hk1ZtGnKlztWUFT+MIBHFhdc2lguzwMXoB4TyyxsYy&#10;KfgjB6vl4CHBWNsL7+mc+lIECLsYFVTet7GUrqjIoBvbljh4R9sZ9EF2pdQdXgLcNHISRXNpsOaw&#10;UGFLbxUVp/TXKPjKn/MdO3KfefEjt7PJt8kO70o9Dvv1AoSn3v+H7+2NVjCdvsLt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aflc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g1cIAAADcAAAADwAAAGRycy9kb3ducmV2LnhtbERPy2rCQBTdC/2H4Rbc6aTB1JI6SlEE&#10;C1LwAdneZm6TtJk7MTMm6d87C8Hl4bwXq8HUoqPWVZYVvEwjEMS51RUXCs6n7eQNhPPIGmvLpOCf&#10;HKyWT6MFptr2fKDu6AsRQtilqKD0vkmldHlJBt3UNsSB+7GtQR9gW0jdYh/CTS3jKHqVBisODSU2&#10;tC4p/ztejYLvbJ59sSP3meUXuU/iX3M+bZQaPw8f7yA8Df4hvrt3WsEsCfPDmXAE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Wg1cIAAADcAAAADwAAAAAAAAAAAAAA&#10;AAChAgAAZHJzL2Rvd25yZXYueG1sUEsFBgAAAAAEAAQA+QAAAJA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kFTsUAAADcAAAADwAAAGRycy9kb3ducmV2LnhtbESPQWvCQBSE74L/YXmCN90YTFtS1yCW&#10;QgtSaBRyfc0+k2j2bcxuNf33bqHQ4zAz3zCrbDCtuFLvGssKFvMIBHFpdcOVgsP+dfYEwnlkja1l&#10;UvBDDrL1eLTCVNsbf9I195UIEHYpKqi971IpXVmTQTe3HXHwjrY36IPsK6l7vAW4aWUcRQ/SYMNh&#10;ocaOtjWV5/zbKPgqHosPduTei/Iid0l8Mof9i1LTybB5BuFp8P/hv/abVrBMFvB7Jhw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kFTs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bOcUAAADcAAAADwAAAGRycy9kb3ducmV2LnhtbESP3WrCQBSE7wu+w3KE3tWNoWpJsxGp&#10;CBaK4A/k9jR7mkSzZ9PsqunbdwXBy2FmvmHSeW8acaHO1ZYVjEcRCOLC6ppLBYf96uUNhPPIGhvL&#10;pOCPHMyzwVOKibZX3tJl50sRIOwSVFB53yZSuqIig25kW+Lg/djOoA+yK6Xu8BrgppFxFE2lwZrD&#10;QoUtfVRUnHZno+A7n+UbduQ+8+JXfk3ioznsl0o9D/vFOwhPvX+E7+21VvA6ie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ubO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osUAAADcAAAADwAAAGRycy9kb3ducmV2LnhtbESPW2vCQBSE34X+h+UU+qYbb61EN0Eq&#10;hQpF8AJ5PWaPSTR7Ns1uNf333YLg4zAz3zCLtDO1uFLrKssKhoMIBHFudcWFgsP+oz8D4Tyyxtoy&#10;KfglB2ny1FtgrO2Nt3Td+UIECLsYFZTeN7GULi/JoBvYhjh4J9sa9EG2hdQt3gLc1HIURa/SYMVh&#10;ocSG3kvKL7sfo+CYvWUbduTWWf4tv6ajsznsV0q9PHfLOQhPnX+E7+1PrWAyHcP/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c+osUAAADcAAAADwAAAAAAAAAA&#10;AAAAAAChAgAAZHJzL2Rvd25yZXYueG1sUEsFBgAAAAAEAAQA+QAAAJMDA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6m1sUAAADcAAAADwAAAGRycy9kb3ducmV2LnhtbESPQWvCQBSE74L/YXmCN90YkrakriIW&#10;wUIpVIVcX7PPJJp9m2ZXk/77bqHQ4zAz3zDL9WAacafO1ZYVLOYRCOLC6ppLBafjbvYEwnlkjY1l&#10;UvBNDtar8WiJmbY9f9D94EsRIOwyVFB532ZSuqIig25uW+LgnW1n0AfZlVJ32Ae4aWQcRQ/SYM1h&#10;ocKWthUV18PNKPjMH/N3duRe8+JLvqXxxZyOL0pNJ8PmGYSnwf+H/9p7rSBJE/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6m1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IDTcQAAADcAAAADwAAAGRycy9kb3ducmV2LnhtbESPQWvCQBSE74L/YXkFb7qpmCrRVcRS&#10;qCAFjZDrM/tM0mbfxuxW4793CwWPw8x8wyxWnanFlVpXWVbwOopAEOdWV1woOKYfwxkI55E11pZJ&#10;wZ0crJb93gITbW+8p+vBFyJA2CWooPS+SaR0eUkG3cg2xME729agD7ItpG7xFuCmluMoepMGKw4L&#10;JTa0KSn/OfwaBadsmn2xI7fN8ovcxeNvc0zflRq8dOs5CE+df4b/259awSSO4e9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gNN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dOsQAAADcAAAADwAAAGRycy9kb3ducmV2LnhtbESPW4vCMBSE3xf8D+EI+7amijeqUUQR&#10;dkEEL9DXY3Nsq81JbbJa//1mQfBxmJlvmOm8MaW4U+0Kywq6nQgEcWp1wZmC42H9NQbhPLLG0jIp&#10;eJKD+az1McVY2wfv6L73mQgQdjEqyL2vYildmpNB17EVcfDOtjbog6wzqWt8BLgpZS+KhtJgwWEh&#10;x4qWOaXX/a9RcEpGyZYduZ8kvcnNoHcxx8NKqc92s5iA8NT4d/jV/tYK+oMh/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8J06xAAAANwAAAAPAAAAAAAAAAAA&#10;AAAAAKECAABkcnMvZG93bnJldi54bWxQSwUGAAAAAAQABAD5AAAAkgM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4ocMAAADcAAAADwAAAGRycy9kb3ducmV2LnhtbESPQYvCMBSE74L/ITzBm6aKrlKNIorg&#10;giysCr0+m2dbbV5qE7X7783Cwh6HmfmGmS8bU4on1a6wrGDQj0AQp1YXnCk4Hbe9KQjnkTWWlknB&#10;DzlYLtqtOcbavvibngefiQBhF6OC3PsqltKlORl0fVsRB+9ia4M+yDqTusZXgJtSDqPoQxosOCzk&#10;WNE6p/R2eBgF52SSfLEj95mkd7kfD6/mdNwo1e00qxkIT43/D/+1d1rBaDyB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8OKHDAAAA3AAAAA8AAAAAAAAAAAAA&#10;AAAAoQIAAGRycy9kb3ducmV2LnhtbFBLBQYAAAAABAAEAPkAAACRAw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s08IAAADcAAAADwAAAGRycy9kb3ducmV2LnhtbERPy2rCQBTdC/2H4Rbc6aTB1JI6SlEE&#10;C1LwAdneZm6TtJk7MTMm6d87C8Hl4bwXq8HUoqPWVZYVvEwjEMS51RUXCs6n7eQNhPPIGmvLpOCf&#10;HKyWT6MFptr2fKDu6AsRQtilqKD0vkmldHlJBt3UNsSB+7GtQR9gW0jdYh/CTS3jKHqVBisODSU2&#10;tC4p/ztejYLvbJ59sSP3meUXuU/iX3M+bZQaPw8f7yA8Df4hvrt3WsEsCWvDmXAE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Os08IAAADcAAAADwAAAAAAAAAAAAAA&#10;AAChAgAAZHJzL2Rvd25yZXYueG1sUEsFBgAAAAAEAAQA+QAAAJA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JSMUAAADcAAAADwAAAGRycy9kb3ducmV2LnhtbESP3WrCQBSE7wu+w3KE3tWNolWjq4hS&#10;qCCCP5DbY/aYRLNnY3ar8e3dQqGXw8x8w0znjSnFnWpXWFbQ7UQgiFOrC84UHA9fHyMQziNrLC2T&#10;gic5mM9ab1OMtX3wju57n4kAYRejgtz7KpbSpTkZdB1bEQfvbGuDPsg6k7rGR4CbUvai6FMaLDgs&#10;5FjRMqf0uv8xCk7JMNmyI7dO0pvcDHoXczyslHpvN4sJCE+N/w//tb+1gv5gDL9nwhG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8JSM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qaMIAAADcAAAADwAAAGRycy9kb3ducmV2LnhtbERPXWvCMBR9F/Yfwh34NtOJutEZZSjC&#10;BBHWFvp6l9y13Zqb2mRa/715GPh4ON/L9WBbcabeN44VPE8SEMTamYYrBUW+e3oF4QOywdYxKbiS&#10;h/XqYbTE1LgLf9I5C5WIIexTVFCH0KVSel2TRT9xHXHkvl1vMUTYV9L0eInhtpXTJFlIiw3Hhho7&#10;2tSkf7M/q+CrfCmP7MnvS32Sh/n0xxb5Vqnx4/D+BiLQEO7if/eHUTBbxPn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lqaMIAAADcAAAADwAAAAAAAAAAAAAA&#10;AAChAgAAZHJzL2Rvd25yZXYueG1sUEsFBgAAAAAEAAQA+QAAAJA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XP88UAAADcAAAADwAAAGRycy9kb3ducmV2LnhtbESPQWvCQBSE7wX/w/KE3urG0KpE1yAV&#10;oYVSqAq5PrPPJJp9m2a3SfrvXaHQ4zAz3zCrdDC16Kh1lWUF00kEgji3uuJCwfGwe1qAcB5ZY22Z&#10;FPySg3Q9elhhom3PX9TtfSEChF2CCkrvm0RKl5dk0E1sQxy8s20N+iDbQuoW+wA3tYyjaCYNVhwW&#10;SmzotaT8uv8xCk7ZPPtkR+49y7/lx0t8McfDVqnH8bBZgvA0+P/wX/tNK3ieTeF+Jhw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XP88UAAADcAAAADwAAAAAAAAAA&#10;AAAAAAChAgAAZHJzL2Rvd25yZXYueG1sUEsFBgAAAAAEAAQA+QAAAJMDA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RhMUAAADcAAAADwAAAGRycy9kb3ducmV2LnhtbESPW2vCQBSE3wv+h+UIfasbQ70QXUUq&#10;QoUieIG8HrPHJJo9m2a3mv57VxB8HGbmG2Y6b00lrtS40rKCfi8CQZxZXXKu4LBffYxBOI+ssbJM&#10;Cv7JwXzWeZtiou2Nt3Td+VwECLsEFRTe14mULivIoOvZmjh4J9sY9EE2udQN3gLcVDKOoqE0WHJY&#10;KLCmr4Kyy+7PKDimo3TDjtw6zX7lzyA+m8N+qdR7t11MQHhq/Sv8bH9rBZ/DG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dRhMUAAADcAAAADwAAAAAAAAAA&#10;AAAAAAChAgAAZHJzL2Rvd25yZXYueG1sUEsFBgAAAAAEAAQA+QAAAJMDA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H8UAAADcAAAADwAAAGRycy9kb3ducmV2LnhtbESP3WrCQBSE7wXfYTmCd7rRtlqiq4hF&#10;sFAEfyC3p9ljEs2ejdlV49u7hYKXw8x8w0znjSnFjWpXWFYw6EcgiFOrC84UHPar3icI55E1lpZJ&#10;wYMczGft1hRjbe+8pdvOZyJA2MWoIPe+iqV0aU4GXd9WxME72tqgD7LOpK7xHuCmlMMoGkmDBYeF&#10;HCta5pSed1ej4DcZJxt25L6T9CJ/PoYnc9h/KdXtNIsJCE+Nf4X/22ut4H30Bn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0H8UAAADcAAAADwAAAAAAAAAA&#10;AAAAAAChAgAAZHJzL2Rvd25yZXYueG1sUEsFBgAAAAAEAAQA+QAAAJM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sa8QAAADcAAAADwAAAGRycy9kb3ducmV2LnhtbESPW4vCMBSE34X9D+Es7JumijeqUZaV&#10;BQURvEBfj82xrTYntYla//1mQfBxmJlvmOm8MaW4U+0Kywq6nQgEcWp1wZmCw/63PQbhPLLG0jIp&#10;eJKD+eyjNcVY2wdv6b7zmQgQdjEqyL2vYildmpNB17EVcfBOtjbog6wzqWt8BLgpZS+KhtJgwWEh&#10;x4p+ckovu5tRcExGyYYduVWSXuV60Dubw36h1Ndn8z0B4anx7/CrvdQK+s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mxr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7J8MQAAADcAAAADwAAAGRycy9kb3ducmV2LnhtbESPW4vCMBSE3xf8D+EI+7amijeqUUQR&#10;dkEEL9DXY3Nsq81JbbJa//1mQfBxmJlvmOm8MaW4U+0Kywq6nQgEcWp1wZmC42H9NQbhPLLG0jIp&#10;eJKD+az1McVY2wfv6L73mQgQdjEqyL2vYildmpNB17EVcfDOtjbog6wzqWt8BLgpZS+KhtJgwWEh&#10;x4qWOaXX/a9RcEpGyZYduZ8kvcnNoHcxx8NKqc92s5iA8NT4d/jV/tYK+sMB/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snw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xXh8QAAADcAAAADwAAAGRycy9kb3ducmV2LnhtbESP3WrCQBSE7wXfYTmCd7pRbCypq0hF&#10;sCAFfyC3p9nTJJo9m2ZXjW/vCgUvh5n5hpktWlOJKzWutKxgNIxAEGdWl5wrOB7Wg3cQziNrrCyT&#10;gjs5WMy7nRkm2t54R9e9z0WAsEtQQeF9nUjpsoIMuqGtiYP3axuDPsgml7rBW4CbSo6jKJYGSw4L&#10;Bdb0WVB23l+Mgp90mn6zI/eVZn9y+zY+meNhpVS/1y4/QHhq/Sv8395oBZM4hu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FeHxAAAANwAAAAPAAAAAAAAAAAA&#10;AAAAAKECAABkcnMvZG93bnJldi54bWxQSwUGAAAAAAQABAD5AAAAkgM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yHMQAAADcAAAADwAAAGRycy9kb3ducmV2LnhtbESPW4vCMBSE3xf8D+EIvq2p4o1qFFkR&#10;VpAFL9DXY3Nsq81Jt8lq/fdGWPBxmJlvmNmiMaW4Ue0Kywp63QgEcWp1wZmC42H9OQHhPLLG0jIp&#10;eJCDxbz1McNY2zvv6Lb3mQgQdjEqyL2vYildmpNB17UVcfDOtjbog6wzqWu8B7gpZT+KRtJgwWEh&#10;x4q+ckqv+z+j4JSMkx925DZJ+iu3w/7FHA8rpTrtZjkF4anx7/B/+1srGIzG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0PIcxAAAANwAAAAPAAAAAAAAAAAA&#10;AAAAAKECAABkcnMvZG93bnJldi54bWxQSwUGAAAAAAQABAD5AAAAkgM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mbsIAAADcAAAADwAAAGRycy9kb3ducmV2LnhtbERPXWvCMBR9F/Yfwh34NtOJutEZZSjC&#10;BBHWFvp6l9y13Zqb2mRa/715GPh4ON/L9WBbcabeN44VPE8SEMTamYYrBUW+e3oF4QOywdYxKbiS&#10;h/XqYbTE1LgLf9I5C5WIIexTVFCH0KVSel2TRT9xHXHkvl1vMUTYV9L0eInhtpXTJFlIiw3Hhho7&#10;2tSkf7M/q+CrfCmP7MnvS32Sh/n0xxb5Vqnx4/D+BiLQEO7if/eHUTBbxLX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9mbsIAAADcAAAADwAAAAAAAAAAAAAA&#10;AAChAgAAZHJzL2Rvd25yZXYueG1sUEsFBgAAAAAEAAQA+QAAAJA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D9cUAAADcAAAADwAAAGRycy9kb3ducmV2LnhtbESP3WrCQBSE74W+w3IKvdONorZGN0Eq&#10;hQpF8Adye8wek2j2bJrdavr23YLg5TAz3zCLtDO1uFLrKssKhoMIBHFudcWFgsP+o/8GwnlkjbVl&#10;UvBLDtLkqbfAWNsbb+m684UIEHYxKii9b2IpXV6SQTewDXHwTrY16INsC6lbvAW4qeUoiqbSYMVh&#10;ocSG3kvKL7sfo+CYvWYbduTWWf4tvyajsznsV0q9PHfLOQhPnX+E7+1PrWA8ncH/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PD9cUAAADcAAAADwAAAAAAAAAA&#10;AAAAAAChAgAAZHJzL2Rvd25yZXYueG1sUEsFBgAAAAAEAAQA+QAAAJMDA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D8tcIAAADcAAAADwAAAGRycy9kb3ducmV2LnhtbERPXWvCMBR9F/Yfwh34pulE5+iMMhRh&#10;gghrC329S+7abs1NbTKt/948DPZ4ON+rzWBbcaHeN44VPE0TEMTamYYrBUW+n7yA8AHZYOuYFNzI&#10;w2b9MFphatyVP+iShUrEEPYpKqhD6FIpva7Jop+6jjhyX663GCLsK2l6vMZw28pZkjxLiw3Hhho7&#10;2takf7Jfq+CzXJYn9uQPpT7L42L2bYt8p9T4cXh7BRFoCP/iP/e7UTBfxv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D8tcIAAADcAAAADwAAAAAAAAAAAAAA&#10;AAChAgAAZHJzL2Rvd25yZXYueG1sUEsFBgAAAAAEAAQA+QAAAJA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ZLsMAAADcAAAADwAAAGRycy9kb3ducmV2LnhtbESPQYvCMBSE7wv+h/AEb2uq6CrVKKII&#10;CrKwKvT6bJ5ttXmpTdT6783Cwh6HmfmGmc4bU4oH1a6wrKDXjUAQp1YXnCk4HtafYxDOI2ssLZOC&#10;FzmYz1ofU4y1ffIPPfY+EwHCLkYFufdVLKVLczLourYiDt7Z1gZ9kHUmdY3PADel7EfRlzRYcFjI&#10;saJlTul1fzcKTsko+WZHbpukN7kb9i/meFgp1Wk3iwkIT43/D/+1N1rBYNSD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sWS7DAAAA3AAAAA8AAAAAAAAAAAAA&#10;AAAAoQIAAGRycy9kb3ducmV2LnhtbFBLBQYAAAAABAAEAPkAAACRAwAAAAA=&#10;" strokecolor="window" strokeweight=".5pt"/>
              <w10:wrap anchorx="page" anchory="page"/>
            </v:group>
          </w:pict>
        </mc:Fallback>
      </mc:AlternateContent>
    </w:r>
    <w:r w:rsidR="00FE42DA" w:rsidRPr="00BE3677">
      <mc:AlternateContent>
        <mc:Choice Requires="wps">
          <w:drawing>
            <wp:anchor distT="0" distB="0" distL="114300" distR="114300" simplePos="0" relativeHeight="251684864" behindDoc="1" locked="0" layoutInCell="1" allowOverlap="1" wp14:anchorId="2DA7362A" wp14:editId="02D5C174">
              <wp:simplePos x="0" y="0"/>
              <wp:positionH relativeFrom="page">
                <wp:posOffset>0</wp:posOffset>
              </wp:positionH>
              <wp:positionV relativeFrom="page">
                <wp:posOffset>9620250</wp:posOffset>
              </wp:positionV>
              <wp:extent cx="7562088" cy="1078992"/>
              <wp:effectExtent l="0" t="0" r="1270" b="6985"/>
              <wp:wrapNone/>
              <wp:docPr id="422" name="Rectangle 422"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088" cy="1078992"/>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2" o:spid="_x0000_s1026" alt="Title: Cover Coloured Footer Section - Description: Cover Coloured Footer Section" style="position:absolute;margin-left:0;margin-top:757.5pt;width:595.45pt;height:84.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" fillcolor="#00557e" stroked="f" strokeweight="2pt">
              <v:path arrowok="t"/>
              <w10:wrap anchorx="page" anchory="page"/>
            </v:rect>
          </w:pict>
        </mc:Fallback>
      </mc:AlternateContent>
    </w:r>
    <w:r w:rsidR="00FE42DA">
      <mc:AlternateContent>
        <mc:Choice Requires="wpg">
          <w:drawing>
            <wp:anchor distT="0" distB="0" distL="114300" distR="114300" simplePos="0" relativeHeight="251683840" behindDoc="0" locked="0" layoutInCell="1" allowOverlap="1" wp14:anchorId="5D6B2A99" wp14:editId="734E16E8">
              <wp:simplePos x="0" y="0"/>
              <wp:positionH relativeFrom="page">
                <wp:posOffset>-2790825</wp:posOffset>
              </wp:positionH>
              <wp:positionV relativeFrom="page">
                <wp:posOffset>9420225</wp:posOffset>
              </wp:positionV>
              <wp:extent cx="5543550" cy="1579880"/>
              <wp:effectExtent l="0" t="0" r="19050" b="20320"/>
              <wp:wrapNone/>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424"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425"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426"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427"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428"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429"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430"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431"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432"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433"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434"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435"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436"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437"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438"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439"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440"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441"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442"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443"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444"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445"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446"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23" o:spid="_x0000_s1026" style="position:absolute;margin-left:-219.75pt;margin-top:741.75pt;width:436.5pt;height:124.4pt;z-index:251683840;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jVq8QAAADcAAAADwAAAGRycy9kb3ducmV2LnhtbESP3WrCQBSE7wu+w3IE7+rGoFWiq0hF&#10;UCgFfyC3x+wxiWbPptlV49t3CwUvh5n5hpktWlOJOzWutKxg0I9AEGdWl5wrOB7W7xMQziNrrCyT&#10;gic5WMw7bzNMtH3wju57n4sAYZeggsL7OpHSZQUZdH1bEwfvbBuDPsgml7rBR4CbSsZR9CENlhwW&#10;Cqzps6Dsur8ZBad0nH6zI7dNsx/5NYov5nhYKdXrtsspCE+tf4X/2xutYBgP4e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NWrxAAAANwAAAAPAAAAAAAAAAAA&#10;AAAAAKECAABkcnMvZG93bnJldi54bWxQSwUGAAAAAAQABAD5AAAAkgM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wMMUAAADcAAAADwAAAGRycy9kb3ducmV2LnhtbESP3WrCQBSE7wu+w3KE3tWNoWpJsxGp&#10;CBaK4A/k9jR7mkSzZ9PsqunbdwXBy2FmvmHSeW8acaHO1ZYVjEcRCOLC6ppLBYf96uUNhPPIGhvL&#10;pOCPHMyzwVOKibZX3tJl50sRIOwSVFB53yZSuqIig25kW+Lg/djOoA+yK6Xu8BrgppFxFE2lwZrD&#10;QoUtfVRUnHZno+A7n+UbduQ+8+JXfk3ioznsl0o9D/vFOwhPvX+E7+21VvAaT+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RwMMUAAADcAAAADwAAAAAAAAAA&#10;AAAAAAChAgAAZHJzL2Rvd25yZXYueG1sUEsFBgAAAAAEAAQA+QAAAJM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uR8UAAADcAAAADwAAAGRycy9kb3ducmV2LnhtbESPW2vCQBSE3wv+h+UIfasbQ70QXUUq&#10;QoUieIG8HrPHJJo9m2a3mv57VxB8HGbmG2Y6b00lrtS40rKCfi8CQZxZXXKu4LBffYxBOI+ssbJM&#10;Cv7JwXzWeZtiou2Nt3Td+VwECLsEFRTe14mULivIoOvZmjh4J9sY9EE2udQN3gLcVDKOoqE0WHJY&#10;KLCmr4Kyy+7PKDimo3TDjtw6zX7lzyA+m8N+qdR7t11MQHhq/Sv8bH9rBZ/x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buR8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L3MQAAADcAAAADwAAAGRycy9kb3ducmV2LnhtbESP3WrCQBSE7wu+w3IE7+rGoFVSVxFF&#10;UJCCP5Db0+xpkpo9G7Orxrd3CwUvh5n5hpnOW1OJGzWutKxg0I9AEGdWl5wrOB3X7xMQziNrrCyT&#10;ggc5mM86b1NMtL3znm4Hn4sAYZeggsL7OpHSZQUZdH1bEwfvxzYGfZBNLnWD9wA3lYyj6EMaLDks&#10;FFjTsqDsfLgaBd/pOP1iR26bZhe5G8W/5nRcKdXrtotPEJ5a/wr/tzdawTAe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kvcxAAAANwAAAAPAAAAAAAAAAAA&#10;AAAAAKECAABkcnMvZG93bnJldi54bWxQSwUGAAAAAAQABAD5AAAAkgM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XfrsEAAADcAAAADwAAAGRycy9kb3ducmV2LnhtbERPy4rCMBTdC/MP4Q7MTlOLL6pRhhFh&#10;BkTwAd1em2tbbW5qk9H692YhuDyc92zRmkrcqHGlZQX9XgSCOLO65FzBYb/qTkA4j6yxskwKHuRg&#10;Mf/ozDDR9s5buu18LkIIuwQVFN7XiZQuK8ig69maOHAn2xj0ATa51A3eQ7ipZBxFI2mw5NBQYE0/&#10;BWWX3b9RcEzH6YYdub80u8r1MD6bw36p1Ndn+z0F4an1b/HL/asVDOK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d+u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6NcUAAADcAAAADwAAAGRycy9kb3ducmV2LnhtbESP3WrCQBSE7wu+w3KE3unGUKtGVymV&#10;ggUR/IHcHrPHJJo9G7NbTd/eLQi9HGbmG2a2aE0lbtS40rKCQT8CQZxZXXKu4LD/6o1BOI+ssbJM&#10;Cn7JwWLeeZlhou2dt3Tb+VwECLsEFRTe14mULivIoOvbmjh4J9sY9EE2udQN3gPcVDKOondpsOSw&#10;UGBNnwVll92PUXBMR+mGHbnvNLvK9TA+m8N+qdRrt/2YgvDU+v/ws73SCt7i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l6Nc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pFdcMAAADcAAAADwAAAGRycy9kb3ducmV2LnhtbERPW2vCMBR+F/Yfwhn4NtN52UZnlKEI&#10;CjJYK/T1LDlruzUntYla/715GPj48d3ny9424kydrx0reB4lIIi1MzWXCg755ukNhA/IBhvHpOBK&#10;HpaLh8EcU+Mu/EXnLJQihrBPUUEVQptK6XVFFv3ItcSR+3GdxRBhV0rT4SWG20aOk+RFWqw5NlTY&#10;0qoi/ZedrILv4rX4ZE9+V+ij3M/Gv/aQr5UaPvYf7yAC9eEu/ndvjYLpJM6PZ+IR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KRXXDAAAA3AAAAA8AAAAAAAAAAAAA&#10;AAAAoQIAAGRycy9kb3ducmV2LnhtbFBLBQYAAAAABAAEAPkAAACRAw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bg7sUAAADcAAAADwAAAGRycy9kb3ducmV2LnhtbESP3WrCQBSE7wt9h+UUeqcbU/+IrkEs&#10;BQtFMAq5PWaPSdrs2TS71fTtu4LQy2FmvmGWaW8acaHO1ZYVjIYRCOLC6ppLBcfD22AOwnlkjY1l&#10;UvBLDtLV48MSE22vvKdL5ksRIOwSVFB53yZSuqIig25oW+LgnW1n0AfZlVJ3eA1w08g4iqbSYM1h&#10;ocKWNhUVX9mPUXDKZ/mOHbn3vPiWH5P40xwPr0o9P/XrBQhPvf8P39tbrWD8MoLb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bg7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R+mcUAAADcAAAADwAAAGRycy9kb3ducmV2LnhtbESP3WrCQBSE7wu+w3KE3unG1KpEVymV&#10;ggUR/IHcHrPHJJo9G7NbTd/eLQi9HGbmG2a2aE0lbtS40rKCQT8CQZxZXXKu4LD/6k1AOI+ssbJM&#10;Cn7JwWLeeZlhou2dt3Tb+VwECLsEFRTe14mULivIoOvbmjh4J9sY9EE2udQN3gPcVDKOopE0WHJY&#10;KLCmz4Kyy+7HKDim43TDjtx3ml3l+j0+m8N+qdRrt/2YgvDU+v/ws73SCoZvM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R+mc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jbAsYAAADcAAAADwAAAGRycy9kb3ducmV2LnhtbESP3WrCQBSE7wu+w3KE3umm/rQlZhVp&#10;KVgQwRjI7Wn2mKRmz6bZraZv7wpCL4eZ+YZJVr1pxJk6V1tW8DSOQBAXVtdcKsgOH6NXEM4ja2ws&#10;k4I/crBaDh4SjLW98J7OqS9FgLCLUUHlfRtL6YqKDLqxbYmDd7SdQR9kV0rd4SXATSMnUfQsDdYc&#10;Fips6a2i4pT+GgVf+Uu+Y0fuMy9+5HY++TbZ4V2px2G/XoDw1Pv/8L290Qpm0ynczo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Y2wLGAAAA3AAAAA8AAAAAAAAA&#10;AAAAAAAAoQIAAGRycy9kb3ducmV2LnhtbFBLBQYAAAAABAAEAPkAAACUAw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FDdsUAAADcAAAADwAAAGRycy9kb3ducmV2LnhtbESPW2vCQBSE3wv+h+UIfasbL1WJriJK&#10;oYIIXiCvx+wxiWbPxuxW4793C4U+DjPzDTOdN6YUd6pdYVlBtxOBIE6tLjhTcDx8fYxBOI+ssbRM&#10;Cp7kYD5rvU0x1vbBO7rvfSYChF2MCnLvq1hKl+Zk0HVsRRy8s60N+iDrTOoaHwFuStmLoqE0WHBY&#10;yLGiZU7pdf9jFJySUbJlR26dpDe5+exdzPGwUuq93SwmIDw1/j/81/7WCgb9Afye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FDd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3m7cUAAADcAAAADwAAAGRycy9kb3ducmV2LnhtbESPW2vCQBSE34X+h+UU+qYbb61EN0Eq&#10;hQpF8AJ5PWaPSTR7Ns1uNf333YLg4zAz3zCLtDO1uFLrKssKhoMIBHFudcWFgsP+oz8D4Tyyxtoy&#10;KfglB2ny1FtgrO2Nt3Td+UIECLsYFZTeN7GULi/JoBvYhjh4J9sa9EG2hdQt3gLc1HIURa/SYMVh&#10;ocSG3kvKL7sfo+CYvWUbduTWWf4tv6ajsznsV0q9PHfLOQhPnX+E7+1PrWAynsL/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3m7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4msUAAADcAAAADwAAAGRycy9kb3ducmV2LnhtbESP3WrCQBSE7wXfYTmCd7rRtlqiq4hF&#10;sFAEfyC3p9ljEs2ejdlV49u7hYKXw8x8w0znjSnFjWpXWFYw6EcgiFOrC84UHPar3icI55E1lpZJ&#10;wYMczGft1hRjbe+8pdvOZyJA2MWoIPe+iqV0aU4GXd9WxME72tqgD7LOpK7xHuCmlMMoGkmDBYeF&#10;HCta5pSed1ej4DcZJxt25L6T9CJ/PoYnc9h/KdXtNIsJCE+Nf4X/22ut4P1tBH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94msUAAADcAAAADwAAAAAAAAAA&#10;AAAAAAChAgAAZHJzL2Rvd25yZXYueG1sUEsFBgAAAAAEAAQA+QAAAJMDA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dAcUAAADcAAAADwAAAGRycy9kb3ducmV2LnhtbESP3WrCQBSE7wXfYTmCd7rRtlqiq4hF&#10;sFAEfyC3p9ljEs2ejdlV49u7hYKXw8x8w0znjSnFjWpXWFYw6EcgiFOrC84UHPar3icI55E1lpZJ&#10;wYMczGft1hRjbe+8pdvOZyJA2MWoIPe+iqV0aU4GXd9WxME72tqgD7LOpK7xHuCmlMMoGkmDBYeF&#10;HCta5pSed1ej4DcZJxt25L6T9CJ/PoYnc9h/KdXtNIsJCE+Nf4X/22ut4P1tDH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PdAcUAAADcAAAADwAAAAAAAAAA&#10;AAAAAAChAgAAZHJzL2Rvd25yZXYueG1sUEsFBgAAAAAEAAQA+QAAAJMDA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Jc8MAAADcAAAADwAAAGRycy9kb3ducmV2LnhtbERPW2vCMBR+F/Yfwhn4NtN52UZnlKEI&#10;CjJYK/T1LDlruzUntYla/715GPj48d3ny9424kydrx0reB4lIIi1MzWXCg755ukNhA/IBhvHpOBK&#10;HpaLh8EcU+Mu/EXnLJQihrBPUUEVQptK6XVFFv3ItcSR+3GdxRBhV0rT4SWG20aOk+RFWqw5NlTY&#10;0qoi/ZedrILv4rX4ZE9+V+ij3M/Gv/aQr5UaPvYf7yAC9eEu/ndvjYLpJK6NZ+IR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8SXPDAAAA3AAAAA8AAAAAAAAAAAAA&#10;AAAAoQIAAGRycy9kb3ducmV2LnhtbFBLBQYAAAAABAAEAPkAAACRAw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s6MUAAADcAAAADwAAAGRycy9kb3ducmV2LnhtbESPQWvCQBSE74X+h+UVvNWNqbaaupFS&#10;ESqIUBVyfc0+k2j2bZpdNf33riD0OMzMN8x01planKl1lWUFg34Egji3uuJCwW67eB6DcB5ZY22Z&#10;FPyRg1n6+DDFRNsLf9N54wsRIOwSVFB63yRSurwkg65vG+Lg7W1r0AfZFlK3eAlwU8s4il6lwYrD&#10;QokNfZaUHzcno+Ane8vW7Mgts/xXrkbxwey2c6V6T93HOwhPnf8P39tfWsHwZQK3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Ds6MUAAADcAAAADwAAAAAAAAAA&#10;AAAAAAChAgAAZHJzL2Rvd25yZXYueG1sUEsFBgAAAAAEAAQA+QAAAJMDA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2CMAAAADcAAAADwAAAGRycy9kb3ducmV2LnhtbERPTYvCMBC9C/6HMII3TRV1l65RRBEU&#10;RFgVep1tZttqM6lN1PrvzUHw+Hjf03ljSnGn2hWWFQz6EQji1OqCMwWn47r3DcJ5ZI2lZVLwJAfz&#10;Wbs1xVjbB//S/eAzEULYxagg976KpXRpTgZd31bEgfu3tUEfYJ1JXeMjhJtSDqNoIg0WHBpyrGiZ&#10;U3o53IyCv+Qr2bMjt03Sq9yNh2dzOq6U6naaxQ8IT43/iN/ujVYwGoX54Uw4An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MNgjAAAAA3AAAAA8AAAAAAAAAAAAAAAAA&#10;oQIAAGRycy9kb3ducmV2LnhtbFBLBQYAAAAABAAEAPkAAACOAw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Tk8UAAADcAAAADwAAAGRycy9kb3ducmV2LnhtbESPQWvCQBSE7wX/w/IEb3Vj0LakrkEs&#10;hRak0Cjk+pp9JtHs25hdTfz3bqHQ4zAz3zDLdDCNuFLnassKZtMIBHFhdc2lgv3u/fEFhPPIGhvL&#10;pOBGDtLV6GGJibY9f9M186UIEHYJKqi8bxMpXVGRQTe1LXHwDrYz6IPsSqk77APcNDKOoidpsOaw&#10;UGFLm4qKU3YxCn7y5/yLHbnPvDjL7SI+mv3uTanJeFi/gvA0+P/wX/tDK5jPZ/B7Jhw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CTk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IN5MQAAADcAAAADwAAAGRycy9kb3ducmV2LnhtbESP3WrCQBSE7wu+w3IE7+rGoFWiq0hF&#10;UCgFfyC3x+wxiWbPptlV49t3CwUvh5n5hpktWlOJOzWutKxg0I9AEGdWl5wrOB7W7xMQziNrrCyT&#10;gic5WMw7bzNMtH3wju57n4sAYZeggsL7OpHSZQUZdH1bEwfvbBuDPsgml7rBR4CbSsZR9CENlhwW&#10;Cqzps6Dsur8ZBad0nH6zI7dNsx/5NYov5nhYKdXrtsspCE+tf4X/2xutYDiM4e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g3kxAAAANwAAAAPAAAAAAAAAAAA&#10;AAAAAKECAABkcnMvZG93bnJldi54bWxQSwUGAAAAAAQABAD5AAAAkgM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6of8UAAADcAAAADwAAAGRycy9kb3ducmV2LnhtbESPW2vCQBSE3wv+h+UIfasbL1WJriJK&#10;oYIIXiCvx+wxiWbPxuxW4793C4U+DjPzDTOdN6YUd6pdYVlBtxOBIE6tLjhTcDx8fYxBOI+ssbRM&#10;Cp7kYD5rvU0x1vbBO7rvfSYChF2MCnLvq1hKl+Zk0HVsRRy8s60N+iDrTOoaHwFuStmLoqE0WHBY&#10;yLGiZU7pdf9jFJySUbJlR26dpDe5+exdzPGwUuq93SwmIDw1/j/81/7WCgaDPvye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6of8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cwC8QAAADcAAAADwAAAGRycy9kb3ducmV2LnhtbESPQWvCQBSE74L/YXkFb7qppFWiq4il&#10;oCAFjZDrM/tM0mbfxuyq6b93CwWPw8x8w8yXnanFjVpXWVbwOopAEOdWV1woOKafwykI55E11pZJ&#10;wS85WC76vTkm2t55T7eDL0SAsEtQQel9k0jp8pIMupFtiIN3tq1BH2RbSN3iPcBNLcdR9C4NVhwW&#10;SmxoXVL+c7gaBadskn2xI7fN8ovcvY2/zTH9UGrw0q1mIDx1/hn+b2+0gjiO4e9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zAL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VkMUAAADcAAAADwAAAGRycy9kb3ducmV2LnhtbESPQWvCQBSE74L/YXmCN90YkrakriIW&#10;wUIpVIVcX7PPJJp9m2ZXk/77bqHQ4zAz3zDL9WAacafO1ZYVLOYRCOLC6ppLBafjbvYEwnlkjY1l&#10;UvBNDtar8WiJmbY9f9D94EsRIOwyVFB532ZSuqIig25uW+LgnW1n0AfZlVJ32Ae4aWQcRQ/SYM1h&#10;ocKWthUV18PNKPjMH/N3duRe8+JLvqXxxZyOL0pNJ8PmGYSnwf+H/9p7rSBJUv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uVkMUAAADcAAAADwAAAAAAAAAA&#10;AAAAAAChAgAAZHJzL2Rvd25yZXYueG1sUEsFBgAAAAAEAAQA+QAAAJM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L58QAAADcAAAADwAAAGRycy9kb3ducmV2LnhtbESPW4vCMBSE34X9D+Es7JumijeqUZaV&#10;BQURvEBfj82xrTYntYla//1mQfBxmJlvmOm8MaW4U+0Kywq6nQgEcWp1wZmCw/63PQbhPLLG0jIp&#10;eJKD+eyjNcVY2wdv6b7zmQgQdjEqyL2vYildmpNB17EVcfBOtjbog6wzqWt8BLgpZS+KhtJgwWEh&#10;x4p+ckovu5tRcExGyYYduVWSXuV60Dubw36h1Ndn8z0B4anx7/CrvdQK+v0h/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KQvnxAAAANwAAAAPAAAAAAAAAAAA&#10;AAAAAKECAABkcnMvZG93bnJldi54bWxQSwUGAAAAAAQABAD5AAAAkgMAAAAA&#10;" strokecolor="window"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DA" w:rsidRDefault="00FE42DA" w:rsidP="002620A4">
      <w:pPr>
        <w:spacing w:after="0"/>
      </w:pPr>
      <w:r>
        <w:separator/>
      </w:r>
    </w:p>
  </w:footnote>
  <w:footnote w:type="continuationSeparator" w:id="0">
    <w:p w:rsidR="00FE42DA" w:rsidRDefault="00FE42DA" w:rsidP="002620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C" w:rsidRDefault="00C3131C" w:rsidP="00C3131C">
    <w:pPr>
      <w:pStyle w:val="Header"/>
      <w:ind w:right="41"/>
      <w:jc w:val="right"/>
    </w:pPr>
    <w:r>
      <w:rPr>
        <w:noProof/>
      </w:rPr>
      <w:drawing>
        <wp:inline distT="0" distB="0" distL="0" distR="0" wp14:anchorId="27780764" wp14:editId="42C04691">
          <wp:extent cx="2162175" cy="1333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p w:rsidR="00C3131C" w:rsidRDefault="00C3131C" w:rsidP="00C31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1C" w:rsidRDefault="00C3131C" w:rsidP="00C3131C">
    <w:pPr>
      <w:pStyle w:val="Header"/>
      <w:ind w:right="41"/>
      <w:jc w:val="right"/>
    </w:pPr>
    <w:r>
      <w:rPr>
        <w:noProof/>
      </w:rPr>
      <mc:AlternateContent>
        <mc:Choice Requires="wps">
          <w:drawing>
            <wp:anchor distT="0" distB="0" distL="114300" distR="114300" simplePos="0" relativeHeight="251695104" behindDoc="0" locked="1" layoutInCell="1" allowOverlap="1" wp14:anchorId="013CB608" wp14:editId="111FFE9E">
              <wp:simplePos x="0" y="0"/>
              <wp:positionH relativeFrom="page">
                <wp:posOffset>419100</wp:posOffset>
              </wp:positionH>
              <wp:positionV relativeFrom="page">
                <wp:posOffset>342900</wp:posOffset>
              </wp:positionV>
              <wp:extent cx="6228715" cy="847725"/>
              <wp:effectExtent l="0" t="0" r="63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3131C" w:rsidRPr="001C38C1" w:rsidRDefault="00C3131C" w:rsidP="00DF2401">
                          <w:pPr>
                            <w:pStyle w:val="Title"/>
                          </w:pPr>
                          <w:r w:rsidRPr="001C38C1">
                            <w:t xml:space="preserve">Accounting </w:t>
                          </w:r>
                          <w:r w:rsidRPr="005A317D">
                            <w:t>policy</w:t>
                          </w:r>
                          <w:r w:rsidRPr="001C38C1">
                            <w:t xml:space="preserve"> update</w:t>
                          </w:r>
                        </w:p>
                        <w:p w:rsidR="00C3131C" w:rsidRPr="001C38C1" w:rsidRDefault="004138CF" w:rsidP="00DF2401">
                          <w:pPr>
                            <w:pStyle w:val="Subtitle"/>
                          </w:pPr>
                          <w:r>
                            <w:t>Newsletter</w:t>
                          </w:r>
                          <w:r w:rsidR="00167818">
                            <w:t xml:space="preserve"> – </w:t>
                          </w:r>
                          <w:r>
                            <w:t xml:space="preserve">Edition No. 28, </w:t>
                          </w:r>
                          <w:r w:rsidRPr="005A317D">
                            <w:t>July</w:t>
                          </w:r>
                          <w:r w:rsidR="00C3131C" w:rsidRPr="001C38C1">
                            <w:t xml:space="preserve"> </w:t>
                          </w:r>
                          <w:r w:rsidR="00C3131C" w:rsidRPr="00DF2401">
                            <w:t>2015</w:t>
                          </w:r>
                        </w:p>
                        <w:p w:rsidR="00C3131C" w:rsidRDefault="00C3131C" w:rsidP="00C3131C"/>
                        <w:p w:rsidR="00C3131C" w:rsidRPr="00607F49" w:rsidRDefault="00C3131C" w:rsidP="00C3131C">
                          <w:pPr>
                            <w:pStyle w:val="NewsletterTitle"/>
                          </w:pPr>
                          <w:r w:rsidRPr="00607F49">
                            <w:t>Accounting policy update</w:t>
                          </w:r>
                        </w:p>
                        <w:p w:rsidR="00C3131C" w:rsidRPr="00607F49" w:rsidRDefault="00C3131C" w:rsidP="00C3131C">
                          <w:pPr>
                            <w:pStyle w:val="NewsletterSubtitle"/>
                          </w:pPr>
                          <w:r w:rsidRPr="00607F49">
                            <w:t>Newsletter</w:t>
                          </w:r>
                          <w:r w:rsidR="00167818">
                            <w:t xml:space="preserve"> – </w:t>
                          </w:r>
                          <w:r w:rsidRPr="00607F49">
                            <w:t>Edition No. xx, Month 2013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pt;margin-top:27pt;width:490.45pt;height:66.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VtrwIAAKk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" filled="f" stroked="f" strokeweight=".5pt">
              <v:textbox inset="0,0,0,0">
                <w:txbxContent>
                  <w:p w:rsidR="00C3131C" w:rsidRPr="001C38C1" w:rsidRDefault="00C3131C" w:rsidP="00DF2401">
                    <w:pPr>
                      <w:pStyle w:val="Title"/>
                    </w:pPr>
                    <w:r w:rsidRPr="001C38C1">
                      <w:t xml:space="preserve">Accounting </w:t>
                    </w:r>
                    <w:r w:rsidRPr="005A317D">
                      <w:t>policy</w:t>
                    </w:r>
                    <w:r w:rsidRPr="001C38C1">
                      <w:t xml:space="preserve"> update</w:t>
                    </w:r>
                  </w:p>
                  <w:p w:rsidR="00C3131C" w:rsidRPr="001C38C1" w:rsidRDefault="004138CF" w:rsidP="00DF2401">
                    <w:pPr>
                      <w:pStyle w:val="Subtitle"/>
                    </w:pPr>
                    <w:r>
                      <w:t>Newsletter</w:t>
                    </w:r>
                    <w:r w:rsidR="00167818">
                      <w:t xml:space="preserve"> – </w:t>
                    </w:r>
                    <w:r>
                      <w:t xml:space="preserve">Edition No. 28, </w:t>
                    </w:r>
                    <w:r w:rsidRPr="005A317D">
                      <w:t>July</w:t>
                    </w:r>
                    <w:r w:rsidR="00C3131C" w:rsidRPr="001C38C1">
                      <w:t xml:space="preserve"> </w:t>
                    </w:r>
                    <w:r w:rsidR="00C3131C" w:rsidRPr="00DF2401">
                      <w:t>2015</w:t>
                    </w:r>
                  </w:p>
                  <w:p w:rsidR="00C3131C" w:rsidRDefault="00C3131C" w:rsidP="00C3131C"/>
                  <w:p w:rsidR="00C3131C" w:rsidRPr="00607F49" w:rsidRDefault="00C3131C" w:rsidP="00C3131C">
                    <w:pPr>
                      <w:pStyle w:val="NewsletterTitle"/>
                    </w:pPr>
                    <w:r w:rsidRPr="00607F49">
                      <w:t>Accounting policy update</w:t>
                    </w:r>
                  </w:p>
                  <w:p w:rsidR="00C3131C" w:rsidRPr="00607F49" w:rsidRDefault="00C3131C" w:rsidP="00C3131C">
                    <w:pPr>
                      <w:pStyle w:val="NewsletterSubtitle"/>
                    </w:pPr>
                    <w:r w:rsidRPr="00607F49">
                      <w:t>Newsletter</w:t>
                    </w:r>
                    <w:r w:rsidR="00167818">
                      <w:t xml:space="preserve"> – </w:t>
                    </w:r>
                    <w:r w:rsidRPr="00607F49">
                      <w:t>Edition No. xx, Month 2013</w:t>
                    </w:r>
                  </w:p>
                </w:txbxContent>
              </v:textbox>
              <w10:wrap anchorx="page" anchory="page"/>
              <w10:anchorlock/>
            </v:shape>
          </w:pict>
        </mc:Fallback>
      </mc:AlternateContent>
    </w:r>
    <w:r>
      <w:rPr>
        <w:noProof/>
      </w:rPr>
      <w:drawing>
        <wp:inline distT="0" distB="0" distL="0" distR="0" wp14:anchorId="13779F3C" wp14:editId="6F2489BD">
          <wp:extent cx="2162175" cy="133350"/>
          <wp:effectExtent l="0" t="0" r="9525"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Pr>
        <w:noProof/>
      </w:rPr>
      <w:drawing>
        <wp:anchor distT="0" distB="0" distL="114300" distR="114300" simplePos="0" relativeHeight="251689984" behindDoc="1" locked="0" layoutInCell="1" allowOverlap="1" wp14:anchorId="67C4FE0C" wp14:editId="0B53077A">
          <wp:simplePos x="0" y="0"/>
          <wp:positionH relativeFrom="page">
            <wp:posOffset>528955</wp:posOffset>
          </wp:positionH>
          <wp:positionV relativeFrom="page">
            <wp:posOffset>1194435</wp:posOffset>
          </wp:positionV>
          <wp:extent cx="7205345" cy="605790"/>
          <wp:effectExtent l="0" t="0" r="0" b="3810"/>
          <wp:wrapNone/>
          <wp:docPr id="45" name="Picture 45" descr="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Sheet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534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131C" w:rsidRDefault="00C3131C" w:rsidP="00C3131C">
    <w:pPr>
      <w:pStyle w:val="Header"/>
    </w:pPr>
  </w:p>
  <w:p w:rsidR="00C3131C" w:rsidRDefault="00C3131C" w:rsidP="00C3131C">
    <w:pPr>
      <w:pStyle w:val="Header"/>
    </w:pPr>
  </w:p>
  <w:p w:rsidR="00C3131C" w:rsidRPr="00C3131C" w:rsidRDefault="00C3131C" w:rsidP="00C31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
    <w:nsid w:val="446D3A6A"/>
    <w:multiLevelType w:val="multilevel"/>
    <w:tmpl w:val="CA42BB1A"/>
    <w:lvl w:ilvl="0">
      <w:start w:val="1"/>
      <w:numFmt w:val="bullet"/>
      <w:pStyle w:val="NewsletterBullet1"/>
      <w:lvlText w:val=""/>
      <w:lvlJc w:val="left"/>
      <w:pPr>
        <w:tabs>
          <w:tab w:val="num" w:pos="283"/>
        </w:tabs>
        <w:ind w:left="283" w:hanging="283"/>
      </w:pPr>
      <w:rPr>
        <w:rFonts w:ascii="Symbol" w:hAnsi="Symbol" w:hint="default"/>
        <w:b w:val="0"/>
        <w:i w:val="0"/>
        <w:vanish w:val="0"/>
        <w:color w:val="auto"/>
        <w:sz w:val="18"/>
      </w:rPr>
    </w:lvl>
    <w:lvl w:ilvl="1">
      <w:start w:val="1"/>
      <w:numFmt w:val="bullet"/>
      <w:pStyle w:val="NewsletterBullet2"/>
      <w:lvlText w:val="–"/>
      <w:lvlJc w:val="left"/>
      <w:pPr>
        <w:tabs>
          <w:tab w:val="num" w:pos="567"/>
        </w:tabs>
        <w:ind w:left="567" w:hanging="284"/>
      </w:pPr>
      <w:rPr>
        <w:rFonts w:ascii="Calibri" w:hAnsi="Calibri" w:hint="default"/>
        <w:b w:val="0"/>
        <w:i w:val="0"/>
        <w:vanish w:val="0"/>
        <w:color w:val="auto"/>
        <w:sz w:val="18"/>
      </w:rPr>
    </w:lvl>
    <w:lvl w:ilvl="2">
      <w:start w:val="1"/>
      <w:numFmt w:val="bullet"/>
      <w:pStyle w:val="NewsletterBullet3"/>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2">
    <w:nsid w:val="75B57864"/>
    <w:multiLevelType w:val="hybridMultilevel"/>
    <w:tmpl w:val="E784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305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5C"/>
    <w:rsid w:val="000005BE"/>
    <w:rsid w:val="00003AB2"/>
    <w:rsid w:val="00004DD1"/>
    <w:rsid w:val="0001142B"/>
    <w:rsid w:val="000117EE"/>
    <w:rsid w:val="00011B1B"/>
    <w:rsid w:val="00011D95"/>
    <w:rsid w:val="00013019"/>
    <w:rsid w:val="000131C9"/>
    <w:rsid w:val="00014680"/>
    <w:rsid w:val="00015695"/>
    <w:rsid w:val="00016415"/>
    <w:rsid w:val="000167AB"/>
    <w:rsid w:val="00016C21"/>
    <w:rsid w:val="00020839"/>
    <w:rsid w:val="00022CEB"/>
    <w:rsid w:val="0002693F"/>
    <w:rsid w:val="00037844"/>
    <w:rsid w:val="00042C41"/>
    <w:rsid w:val="0004394A"/>
    <w:rsid w:val="00043A0B"/>
    <w:rsid w:val="000472F4"/>
    <w:rsid w:val="00047D42"/>
    <w:rsid w:val="00050004"/>
    <w:rsid w:val="00055887"/>
    <w:rsid w:val="000562F7"/>
    <w:rsid w:val="00056E07"/>
    <w:rsid w:val="000604D5"/>
    <w:rsid w:val="000622F3"/>
    <w:rsid w:val="00067C51"/>
    <w:rsid w:val="0007073E"/>
    <w:rsid w:val="00070EAC"/>
    <w:rsid w:val="0007116B"/>
    <w:rsid w:val="0007275C"/>
    <w:rsid w:val="00072B77"/>
    <w:rsid w:val="00073066"/>
    <w:rsid w:val="00073142"/>
    <w:rsid w:val="000755B9"/>
    <w:rsid w:val="00075DAD"/>
    <w:rsid w:val="00076543"/>
    <w:rsid w:val="0008090B"/>
    <w:rsid w:val="00085F6F"/>
    <w:rsid w:val="000907B3"/>
    <w:rsid w:val="0009397F"/>
    <w:rsid w:val="000A00D6"/>
    <w:rsid w:val="000A3DD8"/>
    <w:rsid w:val="000A4B72"/>
    <w:rsid w:val="000A5134"/>
    <w:rsid w:val="000A6242"/>
    <w:rsid w:val="000A6D68"/>
    <w:rsid w:val="000A728F"/>
    <w:rsid w:val="000C149F"/>
    <w:rsid w:val="000C4B14"/>
    <w:rsid w:val="000C4D60"/>
    <w:rsid w:val="000C7C38"/>
    <w:rsid w:val="000D2D68"/>
    <w:rsid w:val="000D41B1"/>
    <w:rsid w:val="000D507C"/>
    <w:rsid w:val="000D6FE5"/>
    <w:rsid w:val="000D79BA"/>
    <w:rsid w:val="000E1E37"/>
    <w:rsid w:val="000E515D"/>
    <w:rsid w:val="000E5812"/>
    <w:rsid w:val="000F39DE"/>
    <w:rsid w:val="000F3DAE"/>
    <w:rsid w:val="000F74EE"/>
    <w:rsid w:val="00101DCF"/>
    <w:rsid w:val="001027E8"/>
    <w:rsid w:val="00102FAB"/>
    <w:rsid w:val="001037CC"/>
    <w:rsid w:val="00104502"/>
    <w:rsid w:val="00107BAE"/>
    <w:rsid w:val="00110880"/>
    <w:rsid w:val="00112516"/>
    <w:rsid w:val="00114693"/>
    <w:rsid w:val="00114B11"/>
    <w:rsid w:val="0011679B"/>
    <w:rsid w:val="00116F0B"/>
    <w:rsid w:val="001172AD"/>
    <w:rsid w:val="00123B68"/>
    <w:rsid w:val="00124047"/>
    <w:rsid w:val="0012494E"/>
    <w:rsid w:val="001250D0"/>
    <w:rsid w:val="00125ABB"/>
    <w:rsid w:val="00127EE5"/>
    <w:rsid w:val="00136A22"/>
    <w:rsid w:val="00141537"/>
    <w:rsid w:val="00142370"/>
    <w:rsid w:val="00143829"/>
    <w:rsid w:val="00143C08"/>
    <w:rsid w:val="00144145"/>
    <w:rsid w:val="00144E0D"/>
    <w:rsid w:val="00145167"/>
    <w:rsid w:val="001453D4"/>
    <w:rsid w:val="00145528"/>
    <w:rsid w:val="001469E0"/>
    <w:rsid w:val="00150807"/>
    <w:rsid w:val="00151052"/>
    <w:rsid w:val="00154BAE"/>
    <w:rsid w:val="0016022F"/>
    <w:rsid w:val="00161242"/>
    <w:rsid w:val="00161B1F"/>
    <w:rsid w:val="0016260D"/>
    <w:rsid w:val="00164666"/>
    <w:rsid w:val="00164F59"/>
    <w:rsid w:val="0016715B"/>
    <w:rsid w:val="00167818"/>
    <w:rsid w:val="00170508"/>
    <w:rsid w:val="00171E10"/>
    <w:rsid w:val="0017264F"/>
    <w:rsid w:val="001726F1"/>
    <w:rsid w:val="00174F43"/>
    <w:rsid w:val="00176D6B"/>
    <w:rsid w:val="00177A4C"/>
    <w:rsid w:val="00184F8B"/>
    <w:rsid w:val="00190B64"/>
    <w:rsid w:val="0019206D"/>
    <w:rsid w:val="00196590"/>
    <w:rsid w:val="00197470"/>
    <w:rsid w:val="001A189D"/>
    <w:rsid w:val="001A3B80"/>
    <w:rsid w:val="001A459C"/>
    <w:rsid w:val="001B2727"/>
    <w:rsid w:val="001B49F3"/>
    <w:rsid w:val="001C0573"/>
    <w:rsid w:val="001C07C0"/>
    <w:rsid w:val="001C0CFA"/>
    <w:rsid w:val="001C0E51"/>
    <w:rsid w:val="001C1338"/>
    <w:rsid w:val="001C2E40"/>
    <w:rsid w:val="001C2FC3"/>
    <w:rsid w:val="001C38C1"/>
    <w:rsid w:val="001C3EF8"/>
    <w:rsid w:val="001C4B57"/>
    <w:rsid w:val="001C54D9"/>
    <w:rsid w:val="001C5838"/>
    <w:rsid w:val="001C61F7"/>
    <w:rsid w:val="001C76F4"/>
    <w:rsid w:val="001D0E6B"/>
    <w:rsid w:val="001D56CC"/>
    <w:rsid w:val="001E1526"/>
    <w:rsid w:val="001E31A5"/>
    <w:rsid w:val="001E38AB"/>
    <w:rsid w:val="001E3E38"/>
    <w:rsid w:val="001F4688"/>
    <w:rsid w:val="002036D5"/>
    <w:rsid w:val="00205CF7"/>
    <w:rsid w:val="00211976"/>
    <w:rsid w:val="00213277"/>
    <w:rsid w:val="00213551"/>
    <w:rsid w:val="00214C31"/>
    <w:rsid w:val="00217853"/>
    <w:rsid w:val="00220B6F"/>
    <w:rsid w:val="00221CD7"/>
    <w:rsid w:val="00223283"/>
    <w:rsid w:val="002246F0"/>
    <w:rsid w:val="00226EC8"/>
    <w:rsid w:val="00227520"/>
    <w:rsid w:val="002308ED"/>
    <w:rsid w:val="00230D26"/>
    <w:rsid w:val="0023271A"/>
    <w:rsid w:val="00233FC3"/>
    <w:rsid w:val="00235EE0"/>
    <w:rsid w:val="00237B56"/>
    <w:rsid w:val="00240EBC"/>
    <w:rsid w:val="00243A01"/>
    <w:rsid w:val="00246CDA"/>
    <w:rsid w:val="00251F21"/>
    <w:rsid w:val="0025204B"/>
    <w:rsid w:val="002546BD"/>
    <w:rsid w:val="00255A77"/>
    <w:rsid w:val="002570D8"/>
    <w:rsid w:val="0026093D"/>
    <w:rsid w:val="00261A30"/>
    <w:rsid w:val="002620A4"/>
    <w:rsid w:val="0026349D"/>
    <w:rsid w:val="00265893"/>
    <w:rsid w:val="002709FB"/>
    <w:rsid w:val="00270A21"/>
    <w:rsid w:val="00270A7B"/>
    <w:rsid w:val="002721DE"/>
    <w:rsid w:val="0027415C"/>
    <w:rsid w:val="002750AC"/>
    <w:rsid w:val="00280E59"/>
    <w:rsid w:val="002816E9"/>
    <w:rsid w:val="00281F4A"/>
    <w:rsid w:val="0028402F"/>
    <w:rsid w:val="00284340"/>
    <w:rsid w:val="00285A9E"/>
    <w:rsid w:val="00286F5D"/>
    <w:rsid w:val="00287272"/>
    <w:rsid w:val="002909CF"/>
    <w:rsid w:val="00290F86"/>
    <w:rsid w:val="002959F3"/>
    <w:rsid w:val="00295DA9"/>
    <w:rsid w:val="00296017"/>
    <w:rsid w:val="00296AA1"/>
    <w:rsid w:val="002A1FB3"/>
    <w:rsid w:val="002A324D"/>
    <w:rsid w:val="002A515A"/>
    <w:rsid w:val="002A68B2"/>
    <w:rsid w:val="002B0427"/>
    <w:rsid w:val="002B0DFC"/>
    <w:rsid w:val="002B0F37"/>
    <w:rsid w:val="002B26B2"/>
    <w:rsid w:val="002B2BA9"/>
    <w:rsid w:val="002B312F"/>
    <w:rsid w:val="002B466F"/>
    <w:rsid w:val="002B5039"/>
    <w:rsid w:val="002B7A50"/>
    <w:rsid w:val="002C0986"/>
    <w:rsid w:val="002C0E81"/>
    <w:rsid w:val="002C1688"/>
    <w:rsid w:val="002C25D0"/>
    <w:rsid w:val="002C35A8"/>
    <w:rsid w:val="002C3DE3"/>
    <w:rsid w:val="002C7AB1"/>
    <w:rsid w:val="002D432A"/>
    <w:rsid w:val="002D61E4"/>
    <w:rsid w:val="002D7228"/>
    <w:rsid w:val="002D75FE"/>
    <w:rsid w:val="002E03E6"/>
    <w:rsid w:val="002E1667"/>
    <w:rsid w:val="002E3B6E"/>
    <w:rsid w:val="002E4541"/>
    <w:rsid w:val="002E5726"/>
    <w:rsid w:val="002E6CB9"/>
    <w:rsid w:val="002F0305"/>
    <w:rsid w:val="002F2F53"/>
    <w:rsid w:val="002F38AE"/>
    <w:rsid w:val="002F523E"/>
    <w:rsid w:val="002F66E6"/>
    <w:rsid w:val="0030238C"/>
    <w:rsid w:val="00302E4C"/>
    <w:rsid w:val="00302F3A"/>
    <w:rsid w:val="003037F9"/>
    <w:rsid w:val="00304BE2"/>
    <w:rsid w:val="003068A4"/>
    <w:rsid w:val="00311C96"/>
    <w:rsid w:val="00312DD3"/>
    <w:rsid w:val="0031399E"/>
    <w:rsid w:val="0031473F"/>
    <w:rsid w:val="0031599E"/>
    <w:rsid w:val="00315B01"/>
    <w:rsid w:val="00321127"/>
    <w:rsid w:val="00322950"/>
    <w:rsid w:val="00322F68"/>
    <w:rsid w:val="00325E5D"/>
    <w:rsid w:val="003260F6"/>
    <w:rsid w:val="0032624A"/>
    <w:rsid w:val="003264DE"/>
    <w:rsid w:val="003272D6"/>
    <w:rsid w:val="003312A9"/>
    <w:rsid w:val="00331AB8"/>
    <w:rsid w:val="00333559"/>
    <w:rsid w:val="00333AF5"/>
    <w:rsid w:val="00333D5A"/>
    <w:rsid w:val="00340CCA"/>
    <w:rsid w:val="00343086"/>
    <w:rsid w:val="00343AB2"/>
    <w:rsid w:val="003454BA"/>
    <w:rsid w:val="00345F09"/>
    <w:rsid w:val="00346930"/>
    <w:rsid w:val="00346CF6"/>
    <w:rsid w:val="00347EED"/>
    <w:rsid w:val="0035052F"/>
    <w:rsid w:val="003508EB"/>
    <w:rsid w:val="003515BD"/>
    <w:rsid w:val="0035167F"/>
    <w:rsid w:val="00352E0B"/>
    <w:rsid w:val="00353BC7"/>
    <w:rsid w:val="0035743E"/>
    <w:rsid w:val="00360823"/>
    <w:rsid w:val="00361268"/>
    <w:rsid w:val="0036494F"/>
    <w:rsid w:val="003652E1"/>
    <w:rsid w:val="00367872"/>
    <w:rsid w:val="0037004D"/>
    <w:rsid w:val="00373280"/>
    <w:rsid w:val="00373643"/>
    <w:rsid w:val="00374D78"/>
    <w:rsid w:val="00376FC8"/>
    <w:rsid w:val="00384ED2"/>
    <w:rsid w:val="003926EA"/>
    <w:rsid w:val="00393927"/>
    <w:rsid w:val="003968C0"/>
    <w:rsid w:val="00396B49"/>
    <w:rsid w:val="00396E95"/>
    <w:rsid w:val="003A1B15"/>
    <w:rsid w:val="003A216E"/>
    <w:rsid w:val="003A27FA"/>
    <w:rsid w:val="003A34E2"/>
    <w:rsid w:val="003A3A20"/>
    <w:rsid w:val="003A48C4"/>
    <w:rsid w:val="003A4B02"/>
    <w:rsid w:val="003A62DC"/>
    <w:rsid w:val="003B04AF"/>
    <w:rsid w:val="003B1A5A"/>
    <w:rsid w:val="003C0D7A"/>
    <w:rsid w:val="003C32C1"/>
    <w:rsid w:val="003C446A"/>
    <w:rsid w:val="003C65E4"/>
    <w:rsid w:val="003C70A1"/>
    <w:rsid w:val="003D3EDA"/>
    <w:rsid w:val="003D6CD4"/>
    <w:rsid w:val="003D70D2"/>
    <w:rsid w:val="003E7C1C"/>
    <w:rsid w:val="003F016A"/>
    <w:rsid w:val="003F03B3"/>
    <w:rsid w:val="003F075C"/>
    <w:rsid w:val="003F085C"/>
    <w:rsid w:val="003F1CB0"/>
    <w:rsid w:val="003F2B15"/>
    <w:rsid w:val="003F31CE"/>
    <w:rsid w:val="003F36C3"/>
    <w:rsid w:val="003F6DB0"/>
    <w:rsid w:val="004009F8"/>
    <w:rsid w:val="00401F8A"/>
    <w:rsid w:val="0040230A"/>
    <w:rsid w:val="00402EE5"/>
    <w:rsid w:val="004050B9"/>
    <w:rsid w:val="0040685C"/>
    <w:rsid w:val="00407CF9"/>
    <w:rsid w:val="00411ED6"/>
    <w:rsid w:val="00413492"/>
    <w:rsid w:val="004138CF"/>
    <w:rsid w:val="00415A6A"/>
    <w:rsid w:val="00415CFC"/>
    <w:rsid w:val="004171A2"/>
    <w:rsid w:val="00417353"/>
    <w:rsid w:val="00420AD9"/>
    <w:rsid w:val="00421171"/>
    <w:rsid w:val="00421201"/>
    <w:rsid w:val="00421402"/>
    <w:rsid w:val="00422591"/>
    <w:rsid w:val="004227D9"/>
    <w:rsid w:val="004228F9"/>
    <w:rsid w:val="00423106"/>
    <w:rsid w:val="00430F16"/>
    <w:rsid w:val="0043320C"/>
    <w:rsid w:val="004332E9"/>
    <w:rsid w:val="00434242"/>
    <w:rsid w:val="00436C3F"/>
    <w:rsid w:val="004376CF"/>
    <w:rsid w:val="0044120D"/>
    <w:rsid w:val="00444573"/>
    <w:rsid w:val="00445EFD"/>
    <w:rsid w:val="00447F34"/>
    <w:rsid w:val="00455EA2"/>
    <w:rsid w:val="004572FA"/>
    <w:rsid w:val="00457D4D"/>
    <w:rsid w:val="00460351"/>
    <w:rsid w:val="00462BE3"/>
    <w:rsid w:val="0046427D"/>
    <w:rsid w:val="00467669"/>
    <w:rsid w:val="004739BC"/>
    <w:rsid w:val="004749BC"/>
    <w:rsid w:val="00474D6E"/>
    <w:rsid w:val="00476BE3"/>
    <w:rsid w:val="004830BC"/>
    <w:rsid w:val="00485344"/>
    <w:rsid w:val="00485E23"/>
    <w:rsid w:val="00486940"/>
    <w:rsid w:val="00490E66"/>
    <w:rsid w:val="00491CA4"/>
    <w:rsid w:val="00491CC5"/>
    <w:rsid w:val="0049765F"/>
    <w:rsid w:val="00497AF6"/>
    <w:rsid w:val="004A1859"/>
    <w:rsid w:val="004A2DF4"/>
    <w:rsid w:val="004A374B"/>
    <w:rsid w:val="004A6357"/>
    <w:rsid w:val="004B027D"/>
    <w:rsid w:val="004B05DD"/>
    <w:rsid w:val="004B10CD"/>
    <w:rsid w:val="004B166E"/>
    <w:rsid w:val="004B17B1"/>
    <w:rsid w:val="004B20E6"/>
    <w:rsid w:val="004B3EFE"/>
    <w:rsid w:val="004B443C"/>
    <w:rsid w:val="004B4EFB"/>
    <w:rsid w:val="004B737C"/>
    <w:rsid w:val="004C676C"/>
    <w:rsid w:val="004D03EB"/>
    <w:rsid w:val="004D4052"/>
    <w:rsid w:val="004D40C9"/>
    <w:rsid w:val="004D582C"/>
    <w:rsid w:val="004E012F"/>
    <w:rsid w:val="004E0DB3"/>
    <w:rsid w:val="004E17E7"/>
    <w:rsid w:val="004E2AA1"/>
    <w:rsid w:val="004E36DF"/>
    <w:rsid w:val="004E73FC"/>
    <w:rsid w:val="004E7DF4"/>
    <w:rsid w:val="004E7F85"/>
    <w:rsid w:val="004F1272"/>
    <w:rsid w:val="004F3762"/>
    <w:rsid w:val="004F3CCC"/>
    <w:rsid w:val="004F4794"/>
    <w:rsid w:val="00501EBB"/>
    <w:rsid w:val="00502FD2"/>
    <w:rsid w:val="00503D16"/>
    <w:rsid w:val="0050534F"/>
    <w:rsid w:val="005056B2"/>
    <w:rsid w:val="00506D07"/>
    <w:rsid w:val="0051104C"/>
    <w:rsid w:val="005111F6"/>
    <w:rsid w:val="0051126B"/>
    <w:rsid w:val="00511B4B"/>
    <w:rsid w:val="005122E0"/>
    <w:rsid w:val="005168F2"/>
    <w:rsid w:val="00523E09"/>
    <w:rsid w:val="00524559"/>
    <w:rsid w:val="00524C11"/>
    <w:rsid w:val="00526DB5"/>
    <w:rsid w:val="00527C37"/>
    <w:rsid w:val="00530524"/>
    <w:rsid w:val="00530793"/>
    <w:rsid w:val="00531D00"/>
    <w:rsid w:val="00533A74"/>
    <w:rsid w:val="00535942"/>
    <w:rsid w:val="00536C7D"/>
    <w:rsid w:val="005375C6"/>
    <w:rsid w:val="00542B5C"/>
    <w:rsid w:val="00544133"/>
    <w:rsid w:val="00544770"/>
    <w:rsid w:val="00544C2C"/>
    <w:rsid w:val="00546803"/>
    <w:rsid w:val="00550A5C"/>
    <w:rsid w:val="00551F8F"/>
    <w:rsid w:val="005555A9"/>
    <w:rsid w:val="0055568A"/>
    <w:rsid w:val="00555DCE"/>
    <w:rsid w:val="0056048C"/>
    <w:rsid w:val="00561D4C"/>
    <w:rsid w:val="00561D5E"/>
    <w:rsid w:val="00564324"/>
    <w:rsid w:val="00564AD7"/>
    <w:rsid w:val="00565AE6"/>
    <w:rsid w:val="00573382"/>
    <w:rsid w:val="00580749"/>
    <w:rsid w:val="005819A1"/>
    <w:rsid w:val="005828A4"/>
    <w:rsid w:val="00583827"/>
    <w:rsid w:val="005950F5"/>
    <w:rsid w:val="0059798D"/>
    <w:rsid w:val="005A069D"/>
    <w:rsid w:val="005A14D8"/>
    <w:rsid w:val="005A317D"/>
    <w:rsid w:val="005A4792"/>
    <w:rsid w:val="005A4B86"/>
    <w:rsid w:val="005A784B"/>
    <w:rsid w:val="005A7A13"/>
    <w:rsid w:val="005B05F3"/>
    <w:rsid w:val="005B36D7"/>
    <w:rsid w:val="005B6D18"/>
    <w:rsid w:val="005C03BB"/>
    <w:rsid w:val="005C0D35"/>
    <w:rsid w:val="005C29F1"/>
    <w:rsid w:val="005C334E"/>
    <w:rsid w:val="005C40FD"/>
    <w:rsid w:val="005C69A3"/>
    <w:rsid w:val="005D1A3C"/>
    <w:rsid w:val="005D1AC8"/>
    <w:rsid w:val="005D2D80"/>
    <w:rsid w:val="005D3320"/>
    <w:rsid w:val="005D429D"/>
    <w:rsid w:val="005D6EF3"/>
    <w:rsid w:val="005E14B3"/>
    <w:rsid w:val="005E36C9"/>
    <w:rsid w:val="005E65B0"/>
    <w:rsid w:val="005E6E69"/>
    <w:rsid w:val="005F0C0E"/>
    <w:rsid w:val="005F0EA2"/>
    <w:rsid w:val="005F1D76"/>
    <w:rsid w:val="005F37B9"/>
    <w:rsid w:val="005F4D37"/>
    <w:rsid w:val="00600AC4"/>
    <w:rsid w:val="00600B66"/>
    <w:rsid w:val="00601516"/>
    <w:rsid w:val="00602BEC"/>
    <w:rsid w:val="00604F9C"/>
    <w:rsid w:val="00606352"/>
    <w:rsid w:val="006075DD"/>
    <w:rsid w:val="00607F3D"/>
    <w:rsid w:val="0061456C"/>
    <w:rsid w:val="00614675"/>
    <w:rsid w:val="00615193"/>
    <w:rsid w:val="00620BCA"/>
    <w:rsid w:val="00621132"/>
    <w:rsid w:val="00622DD4"/>
    <w:rsid w:val="006309D1"/>
    <w:rsid w:val="00632867"/>
    <w:rsid w:val="0063293E"/>
    <w:rsid w:val="00632BB8"/>
    <w:rsid w:val="00632DAE"/>
    <w:rsid w:val="00636F43"/>
    <w:rsid w:val="00641D99"/>
    <w:rsid w:val="006447F8"/>
    <w:rsid w:val="00644812"/>
    <w:rsid w:val="00645EE2"/>
    <w:rsid w:val="006461E9"/>
    <w:rsid w:val="00646B57"/>
    <w:rsid w:val="00652789"/>
    <w:rsid w:val="006533C1"/>
    <w:rsid w:val="00657084"/>
    <w:rsid w:val="006611D4"/>
    <w:rsid w:val="00665A4B"/>
    <w:rsid w:val="0066716B"/>
    <w:rsid w:val="006702BC"/>
    <w:rsid w:val="00670B95"/>
    <w:rsid w:val="00672ED6"/>
    <w:rsid w:val="00672F5A"/>
    <w:rsid w:val="00675C81"/>
    <w:rsid w:val="006763FB"/>
    <w:rsid w:val="00677ACE"/>
    <w:rsid w:val="00680ABE"/>
    <w:rsid w:val="00681D1C"/>
    <w:rsid w:val="006821FA"/>
    <w:rsid w:val="00682B26"/>
    <w:rsid w:val="006852F6"/>
    <w:rsid w:val="00685510"/>
    <w:rsid w:val="0068667D"/>
    <w:rsid w:val="0068706A"/>
    <w:rsid w:val="00690627"/>
    <w:rsid w:val="00690BA2"/>
    <w:rsid w:val="006920D6"/>
    <w:rsid w:val="00693331"/>
    <w:rsid w:val="0069421C"/>
    <w:rsid w:val="00694739"/>
    <w:rsid w:val="0069609B"/>
    <w:rsid w:val="006A0DD2"/>
    <w:rsid w:val="006A0FC2"/>
    <w:rsid w:val="006A142D"/>
    <w:rsid w:val="006A189A"/>
    <w:rsid w:val="006A19BD"/>
    <w:rsid w:val="006A332D"/>
    <w:rsid w:val="006A4328"/>
    <w:rsid w:val="006A5D3C"/>
    <w:rsid w:val="006A78AA"/>
    <w:rsid w:val="006B0B07"/>
    <w:rsid w:val="006B1583"/>
    <w:rsid w:val="006B278D"/>
    <w:rsid w:val="006B2C4A"/>
    <w:rsid w:val="006B33C9"/>
    <w:rsid w:val="006B3A50"/>
    <w:rsid w:val="006B45F7"/>
    <w:rsid w:val="006B4ABD"/>
    <w:rsid w:val="006C0896"/>
    <w:rsid w:val="006C1239"/>
    <w:rsid w:val="006C3D37"/>
    <w:rsid w:val="006C687B"/>
    <w:rsid w:val="006C77F3"/>
    <w:rsid w:val="006C7ECF"/>
    <w:rsid w:val="006D1EE0"/>
    <w:rsid w:val="006D2D24"/>
    <w:rsid w:val="006D3231"/>
    <w:rsid w:val="006D3C21"/>
    <w:rsid w:val="006D3D82"/>
    <w:rsid w:val="006D4593"/>
    <w:rsid w:val="006D4D42"/>
    <w:rsid w:val="006D5CEE"/>
    <w:rsid w:val="006D7B8E"/>
    <w:rsid w:val="006E13CE"/>
    <w:rsid w:val="006E1C0D"/>
    <w:rsid w:val="006E1FA4"/>
    <w:rsid w:val="006E2A09"/>
    <w:rsid w:val="006E5089"/>
    <w:rsid w:val="006E5BFB"/>
    <w:rsid w:val="006E654A"/>
    <w:rsid w:val="006F042D"/>
    <w:rsid w:val="006F079C"/>
    <w:rsid w:val="006F4619"/>
    <w:rsid w:val="006F4A0A"/>
    <w:rsid w:val="006F6B0E"/>
    <w:rsid w:val="0070033F"/>
    <w:rsid w:val="0070163A"/>
    <w:rsid w:val="00702748"/>
    <w:rsid w:val="00702EEB"/>
    <w:rsid w:val="00705EE0"/>
    <w:rsid w:val="00713818"/>
    <w:rsid w:val="00714C2D"/>
    <w:rsid w:val="0072074A"/>
    <w:rsid w:val="00720959"/>
    <w:rsid w:val="00727BC0"/>
    <w:rsid w:val="00727D57"/>
    <w:rsid w:val="007328FD"/>
    <w:rsid w:val="00732F1E"/>
    <w:rsid w:val="007336FE"/>
    <w:rsid w:val="007374F6"/>
    <w:rsid w:val="0074046C"/>
    <w:rsid w:val="00741A5F"/>
    <w:rsid w:val="00742E86"/>
    <w:rsid w:val="00743C08"/>
    <w:rsid w:val="007445CF"/>
    <w:rsid w:val="007454D5"/>
    <w:rsid w:val="00746ABC"/>
    <w:rsid w:val="00750DD3"/>
    <w:rsid w:val="00750FB2"/>
    <w:rsid w:val="00752A76"/>
    <w:rsid w:val="00754E18"/>
    <w:rsid w:val="00756AA5"/>
    <w:rsid w:val="00757891"/>
    <w:rsid w:val="00760E23"/>
    <w:rsid w:val="00762859"/>
    <w:rsid w:val="007647BE"/>
    <w:rsid w:val="00764B79"/>
    <w:rsid w:val="00766163"/>
    <w:rsid w:val="00770CEF"/>
    <w:rsid w:val="00772E83"/>
    <w:rsid w:val="007735A0"/>
    <w:rsid w:val="00774FA2"/>
    <w:rsid w:val="007760EE"/>
    <w:rsid w:val="00777785"/>
    <w:rsid w:val="00786C07"/>
    <w:rsid w:val="00786DA2"/>
    <w:rsid w:val="00787EBA"/>
    <w:rsid w:val="00790976"/>
    <w:rsid w:val="00791403"/>
    <w:rsid w:val="0079285C"/>
    <w:rsid w:val="0079321E"/>
    <w:rsid w:val="007942C6"/>
    <w:rsid w:val="007A06DF"/>
    <w:rsid w:val="007A324E"/>
    <w:rsid w:val="007A4F2B"/>
    <w:rsid w:val="007A5991"/>
    <w:rsid w:val="007A5D01"/>
    <w:rsid w:val="007B1E14"/>
    <w:rsid w:val="007B3240"/>
    <w:rsid w:val="007B3776"/>
    <w:rsid w:val="007B3B98"/>
    <w:rsid w:val="007B5EA8"/>
    <w:rsid w:val="007B743E"/>
    <w:rsid w:val="007C08C4"/>
    <w:rsid w:val="007C0D03"/>
    <w:rsid w:val="007C3494"/>
    <w:rsid w:val="007C4FF4"/>
    <w:rsid w:val="007C6C9A"/>
    <w:rsid w:val="007D04F9"/>
    <w:rsid w:val="007D0C99"/>
    <w:rsid w:val="007D236C"/>
    <w:rsid w:val="007D3C1A"/>
    <w:rsid w:val="007D66C6"/>
    <w:rsid w:val="007D77E3"/>
    <w:rsid w:val="007D7A6F"/>
    <w:rsid w:val="007E061E"/>
    <w:rsid w:val="007E0CA1"/>
    <w:rsid w:val="007E173C"/>
    <w:rsid w:val="007E2267"/>
    <w:rsid w:val="007E2991"/>
    <w:rsid w:val="007E6E15"/>
    <w:rsid w:val="007F0211"/>
    <w:rsid w:val="007F102D"/>
    <w:rsid w:val="007F3D2F"/>
    <w:rsid w:val="007F438E"/>
    <w:rsid w:val="007F56A4"/>
    <w:rsid w:val="00803543"/>
    <w:rsid w:val="00806F1D"/>
    <w:rsid w:val="00811579"/>
    <w:rsid w:val="00812C4F"/>
    <w:rsid w:val="008130BC"/>
    <w:rsid w:val="00813D61"/>
    <w:rsid w:val="008145AB"/>
    <w:rsid w:val="008153A4"/>
    <w:rsid w:val="008204E1"/>
    <w:rsid w:val="00822649"/>
    <w:rsid w:val="008264C3"/>
    <w:rsid w:val="008271D9"/>
    <w:rsid w:val="00827942"/>
    <w:rsid w:val="00832BFB"/>
    <w:rsid w:val="00837489"/>
    <w:rsid w:val="008448EA"/>
    <w:rsid w:val="00844FE2"/>
    <w:rsid w:val="00846FD1"/>
    <w:rsid w:val="0085078A"/>
    <w:rsid w:val="00850B25"/>
    <w:rsid w:val="008606CC"/>
    <w:rsid w:val="00861BDA"/>
    <w:rsid w:val="00864490"/>
    <w:rsid w:val="00865A49"/>
    <w:rsid w:val="00867567"/>
    <w:rsid w:val="00867F04"/>
    <w:rsid w:val="00870AD7"/>
    <w:rsid w:val="008718C4"/>
    <w:rsid w:val="00873485"/>
    <w:rsid w:val="008765DF"/>
    <w:rsid w:val="0087738B"/>
    <w:rsid w:val="00882230"/>
    <w:rsid w:val="008844BB"/>
    <w:rsid w:val="00886F48"/>
    <w:rsid w:val="0088718B"/>
    <w:rsid w:val="00887C59"/>
    <w:rsid w:val="008916E2"/>
    <w:rsid w:val="00891719"/>
    <w:rsid w:val="008964AC"/>
    <w:rsid w:val="00896EE5"/>
    <w:rsid w:val="008A1E8F"/>
    <w:rsid w:val="008A2627"/>
    <w:rsid w:val="008A3280"/>
    <w:rsid w:val="008A36EC"/>
    <w:rsid w:val="008A3CDC"/>
    <w:rsid w:val="008B01F4"/>
    <w:rsid w:val="008B0605"/>
    <w:rsid w:val="008B0E2C"/>
    <w:rsid w:val="008B112B"/>
    <w:rsid w:val="008B1300"/>
    <w:rsid w:val="008B138E"/>
    <w:rsid w:val="008B169A"/>
    <w:rsid w:val="008B1E91"/>
    <w:rsid w:val="008B728E"/>
    <w:rsid w:val="008B75EC"/>
    <w:rsid w:val="008B77B3"/>
    <w:rsid w:val="008C23B6"/>
    <w:rsid w:val="008C409E"/>
    <w:rsid w:val="008C516D"/>
    <w:rsid w:val="008C725F"/>
    <w:rsid w:val="008D12F5"/>
    <w:rsid w:val="008D1E61"/>
    <w:rsid w:val="008D23F8"/>
    <w:rsid w:val="008D493D"/>
    <w:rsid w:val="008D7597"/>
    <w:rsid w:val="008E176C"/>
    <w:rsid w:val="008E17B7"/>
    <w:rsid w:val="008E1EAA"/>
    <w:rsid w:val="008E2B97"/>
    <w:rsid w:val="008E5F36"/>
    <w:rsid w:val="008E61FA"/>
    <w:rsid w:val="008E740B"/>
    <w:rsid w:val="008F0629"/>
    <w:rsid w:val="008F1D0A"/>
    <w:rsid w:val="008F5666"/>
    <w:rsid w:val="009013CE"/>
    <w:rsid w:val="00902188"/>
    <w:rsid w:val="00903D69"/>
    <w:rsid w:val="00905202"/>
    <w:rsid w:val="00911F60"/>
    <w:rsid w:val="0091315E"/>
    <w:rsid w:val="0091317E"/>
    <w:rsid w:val="009135DB"/>
    <w:rsid w:val="00913965"/>
    <w:rsid w:val="00916E85"/>
    <w:rsid w:val="00920D32"/>
    <w:rsid w:val="0092211F"/>
    <w:rsid w:val="009225F0"/>
    <w:rsid w:val="009226E1"/>
    <w:rsid w:val="00923B69"/>
    <w:rsid w:val="00927391"/>
    <w:rsid w:val="00927E36"/>
    <w:rsid w:val="009319EE"/>
    <w:rsid w:val="00935170"/>
    <w:rsid w:val="0093548B"/>
    <w:rsid w:val="00936B5E"/>
    <w:rsid w:val="0093738A"/>
    <w:rsid w:val="0094321A"/>
    <w:rsid w:val="009450B9"/>
    <w:rsid w:val="009453C4"/>
    <w:rsid w:val="00946D61"/>
    <w:rsid w:val="00950AF8"/>
    <w:rsid w:val="00950DBB"/>
    <w:rsid w:val="0095190C"/>
    <w:rsid w:val="009529FB"/>
    <w:rsid w:val="00953CAD"/>
    <w:rsid w:val="0096348E"/>
    <w:rsid w:val="00963A2C"/>
    <w:rsid w:val="009658B9"/>
    <w:rsid w:val="00970E2E"/>
    <w:rsid w:val="009720A5"/>
    <w:rsid w:val="00975E7E"/>
    <w:rsid w:val="00987382"/>
    <w:rsid w:val="00987F53"/>
    <w:rsid w:val="00991BD9"/>
    <w:rsid w:val="0099290F"/>
    <w:rsid w:val="0099384D"/>
    <w:rsid w:val="00996A0D"/>
    <w:rsid w:val="009A160D"/>
    <w:rsid w:val="009A1DB7"/>
    <w:rsid w:val="009A27E7"/>
    <w:rsid w:val="009A298E"/>
    <w:rsid w:val="009A2C7B"/>
    <w:rsid w:val="009A39C7"/>
    <w:rsid w:val="009A3E8D"/>
    <w:rsid w:val="009A4160"/>
    <w:rsid w:val="009A44A7"/>
    <w:rsid w:val="009A5B5A"/>
    <w:rsid w:val="009A6749"/>
    <w:rsid w:val="009A6FB0"/>
    <w:rsid w:val="009B0141"/>
    <w:rsid w:val="009B61E3"/>
    <w:rsid w:val="009B7B51"/>
    <w:rsid w:val="009C097D"/>
    <w:rsid w:val="009C39F4"/>
    <w:rsid w:val="009C5EC8"/>
    <w:rsid w:val="009D2E89"/>
    <w:rsid w:val="009D6933"/>
    <w:rsid w:val="009D77D1"/>
    <w:rsid w:val="009E0387"/>
    <w:rsid w:val="009E52B5"/>
    <w:rsid w:val="009F2FB9"/>
    <w:rsid w:val="009F322F"/>
    <w:rsid w:val="009F3BFC"/>
    <w:rsid w:val="009F3C6A"/>
    <w:rsid w:val="009F5349"/>
    <w:rsid w:val="009F69D0"/>
    <w:rsid w:val="00A006F8"/>
    <w:rsid w:val="00A00E84"/>
    <w:rsid w:val="00A07BF9"/>
    <w:rsid w:val="00A10DB2"/>
    <w:rsid w:val="00A17DFE"/>
    <w:rsid w:val="00A20256"/>
    <w:rsid w:val="00A20306"/>
    <w:rsid w:val="00A2257B"/>
    <w:rsid w:val="00A251A6"/>
    <w:rsid w:val="00A25A0F"/>
    <w:rsid w:val="00A25CC1"/>
    <w:rsid w:val="00A26FC4"/>
    <w:rsid w:val="00A30AA7"/>
    <w:rsid w:val="00A31521"/>
    <w:rsid w:val="00A322D8"/>
    <w:rsid w:val="00A3346A"/>
    <w:rsid w:val="00A3476E"/>
    <w:rsid w:val="00A34B1D"/>
    <w:rsid w:val="00A35746"/>
    <w:rsid w:val="00A40F48"/>
    <w:rsid w:val="00A41F78"/>
    <w:rsid w:val="00A428F8"/>
    <w:rsid w:val="00A43F9E"/>
    <w:rsid w:val="00A445C0"/>
    <w:rsid w:val="00A52DDD"/>
    <w:rsid w:val="00A53A2F"/>
    <w:rsid w:val="00A63511"/>
    <w:rsid w:val="00A67661"/>
    <w:rsid w:val="00A71A9D"/>
    <w:rsid w:val="00A7264B"/>
    <w:rsid w:val="00A72EAF"/>
    <w:rsid w:val="00A72F54"/>
    <w:rsid w:val="00A805A4"/>
    <w:rsid w:val="00A822C7"/>
    <w:rsid w:val="00A84E93"/>
    <w:rsid w:val="00A8673A"/>
    <w:rsid w:val="00A9118D"/>
    <w:rsid w:val="00A92813"/>
    <w:rsid w:val="00A94519"/>
    <w:rsid w:val="00A94BF6"/>
    <w:rsid w:val="00A96AA0"/>
    <w:rsid w:val="00A97041"/>
    <w:rsid w:val="00AA750B"/>
    <w:rsid w:val="00AB0170"/>
    <w:rsid w:val="00AB0A40"/>
    <w:rsid w:val="00AB2309"/>
    <w:rsid w:val="00AB5379"/>
    <w:rsid w:val="00AB71C8"/>
    <w:rsid w:val="00AC54D3"/>
    <w:rsid w:val="00AC5C63"/>
    <w:rsid w:val="00AD2DD8"/>
    <w:rsid w:val="00AD2EEC"/>
    <w:rsid w:val="00AD3D71"/>
    <w:rsid w:val="00AD4EB4"/>
    <w:rsid w:val="00AD5BFE"/>
    <w:rsid w:val="00AD60EF"/>
    <w:rsid w:val="00AE170C"/>
    <w:rsid w:val="00AE1B53"/>
    <w:rsid w:val="00AE2B9E"/>
    <w:rsid w:val="00AE304D"/>
    <w:rsid w:val="00AE38E6"/>
    <w:rsid w:val="00AE3F9C"/>
    <w:rsid w:val="00AE4E0D"/>
    <w:rsid w:val="00AE74C4"/>
    <w:rsid w:val="00AF100D"/>
    <w:rsid w:val="00AF1744"/>
    <w:rsid w:val="00AF300F"/>
    <w:rsid w:val="00AF325A"/>
    <w:rsid w:val="00AF53B1"/>
    <w:rsid w:val="00AF5717"/>
    <w:rsid w:val="00B0009C"/>
    <w:rsid w:val="00B021B8"/>
    <w:rsid w:val="00B02B93"/>
    <w:rsid w:val="00B035BC"/>
    <w:rsid w:val="00B13845"/>
    <w:rsid w:val="00B17F87"/>
    <w:rsid w:val="00B21BD4"/>
    <w:rsid w:val="00B21E5B"/>
    <w:rsid w:val="00B26C9E"/>
    <w:rsid w:val="00B27089"/>
    <w:rsid w:val="00B27DEC"/>
    <w:rsid w:val="00B3085E"/>
    <w:rsid w:val="00B30F2D"/>
    <w:rsid w:val="00B31167"/>
    <w:rsid w:val="00B315F1"/>
    <w:rsid w:val="00B34B3B"/>
    <w:rsid w:val="00B357F5"/>
    <w:rsid w:val="00B360A7"/>
    <w:rsid w:val="00B3784C"/>
    <w:rsid w:val="00B40D97"/>
    <w:rsid w:val="00B41E9C"/>
    <w:rsid w:val="00B50928"/>
    <w:rsid w:val="00B528DE"/>
    <w:rsid w:val="00B52BA1"/>
    <w:rsid w:val="00B545BF"/>
    <w:rsid w:val="00B56FD8"/>
    <w:rsid w:val="00B60E94"/>
    <w:rsid w:val="00B63888"/>
    <w:rsid w:val="00B63C3D"/>
    <w:rsid w:val="00B64E82"/>
    <w:rsid w:val="00B66615"/>
    <w:rsid w:val="00B668AA"/>
    <w:rsid w:val="00B70179"/>
    <w:rsid w:val="00B72895"/>
    <w:rsid w:val="00B73FBE"/>
    <w:rsid w:val="00B8289D"/>
    <w:rsid w:val="00B83936"/>
    <w:rsid w:val="00B842DD"/>
    <w:rsid w:val="00B8457D"/>
    <w:rsid w:val="00B849A1"/>
    <w:rsid w:val="00B863DF"/>
    <w:rsid w:val="00B917B2"/>
    <w:rsid w:val="00B91A4E"/>
    <w:rsid w:val="00B964BB"/>
    <w:rsid w:val="00B96575"/>
    <w:rsid w:val="00BA5A11"/>
    <w:rsid w:val="00BA70BA"/>
    <w:rsid w:val="00BB2018"/>
    <w:rsid w:val="00BB2FDE"/>
    <w:rsid w:val="00BB53E8"/>
    <w:rsid w:val="00BB6731"/>
    <w:rsid w:val="00BB74A6"/>
    <w:rsid w:val="00BB7A48"/>
    <w:rsid w:val="00BB7F21"/>
    <w:rsid w:val="00BC3BB1"/>
    <w:rsid w:val="00BD1ED9"/>
    <w:rsid w:val="00BD46CD"/>
    <w:rsid w:val="00BE074D"/>
    <w:rsid w:val="00BE0954"/>
    <w:rsid w:val="00BE187D"/>
    <w:rsid w:val="00BE2F42"/>
    <w:rsid w:val="00BE3677"/>
    <w:rsid w:val="00BF0BB8"/>
    <w:rsid w:val="00BF32B3"/>
    <w:rsid w:val="00BF5622"/>
    <w:rsid w:val="00C00021"/>
    <w:rsid w:val="00C035B4"/>
    <w:rsid w:val="00C06B6D"/>
    <w:rsid w:val="00C10DC6"/>
    <w:rsid w:val="00C11E3D"/>
    <w:rsid w:val="00C11F2F"/>
    <w:rsid w:val="00C132F1"/>
    <w:rsid w:val="00C175BC"/>
    <w:rsid w:val="00C24E0D"/>
    <w:rsid w:val="00C25C9A"/>
    <w:rsid w:val="00C2790B"/>
    <w:rsid w:val="00C30359"/>
    <w:rsid w:val="00C3131C"/>
    <w:rsid w:val="00C32DED"/>
    <w:rsid w:val="00C3421F"/>
    <w:rsid w:val="00C37199"/>
    <w:rsid w:val="00C4190E"/>
    <w:rsid w:val="00C42259"/>
    <w:rsid w:val="00C45002"/>
    <w:rsid w:val="00C46CA4"/>
    <w:rsid w:val="00C514C9"/>
    <w:rsid w:val="00C51D82"/>
    <w:rsid w:val="00C5325D"/>
    <w:rsid w:val="00C5379A"/>
    <w:rsid w:val="00C53F62"/>
    <w:rsid w:val="00C55A10"/>
    <w:rsid w:val="00C55D13"/>
    <w:rsid w:val="00C564C6"/>
    <w:rsid w:val="00C60F2D"/>
    <w:rsid w:val="00C62DA7"/>
    <w:rsid w:val="00C631F4"/>
    <w:rsid w:val="00C63EA0"/>
    <w:rsid w:val="00C641BF"/>
    <w:rsid w:val="00C64E09"/>
    <w:rsid w:val="00C66F0C"/>
    <w:rsid w:val="00C70665"/>
    <w:rsid w:val="00C77B4A"/>
    <w:rsid w:val="00C80E15"/>
    <w:rsid w:val="00C81FD1"/>
    <w:rsid w:val="00C853D3"/>
    <w:rsid w:val="00C85B3C"/>
    <w:rsid w:val="00C8626B"/>
    <w:rsid w:val="00C86696"/>
    <w:rsid w:val="00C876F7"/>
    <w:rsid w:val="00C90C56"/>
    <w:rsid w:val="00C90E50"/>
    <w:rsid w:val="00C93EDD"/>
    <w:rsid w:val="00C94097"/>
    <w:rsid w:val="00C941BF"/>
    <w:rsid w:val="00C96776"/>
    <w:rsid w:val="00CA08FA"/>
    <w:rsid w:val="00CA1461"/>
    <w:rsid w:val="00CA3BBE"/>
    <w:rsid w:val="00CA5C29"/>
    <w:rsid w:val="00CA5FCE"/>
    <w:rsid w:val="00CA65A7"/>
    <w:rsid w:val="00CB2A75"/>
    <w:rsid w:val="00CB4FA0"/>
    <w:rsid w:val="00CB5701"/>
    <w:rsid w:val="00CB6C1C"/>
    <w:rsid w:val="00CC1EE6"/>
    <w:rsid w:val="00CC2278"/>
    <w:rsid w:val="00CC461E"/>
    <w:rsid w:val="00CC51CC"/>
    <w:rsid w:val="00CC6B9C"/>
    <w:rsid w:val="00CD035D"/>
    <w:rsid w:val="00CD3175"/>
    <w:rsid w:val="00CD3576"/>
    <w:rsid w:val="00CD38C4"/>
    <w:rsid w:val="00CD3BFE"/>
    <w:rsid w:val="00CD4DB0"/>
    <w:rsid w:val="00CD5F6F"/>
    <w:rsid w:val="00CE2BB9"/>
    <w:rsid w:val="00CE41B6"/>
    <w:rsid w:val="00CE5D7F"/>
    <w:rsid w:val="00CF3C4F"/>
    <w:rsid w:val="00CF5FB9"/>
    <w:rsid w:val="00CF63BD"/>
    <w:rsid w:val="00CF6B29"/>
    <w:rsid w:val="00D0032A"/>
    <w:rsid w:val="00D017AB"/>
    <w:rsid w:val="00D02622"/>
    <w:rsid w:val="00D029DB"/>
    <w:rsid w:val="00D05402"/>
    <w:rsid w:val="00D06410"/>
    <w:rsid w:val="00D0778A"/>
    <w:rsid w:val="00D14658"/>
    <w:rsid w:val="00D14FB6"/>
    <w:rsid w:val="00D1708D"/>
    <w:rsid w:val="00D22E5A"/>
    <w:rsid w:val="00D246CC"/>
    <w:rsid w:val="00D3274F"/>
    <w:rsid w:val="00D32DFD"/>
    <w:rsid w:val="00D34176"/>
    <w:rsid w:val="00D37247"/>
    <w:rsid w:val="00D42E21"/>
    <w:rsid w:val="00D52E54"/>
    <w:rsid w:val="00D53F2B"/>
    <w:rsid w:val="00D60D82"/>
    <w:rsid w:val="00D62CB5"/>
    <w:rsid w:val="00D63E48"/>
    <w:rsid w:val="00D71351"/>
    <w:rsid w:val="00D73061"/>
    <w:rsid w:val="00D74346"/>
    <w:rsid w:val="00D83690"/>
    <w:rsid w:val="00D8370D"/>
    <w:rsid w:val="00D860B4"/>
    <w:rsid w:val="00D93423"/>
    <w:rsid w:val="00D93711"/>
    <w:rsid w:val="00D944EE"/>
    <w:rsid w:val="00D9519C"/>
    <w:rsid w:val="00D951A7"/>
    <w:rsid w:val="00D96A2B"/>
    <w:rsid w:val="00D96B5B"/>
    <w:rsid w:val="00DA017E"/>
    <w:rsid w:val="00DA3CAA"/>
    <w:rsid w:val="00DA47BD"/>
    <w:rsid w:val="00DB0081"/>
    <w:rsid w:val="00DB038C"/>
    <w:rsid w:val="00DB0E62"/>
    <w:rsid w:val="00DB64C9"/>
    <w:rsid w:val="00DB7751"/>
    <w:rsid w:val="00DB7D19"/>
    <w:rsid w:val="00DC0743"/>
    <w:rsid w:val="00DC56BD"/>
    <w:rsid w:val="00DD00A7"/>
    <w:rsid w:val="00DD1435"/>
    <w:rsid w:val="00DD5F1F"/>
    <w:rsid w:val="00DD6C6B"/>
    <w:rsid w:val="00DD776A"/>
    <w:rsid w:val="00DD7959"/>
    <w:rsid w:val="00DE0132"/>
    <w:rsid w:val="00DE0217"/>
    <w:rsid w:val="00DE1CFD"/>
    <w:rsid w:val="00DE3042"/>
    <w:rsid w:val="00DE51D3"/>
    <w:rsid w:val="00DE5C57"/>
    <w:rsid w:val="00DE68C3"/>
    <w:rsid w:val="00DF2401"/>
    <w:rsid w:val="00DF49F8"/>
    <w:rsid w:val="00DF5D0D"/>
    <w:rsid w:val="00DF71E8"/>
    <w:rsid w:val="00E011C4"/>
    <w:rsid w:val="00E01CE3"/>
    <w:rsid w:val="00E046B7"/>
    <w:rsid w:val="00E04A04"/>
    <w:rsid w:val="00E06DF6"/>
    <w:rsid w:val="00E06FE1"/>
    <w:rsid w:val="00E1022E"/>
    <w:rsid w:val="00E12394"/>
    <w:rsid w:val="00E1408A"/>
    <w:rsid w:val="00E148C0"/>
    <w:rsid w:val="00E14EC2"/>
    <w:rsid w:val="00E15ED4"/>
    <w:rsid w:val="00E1777D"/>
    <w:rsid w:val="00E20255"/>
    <w:rsid w:val="00E20D51"/>
    <w:rsid w:val="00E20E91"/>
    <w:rsid w:val="00E241C9"/>
    <w:rsid w:val="00E24BD8"/>
    <w:rsid w:val="00E24F83"/>
    <w:rsid w:val="00E25EF8"/>
    <w:rsid w:val="00E27167"/>
    <w:rsid w:val="00E27478"/>
    <w:rsid w:val="00E27C61"/>
    <w:rsid w:val="00E300B6"/>
    <w:rsid w:val="00E3070E"/>
    <w:rsid w:val="00E31E1D"/>
    <w:rsid w:val="00E32A89"/>
    <w:rsid w:val="00E3373F"/>
    <w:rsid w:val="00E34219"/>
    <w:rsid w:val="00E35B6E"/>
    <w:rsid w:val="00E36821"/>
    <w:rsid w:val="00E36ABC"/>
    <w:rsid w:val="00E4155D"/>
    <w:rsid w:val="00E42E0A"/>
    <w:rsid w:val="00E4321B"/>
    <w:rsid w:val="00E4360C"/>
    <w:rsid w:val="00E518F8"/>
    <w:rsid w:val="00E523DA"/>
    <w:rsid w:val="00E52636"/>
    <w:rsid w:val="00E56AD3"/>
    <w:rsid w:val="00E643EB"/>
    <w:rsid w:val="00E70CBA"/>
    <w:rsid w:val="00E740A9"/>
    <w:rsid w:val="00E74166"/>
    <w:rsid w:val="00E80ECC"/>
    <w:rsid w:val="00E83A72"/>
    <w:rsid w:val="00E8432A"/>
    <w:rsid w:val="00E8643F"/>
    <w:rsid w:val="00E86837"/>
    <w:rsid w:val="00E92857"/>
    <w:rsid w:val="00E92F4D"/>
    <w:rsid w:val="00E94E73"/>
    <w:rsid w:val="00E95776"/>
    <w:rsid w:val="00E95B4C"/>
    <w:rsid w:val="00EA1BD3"/>
    <w:rsid w:val="00EA2410"/>
    <w:rsid w:val="00EA4B5E"/>
    <w:rsid w:val="00EA4BE0"/>
    <w:rsid w:val="00EA4C24"/>
    <w:rsid w:val="00EA561A"/>
    <w:rsid w:val="00EA6F74"/>
    <w:rsid w:val="00EA76E0"/>
    <w:rsid w:val="00EB11F3"/>
    <w:rsid w:val="00EB3C17"/>
    <w:rsid w:val="00EB4D8A"/>
    <w:rsid w:val="00EB6E6D"/>
    <w:rsid w:val="00EC0064"/>
    <w:rsid w:val="00EC02E9"/>
    <w:rsid w:val="00EC30F1"/>
    <w:rsid w:val="00EC3438"/>
    <w:rsid w:val="00ED0343"/>
    <w:rsid w:val="00ED2052"/>
    <w:rsid w:val="00ED2FA6"/>
    <w:rsid w:val="00ED5692"/>
    <w:rsid w:val="00ED647B"/>
    <w:rsid w:val="00EE2618"/>
    <w:rsid w:val="00EE4D4A"/>
    <w:rsid w:val="00EE78B9"/>
    <w:rsid w:val="00EF0B85"/>
    <w:rsid w:val="00EF2D2D"/>
    <w:rsid w:val="00EF407D"/>
    <w:rsid w:val="00EF4EC7"/>
    <w:rsid w:val="00EF6A13"/>
    <w:rsid w:val="00EF71BC"/>
    <w:rsid w:val="00F00552"/>
    <w:rsid w:val="00F02C71"/>
    <w:rsid w:val="00F05567"/>
    <w:rsid w:val="00F106B2"/>
    <w:rsid w:val="00F108E3"/>
    <w:rsid w:val="00F1366E"/>
    <w:rsid w:val="00F1696A"/>
    <w:rsid w:val="00F17163"/>
    <w:rsid w:val="00F217A3"/>
    <w:rsid w:val="00F23758"/>
    <w:rsid w:val="00F23A0E"/>
    <w:rsid w:val="00F26244"/>
    <w:rsid w:val="00F273F8"/>
    <w:rsid w:val="00F3076B"/>
    <w:rsid w:val="00F33317"/>
    <w:rsid w:val="00F344AF"/>
    <w:rsid w:val="00F358B2"/>
    <w:rsid w:val="00F35B43"/>
    <w:rsid w:val="00F36DB2"/>
    <w:rsid w:val="00F3730D"/>
    <w:rsid w:val="00F37371"/>
    <w:rsid w:val="00F3753E"/>
    <w:rsid w:val="00F40383"/>
    <w:rsid w:val="00F43EED"/>
    <w:rsid w:val="00F443E4"/>
    <w:rsid w:val="00F44B23"/>
    <w:rsid w:val="00F46A60"/>
    <w:rsid w:val="00F50B83"/>
    <w:rsid w:val="00F50E17"/>
    <w:rsid w:val="00F50FA2"/>
    <w:rsid w:val="00F522E5"/>
    <w:rsid w:val="00F52879"/>
    <w:rsid w:val="00F52B10"/>
    <w:rsid w:val="00F54152"/>
    <w:rsid w:val="00F54440"/>
    <w:rsid w:val="00F552B3"/>
    <w:rsid w:val="00F554A9"/>
    <w:rsid w:val="00F57DAB"/>
    <w:rsid w:val="00F65A3F"/>
    <w:rsid w:val="00F65FE5"/>
    <w:rsid w:val="00F73AAC"/>
    <w:rsid w:val="00F755CA"/>
    <w:rsid w:val="00F8086E"/>
    <w:rsid w:val="00F8089A"/>
    <w:rsid w:val="00F80D41"/>
    <w:rsid w:val="00F87717"/>
    <w:rsid w:val="00F91B2C"/>
    <w:rsid w:val="00F93E6A"/>
    <w:rsid w:val="00F946C5"/>
    <w:rsid w:val="00F97DE8"/>
    <w:rsid w:val="00FA1936"/>
    <w:rsid w:val="00FA2746"/>
    <w:rsid w:val="00FA6B6F"/>
    <w:rsid w:val="00FA72DC"/>
    <w:rsid w:val="00FB398B"/>
    <w:rsid w:val="00FB4096"/>
    <w:rsid w:val="00FB7EC7"/>
    <w:rsid w:val="00FC34BB"/>
    <w:rsid w:val="00FC363D"/>
    <w:rsid w:val="00FC54A3"/>
    <w:rsid w:val="00FC57F9"/>
    <w:rsid w:val="00FC5CDC"/>
    <w:rsid w:val="00FC7588"/>
    <w:rsid w:val="00FD35F7"/>
    <w:rsid w:val="00FD5574"/>
    <w:rsid w:val="00FD60A6"/>
    <w:rsid w:val="00FD7A48"/>
    <w:rsid w:val="00FE037F"/>
    <w:rsid w:val="00FE1B56"/>
    <w:rsid w:val="00FE1C39"/>
    <w:rsid w:val="00FE3602"/>
    <w:rsid w:val="00FE42DA"/>
    <w:rsid w:val="00FE54A7"/>
    <w:rsid w:val="00FE7DCD"/>
    <w:rsid w:val="00FF2D71"/>
    <w:rsid w:val="00FF7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lsdException w:name="header" w:uiPriority="24"/>
    <w:lsdException w:name="footer" w:uiPriority="24"/>
    <w:lsdException w:name="caption" w:uiPriority="35"/>
    <w:lsdException w:name="footnote reference" w:uiPriority="49"/>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A317D"/>
    <w:pPr>
      <w:spacing w:before="100" w:after="60" w:line="240" w:lineRule="auto"/>
    </w:pPr>
  </w:style>
  <w:style w:type="paragraph" w:styleId="Heading1">
    <w:name w:val="heading 1"/>
    <w:basedOn w:val="Normal"/>
    <w:next w:val="Normal"/>
    <w:link w:val="Heading1Char"/>
    <w:uiPriority w:val="9"/>
    <w:qFormat/>
    <w:rsid w:val="004B3E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B3E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3E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E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E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E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E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E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3E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semiHidden/>
    <w:rsid w:val="002620A4"/>
    <w:pPr>
      <w:tabs>
        <w:tab w:val="center" w:pos="4513"/>
        <w:tab w:val="right" w:pos="9026"/>
      </w:tabs>
      <w:spacing w:after="0"/>
    </w:pPr>
  </w:style>
  <w:style w:type="character" w:customStyle="1" w:styleId="HeaderChar">
    <w:name w:val="Header Char"/>
    <w:basedOn w:val="DefaultParagraphFont"/>
    <w:link w:val="Header"/>
    <w:uiPriority w:val="24"/>
    <w:semiHidden/>
    <w:rsid w:val="00C30359"/>
  </w:style>
  <w:style w:type="paragraph" w:styleId="Footer">
    <w:name w:val="footer"/>
    <w:link w:val="FooterChar"/>
    <w:uiPriority w:val="24"/>
    <w:semiHidden/>
    <w:rsid w:val="00BE3677"/>
    <w:pPr>
      <w:tabs>
        <w:tab w:val="right" w:pos="8220"/>
      </w:tabs>
      <w:spacing w:after="0" w:line="240" w:lineRule="auto"/>
      <w:jc w:val="right"/>
    </w:pPr>
    <w:rPr>
      <w:rFonts w:ascii="Calibri" w:eastAsia="Times New Roman" w:hAnsi="Calibri" w:cs="Calibri"/>
      <w:noProof/>
      <w:color w:val="FFFFFF" w:themeColor="background1"/>
    </w:rPr>
  </w:style>
  <w:style w:type="character" w:customStyle="1" w:styleId="FooterChar">
    <w:name w:val="Footer Char"/>
    <w:basedOn w:val="DefaultParagraphFont"/>
    <w:link w:val="Footer"/>
    <w:uiPriority w:val="24"/>
    <w:semiHidden/>
    <w:rsid w:val="006B3A50"/>
    <w:rPr>
      <w:rFonts w:ascii="Calibri" w:eastAsia="Times New Roman" w:hAnsi="Calibri" w:cs="Calibri"/>
      <w:noProof/>
      <w:color w:val="FFFFFF" w:themeColor="background1"/>
    </w:rPr>
  </w:style>
  <w:style w:type="paragraph" w:customStyle="1" w:styleId="NewsletterTitle">
    <w:name w:val="Newsletter Title"/>
    <w:basedOn w:val="Normal"/>
    <w:rsid w:val="00BE3677"/>
    <w:pPr>
      <w:spacing w:after="0" w:line="560" w:lineRule="exact"/>
    </w:pPr>
    <w:rPr>
      <w:rFonts w:ascii="Calibri" w:eastAsia="Times New Roman" w:hAnsi="Calibri" w:cs="Calibri"/>
      <w:b/>
      <w:color w:val="1665A1"/>
      <w:kern w:val="28"/>
      <w:sz w:val="60"/>
    </w:rPr>
  </w:style>
  <w:style w:type="paragraph" w:customStyle="1" w:styleId="NewsletterSubtitle">
    <w:name w:val="Newsletter Subtitle"/>
    <w:basedOn w:val="NewsletterTitle"/>
    <w:rsid w:val="002620A4"/>
    <w:pPr>
      <w:spacing w:line="228" w:lineRule="auto"/>
    </w:pPr>
    <w:rPr>
      <w:b w:val="0"/>
      <w:color w:val="4D4D4D"/>
      <w:sz w:val="40"/>
    </w:rPr>
  </w:style>
  <w:style w:type="paragraph" w:styleId="TOC2">
    <w:name w:val="toc 2"/>
    <w:next w:val="Normal"/>
    <w:autoRedefine/>
    <w:uiPriority w:val="39"/>
    <w:semiHidden/>
    <w:rsid w:val="00EC02E9"/>
    <w:pPr>
      <w:tabs>
        <w:tab w:val="left" w:pos="1985"/>
        <w:tab w:val="right" w:leader="dot" w:pos="9639"/>
      </w:tabs>
      <w:spacing w:before="20" w:after="0" w:line="240" w:lineRule="auto"/>
      <w:ind w:left="1248" w:right="567" w:hanging="454"/>
      <w:contextualSpacing/>
    </w:pPr>
    <w:rPr>
      <w:rFonts w:ascii="Calibri" w:eastAsia="Times New Roman" w:hAnsi="Calibri" w:cs="Calibri"/>
      <w:noProof/>
      <w:color w:val="000000"/>
      <w:sz w:val="20"/>
      <w:szCs w:val="28"/>
    </w:rPr>
  </w:style>
  <w:style w:type="paragraph" w:customStyle="1" w:styleId="BreakoutNormal">
    <w:name w:val="Breakout Normal"/>
    <w:basedOn w:val="Normal"/>
    <w:semiHidden/>
    <w:rsid w:val="002620A4"/>
    <w:pPr>
      <w:spacing w:after="100"/>
    </w:pPr>
    <w:rPr>
      <w:rFonts w:ascii="Calibri" w:eastAsia="Times New Roman" w:hAnsi="Calibri" w:cs="Calibri"/>
      <w:sz w:val="20"/>
    </w:rPr>
  </w:style>
  <w:style w:type="paragraph" w:customStyle="1" w:styleId="BreakoutHeading">
    <w:name w:val="Breakout Heading"/>
    <w:basedOn w:val="BreakoutNormal"/>
    <w:semiHidden/>
    <w:rsid w:val="002620A4"/>
    <w:pPr>
      <w:framePr w:wrap="around" w:vAnchor="page" w:hAnchor="margin" w:x="114" w:y="13042"/>
      <w:spacing w:line="240" w:lineRule="atLeast"/>
      <w:suppressOverlap/>
    </w:pPr>
    <w:rPr>
      <w:color w:val="4C4C4C"/>
      <w:sz w:val="24"/>
    </w:rPr>
  </w:style>
  <w:style w:type="paragraph" w:customStyle="1" w:styleId="BreakoutList1">
    <w:name w:val="Breakout List 1"/>
    <w:basedOn w:val="BreakoutNormal"/>
    <w:semiHidden/>
    <w:rsid w:val="002620A4"/>
    <w:pPr>
      <w:numPr>
        <w:numId w:val="1"/>
      </w:numPr>
    </w:pPr>
  </w:style>
  <w:style w:type="paragraph" w:customStyle="1" w:styleId="BreakoutList2">
    <w:name w:val="Breakout List 2"/>
    <w:basedOn w:val="BreakoutList1"/>
    <w:semiHidden/>
    <w:rsid w:val="002620A4"/>
    <w:pPr>
      <w:numPr>
        <w:ilvl w:val="1"/>
      </w:numPr>
    </w:pPr>
  </w:style>
  <w:style w:type="paragraph" w:customStyle="1" w:styleId="Bullet1">
    <w:name w:val="Bullet 1"/>
    <w:basedOn w:val="Normal"/>
    <w:uiPriority w:val="11"/>
    <w:semiHidden/>
    <w:rsid w:val="002620A4"/>
    <w:pPr>
      <w:spacing w:before="80" w:after="80"/>
    </w:pPr>
    <w:rPr>
      <w:rFonts w:ascii="Calibri" w:eastAsia="Times New Roman" w:hAnsi="Calibri" w:cs="Calibri"/>
      <w:sz w:val="20"/>
    </w:rPr>
  </w:style>
  <w:style w:type="paragraph" w:customStyle="1" w:styleId="Bullet2">
    <w:name w:val="Bullet 2"/>
    <w:basedOn w:val="Bullet1"/>
    <w:uiPriority w:val="11"/>
    <w:semiHidden/>
    <w:rsid w:val="002620A4"/>
  </w:style>
  <w:style w:type="paragraph" w:customStyle="1" w:styleId="Bullet3">
    <w:name w:val="Bullet 3"/>
    <w:basedOn w:val="Bullet2"/>
    <w:uiPriority w:val="11"/>
    <w:semiHidden/>
    <w:rsid w:val="002620A4"/>
  </w:style>
  <w:style w:type="paragraph" w:customStyle="1" w:styleId="NewsletterNormal">
    <w:name w:val="Newsletter Normal"/>
    <w:basedOn w:val="Normal"/>
    <w:link w:val="NewsletterNormalChar"/>
    <w:qFormat/>
    <w:rsid w:val="00622DD4"/>
  </w:style>
  <w:style w:type="character" w:customStyle="1" w:styleId="NewsletterNormalChar">
    <w:name w:val="Newsletter Normal Char"/>
    <w:basedOn w:val="DefaultParagraphFont"/>
    <w:link w:val="NewsletterNormal"/>
    <w:rsid w:val="00622DD4"/>
  </w:style>
  <w:style w:type="paragraph" w:customStyle="1" w:styleId="NewsletterBullet1">
    <w:name w:val="Newsletter Bullet 1"/>
    <w:basedOn w:val="NewsletterNormal"/>
    <w:qFormat/>
    <w:rsid w:val="00B360A7"/>
    <w:pPr>
      <w:numPr>
        <w:numId w:val="2"/>
      </w:numPr>
    </w:pPr>
  </w:style>
  <w:style w:type="paragraph" w:customStyle="1" w:styleId="NewsletterBullet2">
    <w:name w:val="Newsletter Bullet 2"/>
    <w:basedOn w:val="NewsletterBullet1"/>
    <w:rsid w:val="001C61F7"/>
    <w:pPr>
      <w:numPr>
        <w:ilvl w:val="1"/>
      </w:numPr>
    </w:pPr>
  </w:style>
  <w:style w:type="paragraph" w:customStyle="1" w:styleId="NewsletterBullet3">
    <w:name w:val="Newsletter Bullet 3"/>
    <w:basedOn w:val="NewsletterBullet2"/>
    <w:rsid w:val="002620A4"/>
    <w:pPr>
      <w:numPr>
        <w:ilvl w:val="2"/>
      </w:numPr>
    </w:pPr>
  </w:style>
  <w:style w:type="paragraph" w:customStyle="1" w:styleId="NewsletterGraphic">
    <w:name w:val="Newsletter Graphic"/>
    <w:basedOn w:val="Normal"/>
    <w:semiHidden/>
    <w:rsid w:val="002620A4"/>
    <w:pPr>
      <w:widowControl w:val="0"/>
      <w:spacing w:before="160" w:after="320"/>
    </w:pPr>
    <w:rPr>
      <w:rFonts w:ascii="Calibri" w:eastAsia="Times New Roman" w:hAnsi="Calibri" w:cs="Calibri"/>
      <w:sz w:val="24"/>
    </w:rPr>
  </w:style>
  <w:style w:type="paragraph" w:customStyle="1" w:styleId="NewsletterHeading1">
    <w:name w:val="Newsletter Heading 1"/>
    <w:rsid w:val="0035167F"/>
    <w:pPr>
      <w:keepNext/>
      <w:keepLines/>
      <w:spacing w:before="240" w:after="0" w:line="260" w:lineRule="exact"/>
    </w:pPr>
    <w:rPr>
      <w:rFonts w:ascii="Calibri" w:eastAsia="Times New Roman" w:hAnsi="Calibri" w:cs="Calibri"/>
      <w:b/>
      <w:bCs/>
      <w:color w:val="1665A1"/>
      <w:sz w:val="25"/>
      <w:szCs w:val="24"/>
    </w:rPr>
  </w:style>
  <w:style w:type="paragraph" w:customStyle="1" w:styleId="NewsletterHeading2">
    <w:name w:val="Newsletter Heading 2"/>
    <w:basedOn w:val="NewsletterHeading1"/>
    <w:rsid w:val="00184F8B"/>
    <w:pPr>
      <w:spacing w:before="120" w:line="240" w:lineRule="auto"/>
    </w:pPr>
    <w:rPr>
      <w:sz w:val="22"/>
    </w:rPr>
  </w:style>
  <w:style w:type="paragraph" w:customStyle="1" w:styleId="NewsletterIntro">
    <w:name w:val="Newsletter Intro"/>
    <w:basedOn w:val="Normal"/>
    <w:semiHidden/>
    <w:rsid w:val="002620A4"/>
    <w:pPr>
      <w:suppressAutoHyphens/>
      <w:autoSpaceDE w:val="0"/>
      <w:autoSpaceDN w:val="0"/>
      <w:adjustRightInd w:val="0"/>
      <w:spacing w:after="120" w:line="216" w:lineRule="auto"/>
      <w:textAlignment w:val="center"/>
    </w:pPr>
    <w:rPr>
      <w:rFonts w:ascii="Calibri" w:eastAsia="Times New Roman" w:hAnsi="Calibri" w:cs="FoundryFormSans Book"/>
      <w:color w:val="969696"/>
      <w:sz w:val="28"/>
      <w:szCs w:val="28"/>
    </w:rPr>
  </w:style>
  <w:style w:type="paragraph" w:customStyle="1" w:styleId="NewsletterNote">
    <w:name w:val="Newsletter Note"/>
    <w:basedOn w:val="Normal"/>
    <w:rsid w:val="002620A4"/>
    <w:pPr>
      <w:keepNext/>
      <w:keepLines/>
      <w:spacing w:after="0"/>
    </w:pPr>
    <w:rPr>
      <w:rFonts w:ascii="Calibri" w:eastAsia="Times New Roman" w:hAnsi="Calibri" w:cs="Calibri"/>
      <w:color w:val="000000"/>
      <w:sz w:val="18"/>
      <w:lang w:eastAsia="en-US"/>
    </w:rPr>
  </w:style>
  <w:style w:type="character" w:styleId="FootnoteReference">
    <w:name w:val="footnote reference"/>
    <w:uiPriority w:val="49"/>
    <w:semiHidden/>
    <w:rsid w:val="002620A4"/>
    <w:rPr>
      <w:vertAlign w:val="superscript"/>
    </w:rPr>
  </w:style>
  <w:style w:type="paragraph" w:styleId="FootnoteText">
    <w:name w:val="footnote text"/>
    <w:basedOn w:val="Normal"/>
    <w:link w:val="FootnoteTextChar"/>
    <w:uiPriority w:val="49"/>
    <w:semiHidden/>
    <w:rsid w:val="002620A4"/>
    <w:pPr>
      <w:spacing w:after="100"/>
    </w:pPr>
    <w:rPr>
      <w:rFonts w:ascii="Calibri" w:eastAsia="Times New Roman" w:hAnsi="Calibri" w:cs="Calibri"/>
      <w:sz w:val="20"/>
    </w:rPr>
  </w:style>
  <w:style w:type="character" w:customStyle="1" w:styleId="FootnoteTextChar">
    <w:name w:val="Footnote Text Char"/>
    <w:basedOn w:val="DefaultParagraphFont"/>
    <w:link w:val="FootnoteText"/>
    <w:uiPriority w:val="49"/>
    <w:semiHidden/>
    <w:rsid w:val="002620A4"/>
    <w:rPr>
      <w:rFonts w:ascii="Calibri" w:eastAsia="Times New Roman" w:hAnsi="Calibri" w:cs="Calibri"/>
      <w:sz w:val="20"/>
    </w:rPr>
  </w:style>
  <w:style w:type="character" w:styleId="Hyperlink">
    <w:name w:val="Hyperlink"/>
    <w:uiPriority w:val="99"/>
    <w:rsid w:val="002620A4"/>
    <w:rPr>
      <w:color w:val="404040"/>
      <w:u w:val="none"/>
    </w:rPr>
  </w:style>
  <w:style w:type="paragraph" w:styleId="TOC1">
    <w:name w:val="toc 1"/>
    <w:basedOn w:val="Normal"/>
    <w:next w:val="Normal"/>
    <w:autoRedefine/>
    <w:uiPriority w:val="39"/>
    <w:rsid w:val="001469E0"/>
    <w:pPr>
      <w:tabs>
        <w:tab w:val="right" w:leader="dot" w:pos="2951"/>
      </w:tabs>
      <w:spacing w:before="0" w:after="0"/>
      <w:ind w:left="181" w:right="567" w:hanging="181"/>
    </w:pPr>
    <w:rPr>
      <w:rFonts w:ascii="Calibri" w:eastAsia="Times New Roman" w:hAnsi="Calibri" w:cs="Calibri"/>
      <w:noProof/>
      <w:color w:val="4C4C4C"/>
      <w:sz w:val="16"/>
      <w:szCs w:val="16"/>
    </w:rPr>
  </w:style>
  <w:style w:type="paragraph" w:customStyle="1" w:styleId="NewsletterIntroductoryCopy">
    <w:name w:val="Newsletter Introductory Copy"/>
    <w:basedOn w:val="Normal"/>
    <w:rsid w:val="00C4190E"/>
    <w:pPr>
      <w:keepNext/>
      <w:keepLines/>
      <w:widowControl w:val="0"/>
      <w:spacing w:line="216" w:lineRule="auto"/>
      <w:outlineLvl w:val="1"/>
    </w:pPr>
    <w:rPr>
      <w:rFonts w:ascii="Calibri" w:eastAsia="Times New Roman" w:hAnsi="Calibri" w:cs="Calibri"/>
      <w:color w:val="1665A1"/>
      <w:sz w:val="28"/>
      <w:lang w:eastAsia="en-US"/>
    </w:rPr>
  </w:style>
  <w:style w:type="paragraph" w:customStyle="1" w:styleId="NewsletterTOCheading">
    <w:name w:val="Newsletter TOC heading"/>
    <w:basedOn w:val="NewsletterNormal"/>
    <w:semiHidden/>
    <w:rsid w:val="002620A4"/>
    <w:pPr>
      <w:spacing w:line="230" w:lineRule="atLeast"/>
    </w:pPr>
    <w:rPr>
      <w:b/>
      <w:color w:val="1665A1"/>
      <w:sz w:val="36"/>
      <w:szCs w:val="36"/>
    </w:rPr>
  </w:style>
  <w:style w:type="table" w:styleId="TableGrid">
    <w:name w:val="Table Grid"/>
    <w:basedOn w:val="TableNormal"/>
    <w:uiPriority w:val="59"/>
    <w:rsid w:val="00184F8B"/>
    <w:pPr>
      <w:spacing w:after="0" w:line="240" w:lineRule="auto"/>
    </w:pPr>
    <w:rPr>
      <w:rFonts w:ascii="Calibri" w:hAnsi="Calibri"/>
    </w:rPr>
    <w:tblPr>
      <w:tblInd w:w="0" w:type="dxa"/>
      <w:tblBorders>
        <w:bottom w:val="single" w:sz="4" w:space="0" w:color="1665A1"/>
        <w:insideH w:val="single" w:sz="4" w:space="0" w:color="1665A1"/>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Char">
    <w:name w:val="Char"/>
    <w:basedOn w:val="Normal"/>
    <w:semiHidden/>
    <w:rsid w:val="00AB0A40"/>
    <w:pPr>
      <w:spacing w:before="60" w:after="160" w:line="240" w:lineRule="exact"/>
      <w:jc w:val="both"/>
    </w:pPr>
    <w:rPr>
      <w:rFonts w:ascii="Tahoma" w:eastAsia="Times New Roman" w:hAnsi="Tahoma" w:cs="Tahoma"/>
      <w:sz w:val="20"/>
      <w:szCs w:val="20"/>
      <w:lang w:val="en-US" w:eastAsia="en-US"/>
    </w:rPr>
  </w:style>
  <w:style w:type="paragraph" w:customStyle="1" w:styleId="NewsletterHeading3">
    <w:name w:val="Newsletter Heading 3"/>
    <w:basedOn w:val="NewsletterNormal"/>
    <w:rsid w:val="00184F8B"/>
    <w:pPr>
      <w:tabs>
        <w:tab w:val="left" w:pos="567"/>
      </w:tabs>
      <w:ind w:left="567" w:hanging="567"/>
    </w:pPr>
    <w:rPr>
      <w:b/>
    </w:rPr>
  </w:style>
  <w:style w:type="paragraph" w:customStyle="1" w:styleId="NewsletterNormalindent">
    <w:name w:val="Newsletter Normal indent"/>
    <w:basedOn w:val="NewsletterNormal"/>
    <w:rsid w:val="00B3784C"/>
    <w:pPr>
      <w:ind w:left="283"/>
    </w:pPr>
  </w:style>
  <w:style w:type="paragraph" w:styleId="NormalWeb">
    <w:name w:val="Normal (Web)"/>
    <w:basedOn w:val="Normal"/>
    <w:uiPriority w:val="99"/>
    <w:semiHidden/>
    <w:unhideWhenUsed/>
    <w:rsid w:val="001C61F7"/>
    <w:pPr>
      <w:spacing w:beforeAutospacing="1" w:after="100" w:afterAutospacing="1"/>
    </w:pPr>
    <w:rPr>
      <w:rFonts w:ascii="Times New Roman" w:hAnsi="Times New Roman" w:cs="Times New Roman"/>
      <w:sz w:val="24"/>
      <w:szCs w:val="24"/>
    </w:rPr>
  </w:style>
  <w:style w:type="paragraph" w:customStyle="1" w:styleId="TableText">
    <w:name w:val="Table Text"/>
    <w:basedOn w:val="NewsletterNormal"/>
    <w:uiPriority w:val="15"/>
    <w:rsid w:val="00184F8B"/>
    <w:pPr>
      <w:spacing w:before="60" w:line="230" w:lineRule="atLeast"/>
    </w:pPr>
    <w:rPr>
      <w:rFonts w:ascii="Calibri" w:eastAsia="Times New Roman" w:hAnsi="Calibri" w:cs="Calibri"/>
    </w:rPr>
  </w:style>
  <w:style w:type="character" w:styleId="CommentReference">
    <w:name w:val="annotation reference"/>
    <w:basedOn w:val="DefaultParagraphFont"/>
    <w:uiPriority w:val="99"/>
    <w:semiHidden/>
    <w:unhideWhenUsed/>
    <w:rsid w:val="003E7C1C"/>
    <w:rPr>
      <w:sz w:val="16"/>
      <w:szCs w:val="16"/>
    </w:rPr>
  </w:style>
  <w:style w:type="paragraph" w:styleId="CommentText">
    <w:name w:val="annotation text"/>
    <w:basedOn w:val="Normal"/>
    <w:link w:val="CommentTextChar"/>
    <w:uiPriority w:val="99"/>
    <w:semiHidden/>
    <w:unhideWhenUsed/>
    <w:rsid w:val="003E7C1C"/>
    <w:rPr>
      <w:sz w:val="20"/>
      <w:szCs w:val="20"/>
    </w:rPr>
  </w:style>
  <w:style w:type="character" w:customStyle="1" w:styleId="CommentTextChar">
    <w:name w:val="Comment Text Char"/>
    <w:basedOn w:val="DefaultParagraphFont"/>
    <w:link w:val="CommentText"/>
    <w:uiPriority w:val="99"/>
    <w:semiHidden/>
    <w:rsid w:val="003E7C1C"/>
    <w:rPr>
      <w:sz w:val="20"/>
      <w:szCs w:val="20"/>
    </w:rPr>
  </w:style>
  <w:style w:type="paragraph" w:styleId="CommentSubject">
    <w:name w:val="annotation subject"/>
    <w:basedOn w:val="CommentText"/>
    <w:next w:val="CommentText"/>
    <w:link w:val="CommentSubjectChar"/>
    <w:uiPriority w:val="99"/>
    <w:semiHidden/>
    <w:unhideWhenUsed/>
    <w:rsid w:val="003E7C1C"/>
    <w:rPr>
      <w:b/>
      <w:bCs/>
    </w:rPr>
  </w:style>
  <w:style w:type="character" w:customStyle="1" w:styleId="CommentSubjectChar">
    <w:name w:val="Comment Subject Char"/>
    <w:basedOn w:val="CommentTextChar"/>
    <w:link w:val="CommentSubject"/>
    <w:uiPriority w:val="99"/>
    <w:semiHidden/>
    <w:rsid w:val="003E7C1C"/>
    <w:rPr>
      <w:b/>
      <w:bCs/>
      <w:sz w:val="20"/>
      <w:szCs w:val="20"/>
    </w:rPr>
  </w:style>
  <w:style w:type="paragraph" w:styleId="Revision">
    <w:name w:val="Revision"/>
    <w:hidden/>
    <w:uiPriority w:val="99"/>
    <w:semiHidden/>
    <w:rsid w:val="003E7C1C"/>
    <w:pPr>
      <w:spacing w:after="0" w:line="240" w:lineRule="auto"/>
    </w:pPr>
  </w:style>
  <w:style w:type="paragraph" w:styleId="BalloonText">
    <w:name w:val="Balloon Text"/>
    <w:basedOn w:val="Normal"/>
    <w:link w:val="BalloonTextChar"/>
    <w:uiPriority w:val="99"/>
    <w:semiHidden/>
    <w:unhideWhenUsed/>
    <w:rsid w:val="003E7C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C"/>
    <w:rPr>
      <w:rFonts w:ascii="Tahoma" w:hAnsi="Tahoma" w:cs="Tahoma"/>
      <w:sz w:val="16"/>
      <w:szCs w:val="16"/>
    </w:rPr>
  </w:style>
  <w:style w:type="paragraph" w:customStyle="1" w:styleId="Default">
    <w:name w:val="Default"/>
    <w:rsid w:val="003700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rticledesc">
    <w:name w:val="articledesc"/>
    <w:basedOn w:val="Normal"/>
    <w:rsid w:val="00E94E73"/>
    <w:pPr>
      <w:spacing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776"/>
    <w:rPr>
      <w:color w:val="800080" w:themeColor="followedHyperlink"/>
      <w:u w:val="single"/>
    </w:rPr>
  </w:style>
  <w:style w:type="paragraph" w:styleId="ListParagraph">
    <w:name w:val="List Paragraph"/>
    <w:basedOn w:val="Normal"/>
    <w:uiPriority w:val="34"/>
    <w:qFormat/>
    <w:rsid w:val="004B3EFE"/>
    <w:pPr>
      <w:ind w:left="720"/>
      <w:contextualSpacing/>
    </w:pPr>
  </w:style>
  <w:style w:type="character" w:styleId="Emphasis">
    <w:name w:val="Emphasis"/>
    <w:uiPriority w:val="20"/>
    <w:qFormat/>
    <w:rsid w:val="004B3EFE"/>
    <w:rPr>
      <w:b/>
      <w:bCs/>
      <w:i/>
      <w:iCs/>
      <w:spacing w:val="10"/>
      <w:bdr w:val="none" w:sz="0" w:space="0" w:color="auto"/>
      <w:shd w:val="clear" w:color="auto" w:fill="auto"/>
    </w:rPr>
  </w:style>
  <w:style w:type="character" w:customStyle="1" w:styleId="radewrongword">
    <w:name w:val="radewrongword"/>
    <w:basedOn w:val="DefaultParagraphFont"/>
    <w:rsid w:val="006C7ECF"/>
  </w:style>
  <w:style w:type="character" w:customStyle="1" w:styleId="st1">
    <w:name w:val="st1"/>
    <w:basedOn w:val="DefaultParagraphFont"/>
    <w:rsid w:val="00702EEB"/>
  </w:style>
  <w:style w:type="paragraph" w:customStyle="1" w:styleId="Listindent2">
    <w:name w:val="List indent 2"/>
    <w:basedOn w:val="NewsletterBullet1"/>
    <w:rsid w:val="00C4190E"/>
    <w:pPr>
      <w:ind w:left="568" w:hanging="284"/>
    </w:pPr>
  </w:style>
  <w:style w:type="paragraph" w:customStyle="1" w:styleId="NewsletterNormalindent2">
    <w:name w:val="Newsletter Normal indent 2"/>
    <w:basedOn w:val="NewsletterNormalindent"/>
    <w:rsid w:val="00C4190E"/>
    <w:pPr>
      <w:ind w:left="567"/>
    </w:pPr>
    <w:rPr>
      <w:color w:val="000000" w:themeColor="text1"/>
    </w:rPr>
  </w:style>
  <w:style w:type="paragraph" w:customStyle="1" w:styleId="TableNote">
    <w:name w:val="Table Note"/>
    <w:basedOn w:val="NewsletterNormal"/>
    <w:rsid w:val="00C4190E"/>
    <w:pPr>
      <w:ind w:left="284" w:hanging="284"/>
    </w:pPr>
    <w:rPr>
      <w:i/>
      <w:sz w:val="18"/>
      <w:szCs w:val="18"/>
    </w:rPr>
  </w:style>
  <w:style w:type="table" w:styleId="LightShading-Accent1">
    <w:name w:val="Light Shading Accent 1"/>
    <w:basedOn w:val="TableNormal"/>
    <w:uiPriority w:val="60"/>
    <w:rsid w:val="009013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9013C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rsid w:val="006A189A"/>
    <w:rPr>
      <w:b/>
      <w:bCs/>
      <w:color w:val="4F81BD" w:themeColor="accent1"/>
      <w:sz w:val="18"/>
      <w:szCs w:val="18"/>
    </w:rPr>
  </w:style>
  <w:style w:type="character" w:customStyle="1" w:styleId="Heading1Char">
    <w:name w:val="Heading 1 Char"/>
    <w:basedOn w:val="DefaultParagraphFont"/>
    <w:link w:val="Heading1"/>
    <w:uiPriority w:val="9"/>
    <w:rsid w:val="004B3E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B3E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3EF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E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E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E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E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EFE"/>
    <w:rPr>
      <w:rFonts w:asciiTheme="majorHAnsi" w:eastAsiaTheme="majorEastAsia" w:hAnsiTheme="majorHAnsi" w:cstheme="majorBidi"/>
      <w:i/>
      <w:iCs/>
      <w:spacing w:val="5"/>
      <w:sz w:val="20"/>
      <w:szCs w:val="20"/>
    </w:rPr>
  </w:style>
  <w:style w:type="paragraph" w:styleId="Title">
    <w:name w:val="Title"/>
    <w:basedOn w:val="NewsletterTitle"/>
    <w:next w:val="Normal"/>
    <w:link w:val="TitleChar"/>
    <w:uiPriority w:val="10"/>
    <w:qFormat/>
    <w:rsid w:val="00DF2401"/>
  </w:style>
  <w:style w:type="character" w:customStyle="1" w:styleId="TitleChar">
    <w:name w:val="Title Char"/>
    <w:basedOn w:val="DefaultParagraphFont"/>
    <w:link w:val="Title"/>
    <w:uiPriority w:val="10"/>
    <w:rsid w:val="00DF2401"/>
    <w:rPr>
      <w:rFonts w:ascii="Calibri" w:eastAsia="Times New Roman" w:hAnsi="Calibri" w:cs="Calibri"/>
      <w:b/>
      <w:color w:val="1665A1"/>
      <w:kern w:val="28"/>
      <w:sz w:val="60"/>
    </w:rPr>
  </w:style>
  <w:style w:type="paragraph" w:styleId="Subtitle">
    <w:name w:val="Subtitle"/>
    <w:basedOn w:val="NewsletterSubtitle"/>
    <w:next w:val="Normal"/>
    <w:link w:val="SubtitleChar"/>
    <w:uiPriority w:val="11"/>
    <w:qFormat/>
    <w:rsid w:val="00DF2401"/>
  </w:style>
  <w:style w:type="character" w:customStyle="1" w:styleId="SubtitleChar">
    <w:name w:val="Subtitle Char"/>
    <w:basedOn w:val="DefaultParagraphFont"/>
    <w:link w:val="Subtitle"/>
    <w:uiPriority w:val="11"/>
    <w:rsid w:val="00DF2401"/>
    <w:rPr>
      <w:rFonts w:ascii="Calibri" w:eastAsia="Times New Roman" w:hAnsi="Calibri" w:cs="Calibri"/>
      <w:color w:val="4D4D4D"/>
      <w:kern w:val="28"/>
      <w:sz w:val="40"/>
    </w:rPr>
  </w:style>
  <w:style w:type="character" w:styleId="Strong">
    <w:name w:val="Strong"/>
    <w:uiPriority w:val="22"/>
    <w:qFormat/>
    <w:rsid w:val="004B3EFE"/>
    <w:rPr>
      <w:b/>
      <w:bCs/>
    </w:rPr>
  </w:style>
  <w:style w:type="paragraph" w:styleId="NoSpacing">
    <w:name w:val="No Spacing"/>
    <w:basedOn w:val="Normal"/>
    <w:uiPriority w:val="1"/>
    <w:qFormat/>
    <w:rsid w:val="004B3EFE"/>
    <w:pPr>
      <w:spacing w:after="0"/>
    </w:pPr>
  </w:style>
  <w:style w:type="paragraph" w:styleId="Quote">
    <w:name w:val="Quote"/>
    <w:basedOn w:val="Normal"/>
    <w:next w:val="Normal"/>
    <w:link w:val="QuoteChar"/>
    <w:uiPriority w:val="29"/>
    <w:qFormat/>
    <w:rsid w:val="004B3EFE"/>
    <w:pPr>
      <w:spacing w:before="200" w:after="0"/>
      <w:ind w:left="360" w:right="360"/>
    </w:pPr>
    <w:rPr>
      <w:i/>
      <w:iCs/>
    </w:rPr>
  </w:style>
  <w:style w:type="character" w:customStyle="1" w:styleId="QuoteChar">
    <w:name w:val="Quote Char"/>
    <w:basedOn w:val="DefaultParagraphFont"/>
    <w:link w:val="Quote"/>
    <w:uiPriority w:val="29"/>
    <w:rsid w:val="004B3EFE"/>
    <w:rPr>
      <w:i/>
      <w:iCs/>
    </w:rPr>
  </w:style>
  <w:style w:type="paragraph" w:styleId="IntenseQuote">
    <w:name w:val="Intense Quote"/>
    <w:basedOn w:val="Normal"/>
    <w:next w:val="Normal"/>
    <w:link w:val="IntenseQuoteChar"/>
    <w:uiPriority w:val="30"/>
    <w:qFormat/>
    <w:rsid w:val="004B3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3EFE"/>
    <w:rPr>
      <w:b/>
      <w:bCs/>
      <w:i/>
      <w:iCs/>
    </w:rPr>
  </w:style>
  <w:style w:type="character" w:styleId="SubtleEmphasis">
    <w:name w:val="Subtle Emphasis"/>
    <w:uiPriority w:val="19"/>
    <w:qFormat/>
    <w:rsid w:val="004B3EFE"/>
    <w:rPr>
      <w:i/>
      <w:iCs/>
    </w:rPr>
  </w:style>
  <w:style w:type="character" w:styleId="IntenseEmphasis">
    <w:name w:val="Intense Emphasis"/>
    <w:uiPriority w:val="21"/>
    <w:qFormat/>
    <w:rsid w:val="004B3EFE"/>
    <w:rPr>
      <w:b/>
      <w:bCs/>
    </w:rPr>
  </w:style>
  <w:style w:type="character" w:styleId="SubtleReference">
    <w:name w:val="Subtle Reference"/>
    <w:uiPriority w:val="31"/>
    <w:qFormat/>
    <w:rsid w:val="004B3EFE"/>
    <w:rPr>
      <w:smallCaps/>
    </w:rPr>
  </w:style>
  <w:style w:type="character" w:styleId="IntenseReference">
    <w:name w:val="Intense Reference"/>
    <w:uiPriority w:val="32"/>
    <w:qFormat/>
    <w:rsid w:val="004B3EFE"/>
    <w:rPr>
      <w:smallCaps/>
      <w:spacing w:val="5"/>
      <w:u w:val="single"/>
    </w:rPr>
  </w:style>
  <w:style w:type="character" w:styleId="BookTitle">
    <w:name w:val="Book Title"/>
    <w:uiPriority w:val="33"/>
    <w:qFormat/>
    <w:rsid w:val="004B3EFE"/>
    <w:rPr>
      <w:i/>
      <w:iCs/>
      <w:smallCaps/>
      <w:spacing w:val="5"/>
    </w:rPr>
  </w:style>
  <w:style w:type="paragraph" w:styleId="TOCHeading">
    <w:name w:val="TOC Heading"/>
    <w:basedOn w:val="Heading1"/>
    <w:next w:val="Normal"/>
    <w:uiPriority w:val="39"/>
    <w:semiHidden/>
    <w:unhideWhenUsed/>
    <w:qFormat/>
    <w:rsid w:val="004B3EFE"/>
    <w:pPr>
      <w:outlineLvl w:val="9"/>
    </w:pPr>
    <w:rPr>
      <w:lang w:bidi="en-US"/>
    </w:rPr>
  </w:style>
  <w:style w:type="table" w:customStyle="1" w:styleId="Newslettertable">
    <w:name w:val="Newsletter table"/>
    <w:basedOn w:val="TableGrid"/>
    <w:uiPriority w:val="99"/>
    <w:rsid w:val="003068A4"/>
    <w:tblPr>
      <w:tblInd w:w="0" w:type="dxa"/>
      <w:tblBorders>
        <w:top w:val="single" w:sz="4" w:space="0" w:color="auto"/>
        <w:bottom w:val="single" w:sz="4" w:space="0" w:color="auto"/>
        <w:insideH w:val="single" w:sz="4" w:space="0" w:color="auto"/>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ShadedHeading">
    <w:name w:val="Shaded Heading"/>
    <w:basedOn w:val="NewsletterHeading3"/>
    <w:qFormat/>
    <w:rsid w:val="007F56A4"/>
    <w:pPr>
      <w:pBdr>
        <w:top w:val="single" w:sz="6" w:space="1" w:color="000000"/>
        <w:bottom w:val="single" w:sz="6" w:space="1" w:color="000000"/>
      </w:pBdr>
      <w:shd w:val="clear" w:color="auto" w:fill="D9D9D9" w:themeFill="background1" w:themeFillShade="D9"/>
    </w:pPr>
  </w:style>
  <w:style w:type="paragraph" w:customStyle="1" w:styleId="Footnote">
    <w:name w:val="Footnote"/>
    <w:basedOn w:val="FootnoteText"/>
    <w:qFormat/>
    <w:rsid w:val="00184F8B"/>
    <w:rPr>
      <w:sz w:val="18"/>
    </w:rPr>
  </w:style>
  <w:style w:type="paragraph" w:customStyle="1" w:styleId="TableHeading">
    <w:name w:val="Table Heading"/>
    <w:basedOn w:val="TableText"/>
    <w:qFormat/>
    <w:rsid w:val="00184F8B"/>
    <w:rPr>
      <w:b/>
      <w:szCs w:val="20"/>
    </w:rPr>
  </w:style>
  <w:style w:type="paragraph" w:customStyle="1" w:styleId="Heading2NoNum">
    <w:name w:val="Heading 2 NoNum"/>
    <w:basedOn w:val="Heading2"/>
    <w:next w:val="Normal"/>
    <w:uiPriority w:val="4"/>
    <w:qFormat/>
    <w:rsid w:val="004B443C"/>
    <w:pPr>
      <w:keepNext/>
      <w:keepLines/>
      <w:widowControl w:val="0"/>
      <w:spacing w:before="240" w:after="120"/>
    </w:pPr>
    <w:rPr>
      <w:rFonts w:ascii="Calibri" w:eastAsia="Times New Roman" w:hAnsi="Calibri" w:cs="Calibri"/>
      <w:bCs w:val="0"/>
      <w:color w:val="4D4D4D"/>
      <w:sz w:val="24"/>
      <w:szCs w:val="22"/>
      <w:lang w:eastAsia="en-US"/>
    </w:rPr>
  </w:style>
  <w:style w:type="paragraph" w:customStyle="1" w:styleId="NewsletterHeading4">
    <w:name w:val="Newsletter Heading 4"/>
    <w:basedOn w:val="NewsletterNormal"/>
    <w:qFormat/>
    <w:rsid w:val="000F3DAE"/>
    <w:rPr>
      <w:b/>
      <w:color w:val="999999"/>
    </w:rPr>
  </w:style>
  <w:style w:type="character" w:styleId="PlaceholderText">
    <w:name w:val="Placeholder Text"/>
    <w:basedOn w:val="DefaultParagraphFont"/>
    <w:uiPriority w:val="99"/>
    <w:semiHidden/>
    <w:rsid w:val="005A31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lsdException w:name="header" w:uiPriority="24"/>
    <w:lsdException w:name="footer" w:uiPriority="24"/>
    <w:lsdException w:name="caption" w:uiPriority="35"/>
    <w:lsdException w:name="footnote reference" w:uiPriority="49"/>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A317D"/>
    <w:pPr>
      <w:spacing w:before="100" w:after="60" w:line="240" w:lineRule="auto"/>
    </w:pPr>
  </w:style>
  <w:style w:type="paragraph" w:styleId="Heading1">
    <w:name w:val="heading 1"/>
    <w:basedOn w:val="Normal"/>
    <w:next w:val="Normal"/>
    <w:link w:val="Heading1Char"/>
    <w:uiPriority w:val="9"/>
    <w:qFormat/>
    <w:rsid w:val="004B3E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B3E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3E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E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E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E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E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E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3E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semiHidden/>
    <w:rsid w:val="002620A4"/>
    <w:pPr>
      <w:tabs>
        <w:tab w:val="center" w:pos="4513"/>
        <w:tab w:val="right" w:pos="9026"/>
      </w:tabs>
      <w:spacing w:after="0"/>
    </w:pPr>
  </w:style>
  <w:style w:type="character" w:customStyle="1" w:styleId="HeaderChar">
    <w:name w:val="Header Char"/>
    <w:basedOn w:val="DefaultParagraphFont"/>
    <w:link w:val="Header"/>
    <w:uiPriority w:val="24"/>
    <w:semiHidden/>
    <w:rsid w:val="00C30359"/>
  </w:style>
  <w:style w:type="paragraph" w:styleId="Footer">
    <w:name w:val="footer"/>
    <w:link w:val="FooterChar"/>
    <w:uiPriority w:val="24"/>
    <w:semiHidden/>
    <w:rsid w:val="00BE3677"/>
    <w:pPr>
      <w:tabs>
        <w:tab w:val="right" w:pos="8220"/>
      </w:tabs>
      <w:spacing w:after="0" w:line="240" w:lineRule="auto"/>
      <w:jc w:val="right"/>
    </w:pPr>
    <w:rPr>
      <w:rFonts w:ascii="Calibri" w:eastAsia="Times New Roman" w:hAnsi="Calibri" w:cs="Calibri"/>
      <w:noProof/>
      <w:color w:val="FFFFFF" w:themeColor="background1"/>
    </w:rPr>
  </w:style>
  <w:style w:type="character" w:customStyle="1" w:styleId="FooterChar">
    <w:name w:val="Footer Char"/>
    <w:basedOn w:val="DefaultParagraphFont"/>
    <w:link w:val="Footer"/>
    <w:uiPriority w:val="24"/>
    <w:semiHidden/>
    <w:rsid w:val="006B3A50"/>
    <w:rPr>
      <w:rFonts w:ascii="Calibri" w:eastAsia="Times New Roman" w:hAnsi="Calibri" w:cs="Calibri"/>
      <w:noProof/>
      <w:color w:val="FFFFFF" w:themeColor="background1"/>
    </w:rPr>
  </w:style>
  <w:style w:type="paragraph" w:customStyle="1" w:styleId="NewsletterTitle">
    <w:name w:val="Newsletter Title"/>
    <w:basedOn w:val="Normal"/>
    <w:rsid w:val="00BE3677"/>
    <w:pPr>
      <w:spacing w:after="0" w:line="560" w:lineRule="exact"/>
    </w:pPr>
    <w:rPr>
      <w:rFonts w:ascii="Calibri" w:eastAsia="Times New Roman" w:hAnsi="Calibri" w:cs="Calibri"/>
      <w:b/>
      <w:color w:val="1665A1"/>
      <w:kern w:val="28"/>
      <w:sz w:val="60"/>
    </w:rPr>
  </w:style>
  <w:style w:type="paragraph" w:customStyle="1" w:styleId="NewsletterSubtitle">
    <w:name w:val="Newsletter Subtitle"/>
    <w:basedOn w:val="NewsletterTitle"/>
    <w:rsid w:val="002620A4"/>
    <w:pPr>
      <w:spacing w:line="228" w:lineRule="auto"/>
    </w:pPr>
    <w:rPr>
      <w:b w:val="0"/>
      <w:color w:val="4D4D4D"/>
      <w:sz w:val="40"/>
    </w:rPr>
  </w:style>
  <w:style w:type="paragraph" w:styleId="TOC2">
    <w:name w:val="toc 2"/>
    <w:next w:val="Normal"/>
    <w:autoRedefine/>
    <w:uiPriority w:val="39"/>
    <w:semiHidden/>
    <w:rsid w:val="00EC02E9"/>
    <w:pPr>
      <w:tabs>
        <w:tab w:val="left" w:pos="1985"/>
        <w:tab w:val="right" w:leader="dot" w:pos="9639"/>
      </w:tabs>
      <w:spacing w:before="20" w:after="0" w:line="240" w:lineRule="auto"/>
      <w:ind w:left="1248" w:right="567" w:hanging="454"/>
      <w:contextualSpacing/>
    </w:pPr>
    <w:rPr>
      <w:rFonts w:ascii="Calibri" w:eastAsia="Times New Roman" w:hAnsi="Calibri" w:cs="Calibri"/>
      <w:noProof/>
      <w:color w:val="000000"/>
      <w:sz w:val="20"/>
      <w:szCs w:val="28"/>
    </w:rPr>
  </w:style>
  <w:style w:type="paragraph" w:customStyle="1" w:styleId="BreakoutNormal">
    <w:name w:val="Breakout Normal"/>
    <w:basedOn w:val="Normal"/>
    <w:semiHidden/>
    <w:rsid w:val="002620A4"/>
    <w:pPr>
      <w:spacing w:after="100"/>
    </w:pPr>
    <w:rPr>
      <w:rFonts w:ascii="Calibri" w:eastAsia="Times New Roman" w:hAnsi="Calibri" w:cs="Calibri"/>
      <w:sz w:val="20"/>
    </w:rPr>
  </w:style>
  <w:style w:type="paragraph" w:customStyle="1" w:styleId="BreakoutHeading">
    <w:name w:val="Breakout Heading"/>
    <w:basedOn w:val="BreakoutNormal"/>
    <w:semiHidden/>
    <w:rsid w:val="002620A4"/>
    <w:pPr>
      <w:framePr w:wrap="around" w:vAnchor="page" w:hAnchor="margin" w:x="114" w:y="13042"/>
      <w:spacing w:line="240" w:lineRule="atLeast"/>
      <w:suppressOverlap/>
    </w:pPr>
    <w:rPr>
      <w:color w:val="4C4C4C"/>
      <w:sz w:val="24"/>
    </w:rPr>
  </w:style>
  <w:style w:type="paragraph" w:customStyle="1" w:styleId="BreakoutList1">
    <w:name w:val="Breakout List 1"/>
    <w:basedOn w:val="BreakoutNormal"/>
    <w:semiHidden/>
    <w:rsid w:val="002620A4"/>
    <w:pPr>
      <w:numPr>
        <w:numId w:val="1"/>
      </w:numPr>
    </w:pPr>
  </w:style>
  <w:style w:type="paragraph" w:customStyle="1" w:styleId="BreakoutList2">
    <w:name w:val="Breakout List 2"/>
    <w:basedOn w:val="BreakoutList1"/>
    <w:semiHidden/>
    <w:rsid w:val="002620A4"/>
    <w:pPr>
      <w:numPr>
        <w:ilvl w:val="1"/>
      </w:numPr>
    </w:pPr>
  </w:style>
  <w:style w:type="paragraph" w:customStyle="1" w:styleId="Bullet1">
    <w:name w:val="Bullet 1"/>
    <w:basedOn w:val="Normal"/>
    <w:uiPriority w:val="11"/>
    <w:semiHidden/>
    <w:rsid w:val="002620A4"/>
    <w:pPr>
      <w:spacing w:before="80" w:after="80"/>
    </w:pPr>
    <w:rPr>
      <w:rFonts w:ascii="Calibri" w:eastAsia="Times New Roman" w:hAnsi="Calibri" w:cs="Calibri"/>
      <w:sz w:val="20"/>
    </w:rPr>
  </w:style>
  <w:style w:type="paragraph" w:customStyle="1" w:styleId="Bullet2">
    <w:name w:val="Bullet 2"/>
    <w:basedOn w:val="Bullet1"/>
    <w:uiPriority w:val="11"/>
    <w:semiHidden/>
    <w:rsid w:val="002620A4"/>
  </w:style>
  <w:style w:type="paragraph" w:customStyle="1" w:styleId="Bullet3">
    <w:name w:val="Bullet 3"/>
    <w:basedOn w:val="Bullet2"/>
    <w:uiPriority w:val="11"/>
    <w:semiHidden/>
    <w:rsid w:val="002620A4"/>
  </w:style>
  <w:style w:type="paragraph" w:customStyle="1" w:styleId="NewsletterNormal">
    <w:name w:val="Newsletter Normal"/>
    <w:basedOn w:val="Normal"/>
    <w:link w:val="NewsletterNormalChar"/>
    <w:qFormat/>
    <w:rsid w:val="00622DD4"/>
  </w:style>
  <w:style w:type="character" w:customStyle="1" w:styleId="NewsletterNormalChar">
    <w:name w:val="Newsletter Normal Char"/>
    <w:basedOn w:val="DefaultParagraphFont"/>
    <w:link w:val="NewsletterNormal"/>
    <w:rsid w:val="00622DD4"/>
  </w:style>
  <w:style w:type="paragraph" w:customStyle="1" w:styleId="NewsletterBullet1">
    <w:name w:val="Newsletter Bullet 1"/>
    <w:basedOn w:val="NewsletterNormal"/>
    <w:qFormat/>
    <w:rsid w:val="00B360A7"/>
    <w:pPr>
      <w:numPr>
        <w:numId w:val="2"/>
      </w:numPr>
    </w:pPr>
  </w:style>
  <w:style w:type="paragraph" w:customStyle="1" w:styleId="NewsletterBullet2">
    <w:name w:val="Newsletter Bullet 2"/>
    <w:basedOn w:val="NewsletterBullet1"/>
    <w:rsid w:val="001C61F7"/>
    <w:pPr>
      <w:numPr>
        <w:ilvl w:val="1"/>
      </w:numPr>
    </w:pPr>
  </w:style>
  <w:style w:type="paragraph" w:customStyle="1" w:styleId="NewsletterBullet3">
    <w:name w:val="Newsletter Bullet 3"/>
    <w:basedOn w:val="NewsletterBullet2"/>
    <w:rsid w:val="002620A4"/>
    <w:pPr>
      <w:numPr>
        <w:ilvl w:val="2"/>
      </w:numPr>
    </w:pPr>
  </w:style>
  <w:style w:type="paragraph" w:customStyle="1" w:styleId="NewsletterGraphic">
    <w:name w:val="Newsletter Graphic"/>
    <w:basedOn w:val="Normal"/>
    <w:semiHidden/>
    <w:rsid w:val="002620A4"/>
    <w:pPr>
      <w:widowControl w:val="0"/>
      <w:spacing w:before="160" w:after="320"/>
    </w:pPr>
    <w:rPr>
      <w:rFonts w:ascii="Calibri" w:eastAsia="Times New Roman" w:hAnsi="Calibri" w:cs="Calibri"/>
      <w:sz w:val="24"/>
    </w:rPr>
  </w:style>
  <w:style w:type="paragraph" w:customStyle="1" w:styleId="NewsletterHeading1">
    <w:name w:val="Newsletter Heading 1"/>
    <w:rsid w:val="0035167F"/>
    <w:pPr>
      <w:keepNext/>
      <w:keepLines/>
      <w:spacing w:before="240" w:after="0" w:line="260" w:lineRule="exact"/>
    </w:pPr>
    <w:rPr>
      <w:rFonts w:ascii="Calibri" w:eastAsia="Times New Roman" w:hAnsi="Calibri" w:cs="Calibri"/>
      <w:b/>
      <w:bCs/>
      <w:color w:val="1665A1"/>
      <w:sz w:val="25"/>
      <w:szCs w:val="24"/>
    </w:rPr>
  </w:style>
  <w:style w:type="paragraph" w:customStyle="1" w:styleId="NewsletterHeading2">
    <w:name w:val="Newsletter Heading 2"/>
    <w:basedOn w:val="NewsletterHeading1"/>
    <w:rsid w:val="00184F8B"/>
    <w:pPr>
      <w:spacing w:before="120" w:line="240" w:lineRule="auto"/>
    </w:pPr>
    <w:rPr>
      <w:sz w:val="22"/>
    </w:rPr>
  </w:style>
  <w:style w:type="paragraph" w:customStyle="1" w:styleId="NewsletterIntro">
    <w:name w:val="Newsletter Intro"/>
    <w:basedOn w:val="Normal"/>
    <w:semiHidden/>
    <w:rsid w:val="002620A4"/>
    <w:pPr>
      <w:suppressAutoHyphens/>
      <w:autoSpaceDE w:val="0"/>
      <w:autoSpaceDN w:val="0"/>
      <w:adjustRightInd w:val="0"/>
      <w:spacing w:after="120" w:line="216" w:lineRule="auto"/>
      <w:textAlignment w:val="center"/>
    </w:pPr>
    <w:rPr>
      <w:rFonts w:ascii="Calibri" w:eastAsia="Times New Roman" w:hAnsi="Calibri" w:cs="FoundryFormSans Book"/>
      <w:color w:val="969696"/>
      <w:sz w:val="28"/>
      <w:szCs w:val="28"/>
    </w:rPr>
  </w:style>
  <w:style w:type="paragraph" w:customStyle="1" w:styleId="NewsletterNote">
    <w:name w:val="Newsletter Note"/>
    <w:basedOn w:val="Normal"/>
    <w:rsid w:val="002620A4"/>
    <w:pPr>
      <w:keepNext/>
      <w:keepLines/>
      <w:spacing w:after="0"/>
    </w:pPr>
    <w:rPr>
      <w:rFonts w:ascii="Calibri" w:eastAsia="Times New Roman" w:hAnsi="Calibri" w:cs="Calibri"/>
      <w:color w:val="000000"/>
      <w:sz w:val="18"/>
      <w:lang w:eastAsia="en-US"/>
    </w:rPr>
  </w:style>
  <w:style w:type="character" w:styleId="FootnoteReference">
    <w:name w:val="footnote reference"/>
    <w:uiPriority w:val="49"/>
    <w:semiHidden/>
    <w:rsid w:val="002620A4"/>
    <w:rPr>
      <w:vertAlign w:val="superscript"/>
    </w:rPr>
  </w:style>
  <w:style w:type="paragraph" w:styleId="FootnoteText">
    <w:name w:val="footnote text"/>
    <w:basedOn w:val="Normal"/>
    <w:link w:val="FootnoteTextChar"/>
    <w:uiPriority w:val="49"/>
    <w:semiHidden/>
    <w:rsid w:val="002620A4"/>
    <w:pPr>
      <w:spacing w:after="100"/>
    </w:pPr>
    <w:rPr>
      <w:rFonts w:ascii="Calibri" w:eastAsia="Times New Roman" w:hAnsi="Calibri" w:cs="Calibri"/>
      <w:sz w:val="20"/>
    </w:rPr>
  </w:style>
  <w:style w:type="character" w:customStyle="1" w:styleId="FootnoteTextChar">
    <w:name w:val="Footnote Text Char"/>
    <w:basedOn w:val="DefaultParagraphFont"/>
    <w:link w:val="FootnoteText"/>
    <w:uiPriority w:val="49"/>
    <w:semiHidden/>
    <w:rsid w:val="002620A4"/>
    <w:rPr>
      <w:rFonts w:ascii="Calibri" w:eastAsia="Times New Roman" w:hAnsi="Calibri" w:cs="Calibri"/>
      <w:sz w:val="20"/>
    </w:rPr>
  </w:style>
  <w:style w:type="character" w:styleId="Hyperlink">
    <w:name w:val="Hyperlink"/>
    <w:uiPriority w:val="99"/>
    <w:rsid w:val="002620A4"/>
    <w:rPr>
      <w:color w:val="404040"/>
      <w:u w:val="none"/>
    </w:rPr>
  </w:style>
  <w:style w:type="paragraph" w:styleId="TOC1">
    <w:name w:val="toc 1"/>
    <w:basedOn w:val="Normal"/>
    <w:next w:val="Normal"/>
    <w:autoRedefine/>
    <w:uiPriority w:val="39"/>
    <w:rsid w:val="001469E0"/>
    <w:pPr>
      <w:tabs>
        <w:tab w:val="right" w:leader="dot" w:pos="2951"/>
      </w:tabs>
      <w:spacing w:before="0" w:after="0"/>
      <w:ind w:left="181" w:right="567" w:hanging="181"/>
    </w:pPr>
    <w:rPr>
      <w:rFonts w:ascii="Calibri" w:eastAsia="Times New Roman" w:hAnsi="Calibri" w:cs="Calibri"/>
      <w:noProof/>
      <w:color w:val="4C4C4C"/>
      <w:sz w:val="16"/>
      <w:szCs w:val="16"/>
    </w:rPr>
  </w:style>
  <w:style w:type="paragraph" w:customStyle="1" w:styleId="NewsletterIntroductoryCopy">
    <w:name w:val="Newsletter Introductory Copy"/>
    <w:basedOn w:val="Normal"/>
    <w:rsid w:val="00C4190E"/>
    <w:pPr>
      <w:keepNext/>
      <w:keepLines/>
      <w:widowControl w:val="0"/>
      <w:spacing w:line="216" w:lineRule="auto"/>
      <w:outlineLvl w:val="1"/>
    </w:pPr>
    <w:rPr>
      <w:rFonts w:ascii="Calibri" w:eastAsia="Times New Roman" w:hAnsi="Calibri" w:cs="Calibri"/>
      <w:color w:val="1665A1"/>
      <w:sz w:val="28"/>
      <w:lang w:eastAsia="en-US"/>
    </w:rPr>
  </w:style>
  <w:style w:type="paragraph" w:customStyle="1" w:styleId="NewsletterTOCheading">
    <w:name w:val="Newsletter TOC heading"/>
    <w:basedOn w:val="NewsletterNormal"/>
    <w:semiHidden/>
    <w:rsid w:val="002620A4"/>
    <w:pPr>
      <w:spacing w:line="230" w:lineRule="atLeast"/>
    </w:pPr>
    <w:rPr>
      <w:b/>
      <w:color w:val="1665A1"/>
      <w:sz w:val="36"/>
      <w:szCs w:val="36"/>
    </w:rPr>
  </w:style>
  <w:style w:type="table" w:styleId="TableGrid">
    <w:name w:val="Table Grid"/>
    <w:basedOn w:val="TableNormal"/>
    <w:uiPriority w:val="59"/>
    <w:rsid w:val="00184F8B"/>
    <w:pPr>
      <w:spacing w:after="0" w:line="240" w:lineRule="auto"/>
    </w:pPr>
    <w:rPr>
      <w:rFonts w:ascii="Calibri" w:hAnsi="Calibri"/>
    </w:rPr>
    <w:tblPr>
      <w:tblInd w:w="0" w:type="dxa"/>
      <w:tblBorders>
        <w:bottom w:val="single" w:sz="4" w:space="0" w:color="1665A1"/>
        <w:insideH w:val="single" w:sz="4" w:space="0" w:color="1665A1"/>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Char">
    <w:name w:val="Char"/>
    <w:basedOn w:val="Normal"/>
    <w:semiHidden/>
    <w:rsid w:val="00AB0A40"/>
    <w:pPr>
      <w:spacing w:before="60" w:after="160" w:line="240" w:lineRule="exact"/>
      <w:jc w:val="both"/>
    </w:pPr>
    <w:rPr>
      <w:rFonts w:ascii="Tahoma" w:eastAsia="Times New Roman" w:hAnsi="Tahoma" w:cs="Tahoma"/>
      <w:sz w:val="20"/>
      <w:szCs w:val="20"/>
      <w:lang w:val="en-US" w:eastAsia="en-US"/>
    </w:rPr>
  </w:style>
  <w:style w:type="paragraph" w:customStyle="1" w:styleId="NewsletterHeading3">
    <w:name w:val="Newsletter Heading 3"/>
    <w:basedOn w:val="NewsletterNormal"/>
    <w:rsid w:val="00184F8B"/>
    <w:pPr>
      <w:tabs>
        <w:tab w:val="left" w:pos="567"/>
      </w:tabs>
      <w:ind w:left="567" w:hanging="567"/>
    </w:pPr>
    <w:rPr>
      <w:b/>
    </w:rPr>
  </w:style>
  <w:style w:type="paragraph" w:customStyle="1" w:styleId="NewsletterNormalindent">
    <w:name w:val="Newsletter Normal indent"/>
    <w:basedOn w:val="NewsletterNormal"/>
    <w:rsid w:val="00B3784C"/>
    <w:pPr>
      <w:ind w:left="283"/>
    </w:pPr>
  </w:style>
  <w:style w:type="paragraph" w:styleId="NormalWeb">
    <w:name w:val="Normal (Web)"/>
    <w:basedOn w:val="Normal"/>
    <w:uiPriority w:val="99"/>
    <w:semiHidden/>
    <w:unhideWhenUsed/>
    <w:rsid w:val="001C61F7"/>
    <w:pPr>
      <w:spacing w:beforeAutospacing="1" w:after="100" w:afterAutospacing="1"/>
    </w:pPr>
    <w:rPr>
      <w:rFonts w:ascii="Times New Roman" w:hAnsi="Times New Roman" w:cs="Times New Roman"/>
      <w:sz w:val="24"/>
      <w:szCs w:val="24"/>
    </w:rPr>
  </w:style>
  <w:style w:type="paragraph" w:customStyle="1" w:styleId="TableText">
    <w:name w:val="Table Text"/>
    <w:basedOn w:val="NewsletterNormal"/>
    <w:uiPriority w:val="15"/>
    <w:rsid w:val="00184F8B"/>
    <w:pPr>
      <w:spacing w:before="60" w:line="230" w:lineRule="atLeast"/>
    </w:pPr>
    <w:rPr>
      <w:rFonts w:ascii="Calibri" w:eastAsia="Times New Roman" w:hAnsi="Calibri" w:cs="Calibri"/>
    </w:rPr>
  </w:style>
  <w:style w:type="character" w:styleId="CommentReference">
    <w:name w:val="annotation reference"/>
    <w:basedOn w:val="DefaultParagraphFont"/>
    <w:uiPriority w:val="99"/>
    <w:semiHidden/>
    <w:unhideWhenUsed/>
    <w:rsid w:val="003E7C1C"/>
    <w:rPr>
      <w:sz w:val="16"/>
      <w:szCs w:val="16"/>
    </w:rPr>
  </w:style>
  <w:style w:type="paragraph" w:styleId="CommentText">
    <w:name w:val="annotation text"/>
    <w:basedOn w:val="Normal"/>
    <w:link w:val="CommentTextChar"/>
    <w:uiPriority w:val="99"/>
    <w:semiHidden/>
    <w:unhideWhenUsed/>
    <w:rsid w:val="003E7C1C"/>
    <w:rPr>
      <w:sz w:val="20"/>
      <w:szCs w:val="20"/>
    </w:rPr>
  </w:style>
  <w:style w:type="character" w:customStyle="1" w:styleId="CommentTextChar">
    <w:name w:val="Comment Text Char"/>
    <w:basedOn w:val="DefaultParagraphFont"/>
    <w:link w:val="CommentText"/>
    <w:uiPriority w:val="99"/>
    <w:semiHidden/>
    <w:rsid w:val="003E7C1C"/>
    <w:rPr>
      <w:sz w:val="20"/>
      <w:szCs w:val="20"/>
    </w:rPr>
  </w:style>
  <w:style w:type="paragraph" w:styleId="CommentSubject">
    <w:name w:val="annotation subject"/>
    <w:basedOn w:val="CommentText"/>
    <w:next w:val="CommentText"/>
    <w:link w:val="CommentSubjectChar"/>
    <w:uiPriority w:val="99"/>
    <w:semiHidden/>
    <w:unhideWhenUsed/>
    <w:rsid w:val="003E7C1C"/>
    <w:rPr>
      <w:b/>
      <w:bCs/>
    </w:rPr>
  </w:style>
  <w:style w:type="character" w:customStyle="1" w:styleId="CommentSubjectChar">
    <w:name w:val="Comment Subject Char"/>
    <w:basedOn w:val="CommentTextChar"/>
    <w:link w:val="CommentSubject"/>
    <w:uiPriority w:val="99"/>
    <w:semiHidden/>
    <w:rsid w:val="003E7C1C"/>
    <w:rPr>
      <w:b/>
      <w:bCs/>
      <w:sz w:val="20"/>
      <w:szCs w:val="20"/>
    </w:rPr>
  </w:style>
  <w:style w:type="paragraph" w:styleId="Revision">
    <w:name w:val="Revision"/>
    <w:hidden/>
    <w:uiPriority w:val="99"/>
    <w:semiHidden/>
    <w:rsid w:val="003E7C1C"/>
    <w:pPr>
      <w:spacing w:after="0" w:line="240" w:lineRule="auto"/>
    </w:pPr>
  </w:style>
  <w:style w:type="paragraph" w:styleId="BalloonText">
    <w:name w:val="Balloon Text"/>
    <w:basedOn w:val="Normal"/>
    <w:link w:val="BalloonTextChar"/>
    <w:uiPriority w:val="99"/>
    <w:semiHidden/>
    <w:unhideWhenUsed/>
    <w:rsid w:val="003E7C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C"/>
    <w:rPr>
      <w:rFonts w:ascii="Tahoma" w:hAnsi="Tahoma" w:cs="Tahoma"/>
      <w:sz w:val="16"/>
      <w:szCs w:val="16"/>
    </w:rPr>
  </w:style>
  <w:style w:type="paragraph" w:customStyle="1" w:styleId="Default">
    <w:name w:val="Default"/>
    <w:rsid w:val="003700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rticledesc">
    <w:name w:val="articledesc"/>
    <w:basedOn w:val="Normal"/>
    <w:rsid w:val="00E94E73"/>
    <w:pPr>
      <w:spacing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776"/>
    <w:rPr>
      <w:color w:val="800080" w:themeColor="followedHyperlink"/>
      <w:u w:val="single"/>
    </w:rPr>
  </w:style>
  <w:style w:type="paragraph" w:styleId="ListParagraph">
    <w:name w:val="List Paragraph"/>
    <w:basedOn w:val="Normal"/>
    <w:uiPriority w:val="34"/>
    <w:qFormat/>
    <w:rsid w:val="004B3EFE"/>
    <w:pPr>
      <w:ind w:left="720"/>
      <w:contextualSpacing/>
    </w:pPr>
  </w:style>
  <w:style w:type="character" w:styleId="Emphasis">
    <w:name w:val="Emphasis"/>
    <w:uiPriority w:val="20"/>
    <w:qFormat/>
    <w:rsid w:val="004B3EFE"/>
    <w:rPr>
      <w:b/>
      <w:bCs/>
      <w:i/>
      <w:iCs/>
      <w:spacing w:val="10"/>
      <w:bdr w:val="none" w:sz="0" w:space="0" w:color="auto"/>
      <w:shd w:val="clear" w:color="auto" w:fill="auto"/>
    </w:rPr>
  </w:style>
  <w:style w:type="character" w:customStyle="1" w:styleId="radewrongword">
    <w:name w:val="radewrongword"/>
    <w:basedOn w:val="DefaultParagraphFont"/>
    <w:rsid w:val="006C7ECF"/>
  </w:style>
  <w:style w:type="character" w:customStyle="1" w:styleId="st1">
    <w:name w:val="st1"/>
    <w:basedOn w:val="DefaultParagraphFont"/>
    <w:rsid w:val="00702EEB"/>
  </w:style>
  <w:style w:type="paragraph" w:customStyle="1" w:styleId="Listindent2">
    <w:name w:val="List indent 2"/>
    <w:basedOn w:val="NewsletterBullet1"/>
    <w:rsid w:val="00C4190E"/>
    <w:pPr>
      <w:ind w:left="568" w:hanging="284"/>
    </w:pPr>
  </w:style>
  <w:style w:type="paragraph" w:customStyle="1" w:styleId="NewsletterNormalindent2">
    <w:name w:val="Newsletter Normal indent 2"/>
    <w:basedOn w:val="NewsletterNormalindent"/>
    <w:rsid w:val="00C4190E"/>
    <w:pPr>
      <w:ind w:left="567"/>
    </w:pPr>
    <w:rPr>
      <w:color w:val="000000" w:themeColor="text1"/>
    </w:rPr>
  </w:style>
  <w:style w:type="paragraph" w:customStyle="1" w:styleId="TableNote">
    <w:name w:val="Table Note"/>
    <w:basedOn w:val="NewsletterNormal"/>
    <w:rsid w:val="00C4190E"/>
    <w:pPr>
      <w:ind w:left="284" w:hanging="284"/>
    </w:pPr>
    <w:rPr>
      <w:i/>
      <w:sz w:val="18"/>
      <w:szCs w:val="18"/>
    </w:rPr>
  </w:style>
  <w:style w:type="table" w:styleId="LightShading-Accent1">
    <w:name w:val="Light Shading Accent 1"/>
    <w:basedOn w:val="TableNormal"/>
    <w:uiPriority w:val="60"/>
    <w:rsid w:val="009013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9013C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rsid w:val="006A189A"/>
    <w:rPr>
      <w:b/>
      <w:bCs/>
      <w:color w:val="4F81BD" w:themeColor="accent1"/>
      <w:sz w:val="18"/>
      <w:szCs w:val="18"/>
    </w:rPr>
  </w:style>
  <w:style w:type="character" w:customStyle="1" w:styleId="Heading1Char">
    <w:name w:val="Heading 1 Char"/>
    <w:basedOn w:val="DefaultParagraphFont"/>
    <w:link w:val="Heading1"/>
    <w:uiPriority w:val="9"/>
    <w:rsid w:val="004B3E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B3E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3EF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E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E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E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E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EFE"/>
    <w:rPr>
      <w:rFonts w:asciiTheme="majorHAnsi" w:eastAsiaTheme="majorEastAsia" w:hAnsiTheme="majorHAnsi" w:cstheme="majorBidi"/>
      <w:i/>
      <w:iCs/>
      <w:spacing w:val="5"/>
      <w:sz w:val="20"/>
      <w:szCs w:val="20"/>
    </w:rPr>
  </w:style>
  <w:style w:type="paragraph" w:styleId="Title">
    <w:name w:val="Title"/>
    <w:basedOn w:val="NewsletterTitle"/>
    <w:next w:val="Normal"/>
    <w:link w:val="TitleChar"/>
    <w:uiPriority w:val="10"/>
    <w:qFormat/>
    <w:rsid w:val="00DF2401"/>
  </w:style>
  <w:style w:type="character" w:customStyle="1" w:styleId="TitleChar">
    <w:name w:val="Title Char"/>
    <w:basedOn w:val="DefaultParagraphFont"/>
    <w:link w:val="Title"/>
    <w:uiPriority w:val="10"/>
    <w:rsid w:val="00DF2401"/>
    <w:rPr>
      <w:rFonts w:ascii="Calibri" w:eastAsia="Times New Roman" w:hAnsi="Calibri" w:cs="Calibri"/>
      <w:b/>
      <w:color w:val="1665A1"/>
      <w:kern w:val="28"/>
      <w:sz w:val="60"/>
    </w:rPr>
  </w:style>
  <w:style w:type="paragraph" w:styleId="Subtitle">
    <w:name w:val="Subtitle"/>
    <w:basedOn w:val="NewsletterSubtitle"/>
    <w:next w:val="Normal"/>
    <w:link w:val="SubtitleChar"/>
    <w:uiPriority w:val="11"/>
    <w:qFormat/>
    <w:rsid w:val="00DF2401"/>
  </w:style>
  <w:style w:type="character" w:customStyle="1" w:styleId="SubtitleChar">
    <w:name w:val="Subtitle Char"/>
    <w:basedOn w:val="DefaultParagraphFont"/>
    <w:link w:val="Subtitle"/>
    <w:uiPriority w:val="11"/>
    <w:rsid w:val="00DF2401"/>
    <w:rPr>
      <w:rFonts w:ascii="Calibri" w:eastAsia="Times New Roman" w:hAnsi="Calibri" w:cs="Calibri"/>
      <w:color w:val="4D4D4D"/>
      <w:kern w:val="28"/>
      <w:sz w:val="40"/>
    </w:rPr>
  </w:style>
  <w:style w:type="character" w:styleId="Strong">
    <w:name w:val="Strong"/>
    <w:uiPriority w:val="22"/>
    <w:qFormat/>
    <w:rsid w:val="004B3EFE"/>
    <w:rPr>
      <w:b/>
      <w:bCs/>
    </w:rPr>
  </w:style>
  <w:style w:type="paragraph" w:styleId="NoSpacing">
    <w:name w:val="No Spacing"/>
    <w:basedOn w:val="Normal"/>
    <w:uiPriority w:val="1"/>
    <w:qFormat/>
    <w:rsid w:val="004B3EFE"/>
    <w:pPr>
      <w:spacing w:after="0"/>
    </w:pPr>
  </w:style>
  <w:style w:type="paragraph" w:styleId="Quote">
    <w:name w:val="Quote"/>
    <w:basedOn w:val="Normal"/>
    <w:next w:val="Normal"/>
    <w:link w:val="QuoteChar"/>
    <w:uiPriority w:val="29"/>
    <w:qFormat/>
    <w:rsid w:val="004B3EFE"/>
    <w:pPr>
      <w:spacing w:before="200" w:after="0"/>
      <w:ind w:left="360" w:right="360"/>
    </w:pPr>
    <w:rPr>
      <w:i/>
      <w:iCs/>
    </w:rPr>
  </w:style>
  <w:style w:type="character" w:customStyle="1" w:styleId="QuoteChar">
    <w:name w:val="Quote Char"/>
    <w:basedOn w:val="DefaultParagraphFont"/>
    <w:link w:val="Quote"/>
    <w:uiPriority w:val="29"/>
    <w:rsid w:val="004B3EFE"/>
    <w:rPr>
      <w:i/>
      <w:iCs/>
    </w:rPr>
  </w:style>
  <w:style w:type="paragraph" w:styleId="IntenseQuote">
    <w:name w:val="Intense Quote"/>
    <w:basedOn w:val="Normal"/>
    <w:next w:val="Normal"/>
    <w:link w:val="IntenseQuoteChar"/>
    <w:uiPriority w:val="30"/>
    <w:qFormat/>
    <w:rsid w:val="004B3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3EFE"/>
    <w:rPr>
      <w:b/>
      <w:bCs/>
      <w:i/>
      <w:iCs/>
    </w:rPr>
  </w:style>
  <w:style w:type="character" w:styleId="SubtleEmphasis">
    <w:name w:val="Subtle Emphasis"/>
    <w:uiPriority w:val="19"/>
    <w:qFormat/>
    <w:rsid w:val="004B3EFE"/>
    <w:rPr>
      <w:i/>
      <w:iCs/>
    </w:rPr>
  </w:style>
  <w:style w:type="character" w:styleId="IntenseEmphasis">
    <w:name w:val="Intense Emphasis"/>
    <w:uiPriority w:val="21"/>
    <w:qFormat/>
    <w:rsid w:val="004B3EFE"/>
    <w:rPr>
      <w:b/>
      <w:bCs/>
    </w:rPr>
  </w:style>
  <w:style w:type="character" w:styleId="SubtleReference">
    <w:name w:val="Subtle Reference"/>
    <w:uiPriority w:val="31"/>
    <w:qFormat/>
    <w:rsid w:val="004B3EFE"/>
    <w:rPr>
      <w:smallCaps/>
    </w:rPr>
  </w:style>
  <w:style w:type="character" w:styleId="IntenseReference">
    <w:name w:val="Intense Reference"/>
    <w:uiPriority w:val="32"/>
    <w:qFormat/>
    <w:rsid w:val="004B3EFE"/>
    <w:rPr>
      <w:smallCaps/>
      <w:spacing w:val="5"/>
      <w:u w:val="single"/>
    </w:rPr>
  </w:style>
  <w:style w:type="character" w:styleId="BookTitle">
    <w:name w:val="Book Title"/>
    <w:uiPriority w:val="33"/>
    <w:qFormat/>
    <w:rsid w:val="004B3EFE"/>
    <w:rPr>
      <w:i/>
      <w:iCs/>
      <w:smallCaps/>
      <w:spacing w:val="5"/>
    </w:rPr>
  </w:style>
  <w:style w:type="paragraph" w:styleId="TOCHeading">
    <w:name w:val="TOC Heading"/>
    <w:basedOn w:val="Heading1"/>
    <w:next w:val="Normal"/>
    <w:uiPriority w:val="39"/>
    <w:semiHidden/>
    <w:unhideWhenUsed/>
    <w:qFormat/>
    <w:rsid w:val="004B3EFE"/>
    <w:pPr>
      <w:outlineLvl w:val="9"/>
    </w:pPr>
    <w:rPr>
      <w:lang w:bidi="en-US"/>
    </w:rPr>
  </w:style>
  <w:style w:type="table" w:customStyle="1" w:styleId="Newslettertable">
    <w:name w:val="Newsletter table"/>
    <w:basedOn w:val="TableGrid"/>
    <w:uiPriority w:val="99"/>
    <w:rsid w:val="003068A4"/>
    <w:tblPr>
      <w:tblInd w:w="0" w:type="dxa"/>
      <w:tblBorders>
        <w:top w:val="single" w:sz="4" w:space="0" w:color="auto"/>
        <w:bottom w:val="single" w:sz="4" w:space="0" w:color="auto"/>
        <w:insideH w:val="single" w:sz="4" w:space="0" w:color="auto"/>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ShadedHeading">
    <w:name w:val="Shaded Heading"/>
    <w:basedOn w:val="NewsletterHeading3"/>
    <w:qFormat/>
    <w:rsid w:val="007F56A4"/>
    <w:pPr>
      <w:pBdr>
        <w:top w:val="single" w:sz="6" w:space="1" w:color="000000"/>
        <w:bottom w:val="single" w:sz="6" w:space="1" w:color="000000"/>
      </w:pBdr>
      <w:shd w:val="clear" w:color="auto" w:fill="D9D9D9" w:themeFill="background1" w:themeFillShade="D9"/>
    </w:pPr>
  </w:style>
  <w:style w:type="paragraph" w:customStyle="1" w:styleId="Footnote">
    <w:name w:val="Footnote"/>
    <w:basedOn w:val="FootnoteText"/>
    <w:qFormat/>
    <w:rsid w:val="00184F8B"/>
    <w:rPr>
      <w:sz w:val="18"/>
    </w:rPr>
  </w:style>
  <w:style w:type="paragraph" w:customStyle="1" w:styleId="TableHeading">
    <w:name w:val="Table Heading"/>
    <w:basedOn w:val="TableText"/>
    <w:qFormat/>
    <w:rsid w:val="00184F8B"/>
    <w:rPr>
      <w:b/>
      <w:szCs w:val="20"/>
    </w:rPr>
  </w:style>
  <w:style w:type="paragraph" w:customStyle="1" w:styleId="Heading2NoNum">
    <w:name w:val="Heading 2 NoNum"/>
    <w:basedOn w:val="Heading2"/>
    <w:next w:val="Normal"/>
    <w:uiPriority w:val="4"/>
    <w:qFormat/>
    <w:rsid w:val="004B443C"/>
    <w:pPr>
      <w:keepNext/>
      <w:keepLines/>
      <w:widowControl w:val="0"/>
      <w:spacing w:before="240" w:after="120"/>
    </w:pPr>
    <w:rPr>
      <w:rFonts w:ascii="Calibri" w:eastAsia="Times New Roman" w:hAnsi="Calibri" w:cs="Calibri"/>
      <w:bCs w:val="0"/>
      <w:color w:val="4D4D4D"/>
      <w:sz w:val="24"/>
      <w:szCs w:val="22"/>
      <w:lang w:eastAsia="en-US"/>
    </w:rPr>
  </w:style>
  <w:style w:type="paragraph" w:customStyle="1" w:styleId="NewsletterHeading4">
    <w:name w:val="Newsletter Heading 4"/>
    <w:basedOn w:val="NewsletterNormal"/>
    <w:qFormat/>
    <w:rsid w:val="000F3DAE"/>
    <w:rPr>
      <w:b/>
      <w:color w:val="999999"/>
    </w:rPr>
  </w:style>
  <w:style w:type="character" w:styleId="PlaceholderText">
    <w:name w:val="Placeholder Text"/>
    <w:basedOn w:val="DefaultParagraphFont"/>
    <w:uiPriority w:val="99"/>
    <w:semiHidden/>
    <w:rsid w:val="005A31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7888">
      <w:bodyDiv w:val="1"/>
      <w:marLeft w:val="0"/>
      <w:marRight w:val="0"/>
      <w:marTop w:val="0"/>
      <w:marBottom w:val="0"/>
      <w:divBdr>
        <w:top w:val="none" w:sz="0" w:space="0" w:color="auto"/>
        <w:left w:val="none" w:sz="0" w:space="0" w:color="auto"/>
        <w:bottom w:val="none" w:sz="0" w:space="0" w:color="auto"/>
        <w:right w:val="none" w:sz="0" w:space="0" w:color="auto"/>
      </w:divBdr>
      <w:divsChild>
        <w:div w:id="1824160273">
          <w:marLeft w:val="0"/>
          <w:marRight w:val="0"/>
          <w:marTop w:val="0"/>
          <w:marBottom w:val="320"/>
          <w:divBdr>
            <w:top w:val="none" w:sz="0" w:space="0" w:color="auto"/>
            <w:left w:val="none" w:sz="0" w:space="0" w:color="auto"/>
            <w:bottom w:val="none" w:sz="0" w:space="0" w:color="auto"/>
            <w:right w:val="none" w:sz="0" w:space="0" w:color="auto"/>
          </w:divBdr>
          <w:divsChild>
            <w:div w:id="1370033699">
              <w:marLeft w:val="0"/>
              <w:marRight w:val="0"/>
              <w:marTop w:val="0"/>
              <w:marBottom w:val="0"/>
              <w:divBdr>
                <w:top w:val="none" w:sz="0" w:space="0" w:color="auto"/>
                <w:left w:val="none" w:sz="0" w:space="0" w:color="auto"/>
                <w:bottom w:val="none" w:sz="0" w:space="0" w:color="auto"/>
                <w:right w:val="none" w:sz="0" w:space="0" w:color="auto"/>
              </w:divBdr>
              <w:divsChild>
                <w:div w:id="788427292">
                  <w:marLeft w:val="0"/>
                  <w:marRight w:val="0"/>
                  <w:marTop w:val="0"/>
                  <w:marBottom w:val="0"/>
                  <w:divBdr>
                    <w:top w:val="none" w:sz="0" w:space="0" w:color="auto"/>
                    <w:left w:val="none" w:sz="0" w:space="0" w:color="auto"/>
                    <w:bottom w:val="none" w:sz="0" w:space="0" w:color="auto"/>
                    <w:right w:val="none" w:sz="0" w:space="0" w:color="auto"/>
                  </w:divBdr>
                  <w:divsChild>
                    <w:div w:id="281377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1886">
      <w:bodyDiv w:val="1"/>
      <w:marLeft w:val="0"/>
      <w:marRight w:val="0"/>
      <w:marTop w:val="0"/>
      <w:marBottom w:val="0"/>
      <w:divBdr>
        <w:top w:val="none" w:sz="0" w:space="0" w:color="auto"/>
        <w:left w:val="none" w:sz="0" w:space="0" w:color="auto"/>
        <w:bottom w:val="none" w:sz="0" w:space="0" w:color="auto"/>
        <w:right w:val="none" w:sz="0" w:space="0" w:color="auto"/>
      </w:divBdr>
      <w:divsChild>
        <w:div w:id="2081753509">
          <w:marLeft w:val="0"/>
          <w:marRight w:val="0"/>
          <w:marTop w:val="0"/>
          <w:marBottom w:val="0"/>
          <w:divBdr>
            <w:top w:val="none" w:sz="0" w:space="0" w:color="auto"/>
            <w:left w:val="none" w:sz="0" w:space="0" w:color="auto"/>
            <w:bottom w:val="none" w:sz="0" w:space="0" w:color="auto"/>
            <w:right w:val="none" w:sz="0" w:space="0" w:color="auto"/>
          </w:divBdr>
          <w:divsChild>
            <w:div w:id="160707320">
              <w:marLeft w:val="0"/>
              <w:marRight w:val="0"/>
              <w:marTop w:val="0"/>
              <w:marBottom w:val="0"/>
              <w:divBdr>
                <w:top w:val="none" w:sz="0" w:space="0" w:color="auto"/>
                <w:left w:val="none" w:sz="0" w:space="0" w:color="auto"/>
                <w:bottom w:val="none" w:sz="0" w:space="0" w:color="auto"/>
                <w:right w:val="none" w:sz="0" w:space="0" w:color="auto"/>
              </w:divBdr>
              <w:divsChild>
                <w:div w:id="907770055">
                  <w:marLeft w:val="0"/>
                  <w:marRight w:val="0"/>
                  <w:marTop w:val="0"/>
                  <w:marBottom w:val="0"/>
                  <w:divBdr>
                    <w:top w:val="none" w:sz="0" w:space="0" w:color="auto"/>
                    <w:left w:val="none" w:sz="0" w:space="0" w:color="auto"/>
                    <w:bottom w:val="none" w:sz="0" w:space="0" w:color="auto"/>
                    <w:right w:val="none" w:sz="0" w:space="0" w:color="auto"/>
                  </w:divBdr>
                  <w:divsChild>
                    <w:div w:id="1159075062">
                      <w:marLeft w:val="0"/>
                      <w:marRight w:val="0"/>
                      <w:marTop w:val="0"/>
                      <w:marBottom w:val="0"/>
                      <w:divBdr>
                        <w:top w:val="none" w:sz="0" w:space="0" w:color="auto"/>
                        <w:left w:val="none" w:sz="0" w:space="0" w:color="auto"/>
                        <w:bottom w:val="none" w:sz="0" w:space="0" w:color="auto"/>
                        <w:right w:val="none" w:sz="0" w:space="0" w:color="auto"/>
                      </w:divBdr>
                      <w:divsChild>
                        <w:div w:id="435710982">
                          <w:marLeft w:val="0"/>
                          <w:marRight w:val="0"/>
                          <w:marTop w:val="0"/>
                          <w:marBottom w:val="0"/>
                          <w:divBdr>
                            <w:top w:val="none" w:sz="0" w:space="0" w:color="auto"/>
                            <w:left w:val="none" w:sz="0" w:space="0" w:color="auto"/>
                            <w:bottom w:val="none" w:sz="0" w:space="0" w:color="auto"/>
                            <w:right w:val="none" w:sz="0" w:space="0" w:color="auto"/>
                          </w:divBdr>
                          <w:divsChild>
                            <w:div w:id="1610894379">
                              <w:marLeft w:val="0"/>
                              <w:marRight w:val="0"/>
                              <w:marTop w:val="0"/>
                              <w:marBottom w:val="0"/>
                              <w:divBdr>
                                <w:top w:val="none" w:sz="0" w:space="0" w:color="auto"/>
                                <w:left w:val="none" w:sz="0" w:space="0" w:color="auto"/>
                                <w:bottom w:val="none" w:sz="0" w:space="0" w:color="auto"/>
                                <w:right w:val="none" w:sz="0" w:space="0" w:color="auto"/>
                              </w:divBdr>
                              <w:divsChild>
                                <w:div w:id="2033726814">
                                  <w:marLeft w:val="0"/>
                                  <w:marRight w:val="0"/>
                                  <w:marTop w:val="0"/>
                                  <w:marBottom w:val="0"/>
                                  <w:divBdr>
                                    <w:top w:val="none" w:sz="0" w:space="0" w:color="auto"/>
                                    <w:left w:val="none" w:sz="0" w:space="0" w:color="auto"/>
                                    <w:bottom w:val="none" w:sz="0" w:space="0" w:color="auto"/>
                                    <w:right w:val="none" w:sz="0" w:space="0" w:color="auto"/>
                                  </w:divBdr>
                                  <w:divsChild>
                                    <w:div w:id="378551787">
                                      <w:marLeft w:val="0"/>
                                      <w:marRight w:val="0"/>
                                      <w:marTop w:val="0"/>
                                      <w:marBottom w:val="0"/>
                                      <w:divBdr>
                                        <w:top w:val="none" w:sz="0" w:space="0" w:color="auto"/>
                                        <w:left w:val="none" w:sz="0" w:space="0" w:color="auto"/>
                                        <w:bottom w:val="none" w:sz="0" w:space="0" w:color="auto"/>
                                        <w:right w:val="none" w:sz="0" w:space="0" w:color="auto"/>
                                      </w:divBdr>
                                      <w:divsChild>
                                        <w:div w:id="1054701397">
                                          <w:marLeft w:val="0"/>
                                          <w:marRight w:val="0"/>
                                          <w:marTop w:val="0"/>
                                          <w:marBottom w:val="0"/>
                                          <w:divBdr>
                                            <w:top w:val="none" w:sz="0" w:space="0" w:color="auto"/>
                                            <w:left w:val="none" w:sz="0" w:space="0" w:color="auto"/>
                                            <w:bottom w:val="none" w:sz="0" w:space="0" w:color="auto"/>
                                            <w:right w:val="none" w:sz="0" w:space="0" w:color="auto"/>
                                          </w:divBdr>
                                          <w:divsChild>
                                            <w:div w:id="1044060767">
                                              <w:marLeft w:val="0"/>
                                              <w:marRight w:val="0"/>
                                              <w:marTop w:val="0"/>
                                              <w:marBottom w:val="0"/>
                                              <w:divBdr>
                                                <w:top w:val="none" w:sz="0" w:space="0" w:color="auto"/>
                                                <w:left w:val="none" w:sz="0" w:space="0" w:color="auto"/>
                                                <w:bottom w:val="none" w:sz="0" w:space="0" w:color="auto"/>
                                                <w:right w:val="none" w:sz="0" w:space="0" w:color="auto"/>
                                              </w:divBdr>
                                              <w:divsChild>
                                                <w:div w:id="483471942">
                                                  <w:marLeft w:val="0"/>
                                                  <w:marRight w:val="0"/>
                                                  <w:marTop w:val="0"/>
                                                  <w:marBottom w:val="0"/>
                                                  <w:divBdr>
                                                    <w:top w:val="none" w:sz="0" w:space="0" w:color="auto"/>
                                                    <w:left w:val="none" w:sz="0" w:space="0" w:color="auto"/>
                                                    <w:bottom w:val="none" w:sz="0" w:space="0" w:color="auto"/>
                                                    <w:right w:val="none" w:sz="0" w:space="0" w:color="auto"/>
                                                  </w:divBdr>
                                                  <w:divsChild>
                                                    <w:div w:id="2104373883">
                                                      <w:marLeft w:val="0"/>
                                                      <w:marRight w:val="0"/>
                                                      <w:marTop w:val="0"/>
                                                      <w:marBottom w:val="0"/>
                                                      <w:divBdr>
                                                        <w:top w:val="none" w:sz="0" w:space="0" w:color="auto"/>
                                                        <w:left w:val="none" w:sz="0" w:space="0" w:color="auto"/>
                                                        <w:bottom w:val="none" w:sz="0" w:space="0" w:color="auto"/>
                                                        <w:right w:val="none" w:sz="0" w:space="0" w:color="auto"/>
                                                      </w:divBdr>
                                                      <w:divsChild>
                                                        <w:div w:id="2115703746">
                                                          <w:marLeft w:val="0"/>
                                                          <w:marRight w:val="0"/>
                                                          <w:marTop w:val="0"/>
                                                          <w:marBottom w:val="0"/>
                                                          <w:divBdr>
                                                            <w:top w:val="none" w:sz="0" w:space="0" w:color="auto"/>
                                                            <w:left w:val="none" w:sz="0" w:space="0" w:color="auto"/>
                                                            <w:bottom w:val="none" w:sz="0" w:space="0" w:color="auto"/>
                                                            <w:right w:val="none" w:sz="0" w:space="0" w:color="auto"/>
                                                          </w:divBdr>
                                                          <w:divsChild>
                                                            <w:div w:id="13954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21968">
      <w:bodyDiv w:val="1"/>
      <w:marLeft w:val="0"/>
      <w:marRight w:val="0"/>
      <w:marTop w:val="0"/>
      <w:marBottom w:val="0"/>
      <w:divBdr>
        <w:top w:val="none" w:sz="0" w:space="0" w:color="auto"/>
        <w:left w:val="none" w:sz="0" w:space="0" w:color="auto"/>
        <w:bottom w:val="none" w:sz="0" w:space="0" w:color="auto"/>
        <w:right w:val="none" w:sz="0" w:space="0" w:color="auto"/>
      </w:divBdr>
      <w:divsChild>
        <w:div w:id="2022929840">
          <w:marLeft w:val="0"/>
          <w:marRight w:val="0"/>
          <w:marTop w:val="0"/>
          <w:marBottom w:val="0"/>
          <w:divBdr>
            <w:top w:val="none" w:sz="0" w:space="0" w:color="auto"/>
            <w:left w:val="none" w:sz="0" w:space="0" w:color="auto"/>
            <w:bottom w:val="none" w:sz="0" w:space="0" w:color="auto"/>
            <w:right w:val="none" w:sz="0" w:space="0" w:color="auto"/>
          </w:divBdr>
          <w:divsChild>
            <w:div w:id="1498612285">
              <w:marLeft w:val="0"/>
              <w:marRight w:val="0"/>
              <w:marTop w:val="0"/>
              <w:marBottom w:val="0"/>
              <w:divBdr>
                <w:top w:val="none" w:sz="0" w:space="0" w:color="auto"/>
                <w:left w:val="none" w:sz="0" w:space="0" w:color="auto"/>
                <w:bottom w:val="none" w:sz="0" w:space="0" w:color="auto"/>
                <w:right w:val="none" w:sz="0" w:space="0" w:color="auto"/>
              </w:divBdr>
              <w:divsChild>
                <w:div w:id="1206605462">
                  <w:marLeft w:val="0"/>
                  <w:marRight w:val="0"/>
                  <w:marTop w:val="0"/>
                  <w:marBottom w:val="0"/>
                  <w:divBdr>
                    <w:top w:val="none" w:sz="0" w:space="0" w:color="auto"/>
                    <w:left w:val="none" w:sz="0" w:space="0" w:color="auto"/>
                    <w:bottom w:val="none" w:sz="0" w:space="0" w:color="auto"/>
                    <w:right w:val="none" w:sz="0" w:space="0" w:color="auto"/>
                  </w:divBdr>
                  <w:divsChild>
                    <w:div w:id="254365837">
                      <w:marLeft w:val="0"/>
                      <w:marRight w:val="0"/>
                      <w:marTop w:val="0"/>
                      <w:marBottom w:val="0"/>
                      <w:divBdr>
                        <w:top w:val="none" w:sz="0" w:space="0" w:color="auto"/>
                        <w:left w:val="none" w:sz="0" w:space="0" w:color="auto"/>
                        <w:bottom w:val="none" w:sz="0" w:space="0" w:color="auto"/>
                        <w:right w:val="none" w:sz="0" w:space="0" w:color="auto"/>
                      </w:divBdr>
                      <w:divsChild>
                        <w:div w:id="1911189469">
                          <w:marLeft w:val="0"/>
                          <w:marRight w:val="0"/>
                          <w:marTop w:val="0"/>
                          <w:marBottom w:val="0"/>
                          <w:divBdr>
                            <w:top w:val="none" w:sz="0" w:space="0" w:color="auto"/>
                            <w:left w:val="none" w:sz="0" w:space="0" w:color="auto"/>
                            <w:bottom w:val="none" w:sz="0" w:space="0" w:color="auto"/>
                            <w:right w:val="none" w:sz="0" w:space="0" w:color="auto"/>
                          </w:divBdr>
                          <w:divsChild>
                            <w:div w:id="616520223">
                              <w:marLeft w:val="0"/>
                              <w:marRight w:val="0"/>
                              <w:marTop w:val="0"/>
                              <w:marBottom w:val="0"/>
                              <w:divBdr>
                                <w:top w:val="none" w:sz="0" w:space="0" w:color="auto"/>
                                <w:left w:val="none" w:sz="0" w:space="0" w:color="auto"/>
                                <w:bottom w:val="none" w:sz="0" w:space="0" w:color="auto"/>
                                <w:right w:val="none" w:sz="0" w:space="0" w:color="auto"/>
                              </w:divBdr>
                              <w:divsChild>
                                <w:div w:id="1375888866">
                                  <w:marLeft w:val="0"/>
                                  <w:marRight w:val="0"/>
                                  <w:marTop w:val="0"/>
                                  <w:marBottom w:val="0"/>
                                  <w:divBdr>
                                    <w:top w:val="none" w:sz="0" w:space="0" w:color="auto"/>
                                    <w:left w:val="none" w:sz="0" w:space="0" w:color="auto"/>
                                    <w:bottom w:val="none" w:sz="0" w:space="0" w:color="auto"/>
                                    <w:right w:val="none" w:sz="0" w:space="0" w:color="auto"/>
                                  </w:divBdr>
                                  <w:divsChild>
                                    <w:div w:id="1368096305">
                                      <w:marLeft w:val="0"/>
                                      <w:marRight w:val="0"/>
                                      <w:marTop w:val="0"/>
                                      <w:marBottom w:val="0"/>
                                      <w:divBdr>
                                        <w:top w:val="none" w:sz="0" w:space="0" w:color="auto"/>
                                        <w:left w:val="none" w:sz="0" w:space="0" w:color="auto"/>
                                        <w:bottom w:val="none" w:sz="0" w:space="0" w:color="auto"/>
                                        <w:right w:val="none" w:sz="0" w:space="0" w:color="auto"/>
                                      </w:divBdr>
                                      <w:divsChild>
                                        <w:div w:id="1876116597">
                                          <w:marLeft w:val="0"/>
                                          <w:marRight w:val="0"/>
                                          <w:marTop w:val="0"/>
                                          <w:marBottom w:val="0"/>
                                          <w:divBdr>
                                            <w:top w:val="none" w:sz="0" w:space="0" w:color="auto"/>
                                            <w:left w:val="none" w:sz="0" w:space="0" w:color="auto"/>
                                            <w:bottom w:val="none" w:sz="0" w:space="0" w:color="auto"/>
                                            <w:right w:val="none" w:sz="0" w:space="0" w:color="auto"/>
                                          </w:divBdr>
                                          <w:divsChild>
                                            <w:div w:id="1909343890">
                                              <w:marLeft w:val="0"/>
                                              <w:marRight w:val="0"/>
                                              <w:marTop w:val="0"/>
                                              <w:marBottom w:val="0"/>
                                              <w:divBdr>
                                                <w:top w:val="none" w:sz="0" w:space="0" w:color="auto"/>
                                                <w:left w:val="none" w:sz="0" w:space="0" w:color="auto"/>
                                                <w:bottom w:val="none" w:sz="0" w:space="0" w:color="auto"/>
                                                <w:right w:val="none" w:sz="0" w:space="0" w:color="auto"/>
                                              </w:divBdr>
                                              <w:divsChild>
                                                <w:div w:id="120538824">
                                                  <w:marLeft w:val="0"/>
                                                  <w:marRight w:val="0"/>
                                                  <w:marTop w:val="0"/>
                                                  <w:marBottom w:val="0"/>
                                                  <w:divBdr>
                                                    <w:top w:val="none" w:sz="0" w:space="0" w:color="auto"/>
                                                    <w:left w:val="none" w:sz="0" w:space="0" w:color="auto"/>
                                                    <w:bottom w:val="none" w:sz="0" w:space="0" w:color="auto"/>
                                                    <w:right w:val="none" w:sz="0" w:space="0" w:color="auto"/>
                                                  </w:divBdr>
                                                  <w:divsChild>
                                                    <w:div w:id="227159033">
                                                      <w:marLeft w:val="0"/>
                                                      <w:marRight w:val="0"/>
                                                      <w:marTop w:val="0"/>
                                                      <w:marBottom w:val="0"/>
                                                      <w:divBdr>
                                                        <w:top w:val="none" w:sz="0" w:space="0" w:color="auto"/>
                                                        <w:left w:val="none" w:sz="0" w:space="0" w:color="auto"/>
                                                        <w:bottom w:val="none" w:sz="0" w:space="0" w:color="auto"/>
                                                        <w:right w:val="none" w:sz="0" w:space="0" w:color="auto"/>
                                                      </w:divBdr>
                                                      <w:divsChild>
                                                        <w:div w:id="14644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057246">
      <w:bodyDiv w:val="1"/>
      <w:marLeft w:val="0"/>
      <w:marRight w:val="0"/>
      <w:marTop w:val="0"/>
      <w:marBottom w:val="0"/>
      <w:divBdr>
        <w:top w:val="none" w:sz="0" w:space="0" w:color="auto"/>
        <w:left w:val="none" w:sz="0" w:space="0" w:color="auto"/>
        <w:bottom w:val="none" w:sz="0" w:space="0" w:color="auto"/>
        <w:right w:val="none" w:sz="0" w:space="0" w:color="auto"/>
      </w:divBdr>
      <w:divsChild>
        <w:div w:id="849489473">
          <w:marLeft w:val="0"/>
          <w:marRight w:val="0"/>
          <w:marTop w:val="0"/>
          <w:marBottom w:val="0"/>
          <w:divBdr>
            <w:top w:val="none" w:sz="0" w:space="0" w:color="auto"/>
            <w:left w:val="none" w:sz="0" w:space="0" w:color="auto"/>
            <w:bottom w:val="none" w:sz="0" w:space="0" w:color="auto"/>
            <w:right w:val="none" w:sz="0" w:space="0" w:color="auto"/>
          </w:divBdr>
          <w:divsChild>
            <w:div w:id="1105267534">
              <w:marLeft w:val="0"/>
              <w:marRight w:val="0"/>
              <w:marTop w:val="0"/>
              <w:marBottom w:val="0"/>
              <w:divBdr>
                <w:top w:val="none" w:sz="0" w:space="0" w:color="auto"/>
                <w:left w:val="none" w:sz="0" w:space="0" w:color="auto"/>
                <w:bottom w:val="none" w:sz="0" w:space="0" w:color="auto"/>
                <w:right w:val="none" w:sz="0" w:space="0" w:color="auto"/>
              </w:divBdr>
              <w:divsChild>
                <w:div w:id="688796804">
                  <w:marLeft w:val="0"/>
                  <w:marRight w:val="0"/>
                  <w:marTop w:val="0"/>
                  <w:marBottom w:val="0"/>
                  <w:divBdr>
                    <w:top w:val="none" w:sz="0" w:space="0" w:color="auto"/>
                    <w:left w:val="none" w:sz="0" w:space="0" w:color="auto"/>
                    <w:bottom w:val="none" w:sz="0" w:space="0" w:color="auto"/>
                    <w:right w:val="none" w:sz="0" w:space="0" w:color="auto"/>
                  </w:divBdr>
                  <w:divsChild>
                    <w:div w:id="18941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752">
      <w:bodyDiv w:val="1"/>
      <w:marLeft w:val="0"/>
      <w:marRight w:val="0"/>
      <w:marTop w:val="0"/>
      <w:marBottom w:val="0"/>
      <w:divBdr>
        <w:top w:val="none" w:sz="0" w:space="0" w:color="auto"/>
        <w:left w:val="none" w:sz="0" w:space="0" w:color="auto"/>
        <w:bottom w:val="none" w:sz="0" w:space="0" w:color="auto"/>
        <w:right w:val="none" w:sz="0" w:space="0" w:color="auto"/>
      </w:divBdr>
      <w:divsChild>
        <w:div w:id="1776902038">
          <w:marLeft w:val="0"/>
          <w:marRight w:val="0"/>
          <w:marTop w:val="0"/>
          <w:marBottom w:val="0"/>
          <w:divBdr>
            <w:top w:val="none" w:sz="0" w:space="0" w:color="auto"/>
            <w:left w:val="none" w:sz="0" w:space="0" w:color="auto"/>
            <w:bottom w:val="none" w:sz="0" w:space="0" w:color="auto"/>
            <w:right w:val="none" w:sz="0" w:space="0" w:color="auto"/>
          </w:divBdr>
          <w:divsChild>
            <w:div w:id="1980301465">
              <w:marLeft w:val="0"/>
              <w:marRight w:val="0"/>
              <w:marTop w:val="0"/>
              <w:marBottom w:val="0"/>
              <w:divBdr>
                <w:top w:val="none" w:sz="0" w:space="0" w:color="auto"/>
                <w:left w:val="none" w:sz="0" w:space="0" w:color="auto"/>
                <w:bottom w:val="none" w:sz="0" w:space="0" w:color="auto"/>
                <w:right w:val="none" w:sz="0" w:space="0" w:color="auto"/>
              </w:divBdr>
              <w:divsChild>
                <w:div w:id="810295281">
                  <w:marLeft w:val="0"/>
                  <w:marRight w:val="0"/>
                  <w:marTop w:val="0"/>
                  <w:marBottom w:val="0"/>
                  <w:divBdr>
                    <w:top w:val="none" w:sz="0" w:space="0" w:color="auto"/>
                    <w:left w:val="none" w:sz="0" w:space="0" w:color="auto"/>
                    <w:bottom w:val="none" w:sz="0" w:space="0" w:color="auto"/>
                    <w:right w:val="none" w:sz="0" w:space="0" w:color="auto"/>
                  </w:divBdr>
                  <w:divsChild>
                    <w:div w:id="268700227">
                      <w:marLeft w:val="0"/>
                      <w:marRight w:val="0"/>
                      <w:marTop w:val="0"/>
                      <w:marBottom w:val="0"/>
                      <w:divBdr>
                        <w:top w:val="none" w:sz="0" w:space="0" w:color="auto"/>
                        <w:left w:val="none" w:sz="0" w:space="0" w:color="auto"/>
                        <w:bottom w:val="none" w:sz="0" w:space="0" w:color="auto"/>
                        <w:right w:val="none" w:sz="0" w:space="0" w:color="auto"/>
                      </w:divBdr>
                      <w:divsChild>
                        <w:div w:id="2076735500">
                          <w:marLeft w:val="0"/>
                          <w:marRight w:val="0"/>
                          <w:marTop w:val="0"/>
                          <w:marBottom w:val="0"/>
                          <w:divBdr>
                            <w:top w:val="none" w:sz="0" w:space="0" w:color="auto"/>
                            <w:left w:val="none" w:sz="0" w:space="0" w:color="auto"/>
                            <w:bottom w:val="none" w:sz="0" w:space="0" w:color="auto"/>
                            <w:right w:val="none" w:sz="0" w:space="0" w:color="auto"/>
                          </w:divBdr>
                          <w:divsChild>
                            <w:div w:id="1149636142">
                              <w:marLeft w:val="0"/>
                              <w:marRight w:val="0"/>
                              <w:marTop w:val="0"/>
                              <w:marBottom w:val="0"/>
                              <w:divBdr>
                                <w:top w:val="none" w:sz="0" w:space="0" w:color="auto"/>
                                <w:left w:val="none" w:sz="0" w:space="0" w:color="auto"/>
                                <w:bottom w:val="none" w:sz="0" w:space="0" w:color="auto"/>
                                <w:right w:val="none" w:sz="0" w:space="0" w:color="auto"/>
                              </w:divBdr>
                              <w:divsChild>
                                <w:div w:id="1746685502">
                                  <w:marLeft w:val="0"/>
                                  <w:marRight w:val="0"/>
                                  <w:marTop w:val="0"/>
                                  <w:marBottom w:val="0"/>
                                  <w:divBdr>
                                    <w:top w:val="none" w:sz="0" w:space="0" w:color="auto"/>
                                    <w:left w:val="none" w:sz="0" w:space="0" w:color="auto"/>
                                    <w:bottom w:val="none" w:sz="0" w:space="0" w:color="auto"/>
                                    <w:right w:val="none" w:sz="0" w:space="0" w:color="auto"/>
                                  </w:divBdr>
                                  <w:divsChild>
                                    <w:div w:id="1611625663">
                                      <w:marLeft w:val="0"/>
                                      <w:marRight w:val="0"/>
                                      <w:marTop w:val="0"/>
                                      <w:marBottom w:val="0"/>
                                      <w:divBdr>
                                        <w:top w:val="none" w:sz="0" w:space="0" w:color="auto"/>
                                        <w:left w:val="none" w:sz="0" w:space="0" w:color="auto"/>
                                        <w:bottom w:val="none" w:sz="0" w:space="0" w:color="auto"/>
                                        <w:right w:val="none" w:sz="0" w:space="0" w:color="auto"/>
                                      </w:divBdr>
                                      <w:divsChild>
                                        <w:div w:id="667758004">
                                          <w:marLeft w:val="0"/>
                                          <w:marRight w:val="0"/>
                                          <w:marTop w:val="0"/>
                                          <w:marBottom w:val="0"/>
                                          <w:divBdr>
                                            <w:top w:val="none" w:sz="0" w:space="0" w:color="auto"/>
                                            <w:left w:val="none" w:sz="0" w:space="0" w:color="auto"/>
                                            <w:bottom w:val="none" w:sz="0" w:space="0" w:color="auto"/>
                                            <w:right w:val="none" w:sz="0" w:space="0" w:color="auto"/>
                                          </w:divBdr>
                                          <w:divsChild>
                                            <w:div w:id="703486183">
                                              <w:marLeft w:val="0"/>
                                              <w:marRight w:val="0"/>
                                              <w:marTop w:val="0"/>
                                              <w:marBottom w:val="0"/>
                                              <w:divBdr>
                                                <w:top w:val="none" w:sz="0" w:space="0" w:color="auto"/>
                                                <w:left w:val="none" w:sz="0" w:space="0" w:color="auto"/>
                                                <w:bottom w:val="none" w:sz="0" w:space="0" w:color="auto"/>
                                                <w:right w:val="none" w:sz="0" w:space="0" w:color="auto"/>
                                              </w:divBdr>
                                              <w:divsChild>
                                                <w:div w:id="1969117531">
                                                  <w:marLeft w:val="0"/>
                                                  <w:marRight w:val="0"/>
                                                  <w:marTop w:val="0"/>
                                                  <w:marBottom w:val="0"/>
                                                  <w:divBdr>
                                                    <w:top w:val="none" w:sz="0" w:space="0" w:color="auto"/>
                                                    <w:left w:val="none" w:sz="0" w:space="0" w:color="auto"/>
                                                    <w:bottom w:val="none" w:sz="0" w:space="0" w:color="auto"/>
                                                    <w:right w:val="none" w:sz="0" w:space="0" w:color="auto"/>
                                                  </w:divBdr>
                                                  <w:divsChild>
                                                    <w:div w:id="1312634700">
                                                      <w:marLeft w:val="0"/>
                                                      <w:marRight w:val="0"/>
                                                      <w:marTop w:val="0"/>
                                                      <w:marBottom w:val="0"/>
                                                      <w:divBdr>
                                                        <w:top w:val="none" w:sz="0" w:space="0" w:color="auto"/>
                                                        <w:left w:val="none" w:sz="0" w:space="0" w:color="auto"/>
                                                        <w:bottom w:val="none" w:sz="0" w:space="0" w:color="auto"/>
                                                        <w:right w:val="none" w:sz="0" w:space="0" w:color="auto"/>
                                                      </w:divBdr>
                                                      <w:divsChild>
                                                        <w:div w:id="74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636914">
      <w:bodyDiv w:val="1"/>
      <w:marLeft w:val="0"/>
      <w:marRight w:val="0"/>
      <w:marTop w:val="0"/>
      <w:marBottom w:val="0"/>
      <w:divBdr>
        <w:top w:val="none" w:sz="0" w:space="0" w:color="auto"/>
        <w:left w:val="none" w:sz="0" w:space="0" w:color="auto"/>
        <w:bottom w:val="none" w:sz="0" w:space="0" w:color="auto"/>
        <w:right w:val="none" w:sz="0" w:space="0" w:color="auto"/>
      </w:divBdr>
      <w:divsChild>
        <w:div w:id="1847555684">
          <w:marLeft w:val="0"/>
          <w:marRight w:val="0"/>
          <w:marTop w:val="0"/>
          <w:marBottom w:val="0"/>
          <w:divBdr>
            <w:top w:val="none" w:sz="0" w:space="0" w:color="auto"/>
            <w:left w:val="none" w:sz="0" w:space="0" w:color="auto"/>
            <w:bottom w:val="none" w:sz="0" w:space="0" w:color="auto"/>
            <w:right w:val="none" w:sz="0" w:space="0" w:color="auto"/>
          </w:divBdr>
        </w:div>
        <w:div w:id="203178176">
          <w:marLeft w:val="0"/>
          <w:marRight w:val="0"/>
          <w:marTop w:val="0"/>
          <w:marBottom w:val="0"/>
          <w:divBdr>
            <w:top w:val="none" w:sz="0" w:space="0" w:color="auto"/>
            <w:left w:val="none" w:sz="0" w:space="0" w:color="auto"/>
            <w:bottom w:val="none" w:sz="0" w:space="0" w:color="auto"/>
            <w:right w:val="none" w:sz="0" w:space="0" w:color="auto"/>
          </w:divBdr>
        </w:div>
      </w:divsChild>
    </w:div>
    <w:div w:id="569654841">
      <w:bodyDiv w:val="1"/>
      <w:marLeft w:val="0"/>
      <w:marRight w:val="0"/>
      <w:marTop w:val="0"/>
      <w:marBottom w:val="0"/>
      <w:divBdr>
        <w:top w:val="none" w:sz="0" w:space="0" w:color="auto"/>
        <w:left w:val="none" w:sz="0" w:space="0" w:color="auto"/>
        <w:bottom w:val="none" w:sz="0" w:space="0" w:color="auto"/>
        <w:right w:val="none" w:sz="0" w:space="0" w:color="auto"/>
      </w:divBdr>
      <w:divsChild>
        <w:div w:id="942492388">
          <w:marLeft w:val="0"/>
          <w:marRight w:val="0"/>
          <w:marTop w:val="0"/>
          <w:marBottom w:val="0"/>
          <w:divBdr>
            <w:top w:val="none" w:sz="0" w:space="0" w:color="auto"/>
            <w:left w:val="none" w:sz="0" w:space="0" w:color="auto"/>
            <w:bottom w:val="none" w:sz="0" w:space="0" w:color="auto"/>
            <w:right w:val="none" w:sz="0" w:space="0" w:color="auto"/>
          </w:divBdr>
        </w:div>
        <w:div w:id="811629747">
          <w:marLeft w:val="0"/>
          <w:marRight w:val="0"/>
          <w:marTop w:val="0"/>
          <w:marBottom w:val="0"/>
          <w:divBdr>
            <w:top w:val="none" w:sz="0" w:space="0" w:color="auto"/>
            <w:left w:val="none" w:sz="0" w:space="0" w:color="auto"/>
            <w:bottom w:val="none" w:sz="0" w:space="0" w:color="auto"/>
            <w:right w:val="none" w:sz="0" w:space="0" w:color="auto"/>
          </w:divBdr>
        </w:div>
        <w:div w:id="243881153">
          <w:marLeft w:val="0"/>
          <w:marRight w:val="0"/>
          <w:marTop w:val="0"/>
          <w:marBottom w:val="0"/>
          <w:divBdr>
            <w:top w:val="none" w:sz="0" w:space="0" w:color="auto"/>
            <w:left w:val="none" w:sz="0" w:space="0" w:color="auto"/>
            <w:bottom w:val="none" w:sz="0" w:space="0" w:color="auto"/>
            <w:right w:val="none" w:sz="0" w:space="0" w:color="auto"/>
          </w:divBdr>
        </w:div>
        <w:div w:id="2137596529">
          <w:marLeft w:val="0"/>
          <w:marRight w:val="0"/>
          <w:marTop w:val="0"/>
          <w:marBottom w:val="0"/>
          <w:divBdr>
            <w:top w:val="none" w:sz="0" w:space="0" w:color="auto"/>
            <w:left w:val="none" w:sz="0" w:space="0" w:color="auto"/>
            <w:bottom w:val="none" w:sz="0" w:space="0" w:color="auto"/>
            <w:right w:val="none" w:sz="0" w:space="0" w:color="auto"/>
          </w:divBdr>
        </w:div>
        <w:div w:id="1323580910">
          <w:marLeft w:val="0"/>
          <w:marRight w:val="0"/>
          <w:marTop w:val="0"/>
          <w:marBottom w:val="0"/>
          <w:divBdr>
            <w:top w:val="none" w:sz="0" w:space="0" w:color="auto"/>
            <w:left w:val="none" w:sz="0" w:space="0" w:color="auto"/>
            <w:bottom w:val="none" w:sz="0" w:space="0" w:color="auto"/>
            <w:right w:val="none" w:sz="0" w:space="0" w:color="auto"/>
          </w:divBdr>
        </w:div>
        <w:div w:id="1844664403">
          <w:marLeft w:val="0"/>
          <w:marRight w:val="0"/>
          <w:marTop w:val="0"/>
          <w:marBottom w:val="0"/>
          <w:divBdr>
            <w:top w:val="none" w:sz="0" w:space="0" w:color="auto"/>
            <w:left w:val="none" w:sz="0" w:space="0" w:color="auto"/>
            <w:bottom w:val="none" w:sz="0" w:space="0" w:color="auto"/>
            <w:right w:val="none" w:sz="0" w:space="0" w:color="auto"/>
          </w:divBdr>
        </w:div>
        <w:div w:id="83888874">
          <w:marLeft w:val="0"/>
          <w:marRight w:val="0"/>
          <w:marTop w:val="0"/>
          <w:marBottom w:val="0"/>
          <w:divBdr>
            <w:top w:val="none" w:sz="0" w:space="0" w:color="auto"/>
            <w:left w:val="none" w:sz="0" w:space="0" w:color="auto"/>
            <w:bottom w:val="none" w:sz="0" w:space="0" w:color="auto"/>
            <w:right w:val="none" w:sz="0" w:space="0" w:color="auto"/>
          </w:divBdr>
        </w:div>
        <w:div w:id="998388887">
          <w:marLeft w:val="0"/>
          <w:marRight w:val="0"/>
          <w:marTop w:val="0"/>
          <w:marBottom w:val="0"/>
          <w:divBdr>
            <w:top w:val="none" w:sz="0" w:space="0" w:color="auto"/>
            <w:left w:val="none" w:sz="0" w:space="0" w:color="auto"/>
            <w:bottom w:val="none" w:sz="0" w:space="0" w:color="auto"/>
            <w:right w:val="none" w:sz="0" w:space="0" w:color="auto"/>
          </w:divBdr>
        </w:div>
        <w:div w:id="687173664">
          <w:marLeft w:val="0"/>
          <w:marRight w:val="0"/>
          <w:marTop w:val="0"/>
          <w:marBottom w:val="0"/>
          <w:divBdr>
            <w:top w:val="none" w:sz="0" w:space="0" w:color="auto"/>
            <w:left w:val="none" w:sz="0" w:space="0" w:color="auto"/>
            <w:bottom w:val="none" w:sz="0" w:space="0" w:color="auto"/>
            <w:right w:val="none" w:sz="0" w:space="0" w:color="auto"/>
          </w:divBdr>
        </w:div>
        <w:div w:id="534078559">
          <w:marLeft w:val="0"/>
          <w:marRight w:val="0"/>
          <w:marTop w:val="0"/>
          <w:marBottom w:val="0"/>
          <w:divBdr>
            <w:top w:val="none" w:sz="0" w:space="0" w:color="auto"/>
            <w:left w:val="none" w:sz="0" w:space="0" w:color="auto"/>
            <w:bottom w:val="none" w:sz="0" w:space="0" w:color="auto"/>
            <w:right w:val="none" w:sz="0" w:space="0" w:color="auto"/>
          </w:divBdr>
        </w:div>
        <w:div w:id="838932195">
          <w:marLeft w:val="0"/>
          <w:marRight w:val="0"/>
          <w:marTop w:val="0"/>
          <w:marBottom w:val="0"/>
          <w:divBdr>
            <w:top w:val="none" w:sz="0" w:space="0" w:color="auto"/>
            <w:left w:val="none" w:sz="0" w:space="0" w:color="auto"/>
            <w:bottom w:val="none" w:sz="0" w:space="0" w:color="auto"/>
            <w:right w:val="none" w:sz="0" w:space="0" w:color="auto"/>
          </w:divBdr>
        </w:div>
      </w:divsChild>
    </w:div>
    <w:div w:id="744423942">
      <w:bodyDiv w:val="1"/>
      <w:marLeft w:val="0"/>
      <w:marRight w:val="0"/>
      <w:marTop w:val="0"/>
      <w:marBottom w:val="0"/>
      <w:divBdr>
        <w:top w:val="none" w:sz="0" w:space="0" w:color="auto"/>
        <w:left w:val="none" w:sz="0" w:space="0" w:color="auto"/>
        <w:bottom w:val="none" w:sz="0" w:space="0" w:color="auto"/>
        <w:right w:val="none" w:sz="0" w:space="0" w:color="auto"/>
      </w:divBdr>
      <w:divsChild>
        <w:div w:id="66616006">
          <w:marLeft w:val="0"/>
          <w:marRight w:val="0"/>
          <w:marTop w:val="0"/>
          <w:marBottom w:val="0"/>
          <w:divBdr>
            <w:top w:val="none" w:sz="0" w:space="0" w:color="auto"/>
            <w:left w:val="none" w:sz="0" w:space="0" w:color="auto"/>
            <w:bottom w:val="none" w:sz="0" w:space="0" w:color="auto"/>
            <w:right w:val="none" w:sz="0" w:space="0" w:color="auto"/>
          </w:divBdr>
          <w:divsChild>
            <w:div w:id="887494971">
              <w:marLeft w:val="0"/>
              <w:marRight w:val="0"/>
              <w:marTop w:val="150"/>
              <w:marBottom w:val="0"/>
              <w:divBdr>
                <w:top w:val="none" w:sz="0" w:space="0" w:color="auto"/>
                <w:left w:val="none" w:sz="0" w:space="0" w:color="auto"/>
                <w:bottom w:val="none" w:sz="0" w:space="0" w:color="auto"/>
                <w:right w:val="none" w:sz="0" w:space="0" w:color="auto"/>
              </w:divBdr>
              <w:divsChild>
                <w:div w:id="284845965">
                  <w:marLeft w:val="0"/>
                  <w:marRight w:val="0"/>
                  <w:marTop w:val="0"/>
                  <w:marBottom w:val="0"/>
                  <w:divBdr>
                    <w:top w:val="none" w:sz="0" w:space="0" w:color="auto"/>
                    <w:left w:val="none" w:sz="0" w:space="0" w:color="auto"/>
                    <w:bottom w:val="none" w:sz="0" w:space="0" w:color="auto"/>
                    <w:right w:val="none" w:sz="0" w:space="0" w:color="auto"/>
                  </w:divBdr>
                  <w:divsChild>
                    <w:div w:id="242880350">
                      <w:marLeft w:val="0"/>
                      <w:marRight w:val="0"/>
                      <w:marTop w:val="0"/>
                      <w:marBottom w:val="0"/>
                      <w:divBdr>
                        <w:top w:val="none" w:sz="0" w:space="0" w:color="auto"/>
                        <w:left w:val="none" w:sz="0" w:space="0" w:color="auto"/>
                        <w:bottom w:val="none" w:sz="0" w:space="0" w:color="auto"/>
                        <w:right w:val="none" w:sz="0" w:space="0" w:color="auto"/>
                      </w:divBdr>
                      <w:divsChild>
                        <w:div w:id="408112003">
                          <w:marLeft w:val="0"/>
                          <w:marRight w:val="0"/>
                          <w:marTop w:val="0"/>
                          <w:marBottom w:val="0"/>
                          <w:divBdr>
                            <w:top w:val="none" w:sz="0" w:space="0" w:color="auto"/>
                            <w:left w:val="none" w:sz="0" w:space="0" w:color="auto"/>
                            <w:bottom w:val="none" w:sz="0" w:space="0" w:color="auto"/>
                            <w:right w:val="none" w:sz="0" w:space="0" w:color="auto"/>
                          </w:divBdr>
                          <w:divsChild>
                            <w:div w:id="1166439593">
                              <w:marLeft w:val="0"/>
                              <w:marRight w:val="0"/>
                              <w:marTop w:val="0"/>
                              <w:marBottom w:val="0"/>
                              <w:divBdr>
                                <w:top w:val="none" w:sz="0" w:space="0" w:color="auto"/>
                                <w:left w:val="none" w:sz="0" w:space="0" w:color="auto"/>
                                <w:bottom w:val="none" w:sz="0" w:space="0" w:color="auto"/>
                                <w:right w:val="none" w:sz="0" w:space="0" w:color="auto"/>
                              </w:divBdr>
                              <w:divsChild>
                                <w:div w:id="493760657">
                                  <w:marLeft w:val="0"/>
                                  <w:marRight w:val="0"/>
                                  <w:marTop w:val="0"/>
                                  <w:marBottom w:val="0"/>
                                  <w:divBdr>
                                    <w:top w:val="none" w:sz="0" w:space="0" w:color="auto"/>
                                    <w:left w:val="none" w:sz="0" w:space="0" w:color="auto"/>
                                    <w:bottom w:val="none" w:sz="0" w:space="0" w:color="auto"/>
                                    <w:right w:val="none" w:sz="0" w:space="0" w:color="auto"/>
                                  </w:divBdr>
                                  <w:divsChild>
                                    <w:div w:id="862406175">
                                      <w:marLeft w:val="0"/>
                                      <w:marRight w:val="0"/>
                                      <w:marTop w:val="0"/>
                                      <w:marBottom w:val="0"/>
                                      <w:divBdr>
                                        <w:top w:val="none" w:sz="0" w:space="0" w:color="auto"/>
                                        <w:left w:val="none" w:sz="0" w:space="0" w:color="auto"/>
                                        <w:bottom w:val="none" w:sz="0" w:space="0" w:color="auto"/>
                                        <w:right w:val="none" w:sz="0" w:space="0" w:color="auto"/>
                                      </w:divBdr>
                                      <w:divsChild>
                                        <w:div w:id="714350502">
                                          <w:marLeft w:val="0"/>
                                          <w:marRight w:val="0"/>
                                          <w:marTop w:val="0"/>
                                          <w:marBottom w:val="0"/>
                                          <w:divBdr>
                                            <w:top w:val="none" w:sz="0" w:space="0" w:color="auto"/>
                                            <w:left w:val="none" w:sz="0" w:space="0" w:color="auto"/>
                                            <w:bottom w:val="none" w:sz="0" w:space="0" w:color="auto"/>
                                            <w:right w:val="none" w:sz="0" w:space="0" w:color="auto"/>
                                          </w:divBdr>
                                          <w:divsChild>
                                            <w:div w:id="687374199">
                                              <w:marLeft w:val="0"/>
                                              <w:marRight w:val="0"/>
                                              <w:marTop w:val="0"/>
                                              <w:marBottom w:val="0"/>
                                              <w:divBdr>
                                                <w:top w:val="none" w:sz="0" w:space="0" w:color="auto"/>
                                                <w:left w:val="none" w:sz="0" w:space="0" w:color="auto"/>
                                                <w:bottom w:val="none" w:sz="0" w:space="0" w:color="auto"/>
                                                <w:right w:val="none" w:sz="0" w:space="0" w:color="auto"/>
                                              </w:divBdr>
                                              <w:divsChild>
                                                <w:div w:id="178279324">
                                                  <w:marLeft w:val="0"/>
                                                  <w:marRight w:val="0"/>
                                                  <w:marTop w:val="0"/>
                                                  <w:marBottom w:val="0"/>
                                                  <w:divBdr>
                                                    <w:top w:val="none" w:sz="0" w:space="0" w:color="auto"/>
                                                    <w:left w:val="none" w:sz="0" w:space="0" w:color="auto"/>
                                                    <w:bottom w:val="none" w:sz="0" w:space="0" w:color="auto"/>
                                                    <w:right w:val="none" w:sz="0" w:space="0" w:color="auto"/>
                                                  </w:divBdr>
                                                  <w:divsChild>
                                                    <w:div w:id="1281306734">
                                                      <w:marLeft w:val="0"/>
                                                      <w:marRight w:val="0"/>
                                                      <w:marTop w:val="0"/>
                                                      <w:marBottom w:val="0"/>
                                                      <w:divBdr>
                                                        <w:top w:val="none" w:sz="0" w:space="0" w:color="auto"/>
                                                        <w:left w:val="none" w:sz="0" w:space="0" w:color="auto"/>
                                                        <w:bottom w:val="none" w:sz="0" w:space="0" w:color="auto"/>
                                                        <w:right w:val="none" w:sz="0" w:space="0" w:color="auto"/>
                                                      </w:divBdr>
                                                      <w:divsChild>
                                                        <w:div w:id="737702765">
                                                          <w:marLeft w:val="0"/>
                                                          <w:marRight w:val="0"/>
                                                          <w:marTop w:val="0"/>
                                                          <w:marBottom w:val="0"/>
                                                          <w:divBdr>
                                                            <w:top w:val="none" w:sz="0" w:space="0" w:color="auto"/>
                                                            <w:left w:val="none" w:sz="0" w:space="0" w:color="auto"/>
                                                            <w:bottom w:val="none" w:sz="0" w:space="0" w:color="auto"/>
                                                            <w:right w:val="none" w:sz="0" w:space="0" w:color="auto"/>
                                                          </w:divBdr>
                                                          <w:divsChild>
                                                            <w:div w:id="256905435">
                                                              <w:marLeft w:val="0"/>
                                                              <w:marRight w:val="0"/>
                                                              <w:marTop w:val="0"/>
                                                              <w:marBottom w:val="0"/>
                                                              <w:divBdr>
                                                                <w:top w:val="none" w:sz="0" w:space="0" w:color="auto"/>
                                                                <w:left w:val="none" w:sz="0" w:space="0" w:color="auto"/>
                                                                <w:bottom w:val="none" w:sz="0" w:space="0" w:color="auto"/>
                                                                <w:right w:val="none" w:sz="0" w:space="0" w:color="auto"/>
                                                              </w:divBdr>
                                                              <w:divsChild>
                                                                <w:div w:id="7898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1590021">
      <w:bodyDiv w:val="1"/>
      <w:marLeft w:val="0"/>
      <w:marRight w:val="0"/>
      <w:marTop w:val="0"/>
      <w:marBottom w:val="0"/>
      <w:divBdr>
        <w:top w:val="none" w:sz="0" w:space="0" w:color="auto"/>
        <w:left w:val="none" w:sz="0" w:space="0" w:color="auto"/>
        <w:bottom w:val="none" w:sz="0" w:space="0" w:color="auto"/>
        <w:right w:val="none" w:sz="0" w:space="0" w:color="auto"/>
      </w:divBdr>
      <w:divsChild>
        <w:div w:id="2035111677">
          <w:marLeft w:val="0"/>
          <w:marRight w:val="0"/>
          <w:marTop w:val="0"/>
          <w:marBottom w:val="320"/>
          <w:divBdr>
            <w:top w:val="none" w:sz="0" w:space="0" w:color="auto"/>
            <w:left w:val="none" w:sz="0" w:space="0" w:color="auto"/>
            <w:bottom w:val="none" w:sz="0" w:space="0" w:color="auto"/>
            <w:right w:val="none" w:sz="0" w:space="0" w:color="auto"/>
          </w:divBdr>
          <w:divsChild>
            <w:div w:id="680159179">
              <w:marLeft w:val="0"/>
              <w:marRight w:val="0"/>
              <w:marTop w:val="0"/>
              <w:marBottom w:val="0"/>
              <w:divBdr>
                <w:top w:val="none" w:sz="0" w:space="0" w:color="auto"/>
                <w:left w:val="none" w:sz="0" w:space="0" w:color="auto"/>
                <w:bottom w:val="none" w:sz="0" w:space="0" w:color="auto"/>
                <w:right w:val="none" w:sz="0" w:space="0" w:color="auto"/>
              </w:divBdr>
              <w:divsChild>
                <w:div w:id="1676223668">
                  <w:marLeft w:val="0"/>
                  <w:marRight w:val="0"/>
                  <w:marTop w:val="0"/>
                  <w:marBottom w:val="0"/>
                  <w:divBdr>
                    <w:top w:val="none" w:sz="0" w:space="0" w:color="auto"/>
                    <w:left w:val="none" w:sz="0" w:space="0" w:color="auto"/>
                    <w:bottom w:val="none" w:sz="0" w:space="0" w:color="auto"/>
                    <w:right w:val="none" w:sz="0" w:space="0" w:color="auto"/>
                  </w:divBdr>
                  <w:divsChild>
                    <w:div w:id="302735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8980">
      <w:bodyDiv w:val="1"/>
      <w:marLeft w:val="0"/>
      <w:marRight w:val="0"/>
      <w:marTop w:val="0"/>
      <w:marBottom w:val="0"/>
      <w:divBdr>
        <w:top w:val="none" w:sz="0" w:space="0" w:color="auto"/>
        <w:left w:val="none" w:sz="0" w:space="0" w:color="auto"/>
        <w:bottom w:val="none" w:sz="0" w:space="0" w:color="auto"/>
        <w:right w:val="none" w:sz="0" w:space="0" w:color="auto"/>
      </w:divBdr>
      <w:divsChild>
        <w:div w:id="518158266">
          <w:marLeft w:val="0"/>
          <w:marRight w:val="0"/>
          <w:marTop w:val="0"/>
          <w:marBottom w:val="0"/>
          <w:divBdr>
            <w:top w:val="none" w:sz="0" w:space="0" w:color="auto"/>
            <w:left w:val="none" w:sz="0" w:space="0" w:color="auto"/>
            <w:bottom w:val="none" w:sz="0" w:space="0" w:color="auto"/>
            <w:right w:val="none" w:sz="0" w:space="0" w:color="auto"/>
          </w:divBdr>
          <w:divsChild>
            <w:div w:id="108361163">
              <w:marLeft w:val="0"/>
              <w:marRight w:val="0"/>
              <w:marTop w:val="0"/>
              <w:marBottom w:val="0"/>
              <w:divBdr>
                <w:top w:val="none" w:sz="0" w:space="0" w:color="auto"/>
                <w:left w:val="none" w:sz="0" w:space="0" w:color="auto"/>
                <w:bottom w:val="none" w:sz="0" w:space="0" w:color="auto"/>
                <w:right w:val="none" w:sz="0" w:space="0" w:color="auto"/>
              </w:divBdr>
              <w:divsChild>
                <w:div w:id="443623554">
                  <w:marLeft w:val="0"/>
                  <w:marRight w:val="0"/>
                  <w:marTop w:val="0"/>
                  <w:marBottom w:val="0"/>
                  <w:divBdr>
                    <w:top w:val="none" w:sz="0" w:space="0" w:color="auto"/>
                    <w:left w:val="none" w:sz="0" w:space="0" w:color="auto"/>
                    <w:bottom w:val="none" w:sz="0" w:space="0" w:color="auto"/>
                    <w:right w:val="none" w:sz="0" w:space="0" w:color="auto"/>
                  </w:divBdr>
                  <w:divsChild>
                    <w:div w:id="2005665960">
                      <w:marLeft w:val="0"/>
                      <w:marRight w:val="0"/>
                      <w:marTop w:val="0"/>
                      <w:marBottom w:val="0"/>
                      <w:divBdr>
                        <w:top w:val="none" w:sz="0" w:space="0" w:color="auto"/>
                        <w:left w:val="none" w:sz="0" w:space="0" w:color="auto"/>
                        <w:bottom w:val="none" w:sz="0" w:space="0" w:color="auto"/>
                        <w:right w:val="none" w:sz="0" w:space="0" w:color="auto"/>
                      </w:divBdr>
                      <w:divsChild>
                        <w:div w:id="411203055">
                          <w:marLeft w:val="0"/>
                          <w:marRight w:val="0"/>
                          <w:marTop w:val="0"/>
                          <w:marBottom w:val="0"/>
                          <w:divBdr>
                            <w:top w:val="none" w:sz="0" w:space="0" w:color="auto"/>
                            <w:left w:val="none" w:sz="0" w:space="0" w:color="auto"/>
                            <w:bottom w:val="none" w:sz="0" w:space="0" w:color="auto"/>
                            <w:right w:val="none" w:sz="0" w:space="0" w:color="auto"/>
                          </w:divBdr>
                          <w:divsChild>
                            <w:div w:id="1813329044">
                              <w:marLeft w:val="0"/>
                              <w:marRight w:val="0"/>
                              <w:marTop w:val="0"/>
                              <w:marBottom w:val="0"/>
                              <w:divBdr>
                                <w:top w:val="none" w:sz="0" w:space="0" w:color="auto"/>
                                <w:left w:val="none" w:sz="0" w:space="0" w:color="auto"/>
                                <w:bottom w:val="none" w:sz="0" w:space="0" w:color="auto"/>
                                <w:right w:val="none" w:sz="0" w:space="0" w:color="auto"/>
                              </w:divBdr>
                              <w:divsChild>
                                <w:div w:id="950624489">
                                  <w:marLeft w:val="0"/>
                                  <w:marRight w:val="0"/>
                                  <w:marTop w:val="0"/>
                                  <w:marBottom w:val="0"/>
                                  <w:divBdr>
                                    <w:top w:val="none" w:sz="0" w:space="0" w:color="auto"/>
                                    <w:left w:val="none" w:sz="0" w:space="0" w:color="auto"/>
                                    <w:bottom w:val="none" w:sz="0" w:space="0" w:color="auto"/>
                                    <w:right w:val="none" w:sz="0" w:space="0" w:color="auto"/>
                                  </w:divBdr>
                                  <w:divsChild>
                                    <w:div w:id="1433434796">
                                      <w:marLeft w:val="0"/>
                                      <w:marRight w:val="0"/>
                                      <w:marTop w:val="0"/>
                                      <w:marBottom w:val="0"/>
                                      <w:divBdr>
                                        <w:top w:val="none" w:sz="0" w:space="0" w:color="auto"/>
                                        <w:left w:val="none" w:sz="0" w:space="0" w:color="auto"/>
                                        <w:bottom w:val="none" w:sz="0" w:space="0" w:color="auto"/>
                                        <w:right w:val="none" w:sz="0" w:space="0" w:color="auto"/>
                                      </w:divBdr>
                                      <w:divsChild>
                                        <w:div w:id="1832914320">
                                          <w:marLeft w:val="0"/>
                                          <w:marRight w:val="0"/>
                                          <w:marTop w:val="0"/>
                                          <w:marBottom w:val="0"/>
                                          <w:divBdr>
                                            <w:top w:val="none" w:sz="0" w:space="0" w:color="auto"/>
                                            <w:left w:val="none" w:sz="0" w:space="0" w:color="auto"/>
                                            <w:bottom w:val="none" w:sz="0" w:space="0" w:color="auto"/>
                                            <w:right w:val="none" w:sz="0" w:space="0" w:color="auto"/>
                                          </w:divBdr>
                                          <w:divsChild>
                                            <w:div w:id="1195577451">
                                              <w:marLeft w:val="0"/>
                                              <w:marRight w:val="0"/>
                                              <w:marTop w:val="0"/>
                                              <w:marBottom w:val="0"/>
                                              <w:divBdr>
                                                <w:top w:val="none" w:sz="0" w:space="0" w:color="auto"/>
                                                <w:left w:val="none" w:sz="0" w:space="0" w:color="auto"/>
                                                <w:bottom w:val="none" w:sz="0" w:space="0" w:color="auto"/>
                                                <w:right w:val="none" w:sz="0" w:space="0" w:color="auto"/>
                                              </w:divBdr>
                                              <w:divsChild>
                                                <w:div w:id="894126964">
                                                  <w:marLeft w:val="0"/>
                                                  <w:marRight w:val="0"/>
                                                  <w:marTop w:val="0"/>
                                                  <w:marBottom w:val="0"/>
                                                  <w:divBdr>
                                                    <w:top w:val="none" w:sz="0" w:space="0" w:color="auto"/>
                                                    <w:left w:val="none" w:sz="0" w:space="0" w:color="auto"/>
                                                    <w:bottom w:val="none" w:sz="0" w:space="0" w:color="auto"/>
                                                    <w:right w:val="none" w:sz="0" w:space="0" w:color="auto"/>
                                                  </w:divBdr>
                                                  <w:divsChild>
                                                    <w:div w:id="1336221733">
                                                      <w:marLeft w:val="0"/>
                                                      <w:marRight w:val="0"/>
                                                      <w:marTop w:val="0"/>
                                                      <w:marBottom w:val="0"/>
                                                      <w:divBdr>
                                                        <w:top w:val="none" w:sz="0" w:space="0" w:color="auto"/>
                                                        <w:left w:val="none" w:sz="0" w:space="0" w:color="auto"/>
                                                        <w:bottom w:val="none" w:sz="0" w:space="0" w:color="auto"/>
                                                        <w:right w:val="none" w:sz="0" w:space="0" w:color="auto"/>
                                                      </w:divBdr>
                                                      <w:divsChild>
                                                        <w:div w:id="1957132642">
                                                          <w:marLeft w:val="0"/>
                                                          <w:marRight w:val="0"/>
                                                          <w:marTop w:val="0"/>
                                                          <w:marBottom w:val="0"/>
                                                          <w:divBdr>
                                                            <w:top w:val="none" w:sz="0" w:space="0" w:color="auto"/>
                                                            <w:left w:val="none" w:sz="0" w:space="0" w:color="auto"/>
                                                            <w:bottom w:val="none" w:sz="0" w:space="0" w:color="auto"/>
                                                            <w:right w:val="none" w:sz="0" w:space="0" w:color="auto"/>
                                                          </w:divBdr>
                                                          <w:divsChild>
                                                            <w:div w:id="1659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615838">
      <w:bodyDiv w:val="1"/>
      <w:marLeft w:val="0"/>
      <w:marRight w:val="0"/>
      <w:marTop w:val="0"/>
      <w:marBottom w:val="0"/>
      <w:divBdr>
        <w:top w:val="none" w:sz="0" w:space="0" w:color="auto"/>
        <w:left w:val="none" w:sz="0" w:space="0" w:color="auto"/>
        <w:bottom w:val="none" w:sz="0" w:space="0" w:color="auto"/>
        <w:right w:val="none" w:sz="0" w:space="0" w:color="auto"/>
      </w:divBdr>
      <w:divsChild>
        <w:div w:id="1271158528">
          <w:marLeft w:val="0"/>
          <w:marRight w:val="0"/>
          <w:marTop w:val="0"/>
          <w:marBottom w:val="0"/>
          <w:divBdr>
            <w:top w:val="none" w:sz="0" w:space="0" w:color="auto"/>
            <w:left w:val="none" w:sz="0" w:space="0" w:color="auto"/>
            <w:bottom w:val="none" w:sz="0" w:space="0" w:color="auto"/>
            <w:right w:val="none" w:sz="0" w:space="0" w:color="auto"/>
          </w:divBdr>
          <w:divsChild>
            <w:div w:id="247081121">
              <w:marLeft w:val="0"/>
              <w:marRight w:val="0"/>
              <w:marTop w:val="0"/>
              <w:marBottom w:val="0"/>
              <w:divBdr>
                <w:top w:val="none" w:sz="0" w:space="0" w:color="auto"/>
                <w:left w:val="none" w:sz="0" w:space="0" w:color="auto"/>
                <w:bottom w:val="none" w:sz="0" w:space="0" w:color="auto"/>
                <w:right w:val="none" w:sz="0" w:space="0" w:color="auto"/>
              </w:divBdr>
              <w:divsChild>
                <w:div w:id="906233556">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973752698">
                          <w:marLeft w:val="0"/>
                          <w:marRight w:val="0"/>
                          <w:marTop w:val="0"/>
                          <w:marBottom w:val="0"/>
                          <w:divBdr>
                            <w:top w:val="none" w:sz="0" w:space="0" w:color="auto"/>
                            <w:left w:val="none" w:sz="0" w:space="0" w:color="auto"/>
                            <w:bottom w:val="none" w:sz="0" w:space="0" w:color="auto"/>
                            <w:right w:val="none" w:sz="0" w:space="0" w:color="auto"/>
                          </w:divBdr>
                          <w:divsChild>
                            <w:div w:id="1408071251">
                              <w:marLeft w:val="0"/>
                              <w:marRight w:val="0"/>
                              <w:marTop w:val="0"/>
                              <w:marBottom w:val="0"/>
                              <w:divBdr>
                                <w:top w:val="none" w:sz="0" w:space="0" w:color="auto"/>
                                <w:left w:val="none" w:sz="0" w:space="0" w:color="auto"/>
                                <w:bottom w:val="none" w:sz="0" w:space="0" w:color="auto"/>
                                <w:right w:val="none" w:sz="0" w:space="0" w:color="auto"/>
                              </w:divBdr>
                              <w:divsChild>
                                <w:div w:id="1923444876">
                                  <w:marLeft w:val="0"/>
                                  <w:marRight w:val="0"/>
                                  <w:marTop w:val="0"/>
                                  <w:marBottom w:val="0"/>
                                  <w:divBdr>
                                    <w:top w:val="none" w:sz="0" w:space="0" w:color="auto"/>
                                    <w:left w:val="none" w:sz="0" w:space="0" w:color="auto"/>
                                    <w:bottom w:val="none" w:sz="0" w:space="0" w:color="auto"/>
                                    <w:right w:val="none" w:sz="0" w:space="0" w:color="auto"/>
                                  </w:divBdr>
                                  <w:divsChild>
                                    <w:div w:id="1525901489">
                                      <w:marLeft w:val="0"/>
                                      <w:marRight w:val="0"/>
                                      <w:marTop w:val="0"/>
                                      <w:marBottom w:val="0"/>
                                      <w:divBdr>
                                        <w:top w:val="none" w:sz="0" w:space="0" w:color="auto"/>
                                        <w:left w:val="none" w:sz="0" w:space="0" w:color="auto"/>
                                        <w:bottom w:val="none" w:sz="0" w:space="0" w:color="auto"/>
                                        <w:right w:val="none" w:sz="0" w:space="0" w:color="auto"/>
                                      </w:divBdr>
                                      <w:divsChild>
                                        <w:div w:id="1903130494">
                                          <w:marLeft w:val="0"/>
                                          <w:marRight w:val="0"/>
                                          <w:marTop w:val="0"/>
                                          <w:marBottom w:val="0"/>
                                          <w:divBdr>
                                            <w:top w:val="none" w:sz="0" w:space="0" w:color="auto"/>
                                            <w:left w:val="none" w:sz="0" w:space="0" w:color="auto"/>
                                            <w:bottom w:val="none" w:sz="0" w:space="0" w:color="auto"/>
                                            <w:right w:val="none" w:sz="0" w:space="0" w:color="auto"/>
                                          </w:divBdr>
                                          <w:divsChild>
                                            <w:div w:id="1450130282">
                                              <w:marLeft w:val="0"/>
                                              <w:marRight w:val="0"/>
                                              <w:marTop w:val="0"/>
                                              <w:marBottom w:val="0"/>
                                              <w:divBdr>
                                                <w:top w:val="none" w:sz="0" w:space="0" w:color="auto"/>
                                                <w:left w:val="none" w:sz="0" w:space="0" w:color="auto"/>
                                                <w:bottom w:val="none" w:sz="0" w:space="0" w:color="auto"/>
                                                <w:right w:val="none" w:sz="0" w:space="0" w:color="auto"/>
                                              </w:divBdr>
                                              <w:divsChild>
                                                <w:div w:id="1603294363">
                                                  <w:marLeft w:val="0"/>
                                                  <w:marRight w:val="0"/>
                                                  <w:marTop w:val="0"/>
                                                  <w:marBottom w:val="0"/>
                                                  <w:divBdr>
                                                    <w:top w:val="none" w:sz="0" w:space="0" w:color="auto"/>
                                                    <w:left w:val="none" w:sz="0" w:space="0" w:color="auto"/>
                                                    <w:bottom w:val="none" w:sz="0" w:space="0" w:color="auto"/>
                                                    <w:right w:val="none" w:sz="0" w:space="0" w:color="auto"/>
                                                  </w:divBdr>
                                                  <w:divsChild>
                                                    <w:div w:id="14985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901699">
      <w:bodyDiv w:val="1"/>
      <w:marLeft w:val="0"/>
      <w:marRight w:val="0"/>
      <w:marTop w:val="0"/>
      <w:marBottom w:val="0"/>
      <w:divBdr>
        <w:top w:val="none" w:sz="0" w:space="0" w:color="auto"/>
        <w:left w:val="none" w:sz="0" w:space="0" w:color="auto"/>
        <w:bottom w:val="none" w:sz="0" w:space="0" w:color="auto"/>
        <w:right w:val="none" w:sz="0" w:space="0" w:color="auto"/>
      </w:divBdr>
      <w:divsChild>
        <w:div w:id="1335105947">
          <w:marLeft w:val="0"/>
          <w:marRight w:val="0"/>
          <w:marTop w:val="0"/>
          <w:marBottom w:val="0"/>
          <w:divBdr>
            <w:top w:val="none" w:sz="0" w:space="0" w:color="auto"/>
            <w:left w:val="none" w:sz="0" w:space="0" w:color="auto"/>
            <w:bottom w:val="none" w:sz="0" w:space="0" w:color="auto"/>
            <w:right w:val="none" w:sz="0" w:space="0" w:color="auto"/>
          </w:divBdr>
        </w:div>
        <w:div w:id="1874876282">
          <w:marLeft w:val="0"/>
          <w:marRight w:val="0"/>
          <w:marTop w:val="0"/>
          <w:marBottom w:val="0"/>
          <w:divBdr>
            <w:top w:val="none" w:sz="0" w:space="0" w:color="auto"/>
            <w:left w:val="none" w:sz="0" w:space="0" w:color="auto"/>
            <w:bottom w:val="none" w:sz="0" w:space="0" w:color="auto"/>
            <w:right w:val="none" w:sz="0" w:space="0" w:color="auto"/>
          </w:divBdr>
        </w:div>
        <w:div w:id="1965188318">
          <w:marLeft w:val="0"/>
          <w:marRight w:val="0"/>
          <w:marTop w:val="0"/>
          <w:marBottom w:val="0"/>
          <w:divBdr>
            <w:top w:val="none" w:sz="0" w:space="0" w:color="auto"/>
            <w:left w:val="none" w:sz="0" w:space="0" w:color="auto"/>
            <w:bottom w:val="none" w:sz="0" w:space="0" w:color="auto"/>
            <w:right w:val="none" w:sz="0" w:space="0" w:color="auto"/>
          </w:divBdr>
        </w:div>
      </w:divsChild>
    </w:div>
    <w:div w:id="1417828305">
      <w:bodyDiv w:val="1"/>
      <w:marLeft w:val="0"/>
      <w:marRight w:val="0"/>
      <w:marTop w:val="0"/>
      <w:marBottom w:val="0"/>
      <w:divBdr>
        <w:top w:val="none" w:sz="0" w:space="0" w:color="auto"/>
        <w:left w:val="none" w:sz="0" w:space="0" w:color="auto"/>
        <w:bottom w:val="none" w:sz="0" w:space="0" w:color="auto"/>
        <w:right w:val="none" w:sz="0" w:space="0" w:color="auto"/>
      </w:divBdr>
    </w:div>
    <w:div w:id="1557156867">
      <w:bodyDiv w:val="1"/>
      <w:marLeft w:val="0"/>
      <w:marRight w:val="0"/>
      <w:marTop w:val="0"/>
      <w:marBottom w:val="0"/>
      <w:divBdr>
        <w:top w:val="none" w:sz="0" w:space="0" w:color="auto"/>
        <w:left w:val="none" w:sz="0" w:space="0" w:color="auto"/>
        <w:bottom w:val="none" w:sz="0" w:space="0" w:color="auto"/>
        <w:right w:val="none" w:sz="0" w:space="0" w:color="auto"/>
      </w:divBdr>
      <w:divsChild>
        <w:div w:id="2130082300">
          <w:marLeft w:val="0"/>
          <w:marRight w:val="0"/>
          <w:marTop w:val="0"/>
          <w:marBottom w:val="320"/>
          <w:divBdr>
            <w:top w:val="none" w:sz="0" w:space="0" w:color="auto"/>
            <w:left w:val="none" w:sz="0" w:space="0" w:color="auto"/>
            <w:bottom w:val="none" w:sz="0" w:space="0" w:color="auto"/>
            <w:right w:val="none" w:sz="0" w:space="0" w:color="auto"/>
          </w:divBdr>
          <w:divsChild>
            <w:div w:id="248538816">
              <w:marLeft w:val="0"/>
              <w:marRight w:val="0"/>
              <w:marTop w:val="0"/>
              <w:marBottom w:val="0"/>
              <w:divBdr>
                <w:top w:val="none" w:sz="0" w:space="0" w:color="auto"/>
                <w:left w:val="none" w:sz="0" w:space="0" w:color="auto"/>
                <w:bottom w:val="none" w:sz="0" w:space="0" w:color="auto"/>
                <w:right w:val="none" w:sz="0" w:space="0" w:color="auto"/>
              </w:divBdr>
              <w:divsChild>
                <w:div w:id="1973250189">
                  <w:marLeft w:val="0"/>
                  <w:marRight w:val="0"/>
                  <w:marTop w:val="0"/>
                  <w:marBottom w:val="0"/>
                  <w:divBdr>
                    <w:top w:val="none" w:sz="0" w:space="0" w:color="auto"/>
                    <w:left w:val="none" w:sz="0" w:space="0" w:color="auto"/>
                    <w:bottom w:val="none" w:sz="0" w:space="0" w:color="auto"/>
                    <w:right w:val="none" w:sz="0" w:space="0" w:color="auto"/>
                  </w:divBdr>
                  <w:divsChild>
                    <w:div w:id="11830877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82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822">
          <w:marLeft w:val="0"/>
          <w:marRight w:val="0"/>
          <w:marTop w:val="600"/>
          <w:marBottom w:val="0"/>
          <w:divBdr>
            <w:top w:val="none" w:sz="0" w:space="0" w:color="auto"/>
            <w:left w:val="none" w:sz="0" w:space="0" w:color="auto"/>
            <w:bottom w:val="none" w:sz="0" w:space="0" w:color="auto"/>
            <w:right w:val="none" w:sz="0" w:space="0" w:color="auto"/>
          </w:divBdr>
          <w:divsChild>
            <w:div w:id="1604191662">
              <w:marLeft w:val="0"/>
              <w:marRight w:val="0"/>
              <w:marTop w:val="0"/>
              <w:marBottom w:val="0"/>
              <w:divBdr>
                <w:top w:val="none" w:sz="0" w:space="0" w:color="auto"/>
                <w:left w:val="none" w:sz="0" w:space="0" w:color="auto"/>
                <w:bottom w:val="none" w:sz="0" w:space="0" w:color="auto"/>
                <w:right w:val="none" w:sz="0" w:space="0" w:color="auto"/>
              </w:divBdr>
              <w:divsChild>
                <w:div w:id="20209436">
                  <w:marLeft w:val="0"/>
                  <w:marRight w:val="0"/>
                  <w:marTop w:val="0"/>
                  <w:marBottom w:val="0"/>
                  <w:divBdr>
                    <w:top w:val="none" w:sz="0" w:space="0" w:color="auto"/>
                    <w:left w:val="none" w:sz="0" w:space="0" w:color="auto"/>
                    <w:bottom w:val="none" w:sz="0" w:space="0" w:color="auto"/>
                    <w:right w:val="none" w:sz="0" w:space="0" w:color="auto"/>
                  </w:divBdr>
                  <w:divsChild>
                    <w:div w:id="701200519">
                      <w:marLeft w:val="0"/>
                      <w:marRight w:val="0"/>
                      <w:marTop w:val="0"/>
                      <w:marBottom w:val="0"/>
                      <w:divBdr>
                        <w:top w:val="none" w:sz="0" w:space="0" w:color="auto"/>
                        <w:left w:val="none" w:sz="0" w:space="0" w:color="auto"/>
                        <w:bottom w:val="none" w:sz="0" w:space="0" w:color="auto"/>
                        <w:right w:val="none" w:sz="0" w:space="0" w:color="auto"/>
                      </w:divBdr>
                      <w:divsChild>
                        <w:div w:id="1128402459">
                          <w:marLeft w:val="0"/>
                          <w:marRight w:val="0"/>
                          <w:marTop w:val="0"/>
                          <w:marBottom w:val="0"/>
                          <w:divBdr>
                            <w:top w:val="none" w:sz="0" w:space="0" w:color="auto"/>
                            <w:left w:val="none" w:sz="0" w:space="0" w:color="auto"/>
                            <w:bottom w:val="none" w:sz="0" w:space="0" w:color="auto"/>
                            <w:right w:val="none" w:sz="0" w:space="0" w:color="auto"/>
                          </w:divBdr>
                          <w:divsChild>
                            <w:div w:id="30765386">
                              <w:marLeft w:val="0"/>
                              <w:marRight w:val="0"/>
                              <w:marTop w:val="0"/>
                              <w:marBottom w:val="0"/>
                              <w:divBdr>
                                <w:top w:val="none" w:sz="0" w:space="0" w:color="auto"/>
                                <w:left w:val="none" w:sz="0" w:space="0" w:color="auto"/>
                                <w:bottom w:val="none" w:sz="0" w:space="0" w:color="auto"/>
                                <w:right w:val="none" w:sz="0" w:space="0" w:color="auto"/>
                              </w:divBdr>
                              <w:divsChild>
                                <w:div w:id="1968391396">
                                  <w:marLeft w:val="0"/>
                                  <w:marRight w:val="0"/>
                                  <w:marTop w:val="0"/>
                                  <w:marBottom w:val="0"/>
                                  <w:divBdr>
                                    <w:top w:val="none" w:sz="0" w:space="0" w:color="auto"/>
                                    <w:left w:val="none" w:sz="0" w:space="0" w:color="auto"/>
                                    <w:bottom w:val="none" w:sz="0" w:space="0" w:color="auto"/>
                                    <w:right w:val="none" w:sz="0" w:space="0" w:color="auto"/>
                                  </w:divBdr>
                                  <w:divsChild>
                                    <w:div w:id="53893089">
                                      <w:marLeft w:val="0"/>
                                      <w:marRight w:val="0"/>
                                      <w:marTop w:val="0"/>
                                      <w:marBottom w:val="0"/>
                                      <w:divBdr>
                                        <w:top w:val="none" w:sz="0" w:space="0" w:color="auto"/>
                                        <w:left w:val="none" w:sz="0" w:space="0" w:color="auto"/>
                                        <w:bottom w:val="none" w:sz="0" w:space="0" w:color="auto"/>
                                        <w:right w:val="none" w:sz="0" w:space="0" w:color="auto"/>
                                      </w:divBdr>
                                      <w:divsChild>
                                        <w:div w:id="1892882464">
                                          <w:marLeft w:val="0"/>
                                          <w:marRight w:val="0"/>
                                          <w:marTop w:val="0"/>
                                          <w:marBottom w:val="0"/>
                                          <w:divBdr>
                                            <w:top w:val="none" w:sz="0" w:space="0" w:color="auto"/>
                                            <w:left w:val="none" w:sz="0" w:space="0" w:color="auto"/>
                                            <w:bottom w:val="none" w:sz="0" w:space="0" w:color="auto"/>
                                            <w:right w:val="none" w:sz="0" w:space="0" w:color="auto"/>
                                          </w:divBdr>
                                          <w:divsChild>
                                            <w:div w:id="1779788674">
                                              <w:marLeft w:val="0"/>
                                              <w:marRight w:val="0"/>
                                              <w:marTop w:val="0"/>
                                              <w:marBottom w:val="0"/>
                                              <w:divBdr>
                                                <w:top w:val="none" w:sz="0" w:space="0" w:color="auto"/>
                                                <w:left w:val="none" w:sz="0" w:space="0" w:color="auto"/>
                                                <w:bottom w:val="none" w:sz="0" w:space="0" w:color="auto"/>
                                                <w:right w:val="none" w:sz="0" w:space="0" w:color="auto"/>
                                              </w:divBdr>
                                              <w:divsChild>
                                                <w:div w:id="351761806">
                                                  <w:marLeft w:val="0"/>
                                                  <w:marRight w:val="0"/>
                                                  <w:marTop w:val="0"/>
                                                  <w:marBottom w:val="0"/>
                                                  <w:divBdr>
                                                    <w:top w:val="none" w:sz="0" w:space="0" w:color="auto"/>
                                                    <w:left w:val="none" w:sz="0" w:space="0" w:color="auto"/>
                                                    <w:bottom w:val="none" w:sz="0" w:space="0" w:color="auto"/>
                                                    <w:right w:val="none" w:sz="0" w:space="0" w:color="auto"/>
                                                  </w:divBdr>
                                                  <w:divsChild>
                                                    <w:div w:id="1138299782">
                                                      <w:marLeft w:val="0"/>
                                                      <w:marRight w:val="0"/>
                                                      <w:marTop w:val="0"/>
                                                      <w:marBottom w:val="0"/>
                                                      <w:divBdr>
                                                        <w:top w:val="none" w:sz="0" w:space="0" w:color="auto"/>
                                                        <w:left w:val="none" w:sz="0" w:space="0" w:color="auto"/>
                                                        <w:bottom w:val="none" w:sz="0" w:space="0" w:color="auto"/>
                                                        <w:right w:val="none" w:sz="0" w:space="0" w:color="auto"/>
                                                      </w:divBdr>
                                                      <w:divsChild>
                                                        <w:div w:id="814612688">
                                                          <w:marLeft w:val="0"/>
                                                          <w:marRight w:val="0"/>
                                                          <w:marTop w:val="0"/>
                                                          <w:marBottom w:val="0"/>
                                                          <w:divBdr>
                                                            <w:top w:val="none" w:sz="0" w:space="0" w:color="auto"/>
                                                            <w:left w:val="none" w:sz="0" w:space="0" w:color="auto"/>
                                                            <w:bottom w:val="none" w:sz="0" w:space="0" w:color="auto"/>
                                                            <w:right w:val="none" w:sz="0" w:space="0" w:color="auto"/>
                                                          </w:divBdr>
                                                          <w:divsChild>
                                                            <w:div w:id="6095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720132">
      <w:bodyDiv w:val="1"/>
      <w:marLeft w:val="0"/>
      <w:marRight w:val="0"/>
      <w:marTop w:val="0"/>
      <w:marBottom w:val="0"/>
      <w:divBdr>
        <w:top w:val="none" w:sz="0" w:space="0" w:color="auto"/>
        <w:left w:val="none" w:sz="0" w:space="0" w:color="auto"/>
        <w:bottom w:val="none" w:sz="0" w:space="0" w:color="auto"/>
        <w:right w:val="none" w:sz="0" w:space="0" w:color="auto"/>
      </w:divBdr>
      <w:divsChild>
        <w:div w:id="1070037523">
          <w:marLeft w:val="0"/>
          <w:marRight w:val="0"/>
          <w:marTop w:val="0"/>
          <w:marBottom w:val="0"/>
          <w:divBdr>
            <w:top w:val="none" w:sz="0" w:space="0" w:color="auto"/>
            <w:left w:val="none" w:sz="0" w:space="0" w:color="auto"/>
            <w:bottom w:val="none" w:sz="0" w:space="0" w:color="auto"/>
            <w:right w:val="none" w:sz="0" w:space="0" w:color="auto"/>
          </w:divBdr>
        </w:div>
        <w:div w:id="1345398792">
          <w:marLeft w:val="0"/>
          <w:marRight w:val="0"/>
          <w:marTop w:val="0"/>
          <w:marBottom w:val="0"/>
          <w:divBdr>
            <w:top w:val="none" w:sz="0" w:space="0" w:color="auto"/>
            <w:left w:val="none" w:sz="0" w:space="0" w:color="auto"/>
            <w:bottom w:val="none" w:sz="0" w:space="0" w:color="auto"/>
            <w:right w:val="none" w:sz="0" w:space="0" w:color="auto"/>
          </w:divBdr>
        </w:div>
        <w:div w:id="1349868863">
          <w:marLeft w:val="0"/>
          <w:marRight w:val="0"/>
          <w:marTop w:val="0"/>
          <w:marBottom w:val="0"/>
          <w:divBdr>
            <w:top w:val="none" w:sz="0" w:space="0" w:color="auto"/>
            <w:left w:val="none" w:sz="0" w:space="0" w:color="auto"/>
            <w:bottom w:val="none" w:sz="0" w:space="0" w:color="auto"/>
            <w:right w:val="none" w:sz="0" w:space="0" w:color="auto"/>
          </w:divBdr>
        </w:div>
        <w:div w:id="1304969703">
          <w:marLeft w:val="0"/>
          <w:marRight w:val="0"/>
          <w:marTop w:val="0"/>
          <w:marBottom w:val="0"/>
          <w:divBdr>
            <w:top w:val="none" w:sz="0" w:space="0" w:color="auto"/>
            <w:left w:val="none" w:sz="0" w:space="0" w:color="auto"/>
            <w:bottom w:val="none" w:sz="0" w:space="0" w:color="auto"/>
            <w:right w:val="none" w:sz="0" w:space="0" w:color="auto"/>
          </w:divBdr>
        </w:div>
        <w:div w:id="1357344464">
          <w:marLeft w:val="0"/>
          <w:marRight w:val="0"/>
          <w:marTop w:val="0"/>
          <w:marBottom w:val="0"/>
          <w:divBdr>
            <w:top w:val="none" w:sz="0" w:space="0" w:color="auto"/>
            <w:left w:val="none" w:sz="0" w:space="0" w:color="auto"/>
            <w:bottom w:val="none" w:sz="0" w:space="0" w:color="auto"/>
            <w:right w:val="none" w:sz="0" w:space="0" w:color="auto"/>
          </w:divBdr>
        </w:div>
        <w:div w:id="953289625">
          <w:marLeft w:val="0"/>
          <w:marRight w:val="0"/>
          <w:marTop w:val="0"/>
          <w:marBottom w:val="0"/>
          <w:divBdr>
            <w:top w:val="none" w:sz="0" w:space="0" w:color="auto"/>
            <w:left w:val="none" w:sz="0" w:space="0" w:color="auto"/>
            <w:bottom w:val="none" w:sz="0" w:space="0" w:color="auto"/>
            <w:right w:val="none" w:sz="0" w:space="0" w:color="auto"/>
          </w:divBdr>
        </w:div>
        <w:div w:id="1778712674">
          <w:marLeft w:val="0"/>
          <w:marRight w:val="0"/>
          <w:marTop w:val="0"/>
          <w:marBottom w:val="0"/>
          <w:divBdr>
            <w:top w:val="none" w:sz="0" w:space="0" w:color="auto"/>
            <w:left w:val="none" w:sz="0" w:space="0" w:color="auto"/>
            <w:bottom w:val="none" w:sz="0" w:space="0" w:color="auto"/>
            <w:right w:val="none" w:sz="0" w:space="0" w:color="auto"/>
          </w:divBdr>
        </w:div>
        <w:div w:id="1033926087">
          <w:marLeft w:val="0"/>
          <w:marRight w:val="0"/>
          <w:marTop w:val="0"/>
          <w:marBottom w:val="0"/>
          <w:divBdr>
            <w:top w:val="none" w:sz="0" w:space="0" w:color="auto"/>
            <w:left w:val="none" w:sz="0" w:space="0" w:color="auto"/>
            <w:bottom w:val="none" w:sz="0" w:space="0" w:color="auto"/>
            <w:right w:val="none" w:sz="0" w:space="0" w:color="auto"/>
          </w:divBdr>
        </w:div>
        <w:div w:id="1806585676">
          <w:marLeft w:val="0"/>
          <w:marRight w:val="0"/>
          <w:marTop w:val="0"/>
          <w:marBottom w:val="0"/>
          <w:divBdr>
            <w:top w:val="none" w:sz="0" w:space="0" w:color="auto"/>
            <w:left w:val="none" w:sz="0" w:space="0" w:color="auto"/>
            <w:bottom w:val="none" w:sz="0" w:space="0" w:color="auto"/>
            <w:right w:val="none" w:sz="0" w:space="0" w:color="auto"/>
          </w:divBdr>
        </w:div>
        <w:div w:id="926886370">
          <w:marLeft w:val="0"/>
          <w:marRight w:val="0"/>
          <w:marTop w:val="0"/>
          <w:marBottom w:val="0"/>
          <w:divBdr>
            <w:top w:val="none" w:sz="0" w:space="0" w:color="auto"/>
            <w:left w:val="none" w:sz="0" w:space="0" w:color="auto"/>
            <w:bottom w:val="none" w:sz="0" w:space="0" w:color="auto"/>
            <w:right w:val="none" w:sz="0" w:space="0" w:color="auto"/>
          </w:divBdr>
        </w:div>
        <w:div w:id="1494249780">
          <w:marLeft w:val="0"/>
          <w:marRight w:val="0"/>
          <w:marTop w:val="0"/>
          <w:marBottom w:val="0"/>
          <w:divBdr>
            <w:top w:val="none" w:sz="0" w:space="0" w:color="auto"/>
            <w:left w:val="none" w:sz="0" w:space="0" w:color="auto"/>
            <w:bottom w:val="none" w:sz="0" w:space="0" w:color="auto"/>
            <w:right w:val="none" w:sz="0" w:space="0" w:color="auto"/>
          </w:divBdr>
        </w:div>
      </w:divsChild>
    </w:div>
    <w:div w:id="2068990545">
      <w:bodyDiv w:val="1"/>
      <w:marLeft w:val="0"/>
      <w:marRight w:val="0"/>
      <w:marTop w:val="0"/>
      <w:marBottom w:val="0"/>
      <w:divBdr>
        <w:top w:val="none" w:sz="0" w:space="0" w:color="auto"/>
        <w:left w:val="none" w:sz="0" w:space="0" w:color="auto"/>
        <w:bottom w:val="none" w:sz="0" w:space="0" w:color="auto"/>
        <w:right w:val="none" w:sz="0" w:space="0" w:color="auto"/>
      </w:divBdr>
      <w:divsChild>
        <w:div w:id="2141264200">
          <w:marLeft w:val="0"/>
          <w:marRight w:val="0"/>
          <w:marTop w:val="0"/>
          <w:marBottom w:val="0"/>
          <w:divBdr>
            <w:top w:val="none" w:sz="0" w:space="0" w:color="auto"/>
            <w:left w:val="none" w:sz="0" w:space="0" w:color="auto"/>
            <w:bottom w:val="none" w:sz="0" w:space="0" w:color="auto"/>
            <w:right w:val="none" w:sz="0" w:space="0" w:color="auto"/>
          </w:divBdr>
          <w:divsChild>
            <w:div w:id="1900629981">
              <w:marLeft w:val="0"/>
              <w:marRight w:val="0"/>
              <w:marTop w:val="0"/>
              <w:marBottom w:val="0"/>
              <w:divBdr>
                <w:top w:val="none" w:sz="0" w:space="0" w:color="auto"/>
                <w:left w:val="none" w:sz="0" w:space="0" w:color="auto"/>
                <w:bottom w:val="none" w:sz="0" w:space="0" w:color="auto"/>
                <w:right w:val="none" w:sz="0" w:space="0" w:color="auto"/>
              </w:divBdr>
              <w:divsChild>
                <w:div w:id="920993329">
                  <w:marLeft w:val="0"/>
                  <w:marRight w:val="0"/>
                  <w:marTop w:val="0"/>
                  <w:marBottom w:val="0"/>
                  <w:divBdr>
                    <w:top w:val="none" w:sz="0" w:space="0" w:color="auto"/>
                    <w:left w:val="none" w:sz="0" w:space="0" w:color="auto"/>
                    <w:bottom w:val="none" w:sz="0" w:space="0" w:color="auto"/>
                    <w:right w:val="none" w:sz="0" w:space="0" w:color="auto"/>
                  </w:divBdr>
                  <w:divsChild>
                    <w:div w:id="956909601">
                      <w:marLeft w:val="0"/>
                      <w:marRight w:val="0"/>
                      <w:marTop w:val="0"/>
                      <w:marBottom w:val="0"/>
                      <w:divBdr>
                        <w:top w:val="none" w:sz="0" w:space="0" w:color="auto"/>
                        <w:left w:val="none" w:sz="0" w:space="0" w:color="auto"/>
                        <w:bottom w:val="none" w:sz="0" w:space="0" w:color="auto"/>
                        <w:right w:val="none" w:sz="0" w:space="0" w:color="auto"/>
                      </w:divBdr>
                      <w:divsChild>
                        <w:div w:id="67459630">
                          <w:marLeft w:val="0"/>
                          <w:marRight w:val="0"/>
                          <w:marTop w:val="0"/>
                          <w:marBottom w:val="0"/>
                          <w:divBdr>
                            <w:top w:val="none" w:sz="0" w:space="0" w:color="auto"/>
                            <w:left w:val="none" w:sz="0" w:space="0" w:color="auto"/>
                            <w:bottom w:val="none" w:sz="0" w:space="0" w:color="auto"/>
                            <w:right w:val="none" w:sz="0" w:space="0" w:color="auto"/>
                          </w:divBdr>
                          <w:divsChild>
                            <w:div w:id="1326667642">
                              <w:marLeft w:val="0"/>
                              <w:marRight w:val="0"/>
                              <w:marTop w:val="0"/>
                              <w:marBottom w:val="0"/>
                              <w:divBdr>
                                <w:top w:val="none" w:sz="0" w:space="0" w:color="auto"/>
                                <w:left w:val="none" w:sz="0" w:space="0" w:color="auto"/>
                                <w:bottom w:val="none" w:sz="0" w:space="0" w:color="auto"/>
                                <w:right w:val="none" w:sz="0" w:space="0" w:color="auto"/>
                              </w:divBdr>
                              <w:divsChild>
                                <w:div w:id="1753695152">
                                  <w:marLeft w:val="0"/>
                                  <w:marRight w:val="0"/>
                                  <w:marTop w:val="0"/>
                                  <w:marBottom w:val="0"/>
                                  <w:divBdr>
                                    <w:top w:val="none" w:sz="0" w:space="0" w:color="auto"/>
                                    <w:left w:val="none" w:sz="0" w:space="0" w:color="auto"/>
                                    <w:bottom w:val="none" w:sz="0" w:space="0" w:color="auto"/>
                                    <w:right w:val="none" w:sz="0" w:space="0" w:color="auto"/>
                                  </w:divBdr>
                                  <w:divsChild>
                                    <w:div w:id="1921019821">
                                      <w:marLeft w:val="0"/>
                                      <w:marRight w:val="0"/>
                                      <w:marTop w:val="0"/>
                                      <w:marBottom w:val="0"/>
                                      <w:divBdr>
                                        <w:top w:val="none" w:sz="0" w:space="0" w:color="auto"/>
                                        <w:left w:val="none" w:sz="0" w:space="0" w:color="auto"/>
                                        <w:bottom w:val="none" w:sz="0" w:space="0" w:color="auto"/>
                                        <w:right w:val="none" w:sz="0" w:space="0" w:color="auto"/>
                                      </w:divBdr>
                                      <w:divsChild>
                                        <w:div w:id="1328709007">
                                          <w:marLeft w:val="0"/>
                                          <w:marRight w:val="0"/>
                                          <w:marTop w:val="0"/>
                                          <w:marBottom w:val="0"/>
                                          <w:divBdr>
                                            <w:top w:val="none" w:sz="0" w:space="0" w:color="auto"/>
                                            <w:left w:val="none" w:sz="0" w:space="0" w:color="auto"/>
                                            <w:bottom w:val="none" w:sz="0" w:space="0" w:color="auto"/>
                                            <w:right w:val="none" w:sz="0" w:space="0" w:color="auto"/>
                                          </w:divBdr>
                                          <w:divsChild>
                                            <w:div w:id="521482475">
                                              <w:marLeft w:val="0"/>
                                              <w:marRight w:val="0"/>
                                              <w:marTop w:val="0"/>
                                              <w:marBottom w:val="0"/>
                                              <w:divBdr>
                                                <w:top w:val="none" w:sz="0" w:space="0" w:color="auto"/>
                                                <w:left w:val="none" w:sz="0" w:space="0" w:color="auto"/>
                                                <w:bottom w:val="none" w:sz="0" w:space="0" w:color="auto"/>
                                                <w:right w:val="none" w:sz="0" w:space="0" w:color="auto"/>
                                              </w:divBdr>
                                              <w:divsChild>
                                                <w:div w:id="798300012">
                                                  <w:marLeft w:val="0"/>
                                                  <w:marRight w:val="0"/>
                                                  <w:marTop w:val="0"/>
                                                  <w:marBottom w:val="0"/>
                                                  <w:divBdr>
                                                    <w:top w:val="none" w:sz="0" w:space="0" w:color="auto"/>
                                                    <w:left w:val="none" w:sz="0" w:space="0" w:color="auto"/>
                                                    <w:bottom w:val="none" w:sz="0" w:space="0" w:color="auto"/>
                                                    <w:right w:val="none" w:sz="0" w:space="0" w:color="auto"/>
                                                  </w:divBdr>
                                                  <w:divsChild>
                                                    <w:div w:id="1508981638">
                                                      <w:marLeft w:val="0"/>
                                                      <w:marRight w:val="0"/>
                                                      <w:marTop w:val="0"/>
                                                      <w:marBottom w:val="0"/>
                                                      <w:divBdr>
                                                        <w:top w:val="none" w:sz="0" w:space="0" w:color="auto"/>
                                                        <w:left w:val="none" w:sz="0" w:space="0" w:color="auto"/>
                                                        <w:bottom w:val="none" w:sz="0" w:space="0" w:color="auto"/>
                                                        <w:right w:val="none" w:sz="0" w:space="0" w:color="auto"/>
                                                      </w:divBdr>
                                                      <w:divsChild>
                                                        <w:div w:id="10469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7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sb.com.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ccpol@dtf.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tfweb@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hyperlink" Target="file:///\\pvfdtf001\DTF_USER01$\HOME\vicetz9\EDRMS7\TRIM\TEMP\HPTRIM.10660\www.dtf.vic.gov.au"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creativecommons.org/licenses/by/3.0/au/" TargetMode="External"/><Relationship Id="rId14" Type="http://schemas.openxmlformats.org/officeDocument/2006/relationships/hyperlink" Target="http://www.ifac.org/PublicSecto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Newsletter_AccP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5355-C3EE-4125-8A62-F0F6EA05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Newsletter_AccPol</Template>
  <TotalTime>0</TotalTime>
  <Pages>10</Pages>
  <Words>3807</Words>
  <Characters>21706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Anna Tong</cp:lastModifiedBy>
  <cp:revision>2</cp:revision>
  <cp:lastPrinted>2015-07-16T02:31:00Z</cp:lastPrinted>
  <dcterms:created xsi:type="dcterms:W3CDTF">2015-07-16T05:21:00Z</dcterms:created>
  <dcterms:modified xsi:type="dcterms:W3CDTF">2015-07-16T05:21:00Z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160770cd-f486-40a1-ba45-2ee418309674</vt:lpwstr>
  </property>
  <property fmtid="{D5CDD505-2E9C-101B-9397-08002B2CF9AE}" pid="3" name="PSPFClassification">
    <vt:lpwstr>Do Not Mark</vt:lpwstr>
  </property>
</Properties>
</file>