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6" w:rsidRDefault="000C21C3" w:rsidP="00045296">
      <w:pPr>
        <w:pStyle w:val="Title"/>
      </w:pPr>
      <w:bookmarkStart w:id="0" w:name="_Toc442780672"/>
      <w:bookmarkStart w:id="1" w:name="_GoBack"/>
      <w:bookmarkEnd w:id="1"/>
      <w:r w:rsidRPr="00607F49">
        <w:t>Accounting policy update</w:t>
      </w:r>
    </w:p>
    <w:p w:rsidR="000C21C3" w:rsidRPr="000C21C3" w:rsidRDefault="000C21C3" w:rsidP="000C21C3">
      <w:pPr>
        <w:pStyle w:val="Subtitle"/>
      </w:pPr>
      <w:r w:rsidRPr="00607F49">
        <w:t>Newslet</w:t>
      </w:r>
      <w:r>
        <w:t xml:space="preserve">ter – Edition No. </w:t>
      </w:r>
      <w:r w:rsidR="006F0F13">
        <w:t>31</w:t>
      </w:r>
      <w:r>
        <w:t xml:space="preserve">, </w:t>
      </w:r>
      <w:r w:rsidR="002B3221">
        <w:t xml:space="preserve">December </w:t>
      </w:r>
      <w:r w:rsidR="006F0F13">
        <w:t>201</w:t>
      </w:r>
      <w:r w:rsidR="002B3221">
        <w:t>6</w:t>
      </w:r>
    </w:p>
    <w:p w:rsidR="000C21C3" w:rsidRDefault="000C21C3" w:rsidP="000C21C3">
      <w:pPr>
        <w:pStyle w:val="Spacer"/>
      </w:pPr>
    </w:p>
    <w:p w:rsidR="000C21C3" w:rsidRDefault="000C21C3" w:rsidP="000C21C3">
      <w:pPr>
        <w:pStyle w:val="Spacer"/>
      </w:pPr>
    </w:p>
    <w:p w:rsidR="000C21C3" w:rsidRDefault="000C21C3" w:rsidP="000C21C3">
      <w:pPr>
        <w:pStyle w:val="Heading1"/>
        <w:sectPr w:rsidR="000C21C3" w:rsidSect="008B69EC">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350" w:left="1440" w:header="706" w:footer="461" w:gutter="0"/>
          <w:cols w:space="708"/>
          <w:docGrid w:linePitch="360"/>
        </w:sectPr>
      </w:pPr>
    </w:p>
    <w:p w:rsidR="000C21C3" w:rsidRPr="000C21C3" w:rsidRDefault="000C21C3" w:rsidP="000C21C3">
      <w:pPr>
        <w:pStyle w:val="Spacer"/>
      </w:pPr>
      <w:bookmarkStart w:id="5" w:name="_Toc442780674"/>
    </w:p>
    <w:p w:rsidR="00045296" w:rsidRDefault="000C21C3" w:rsidP="004834E8">
      <w:pPr>
        <w:pStyle w:val="Heading4"/>
        <w:spacing w:before="60"/>
      </w:pPr>
      <w:r w:rsidRPr="00A73FFD">
        <w:t>Scope: This bi</w:t>
      </w:r>
      <w:r w:rsidR="005C50EC">
        <w:noBreakHyphen/>
      </w:r>
      <w:r w:rsidRPr="00A73FFD">
        <w:t xml:space="preserve">annual newsletter outlines areas of </w:t>
      </w:r>
      <w:r w:rsidRPr="002620A4">
        <w:t>particular</w:t>
      </w:r>
      <w:r w:rsidRPr="00A73FFD">
        <w:t xml:space="preserve"> importance in public sector financial reporting. Please distribute to both budget and financial reporting areas of Victorian public sector entities.</w:t>
      </w:r>
    </w:p>
    <w:p w:rsidR="000C21C3" w:rsidRDefault="000C21C3" w:rsidP="000C21C3"/>
    <w:p w:rsidR="000C21C3" w:rsidRDefault="000C21C3" w:rsidP="001752FA">
      <w:pPr>
        <w:spacing w:before="0" w:after="0"/>
      </w:pPr>
    </w:p>
    <w:tbl>
      <w:tblPr>
        <w:tblStyle w:val="TableGrid"/>
        <w:tblW w:w="0" w:type="auto"/>
        <w:tblBorders>
          <w:bottom w:val="none" w:sz="0" w:space="0" w:color="auto"/>
        </w:tblBorders>
        <w:tblLook w:val="0480" w:firstRow="0" w:lastRow="0" w:firstColumn="1" w:lastColumn="0" w:noHBand="0" w:noVBand="1"/>
      </w:tblPr>
      <w:tblGrid>
        <w:gridCol w:w="2833"/>
      </w:tblGrid>
      <w:tr w:rsidR="000C21C3" w:rsidTr="000C21C3">
        <w:tc>
          <w:tcPr>
            <w:cnfStyle w:val="001000000000" w:firstRow="0" w:lastRow="0" w:firstColumn="1" w:lastColumn="0" w:oddVBand="0" w:evenVBand="0" w:oddHBand="0" w:evenHBand="0" w:firstRowFirstColumn="0" w:firstRowLastColumn="0" w:lastRowFirstColumn="0" w:lastRowLastColumn="0"/>
            <w:tcW w:w="2833" w:type="dxa"/>
          </w:tcPr>
          <w:p w:rsidR="000C21C3" w:rsidRDefault="000C21C3" w:rsidP="000C21C3">
            <w:pPr>
              <w:pStyle w:val="TOCHeading"/>
              <w:spacing w:before="200" w:after="100"/>
            </w:pPr>
            <w:r>
              <w:t>Inside this edition</w:t>
            </w:r>
          </w:p>
          <w:p w:rsidR="004834E8" w:rsidRDefault="000C21C3">
            <w:pPr>
              <w:pStyle w:val="TOC1"/>
              <w:rPr>
                <w:noProof/>
                <w:spacing w:val="0"/>
                <w:sz w:val="22"/>
                <w:szCs w:val="22"/>
              </w:rPr>
            </w:pPr>
            <w:r w:rsidRPr="000F50A6">
              <w:rPr>
                <w:rFonts w:eastAsiaTheme="minorEastAsia"/>
                <w:szCs w:val="16"/>
                <w:lang w:eastAsia="en-AU"/>
              </w:rPr>
              <w:fldChar w:fldCharType="begin"/>
            </w:r>
            <w:r w:rsidRPr="000F50A6">
              <w:rPr>
                <w:szCs w:val="16"/>
              </w:rPr>
              <w:instrText xml:space="preserve"> TOC \h \z \t "Heading 1,1" </w:instrText>
            </w:r>
            <w:r w:rsidRPr="000F50A6">
              <w:rPr>
                <w:rFonts w:eastAsiaTheme="minorEastAsia"/>
                <w:szCs w:val="16"/>
                <w:lang w:eastAsia="en-AU"/>
              </w:rPr>
              <w:fldChar w:fldCharType="separate"/>
            </w:r>
            <w:hyperlink w:anchor="_Toc469929432" w:history="1">
              <w:r w:rsidR="004834E8" w:rsidRPr="00E246BE">
                <w:rPr>
                  <w:rStyle w:val="Hyperlink"/>
                  <w:noProof/>
                </w:rPr>
                <w:t>Overview</w:t>
              </w:r>
              <w:r w:rsidR="004834E8">
                <w:rPr>
                  <w:noProof/>
                  <w:webHidden/>
                </w:rPr>
                <w:tab/>
              </w:r>
              <w:r w:rsidR="004834E8">
                <w:rPr>
                  <w:noProof/>
                  <w:webHidden/>
                </w:rPr>
                <w:fldChar w:fldCharType="begin"/>
              </w:r>
              <w:r w:rsidR="004834E8">
                <w:rPr>
                  <w:noProof/>
                  <w:webHidden/>
                </w:rPr>
                <w:instrText xml:space="preserve"> PAGEREF _Toc469929432 \h </w:instrText>
              </w:r>
              <w:r w:rsidR="004834E8">
                <w:rPr>
                  <w:noProof/>
                  <w:webHidden/>
                </w:rPr>
              </w:r>
              <w:r w:rsidR="004834E8">
                <w:rPr>
                  <w:noProof/>
                  <w:webHidden/>
                </w:rPr>
                <w:fldChar w:fldCharType="separate"/>
              </w:r>
              <w:r w:rsidR="00E018C9">
                <w:rPr>
                  <w:noProof/>
                  <w:webHidden/>
                </w:rPr>
                <w:t>1</w:t>
              </w:r>
              <w:r w:rsidR="004834E8">
                <w:rPr>
                  <w:noProof/>
                  <w:webHidden/>
                </w:rPr>
                <w:fldChar w:fldCharType="end"/>
              </w:r>
            </w:hyperlink>
          </w:p>
          <w:p w:rsidR="004834E8" w:rsidRDefault="00E90CCC">
            <w:pPr>
              <w:pStyle w:val="TOC1"/>
              <w:rPr>
                <w:noProof/>
                <w:spacing w:val="0"/>
                <w:sz w:val="22"/>
                <w:szCs w:val="22"/>
              </w:rPr>
            </w:pPr>
            <w:hyperlink w:anchor="_Toc469929433" w:history="1">
              <w:r w:rsidR="004834E8" w:rsidRPr="00E246BE">
                <w:rPr>
                  <w:rStyle w:val="Hyperlink"/>
                  <w:noProof/>
                </w:rPr>
                <w:t>2016</w:t>
              </w:r>
              <w:r w:rsidR="005C50EC">
                <w:rPr>
                  <w:rStyle w:val="Hyperlink"/>
                  <w:noProof/>
                </w:rPr>
                <w:noBreakHyphen/>
              </w:r>
              <w:r w:rsidR="004834E8" w:rsidRPr="00E246BE">
                <w:rPr>
                  <w:rStyle w:val="Hyperlink"/>
                  <w:noProof/>
                </w:rPr>
                <w:t>17 reporting year</w:t>
              </w:r>
              <w:r w:rsidR="004834E8">
                <w:rPr>
                  <w:noProof/>
                  <w:webHidden/>
                </w:rPr>
                <w:tab/>
              </w:r>
              <w:r w:rsidR="004834E8">
                <w:rPr>
                  <w:noProof/>
                  <w:webHidden/>
                </w:rPr>
                <w:fldChar w:fldCharType="begin"/>
              </w:r>
              <w:r w:rsidR="004834E8">
                <w:rPr>
                  <w:noProof/>
                  <w:webHidden/>
                </w:rPr>
                <w:instrText xml:space="preserve"> PAGEREF _Toc469929433 \h </w:instrText>
              </w:r>
              <w:r w:rsidR="004834E8">
                <w:rPr>
                  <w:noProof/>
                  <w:webHidden/>
                </w:rPr>
              </w:r>
              <w:r w:rsidR="004834E8">
                <w:rPr>
                  <w:noProof/>
                  <w:webHidden/>
                </w:rPr>
                <w:fldChar w:fldCharType="separate"/>
              </w:r>
              <w:r w:rsidR="00E018C9">
                <w:rPr>
                  <w:noProof/>
                  <w:webHidden/>
                </w:rPr>
                <w:t>2</w:t>
              </w:r>
              <w:r w:rsidR="004834E8">
                <w:rPr>
                  <w:noProof/>
                  <w:webHidden/>
                </w:rPr>
                <w:fldChar w:fldCharType="end"/>
              </w:r>
            </w:hyperlink>
          </w:p>
          <w:p w:rsidR="004834E8" w:rsidRDefault="00E90CCC">
            <w:pPr>
              <w:pStyle w:val="TOC1"/>
              <w:rPr>
                <w:noProof/>
                <w:spacing w:val="0"/>
                <w:sz w:val="22"/>
                <w:szCs w:val="22"/>
              </w:rPr>
            </w:pPr>
            <w:hyperlink w:anchor="_Toc469929434" w:history="1">
              <w:r w:rsidR="004834E8" w:rsidRPr="00E246BE">
                <w:rPr>
                  <w:rStyle w:val="Hyperlink"/>
                  <w:noProof/>
                </w:rPr>
                <w:t>2016</w:t>
              </w:r>
              <w:r w:rsidR="005C50EC">
                <w:rPr>
                  <w:rStyle w:val="Hyperlink"/>
                  <w:noProof/>
                </w:rPr>
                <w:noBreakHyphen/>
              </w:r>
              <w:r w:rsidR="004834E8" w:rsidRPr="00E246BE">
                <w:rPr>
                  <w:rStyle w:val="Hyperlink"/>
                  <w:noProof/>
                </w:rPr>
                <w:t>17 financial reporting legislation</w:t>
              </w:r>
              <w:r w:rsidR="004834E8">
                <w:rPr>
                  <w:noProof/>
                  <w:webHidden/>
                </w:rPr>
                <w:tab/>
              </w:r>
              <w:r w:rsidR="004834E8">
                <w:rPr>
                  <w:noProof/>
                  <w:webHidden/>
                </w:rPr>
                <w:fldChar w:fldCharType="begin"/>
              </w:r>
              <w:r w:rsidR="004834E8">
                <w:rPr>
                  <w:noProof/>
                  <w:webHidden/>
                </w:rPr>
                <w:instrText xml:space="preserve"> PAGEREF _Toc469929434 \h </w:instrText>
              </w:r>
              <w:r w:rsidR="004834E8">
                <w:rPr>
                  <w:noProof/>
                  <w:webHidden/>
                </w:rPr>
              </w:r>
              <w:r w:rsidR="004834E8">
                <w:rPr>
                  <w:noProof/>
                  <w:webHidden/>
                </w:rPr>
                <w:fldChar w:fldCharType="separate"/>
              </w:r>
              <w:r w:rsidR="00E018C9">
                <w:rPr>
                  <w:noProof/>
                  <w:webHidden/>
                </w:rPr>
                <w:t>6</w:t>
              </w:r>
              <w:r w:rsidR="004834E8">
                <w:rPr>
                  <w:noProof/>
                  <w:webHidden/>
                </w:rPr>
                <w:fldChar w:fldCharType="end"/>
              </w:r>
            </w:hyperlink>
          </w:p>
          <w:p w:rsidR="004834E8" w:rsidRDefault="00E90CCC">
            <w:pPr>
              <w:pStyle w:val="TOC1"/>
              <w:rPr>
                <w:noProof/>
                <w:spacing w:val="0"/>
                <w:sz w:val="22"/>
                <w:szCs w:val="22"/>
              </w:rPr>
            </w:pPr>
            <w:hyperlink w:anchor="_Toc469929435" w:history="1">
              <w:r w:rsidR="004834E8" w:rsidRPr="00E246BE">
                <w:rPr>
                  <w:rStyle w:val="Hyperlink"/>
                  <w:noProof/>
                </w:rPr>
                <w:t>AASB update</w:t>
              </w:r>
              <w:r w:rsidR="004834E8">
                <w:rPr>
                  <w:noProof/>
                  <w:webHidden/>
                </w:rPr>
                <w:tab/>
              </w:r>
              <w:r w:rsidR="004834E8">
                <w:rPr>
                  <w:noProof/>
                  <w:webHidden/>
                </w:rPr>
                <w:fldChar w:fldCharType="begin"/>
              </w:r>
              <w:r w:rsidR="004834E8">
                <w:rPr>
                  <w:noProof/>
                  <w:webHidden/>
                </w:rPr>
                <w:instrText xml:space="preserve"> PAGEREF _Toc469929435 \h </w:instrText>
              </w:r>
              <w:r w:rsidR="004834E8">
                <w:rPr>
                  <w:noProof/>
                  <w:webHidden/>
                </w:rPr>
              </w:r>
              <w:r w:rsidR="004834E8">
                <w:rPr>
                  <w:noProof/>
                  <w:webHidden/>
                </w:rPr>
                <w:fldChar w:fldCharType="separate"/>
              </w:r>
              <w:r w:rsidR="00E018C9">
                <w:rPr>
                  <w:noProof/>
                  <w:webHidden/>
                </w:rPr>
                <w:t>7</w:t>
              </w:r>
              <w:r w:rsidR="004834E8">
                <w:rPr>
                  <w:noProof/>
                  <w:webHidden/>
                </w:rPr>
                <w:fldChar w:fldCharType="end"/>
              </w:r>
            </w:hyperlink>
          </w:p>
          <w:p w:rsidR="004834E8" w:rsidRDefault="00E90CCC">
            <w:pPr>
              <w:pStyle w:val="TOC1"/>
              <w:rPr>
                <w:noProof/>
                <w:spacing w:val="0"/>
                <w:sz w:val="22"/>
                <w:szCs w:val="22"/>
              </w:rPr>
            </w:pPr>
            <w:hyperlink w:anchor="_Toc469929436" w:history="1">
              <w:r w:rsidR="004834E8" w:rsidRPr="00E246BE">
                <w:rPr>
                  <w:rStyle w:val="Hyperlink"/>
                  <w:noProof/>
                </w:rPr>
                <w:t>VAGO communication</w:t>
              </w:r>
              <w:r w:rsidR="004834E8">
                <w:rPr>
                  <w:noProof/>
                  <w:webHidden/>
                </w:rPr>
                <w:tab/>
              </w:r>
              <w:r w:rsidR="004834E8">
                <w:rPr>
                  <w:noProof/>
                  <w:webHidden/>
                </w:rPr>
                <w:fldChar w:fldCharType="begin"/>
              </w:r>
              <w:r w:rsidR="004834E8">
                <w:rPr>
                  <w:noProof/>
                  <w:webHidden/>
                </w:rPr>
                <w:instrText xml:space="preserve"> PAGEREF _Toc469929436 \h </w:instrText>
              </w:r>
              <w:r w:rsidR="004834E8">
                <w:rPr>
                  <w:noProof/>
                  <w:webHidden/>
                </w:rPr>
              </w:r>
              <w:r w:rsidR="004834E8">
                <w:rPr>
                  <w:noProof/>
                  <w:webHidden/>
                </w:rPr>
                <w:fldChar w:fldCharType="separate"/>
              </w:r>
              <w:r w:rsidR="00E018C9">
                <w:rPr>
                  <w:noProof/>
                  <w:webHidden/>
                </w:rPr>
                <w:t>11</w:t>
              </w:r>
              <w:r w:rsidR="004834E8">
                <w:rPr>
                  <w:noProof/>
                  <w:webHidden/>
                </w:rPr>
                <w:fldChar w:fldCharType="end"/>
              </w:r>
            </w:hyperlink>
          </w:p>
          <w:p w:rsidR="004834E8" w:rsidRDefault="00E90CCC">
            <w:pPr>
              <w:pStyle w:val="TOC1"/>
              <w:rPr>
                <w:noProof/>
                <w:spacing w:val="0"/>
                <w:sz w:val="22"/>
                <w:szCs w:val="22"/>
              </w:rPr>
            </w:pPr>
            <w:hyperlink w:anchor="_Toc469929437" w:history="1">
              <w:r w:rsidR="004834E8" w:rsidRPr="00E246BE">
                <w:rPr>
                  <w:rStyle w:val="Hyperlink"/>
                  <w:noProof/>
                </w:rPr>
                <w:t>How to contact us</w:t>
              </w:r>
              <w:r w:rsidR="004834E8">
                <w:rPr>
                  <w:noProof/>
                  <w:webHidden/>
                </w:rPr>
                <w:tab/>
              </w:r>
              <w:r w:rsidR="004834E8">
                <w:rPr>
                  <w:noProof/>
                  <w:webHidden/>
                </w:rPr>
                <w:fldChar w:fldCharType="begin"/>
              </w:r>
              <w:r w:rsidR="004834E8">
                <w:rPr>
                  <w:noProof/>
                  <w:webHidden/>
                </w:rPr>
                <w:instrText xml:space="preserve"> PAGEREF _Toc469929437 \h </w:instrText>
              </w:r>
              <w:r w:rsidR="004834E8">
                <w:rPr>
                  <w:noProof/>
                  <w:webHidden/>
                </w:rPr>
              </w:r>
              <w:r w:rsidR="004834E8">
                <w:rPr>
                  <w:noProof/>
                  <w:webHidden/>
                </w:rPr>
                <w:fldChar w:fldCharType="separate"/>
              </w:r>
              <w:r w:rsidR="00E018C9">
                <w:rPr>
                  <w:noProof/>
                  <w:webHidden/>
                </w:rPr>
                <w:t>12</w:t>
              </w:r>
              <w:r w:rsidR="004834E8">
                <w:rPr>
                  <w:noProof/>
                  <w:webHidden/>
                </w:rPr>
                <w:fldChar w:fldCharType="end"/>
              </w:r>
            </w:hyperlink>
          </w:p>
          <w:p w:rsidR="000C21C3" w:rsidRDefault="000C21C3" w:rsidP="00A542BF">
            <w:pPr>
              <w:pStyle w:val="NewsletterNote"/>
            </w:pPr>
            <w:r w:rsidRPr="000F50A6">
              <w:fldChar w:fldCharType="end"/>
            </w:r>
          </w:p>
        </w:tc>
      </w:tr>
    </w:tbl>
    <w:p w:rsidR="000C21C3" w:rsidRDefault="000C21C3" w:rsidP="000C21C3"/>
    <w:p w:rsidR="000C21C3" w:rsidRDefault="000C21C3" w:rsidP="000C21C3"/>
    <w:p w:rsidR="000C21C3" w:rsidRDefault="000C21C3" w:rsidP="000C21C3">
      <w:pPr>
        <w:pStyle w:val="Heading1"/>
      </w:pPr>
      <w:r>
        <w:br w:type="column"/>
      </w:r>
      <w:bookmarkStart w:id="6" w:name="_Toc469929432"/>
      <w:r w:rsidRPr="000C21C3">
        <w:lastRenderedPageBreak/>
        <w:t>Overview</w:t>
      </w:r>
      <w:bookmarkEnd w:id="6"/>
    </w:p>
    <w:p w:rsidR="00CB23CC" w:rsidRDefault="00133603" w:rsidP="003B0473">
      <w:r>
        <w:t xml:space="preserve">Two significant changes </w:t>
      </w:r>
      <w:r w:rsidR="00750D7B">
        <w:t>are being introduced</w:t>
      </w:r>
      <w:r>
        <w:t xml:space="preserve"> for the current year – </w:t>
      </w:r>
      <w:r w:rsidR="00D44B1E">
        <w:t xml:space="preserve">the </w:t>
      </w:r>
      <w:r>
        <w:t xml:space="preserve">streamlining </w:t>
      </w:r>
      <w:r w:rsidR="00833B52">
        <w:t xml:space="preserve">of </w:t>
      </w:r>
      <w:r>
        <w:t xml:space="preserve">departmental annual financial reports and </w:t>
      </w:r>
      <w:r w:rsidR="007A14E7">
        <w:t xml:space="preserve">the </w:t>
      </w:r>
      <w:r>
        <w:t>disclosure of related party transactions</w:t>
      </w:r>
      <w:r w:rsidR="00833B52">
        <w:t xml:space="preserve"> </w:t>
      </w:r>
      <w:r w:rsidR="00D44B1E">
        <w:t>for all not</w:t>
      </w:r>
      <w:r w:rsidR="005C50EC">
        <w:noBreakHyphen/>
      </w:r>
      <w:r w:rsidR="00D44B1E">
        <w:t>for</w:t>
      </w:r>
      <w:r w:rsidR="005C50EC">
        <w:noBreakHyphen/>
      </w:r>
      <w:r w:rsidR="00D44B1E">
        <w:t>profit public sector entities as required by</w:t>
      </w:r>
      <w:r w:rsidR="001012CC">
        <w:t xml:space="preserve"> </w:t>
      </w:r>
      <w:r w:rsidR="00750D7B">
        <w:t xml:space="preserve">the </w:t>
      </w:r>
      <w:r w:rsidR="00833B52">
        <w:t xml:space="preserve">revised AASB 124 </w:t>
      </w:r>
      <w:r w:rsidR="00833B52" w:rsidRPr="00833B52">
        <w:rPr>
          <w:i/>
        </w:rPr>
        <w:t>Related Party Disclosure</w:t>
      </w:r>
      <w:r w:rsidR="00D44B1E">
        <w:rPr>
          <w:i/>
        </w:rPr>
        <w:t>s</w:t>
      </w:r>
      <w:r>
        <w:t>.</w:t>
      </w:r>
      <w:r w:rsidR="00BD24E7">
        <w:t xml:space="preserve"> </w:t>
      </w:r>
      <w:r w:rsidR="00DF7A5F">
        <w:t>Each of these</w:t>
      </w:r>
      <w:r w:rsidR="00BD24E7">
        <w:t xml:space="preserve"> </w:t>
      </w:r>
      <w:r w:rsidR="0067682E">
        <w:t xml:space="preserve">changes </w:t>
      </w:r>
      <w:r w:rsidR="00BD24E7">
        <w:t xml:space="preserve">will be reflected in the upcoming </w:t>
      </w:r>
      <w:r w:rsidR="00BD24E7" w:rsidRPr="00BD24E7">
        <w:rPr>
          <w:i/>
        </w:rPr>
        <w:t>2016</w:t>
      </w:r>
      <w:r w:rsidR="005C50EC">
        <w:rPr>
          <w:i/>
        </w:rPr>
        <w:noBreakHyphen/>
      </w:r>
      <w:r w:rsidR="00BD24E7" w:rsidRPr="00BD24E7">
        <w:rPr>
          <w:i/>
        </w:rPr>
        <w:t>17</w:t>
      </w:r>
      <w:r w:rsidR="00BD24E7">
        <w:t xml:space="preserve"> </w:t>
      </w:r>
      <w:r w:rsidR="00BD24E7" w:rsidRPr="00244F1E">
        <w:rPr>
          <w:i/>
        </w:rPr>
        <w:t>Model Report for Victorian Government Departments</w:t>
      </w:r>
      <w:r w:rsidR="00BD24E7">
        <w:rPr>
          <w:i/>
        </w:rPr>
        <w:t>.</w:t>
      </w:r>
    </w:p>
    <w:p w:rsidR="004E39FF" w:rsidRDefault="00CB01C2" w:rsidP="003B0473">
      <w:r>
        <w:t xml:space="preserve">As we are halfway through </w:t>
      </w:r>
      <w:r w:rsidR="001A6878">
        <w:t xml:space="preserve">the </w:t>
      </w:r>
      <w:r>
        <w:t>2016</w:t>
      </w:r>
      <w:r w:rsidR="005C50EC">
        <w:noBreakHyphen/>
      </w:r>
      <w:r>
        <w:t xml:space="preserve">17 financial year, </w:t>
      </w:r>
      <w:r w:rsidR="00D44B1E">
        <w:t xml:space="preserve">all </w:t>
      </w:r>
      <w:r>
        <w:t>V</w:t>
      </w:r>
      <w:r w:rsidR="00D44B1E">
        <w:t xml:space="preserve">ictorian </w:t>
      </w:r>
      <w:r w:rsidR="008A0551">
        <w:t>p</w:t>
      </w:r>
      <w:r w:rsidR="00D44B1E">
        <w:t xml:space="preserve">ublic </w:t>
      </w:r>
      <w:r w:rsidR="008A0551">
        <w:t>s</w:t>
      </w:r>
      <w:r w:rsidR="00D44B1E">
        <w:t>ector (VPS)</w:t>
      </w:r>
      <w:r>
        <w:t xml:space="preserve"> entities are reminded </w:t>
      </w:r>
      <w:r w:rsidR="00D44B1E">
        <w:t xml:space="preserve">to </w:t>
      </w:r>
      <w:r w:rsidR="009C5CF6">
        <w:t xml:space="preserve">assess and </w:t>
      </w:r>
      <w:r w:rsidR="00D44B1E">
        <w:t>ensure their non</w:t>
      </w:r>
      <w:r w:rsidR="005C50EC">
        <w:noBreakHyphen/>
      </w:r>
      <w:r w:rsidR="00D44B1E">
        <w:t>financial assets are reflected at fair value annually</w:t>
      </w:r>
      <w:r w:rsidR="00FD0D96">
        <w:t>,</w:t>
      </w:r>
      <w:r w:rsidR="00D44B1E">
        <w:t xml:space="preserve"> and </w:t>
      </w:r>
      <w:r>
        <w:t xml:space="preserve">consider </w:t>
      </w:r>
      <w:r w:rsidR="00D44B1E">
        <w:t xml:space="preserve">whether there is a </w:t>
      </w:r>
      <w:r>
        <w:t>need to revalue their non</w:t>
      </w:r>
      <w:r w:rsidR="005C50EC">
        <w:noBreakHyphen/>
      </w:r>
      <w:r>
        <w:t xml:space="preserve">financial assets, taking all relevant factors into consideration, including the recently released </w:t>
      </w:r>
      <w:proofErr w:type="spellStart"/>
      <w:r w:rsidR="001012CC">
        <w:t>Valuer</w:t>
      </w:r>
      <w:proofErr w:type="spellEnd"/>
      <w:r w:rsidR="005C50EC">
        <w:noBreakHyphen/>
      </w:r>
      <w:r w:rsidR="001012CC">
        <w:t>General Victoria (</w:t>
      </w:r>
      <w:r>
        <w:t>VGV</w:t>
      </w:r>
      <w:r w:rsidR="001012CC">
        <w:t>)</w:t>
      </w:r>
      <w:r>
        <w:t xml:space="preserve"> indices.</w:t>
      </w:r>
      <w:r w:rsidR="001A6878">
        <w:t xml:space="preserve"> </w:t>
      </w:r>
    </w:p>
    <w:p w:rsidR="00CB01C2" w:rsidRDefault="001A6878" w:rsidP="003B0473">
      <w:r>
        <w:t xml:space="preserve">The wage inflation rate for 31 December 2016 is expected to decrease </w:t>
      </w:r>
      <w:r w:rsidR="009C5CF6">
        <w:t xml:space="preserve">slightly </w:t>
      </w:r>
      <w:r>
        <w:t xml:space="preserve">due to the decline in the Victorian wage price index forecast, and </w:t>
      </w:r>
      <w:r w:rsidR="00D44B1E">
        <w:t xml:space="preserve">this </w:t>
      </w:r>
      <w:r w:rsidR="009C5CF6">
        <w:t xml:space="preserve">is expected to </w:t>
      </w:r>
      <w:r w:rsidR="00DF7A5F">
        <w:t xml:space="preserve">have a </w:t>
      </w:r>
      <w:r w:rsidR="009C5CF6">
        <w:t xml:space="preserve">small </w:t>
      </w:r>
      <w:r w:rsidR="00DF7A5F">
        <w:t xml:space="preserve">downwards </w:t>
      </w:r>
      <w:r>
        <w:t>impact</w:t>
      </w:r>
      <w:r w:rsidR="00DF7A5F">
        <w:t xml:space="preserve"> on</w:t>
      </w:r>
      <w:r>
        <w:t xml:space="preserve"> the </w:t>
      </w:r>
      <w:r w:rsidR="00D44B1E">
        <w:t xml:space="preserve">provision </w:t>
      </w:r>
      <w:r w:rsidR="007B12D3">
        <w:t>for</w:t>
      </w:r>
      <w:r>
        <w:t xml:space="preserve"> employee benefits.</w:t>
      </w:r>
    </w:p>
    <w:p w:rsidR="000E7F4B" w:rsidRDefault="00BD24E7" w:rsidP="003B0473">
      <w:r>
        <w:t xml:space="preserve">Although there </w:t>
      </w:r>
      <w:r w:rsidR="00D44B1E">
        <w:t>are</w:t>
      </w:r>
      <w:r>
        <w:t xml:space="preserve"> no </w:t>
      </w:r>
      <w:r w:rsidR="00D44B1E">
        <w:t xml:space="preserve">other </w:t>
      </w:r>
      <w:r>
        <w:t xml:space="preserve">new or revised Australian Accounting Standards </w:t>
      </w:r>
      <w:r w:rsidR="000136CE">
        <w:t xml:space="preserve">(AAS) </w:t>
      </w:r>
      <w:r w:rsidR="00D44B1E">
        <w:t xml:space="preserve">that are </w:t>
      </w:r>
      <w:r>
        <w:t xml:space="preserve">applicable for </w:t>
      </w:r>
      <w:r w:rsidR="00F66391">
        <w:t xml:space="preserve">the </w:t>
      </w:r>
      <w:r>
        <w:t>2016</w:t>
      </w:r>
      <w:r w:rsidR="005C50EC">
        <w:noBreakHyphen/>
      </w:r>
      <w:r>
        <w:t>17 financial year</w:t>
      </w:r>
      <w:r w:rsidR="00D44B1E">
        <w:t>, other than</w:t>
      </w:r>
      <w:r>
        <w:t xml:space="preserve"> </w:t>
      </w:r>
      <w:r w:rsidR="00750D7B">
        <w:t>the revision to</w:t>
      </w:r>
      <w:r>
        <w:t xml:space="preserve"> AASB 124, there are a few new standards </w:t>
      </w:r>
      <w:r w:rsidR="00C24A9C">
        <w:t xml:space="preserve">on the horizon </w:t>
      </w:r>
      <w:r w:rsidR="0096613D">
        <w:t xml:space="preserve">which may have </w:t>
      </w:r>
      <w:r w:rsidR="00D44B1E">
        <w:t xml:space="preserve">a </w:t>
      </w:r>
      <w:r w:rsidR="009C5CF6">
        <w:t xml:space="preserve">more </w:t>
      </w:r>
      <w:r w:rsidR="0096613D">
        <w:t>sig</w:t>
      </w:r>
      <w:r w:rsidR="000E7F4B">
        <w:t xml:space="preserve">nificant impact on entities across the public sector </w:t>
      </w:r>
      <w:r w:rsidR="00C24A9C">
        <w:t xml:space="preserve">in the near future </w:t>
      </w:r>
      <w:r w:rsidR="0096613D">
        <w:t xml:space="preserve">and </w:t>
      </w:r>
      <w:r w:rsidR="00D44B1E">
        <w:t xml:space="preserve">may </w:t>
      </w:r>
      <w:r w:rsidR="0096613D">
        <w:t xml:space="preserve">require changes to </w:t>
      </w:r>
      <w:r w:rsidR="00D44B1E">
        <w:t xml:space="preserve">systems for </w:t>
      </w:r>
      <w:r w:rsidR="0096613D">
        <w:t>data collection</w:t>
      </w:r>
      <w:r w:rsidR="00D44B1E">
        <w:t xml:space="preserve"> purposes</w:t>
      </w:r>
      <w:r w:rsidR="0096613D">
        <w:t xml:space="preserve">. They include AASB 9 </w:t>
      </w:r>
      <w:r w:rsidR="0096613D" w:rsidRPr="0096613D">
        <w:rPr>
          <w:i/>
        </w:rPr>
        <w:t>Financial Instruments</w:t>
      </w:r>
      <w:r w:rsidR="0096613D">
        <w:t>, AASB 15</w:t>
      </w:r>
      <w:r w:rsidR="00D44B1E">
        <w:t> </w:t>
      </w:r>
      <w:r w:rsidR="0096613D" w:rsidRPr="0096613D">
        <w:rPr>
          <w:i/>
        </w:rPr>
        <w:t>Revenue from Contracts with Customers</w:t>
      </w:r>
      <w:r w:rsidR="0096613D">
        <w:t xml:space="preserve">, AASB 10XX </w:t>
      </w:r>
      <w:r w:rsidR="0096613D" w:rsidRPr="0096613D">
        <w:rPr>
          <w:i/>
        </w:rPr>
        <w:t>Income for Not</w:t>
      </w:r>
      <w:r w:rsidR="005C50EC">
        <w:rPr>
          <w:i/>
        </w:rPr>
        <w:noBreakHyphen/>
      </w:r>
      <w:r w:rsidR="0096613D" w:rsidRPr="0096613D">
        <w:rPr>
          <w:i/>
        </w:rPr>
        <w:t>for</w:t>
      </w:r>
      <w:r w:rsidR="005C50EC">
        <w:rPr>
          <w:i/>
        </w:rPr>
        <w:noBreakHyphen/>
      </w:r>
      <w:r w:rsidR="0096613D" w:rsidRPr="0096613D">
        <w:rPr>
          <w:i/>
        </w:rPr>
        <w:t>Profit Entities</w:t>
      </w:r>
      <w:r w:rsidR="0096613D">
        <w:t xml:space="preserve">, </w:t>
      </w:r>
      <w:r w:rsidR="005E0B8B">
        <w:br/>
      </w:r>
      <w:r w:rsidR="0096613D">
        <w:t xml:space="preserve">AASB 16 </w:t>
      </w:r>
      <w:r w:rsidR="0096613D" w:rsidRPr="0096613D">
        <w:rPr>
          <w:i/>
        </w:rPr>
        <w:t>Leases</w:t>
      </w:r>
      <w:r w:rsidR="0096613D">
        <w:t xml:space="preserve"> and ED 261 </w:t>
      </w:r>
      <w:r w:rsidR="0096613D" w:rsidRPr="0096613D">
        <w:rPr>
          <w:i/>
        </w:rPr>
        <w:t>Service Concession Arrangements</w:t>
      </w:r>
      <w:r w:rsidR="0096613D">
        <w:t>.</w:t>
      </w:r>
      <w:r w:rsidR="00CB38E6">
        <w:t xml:space="preserve"> </w:t>
      </w:r>
      <w:r w:rsidR="00D44B1E" w:rsidRPr="004C062A">
        <w:t>While t</w:t>
      </w:r>
      <w:r w:rsidR="000E7F4B" w:rsidRPr="004C062A">
        <w:t>he core principles and potential impact</w:t>
      </w:r>
      <w:r w:rsidR="00DF7A5F" w:rsidRPr="004C062A">
        <w:t>s</w:t>
      </w:r>
      <w:r w:rsidR="000E7F4B" w:rsidRPr="004C062A">
        <w:t xml:space="preserve"> have been </w:t>
      </w:r>
      <w:r w:rsidR="005E0B8B">
        <w:t>e</w:t>
      </w:r>
      <w:r w:rsidR="00A74E46" w:rsidRPr="004C062A">
        <w:t xml:space="preserve">laborated </w:t>
      </w:r>
      <w:r w:rsidR="000E7F4B" w:rsidRPr="004C062A">
        <w:t>in</w:t>
      </w:r>
      <w:r w:rsidR="006A7865" w:rsidRPr="004C062A">
        <w:t xml:space="preserve"> </w:t>
      </w:r>
      <w:r w:rsidR="000E7F4B" w:rsidRPr="004C062A">
        <w:t xml:space="preserve">previous newsletters, </w:t>
      </w:r>
      <w:r w:rsidR="009C5CF6" w:rsidRPr="004C062A">
        <w:t xml:space="preserve">this newsletter provides information on </w:t>
      </w:r>
      <w:r w:rsidR="000E7F4B" w:rsidRPr="004C062A">
        <w:t xml:space="preserve">the </w:t>
      </w:r>
      <w:r w:rsidR="00D44B1E" w:rsidRPr="004C062A">
        <w:t xml:space="preserve">most </w:t>
      </w:r>
      <w:r w:rsidR="000E7F4B" w:rsidRPr="004C062A">
        <w:t xml:space="preserve">recent updates on AASB 15 and </w:t>
      </w:r>
      <w:r w:rsidR="00F91E41" w:rsidRPr="004C062A">
        <w:br/>
      </w:r>
      <w:r w:rsidR="000E7F4B" w:rsidRPr="004C062A">
        <w:t xml:space="preserve">AASB 10XX </w:t>
      </w:r>
      <w:r w:rsidR="00A74E46" w:rsidRPr="004C062A">
        <w:t>and a recap of the rest of the new standards</w:t>
      </w:r>
      <w:r w:rsidR="000E7F4B" w:rsidRPr="004C062A">
        <w:t>.</w:t>
      </w:r>
    </w:p>
    <w:p w:rsidR="000E7F4B" w:rsidRDefault="000E7F4B" w:rsidP="00BD24E7"/>
    <w:p w:rsidR="000E7F4B" w:rsidRPr="00BD24E7" w:rsidRDefault="000E7F4B" w:rsidP="00BD24E7">
      <w:pPr>
        <w:sectPr w:rsidR="000E7F4B" w:rsidRPr="00BD24E7" w:rsidSect="000C21C3">
          <w:type w:val="continuous"/>
          <w:pgSz w:w="11906" w:h="16838" w:code="9"/>
          <w:pgMar w:top="2160" w:right="1440" w:bottom="1350" w:left="1440" w:header="706" w:footer="461" w:gutter="0"/>
          <w:pgNumType w:start="1"/>
          <w:cols w:num="2" w:space="706" w:equalWidth="0">
            <w:col w:w="2973" w:space="533"/>
            <w:col w:w="5520"/>
          </w:cols>
          <w:docGrid w:linePitch="360"/>
        </w:sectPr>
      </w:pPr>
    </w:p>
    <w:p w:rsidR="00CB23CC" w:rsidRDefault="006F0F13" w:rsidP="00A91B6F">
      <w:pPr>
        <w:pStyle w:val="Heading1"/>
      </w:pPr>
      <w:bookmarkStart w:id="7" w:name="_Toc408567317"/>
      <w:bookmarkStart w:id="8" w:name="_Toc424822613"/>
      <w:bookmarkStart w:id="9" w:name="_Toc452724749"/>
      <w:bookmarkStart w:id="10" w:name="_Toc469929433"/>
      <w:r>
        <w:lastRenderedPageBreak/>
        <w:t>2016</w:t>
      </w:r>
      <w:r w:rsidR="005C50EC">
        <w:noBreakHyphen/>
      </w:r>
      <w:r>
        <w:t>17</w:t>
      </w:r>
      <w:r w:rsidR="00CB23CC" w:rsidRPr="008D6677">
        <w:t xml:space="preserve"> reporting year</w:t>
      </w:r>
      <w:bookmarkEnd w:id="7"/>
      <w:bookmarkEnd w:id="8"/>
      <w:bookmarkEnd w:id="9"/>
      <w:bookmarkEnd w:id="10"/>
    </w:p>
    <w:p w:rsidR="00CB23CC" w:rsidRPr="00CF46D0" w:rsidRDefault="00874F40" w:rsidP="00CF46D0">
      <w:pPr>
        <w:pStyle w:val="Heading2"/>
      </w:pPr>
      <w:r w:rsidRPr="00CF46D0">
        <w:t xml:space="preserve">Major </w:t>
      </w:r>
      <w:r w:rsidR="00CB23CC" w:rsidRPr="00CF46D0">
        <w:t>updates</w:t>
      </w:r>
      <w:r w:rsidR="003B0473" w:rsidRPr="00CF46D0">
        <w:t>/</w:t>
      </w:r>
      <w:r w:rsidR="001012CC" w:rsidRPr="00CF46D0">
        <w:t>reminders</w:t>
      </w:r>
    </w:p>
    <w:p w:rsidR="00215FBE" w:rsidRPr="00CF46D0" w:rsidRDefault="00215FBE" w:rsidP="007D03CC">
      <w:pPr>
        <w:pStyle w:val="Heading3"/>
      </w:pPr>
      <w:r w:rsidRPr="00CF46D0">
        <w:t>2016</w:t>
      </w:r>
      <w:r w:rsidR="005C50EC" w:rsidRPr="00CF46D0">
        <w:noBreakHyphen/>
      </w:r>
      <w:r w:rsidRPr="00CF46D0">
        <w:t>17 Model Report for Victorian Government Departments</w:t>
      </w:r>
    </w:p>
    <w:p w:rsidR="00714A38" w:rsidRDefault="00714A38" w:rsidP="00215FBE">
      <w:r>
        <w:t xml:space="preserve">Following the successful streamlining of the </w:t>
      </w:r>
      <w:r w:rsidRPr="0014305C">
        <w:rPr>
          <w:i/>
        </w:rPr>
        <w:t>2015</w:t>
      </w:r>
      <w:r w:rsidR="005C50EC">
        <w:rPr>
          <w:i/>
        </w:rPr>
        <w:noBreakHyphen/>
      </w:r>
      <w:r w:rsidRPr="0014305C">
        <w:rPr>
          <w:i/>
        </w:rPr>
        <w:t xml:space="preserve">16 </w:t>
      </w:r>
      <w:r w:rsidR="008A0551">
        <w:rPr>
          <w:i/>
        </w:rPr>
        <w:t xml:space="preserve">Financial Report </w:t>
      </w:r>
      <w:r w:rsidR="008A0551" w:rsidRPr="00944015">
        <w:t xml:space="preserve">for the </w:t>
      </w:r>
      <w:r w:rsidRPr="00944015">
        <w:t>State of Victoria</w:t>
      </w:r>
      <w:r>
        <w:rPr>
          <w:i/>
        </w:rPr>
        <w:t>,</w:t>
      </w:r>
      <w:r w:rsidRPr="0014305C">
        <w:t xml:space="preserve"> </w:t>
      </w:r>
      <w:r w:rsidR="008A0551">
        <w:t>the Department of Treasury and Finance (</w:t>
      </w:r>
      <w:r>
        <w:t>DTF</w:t>
      </w:r>
      <w:r w:rsidR="008A0551">
        <w:t>)</w:t>
      </w:r>
      <w:r>
        <w:t xml:space="preserve"> has commenced the project of </w:t>
      </w:r>
      <w:r w:rsidRPr="0014305C">
        <w:t>streamlining</w:t>
      </w:r>
      <w:r>
        <w:t xml:space="preserve"> the</w:t>
      </w:r>
      <w:r w:rsidRPr="0014305C">
        <w:t xml:space="preserve"> </w:t>
      </w:r>
      <w:r w:rsidR="000E1475">
        <w:t>2016</w:t>
      </w:r>
      <w:r w:rsidR="005C50EC">
        <w:noBreakHyphen/>
      </w:r>
      <w:r w:rsidR="000E1475">
        <w:t xml:space="preserve">17 </w:t>
      </w:r>
      <w:r w:rsidRPr="00244F1E">
        <w:rPr>
          <w:i/>
        </w:rPr>
        <w:t>Model Report for Victorian Government Departments</w:t>
      </w:r>
      <w:r w:rsidRPr="002E12F7">
        <w:t xml:space="preserve"> (Model Report)</w:t>
      </w:r>
      <w:r>
        <w:t>.</w:t>
      </w:r>
    </w:p>
    <w:p w:rsidR="00215FBE" w:rsidRPr="002E12F7" w:rsidRDefault="008A0551" w:rsidP="003B0473">
      <w:r>
        <w:t xml:space="preserve">Compliance with the </w:t>
      </w:r>
      <w:r w:rsidR="0014305C" w:rsidRPr="002E12F7">
        <w:t xml:space="preserve">Model Report </w:t>
      </w:r>
      <w:r w:rsidR="00871976">
        <w:t xml:space="preserve">is </w:t>
      </w:r>
      <w:r w:rsidR="00215FBE" w:rsidRPr="002E12F7">
        <w:t>mandatory</w:t>
      </w:r>
      <w:r w:rsidR="00871976">
        <w:t xml:space="preserve"> </w:t>
      </w:r>
      <w:r w:rsidR="00071360">
        <w:t xml:space="preserve">for departments </w:t>
      </w:r>
      <w:r w:rsidR="00871976">
        <w:t xml:space="preserve">and </w:t>
      </w:r>
      <w:r w:rsidR="00871976" w:rsidRPr="002E12F7">
        <w:t>provides the</w:t>
      </w:r>
      <w:r w:rsidR="00215FBE" w:rsidRPr="002E12F7">
        <w:t xml:space="preserve"> </w:t>
      </w:r>
      <w:r w:rsidR="00871976">
        <w:t>framework</w:t>
      </w:r>
      <w:r w:rsidR="00215FBE" w:rsidRPr="002E12F7">
        <w:t xml:space="preserve"> for the preparation of financial reports.</w:t>
      </w:r>
      <w:r w:rsidR="00071360">
        <w:t xml:space="preserve"> Other public sector agencies are encouraged to follow it for consistency in reporting.</w:t>
      </w:r>
      <w:r w:rsidR="00242252">
        <w:t xml:space="preserve"> The </w:t>
      </w:r>
      <w:r w:rsidR="00786B9A">
        <w:t>2016</w:t>
      </w:r>
      <w:r w:rsidR="005C50EC">
        <w:noBreakHyphen/>
      </w:r>
      <w:r w:rsidR="00786B9A">
        <w:t>17 Model Report</w:t>
      </w:r>
      <w:r w:rsidR="00242252">
        <w:t xml:space="preserve"> is expected to be released in April/May 2017</w:t>
      </w:r>
      <w:r w:rsidR="00871976">
        <w:t>.</w:t>
      </w:r>
      <w:r w:rsidR="00242252">
        <w:t xml:space="preserve"> </w:t>
      </w:r>
      <w:r w:rsidR="00F04686">
        <w:t>The M</w:t>
      </w:r>
      <w:r w:rsidR="00871976">
        <w:t>odel</w:t>
      </w:r>
      <w:r w:rsidR="00F04686">
        <w:t xml:space="preserve"> Report</w:t>
      </w:r>
      <w:r w:rsidR="00871976">
        <w:t xml:space="preserve"> will include</w:t>
      </w:r>
      <w:r w:rsidR="00242252">
        <w:t xml:space="preserve"> a set of streamlined financial statements</w:t>
      </w:r>
      <w:r w:rsidR="00071360">
        <w:t>, revised remuneration disclosure for executives</w:t>
      </w:r>
      <w:r w:rsidR="00242252">
        <w:t xml:space="preserve"> and additional disclosure on related parties to comply with </w:t>
      </w:r>
      <w:r w:rsidR="00102CEF">
        <w:t xml:space="preserve">revised </w:t>
      </w:r>
      <w:r w:rsidR="00242252">
        <w:t>AASB 124 requirements.</w:t>
      </w:r>
    </w:p>
    <w:p w:rsidR="0086695D" w:rsidRDefault="0086695D" w:rsidP="003B0473">
      <w:r>
        <w:t>The objectives of streamlining are</w:t>
      </w:r>
      <w:r w:rsidR="007176CF">
        <w:t xml:space="preserve"> to</w:t>
      </w:r>
      <w:r>
        <w:t xml:space="preserve">: </w:t>
      </w:r>
    </w:p>
    <w:p w:rsidR="0086695D" w:rsidRDefault="0086695D" w:rsidP="00C53BA6">
      <w:pPr>
        <w:pStyle w:val="Bullet1"/>
      </w:pPr>
      <w:r>
        <w:t xml:space="preserve">present the existing financial information in a structure </w:t>
      </w:r>
      <w:r w:rsidR="00871976">
        <w:t>to</w:t>
      </w:r>
      <w:r>
        <w:t xml:space="preserve"> better communicate key messages; </w:t>
      </w:r>
    </w:p>
    <w:p w:rsidR="0086695D" w:rsidRDefault="0086695D" w:rsidP="00C53BA6">
      <w:pPr>
        <w:pStyle w:val="Bullet1"/>
      </w:pPr>
      <w:r>
        <w:t xml:space="preserve">incorporate accounting policies and key judgements into the relevant notes to the financial statements; </w:t>
      </w:r>
    </w:p>
    <w:p w:rsidR="0086695D" w:rsidRDefault="0086695D" w:rsidP="00C53BA6">
      <w:pPr>
        <w:pStyle w:val="Bullet1"/>
      </w:pPr>
      <w:r>
        <w:t>rewrite, reorder and relabel the notes to the financial statements to provide greater insight into operations and outcomes; and</w:t>
      </w:r>
    </w:p>
    <w:p w:rsidR="0086695D" w:rsidRDefault="0086695D" w:rsidP="00C53BA6">
      <w:pPr>
        <w:pStyle w:val="Bullet1"/>
      </w:pPr>
      <w:r>
        <w:t>remove duplication and irrelevant disclosures</w:t>
      </w:r>
      <w:r w:rsidR="00871976">
        <w:t>.</w:t>
      </w:r>
    </w:p>
    <w:p w:rsidR="0086695D" w:rsidRDefault="00750D7B" w:rsidP="003B0473">
      <w:r>
        <w:t xml:space="preserve">While presented in a streamlined format, the financial statements will continue to </w:t>
      </w:r>
      <w:r w:rsidR="005D186E">
        <w:t>fully comply with the relevant legislative requirements</w:t>
      </w:r>
      <w:r w:rsidR="00071360">
        <w:t>, taking into account</w:t>
      </w:r>
      <w:r w:rsidR="005D186E">
        <w:t xml:space="preserve"> stakeholder expectations such as those of </w:t>
      </w:r>
      <w:r w:rsidR="005D186E" w:rsidRPr="0014305C">
        <w:t>the Victorian Auditor</w:t>
      </w:r>
      <w:r w:rsidR="005C50EC">
        <w:noBreakHyphen/>
      </w:r>
      <w:r w:rsidR="005D186E" w:rsidRPr="0014305C">
        <w:t xml:space="preserve">General’s Office </w:t>
      </w:r>
      <w:r w:rsidR="005D186E">
        <w:t xml:space="preserve">(VAGO). </w:t>
      </w:r>
      <w:r w:rsidR="00FC1D24">
        <w:t>There will also be additional guidance</w:t>
      </w:r>
      <w:r w:rsidR="005D186E">
        <w:t xml:space="preserve"> included</w:t>
      </w:r>
      <w:r w:rsidR="00FC1D24">
        <w:t xml:space="preserve"> for departments and agencies </w:t>
      </w:r>
      <w:r w:rsidR="00B061D9">
        <w:t xml:space="preserve">about </w:t>
      </w:r>
      <w:r w:rsidR="00FC1D24">
        <w:t>how to streamline the</w:t>
      </w:r>
      <w:r w:rsidR="005D186E">
        <w:t>ir</w:t>
      </w:r>
      <w:r w:rsidR="00FC1D24">
        <w:t xml:space="preserve"> </w:t>
      </w:r>
      <w:r w:rsidR="00AD7CE5">
        <w:t xml:space="preserve">respective </w:t>
      </w:r>
      <w:r w:rsidR="00FC1D24">
        <w:t xml:space="preserve">financial reports. </w:t>
      </w:r>
    </w:p>
    <w:p w:rsidR="00B52A8C" w:rsidRDefault="0086695D" w:rsidP="0086695D">
      <w:r w:rsidRPr="00E44898">
        <w:t>Department</w:t>
      </w:r>
      <w:r w:rsidR="00242252">
        <w:t>al</w:t>
      </w:r>
      <w:r w:rsidRPr="00E44898">
        <w:t xml:space="preserve"> representatives </w:t>
      </w:r>
      <w:r w:rsidRPr="00242252">
        <w:t>have been consulted</w:t>
      </w:r>
      <w:r w:rsidRPr="00E44898">
        <w:t xml:space="preserve"> on the proposed structure of the streamlined financial statements to facilitate early engagement, planning and transition to </w:t>
      </w:r>
      <w:r w:rsidR="00D206CE">
        <w:t>the</w:t>
      </w:r>
      <w:r w:rsidRPr="00E44898">
        <w:t xml:space="preserve"> streamlined format.</w:t>
      </w:r>
      <w:r w:rsidR="00242252">
        <w:t xml:space="preserve"> </w:t>
      </w:r>
      <w:r w:rsidR="00DF7A5F">
        <w:t xml:space="preserve">Agencies are encouraged to </w:t>
      </w:r>
      <w:r w:rsidR="00CC5F1C">
        <w:t>liaise with</w:t>
      </w:r>
      <w:r w:rsidR="00DF7A5F">
        <w:t xml:space="preserve"> their portfolio department’s finance contact for guidance. </w:t>
      </w:r>
    </w:p>
    <w:p w:rsidR="00A47208" w:rsidRDefault="00B52A8C" w:rsidP="0086695D">
      <w:r>
        <w:t xml:space="preserve">In the meantime, </w:t>
      </w:r>
      <w:r w:rsidR="00A47208">
        <w:t>d</w:t>
      </w:r>
      <w:r w:rsidR="00242252">
        <w:t xml:space="preserve">epartments and agencies </w:t>
      </w:r>
      <w:r w:rsidR="0036477A">
        <w:t>are encouraged to</w:t>
      </w:r>
      <w:r w:rsidR="00242252">
        <w:t xml:space="preserve"> start preparing for changes to their existing financial statements</w:t>
      </w:r>
      <w:r w:rsidR="00A47208">
        <w:t xml:space="preserve"> </w:t>
      </w:r>
      <w:r w:rsidR="0036477A">
        <w:t>by</w:t>
      </w:r>
      <w:r w:rsidR="00A47208">
        <w:t>:</w:t>
      </w:r>
    </w:p>
    <w:p w:rsidR="00071360" w:rsidRDefault="00071360" w:rsidP="00C53BA6">
      <w:pPr>
        <w:pStyle w:val="Bullet1"/>
      </w:pPr>
      <w:r>
        <w:t xml:space="preserve">integrating the relevant accounting policies in Note 1 </w:t>
      </w:r>
      <w:r>
        <w:rPr>
          <w:i/>
        </w:rPr>
        <w:t xml:space="preserve">Summary of Significant Accounting Policies </w:t>
      </w:r>
      <w:r>
        <w:t>with the corresponding disclosure notes to the financial statements</w:t>
      </w:r>
      <w:r w:rsidR="001F25D1">
        <w:t xml:space="preserve">, and removing </w:t>
      </w:r>
      <w:r>
        <w:t>duplicate accounting policies; and</w:t>
      </w:r>
    </w:p>
    <w:p w:rsidR="00A47208" w:rsidRDefault="0058775C" w:rsidP="00C53BA6">
      <w:pPr>
        <w:pStyle w:val="Bullet1"/>
      </w:pPr>
      <w:r>
        <w:t>r</w:t>
      </w:r>
      <w:r w:rsidR="00A47208">
        <w:t>eordering the disclosure notes within the</w:t>
      </w:r>
      <w:r w:rsidR="00C46455">
        <w:t>ir</w:t>
      </w:r>
      <w:r w:rsidR="00A47208">
        <w:t xml:space="preserve"> existing financial statements</w:t>
      </w:r>
      <w:r>
        <w:t xml:space="preserve"> </w:t>
      </w:r>
      <w:r w:rsidR="00F92110">
        <w:t>to</w:t>
      </w:r>
      <w:r w:rsidR="00A47208">
        <w:t xml:space="preserve"> better communicate the entity</w:t>
      </w:r>
      <w:r w:rsidR="009A5458">
        <w:t>’s operations and outcomes</w:t>
      </w:r>
      <w:r w:rsidR="00071360">
        <w:t>.</w:t>
      </w:r>
    </w:p>
    <w:p w:rsidR="0086695D" w:rsidRPr="0058775C" w:rsidRDefault="0058775C" w:rsidP="003B0473">
      <w:r>
        <w:t xml:space="preserve">The </w:t>
      </w:r>
      <w:r w:rsidRPr="0014305C">
        <w:rPr>
          <w:i/>
        </w:rPr>
        <w:t>2015</w:t>
      </w:r>
      <w:r w:rsidR="005C50EC">
        <w:rPr>
          <w:i/>
        </w:rPr>
        <w:noBreakHyphen/>
      </w:r>
      <w:r w:rsidRPr="0014305C">
        <w:rPr>
          <w:i/>
        </w:rPr>
        <w:t>16 State of Victoria’s Annual Financial Report</w:t>
      </w:r>
      <w:r>
        <w:rPr>
          <w:i/>
        </w:rPr>
        <w:t xml:space="preserve">, </w:t>
      </w:r>
      <w:r w:rsidRPr="00D20F7C">
        <w:t xml:space="preserve">which is available on DTF’s website, can be used </w:t>
      </w:r>
      <w:r w:rsidRPr="00AB21EC">
        <w:t xml:space="preserve">by departments and agencies </w:t>
      </w:r>
      <w:r w:rsidRPr="00D20F7C">
        <w:t xml:space="preserve">as an illustrative example </w:t>
      </w:r>
      <w:r>
        <w:t>of the streamlined financial statements before the model streamli</w:t>
      </w:r>
      <w:r w:rsidR="003336C0">
        <w:t>ned financial statements become</w:t>
      </w:r>
      <w:r>
        <w:t xml:space="preserve"> available.</w:t>
      </w:r>
    </w:p>
    <w:p w:rsidR="0086695D" w:rsidRDefault="0086695D" w:rsidP="003B0473">
      <w:r w:rsidRPr="00E44898">
        <w:t xml:space="preserve">Other updates to the Model Report will include </w:t>
      </w:r>
      <w:r w:rsidR="00017F92">
        <w:t xml:space="preserve">revisions </w:t>
      </w:r>
      <w:r w:rsidR="00E04E2E">
        <w:t>for</w:t>
      </w:r>
      <w:r w:rsidRPr="00E44898">
        <w:t xml:space="preserve"> new and revised accounting standards and </w:t>
      </w:r>
      <w:r w:rsidR="001012CC">
        <w:t>financial reporting directions (</w:t>
      </w:r>
      <w:r w:rsidRPr="00E44898">
        <w:t>FRDs</w:t>
      </w:r>
      <w:r w:rsidR="001012CC">
        <w:t>)</w:t>
      </w:r>
      <w:r w:rsidR="00017F92">
        <w:t xml:space="preserve">, </w:t>
      </w:r>
      <w:r w:rsidR="00E04E2E">
        <w:t>and also</w:t>
      </w:r>
      <w:r w:rsidR="00017F92">
        <w:t xml:space="preserve"> </w:t>
      </w:r>
      <w:r w:rsidR="00750D7B">
        <w:t>the standard</w:t>
      </w:r>
      <w:r w:rsidR="00017F92">
        <w:t xml:space="preserve"> </w:t>
      </w:r>
      <w:r w:rsidR="00750D7B">
        <w:t>s</w:t>
      </w:r>
      <w:r w:rsidR="00E04E2E">
        <w:t>elf</w:t>
      </w:r>
      <w:r w:rsidR="005C50EC">
        <w:noBreakHyphen/>
      </w:r>
      <w:r w:rsidR="00E04E2E">
        <w:t xml:space="preserve">declaration </w:t>
      </w:r>
      <w:r w:rsidR="00C5083F">
        <w:t>c</w:t>
      </w:r>
      <w:r w:rsidR="00D206CE">
        <w:t>ertificate</w:t>
      </w:r>
      <w:r w:rsidR="00E04E2E">
        <w:t xml:space="preserve">, </w:t>
      </w:r>
      <w:r w:rsidR="00C75B40">
        <w:t xml:space="preserve">management </w:t>
      </w:r>
      <w:r w:rsidR="00017F92">
        <w:t>checklist</w:t>
      </w:r>
      <w:r w:rsidR="00E04E2E">
        <w:t xml:space="preserve"> and associated guidance</w:t>
      </w:r>
      <w:r w:rsidR="001F13BA">
        <w:t xml:space="preserve"> for the implementation of AASB124</w:t>
      </w:r>
      <w:r w:rsidR="00017F92">
        <w:t>. C</w:t>
      </w:r>
      <w:r w:rsidRPr="00E44898">
        <w:t xml:space="preserve">onsistent with previous practice, DTF’s responses to the recommendations from </w:t>
      </w:r>
      <w:r w:rsidR="002C4783">
        <w:t>Public Accounts and Estimates Committee (</w:t>
      </w:r>
      <w:r w:rsidRPr="00E44898">
        <w:t>PAEC</w:t>
      </w:r>
      <w:r w:rsidR="002C4783">
        <w:t>)</w:t>
      </w:r>
      <w:r w:rsidRPr="00E44898">
        <w:t xml:space="preserve"> and VAGO will be </w:t>
      </w:r>
      <w:r w:rsidR="00D206CE">
        <w:t>incorporated</w:t>
      </w:r>
      <w:r w:rsidRPr="00E44898">
        <w:t xml:space="preserve"> where appropriate</w:t>
      </w:r>
      <w:r w:rsidR="003B0473">
        <w:t xml:space="preserve">. </w:t>
      </w:r>
    </w:p>
    <w:p w:rsidR="0086695D" w:rsidRDefault="0086695D" w:rsidP="003B0473">
      <w:r w:rsidRPr="00E44898">
        <w:t>More detail</w:t>
      </w:r>
      <w:r w:rsidR="00750D7B">
        <w:t>s</w:t>
      </w:r>
      <w:r w:rsidRPr="00E44898">
        <w:t xml:space="preserve"> regarding updates and changes for the </w:t>
      </w:r>
      <w:r w:rsidR="007C50C2">
        <w:t xml:space="preserve">streamlined </w:t>
      </w:r>
      <w:r w:rsidRPr="00944015">
        <w:rPr>
          <w:i/>
        </w:rPr>
        <w:t>2016</w:t>
      </w:r>
      <w:r w:rsidR="005C50EC">
        <w:rPr>
          <w:i/>
        </w:rPr>
        <w:noBreakHyphen/>
      </w:r>
      <w:r w:rsidRPr="00944015">
        <w:rPr>
          <w:i/>
        </w:rPr>
        <w:t>17 Model Report</w:t>
      </w:r>
      <w:r w:rsidRPr="00BC003D">
        <w:t xml:space="preserve"> will</w:t>
      </w:r>
      <w:r w:rsidRPr="00E44898">
        <w:t xml:space="preserve"> be communicated </w:t>
      </w:r>
      <w:r w:rsidR="007C50C2">
        <w:t xml:space="preserve">in </w:t>
      </w:r>
      <w:r w:rsidR="00C76071">
        <w:t xml:space="preserve">the coming </w:t>
      </w:r>
      <w:r w:rsidR="00D559AA">
        <w:t>week</w:t>
      </w:r>
      <w:r w:rsidR="00C76071">
        <w:t>s</w:t>
      </w:r>
      <w:r w:rsidRPr="00E44898">
        <w:t>.</w:t>
      </w:r>
    </w:p>
    <w:p w:rsidR="00A23EBF" w:rsidRDefault="00A23EBF">
      <w:pPr>
        <w:spacing w:before="0" w:after="200"/>
        <w:sectPr w:rsidR="00A23EBF" w:rsidSect="00A91B6F">
          <w:footerReference w:type="default" r:id="rId15"/>
          <w:pgSz w:w="11906" w:h="16838" w:code="9"/>
          <w:pgMar w:top="1985" w:right="1440" w:bottom="993" w:left="1440" w:header="706" w:footer="461" w:gutter="0"/>
          <w:cols w:space="533"/>
          <w:docGrid w:linePitch="360"/>
        </w:sectPr>
      </w:pPr>
    </w:p>
    <w:p w:rsidR="00CB23CC" w:rsidRPr="002904C9" w:rsidRDefault="00CB23CC" w:rsidP="007D03CC">
      <w:pPr>
        <w:pStyle w:val="Heading3"/>
      </w:pPr>
      <w:r w:rsidRPr="00D20F7C">
        <w:lastRenderedPageBreak/>
        <w:t>AASB 124</w:t>
      </w:r>
      <w:r w:rsidR="00215FBE" w:rsidRPr="00D20F7C">
        <w:t xml:space="preserve"> </w:t>
      </w:r>
      <w:r w:rsidR="00215FBE" w:rsidRPr="002904C9">
        <w:t>R</w:t>
      </w:r>
      <w:r w:rsidR="007D03CC">
        <w:t>elated Party Disclosure project</w:t>
      </w:r>
    </w:p>
    <w:p w:rsidR="00CB23CC" w:rsidRDefault="00750D7B" w:rsidP="00A542BF">
      <w:r>
        <w:t>The r</w:t>
      </w:r>
      <w:r w:rsidR="00CB23CC" w:rsidRPr="00A86C77">
        <w:t xml:space="preserve">evised AASB 124 issued by the </w:t>
      </w:r>
      <w:r w:rsidR="007A0924">
        <w:t>Australian Accounting Standards Board (</w:t>
      </w:r>
      <w:r w:rsidR="00CB23CC" w:rsidRPr="00A86C77">
        <w:t>AASB</w:t>
      </w:r>
      <w:r w:rsidR="007A0924">
        <w:t>)</w:t>
      </w:r>
      <w:r w:rsidR="00CB23CC" w:rsidRPr="00A86C77">
        <w:t xml:space="preserve"> will be applicable for not</w:t>
      </w:r>
      <w:r w:rsidR="005C50EC">
        <w:noBreakHyphen/>
      </w:r>
      <w:r w:rsidR="00CB23CC" w:rsidRPr="00A86C77">
        <w:t>for</w:t>
      </w:r>
      <w:r w:rsidR="005C50EC">
        <w:noBreakHyphen/>
      </w:r>
      <w:r w:rsidR="00CB23CC" w:rsidRPr="00A86C77">
        <w:t xml:space="preserve">profit public sector entities from </w:t>
      </w:r>
      <w:r w:rsidR="00CB23CC" w:rsidRPr="00FB47E7">
        <w:rPr>
          <w:b/>
        </w:rPr>
        <w:t>1 July 2016</w:t>
      </w:r>
      <w:r w:rsidR="00FB47E7">
        <w:t xml:space="preserve"> (i.e. from the </w:t>
      </w:r>
      <w:r w:rsidR="00FB47E7" w:rsidRPr="00FB47E7">
        <w:rPr>
          <w:b/>
        </w:rPr>
        <w:t>2016</w:t>
      </w:r>
      <w:r w:rsidR="005C50EC">
        <w:rPr>
          <w:b/>
        </w:rPr>
        <w:noBreakHyphen/>
      </w:r>
      <w:r w:rsidR="00FB47E7" w:rsidRPr="00FB47E7">
        <w:rPr>
          <w:b/>
        </w:rPr>
        <w:t>17 financial year</w:t>
      </w:r>
      <w:r w:rsidR="00FB47E7">
        <w:t>)</w:t>
      </w:r>
      <w:r w:rsidR="005E6FC1">
        <w:t>, with no comparatives required for the first period to which these changes apply</w:t>
      </w:r>
      <w:r w:rsidR="00CB23CC" w:rsidRPr="00A86C77">
        <w:t xml:space="preserve">. </w:t>
      </w:r>
      <w:r w:rsidR="00FB47E7">
        <w:t>December year</w:t>
      </w:r>
      <w:r w:rsidR="005C50EC">
        <w:noBreakHyphen/>
      </w:r>
      <w:r w:rsidR="00FB47E7">
        <w:t xml:space="preserve">end reporters will apply the accounting standard from </w:t>
      </w:r>
      <w:r w:rsidR="00FB47E7" w:rsidRPr="00FB47E7">
        <w:rPr>
          <w:b/>
        </w:rPr>
        <w:t>1</w:t>
      </w:r>
      <w:r w:rsidR="005E6FC1">
        <w:rPr>
          <w:b/>
        </w:rPr>
        <w:t> January</w:t>
      </w:r>
      <w:r w:rsidR="00FB47E7" w:rsidRPr="00FB47E7">
        <w:rPr>
          <w:b/>
        </w:rPr>
        <w:t xml:space="preserve"> 2017</w:t>
      </w:r>
      <w:r w:rsidR="00FB47E7">
        <w:t xml:space="preserve">. </w:t>
      </w:r>
      <w:r w:rsidR="00CB23CC" w:rsidRPr="00A86C77">
        <w:t xml:space="preserve">The accounting standard requires </w:t>
      </w:r>
      <w:r w:rsidR="00A86C77">
        <w:t xml:space="preserve">ministers and other key management personnel (KMP) of entities to </w:t>
      </w:r>
      <w:r w:rsidR="00C90293">
        <w:t>disclose</w:t>
      </w:r>
      <w:r w:rsidR="00CB23CC" w:rsidRPr="00A86C77">
        <w:t xml:space="preserve"> the remuneration and related party transactions. </w:t>
      </w:r>
      <w:r w:rsidR="00A86C77">
        <w:t>Typical or usual citizen transactions are not required to be disclosed – these may include paying personal taxes</w:t>
      </w:r>
      <w:r w:rsidR="00C90293">
        <w:t>,</w:t>
      </w:r>
      <w:r w:rsidR="00A86C77">
        <w:t xml:space="preserve"> receiving a social welfare benefit, public health benefit, student allowances or paying licence fees.</w:t>
      </w:r>
    </w:p>
    <w:p w:rsidR="005E6FC1" w:rsidRDefault="005E6FC1" w:rsidP="00A542BF">
      <w:r>
        <w:t>The standard defines KMP as those people with the authority and responsibility for planning, directing and controlling the activities of the entity, directly or indirectly</w:t>
      </w:r>
      <w:r w:rsidR="00C90293">
        <w:t>,</w:t>
      </w:r>
      <w:r>
        <w:t xml:space="preserve"> i.e. those charged with strategic decision making responsibilities.</w:t>
      </w:r>
    </w:p>
    <w:p w:rsidR="005E6FC1" w:rsidRDefault="005E6FC1" w:rsidP="00C53BA6">
      <w:pPr>
        <w:pStyle w:val="Bullet1"/>
      </w:pPr>
      <w:r>
        <w:t>As Cabinet is the principal decision making body of the government, all cabinet ministers are considered KMP of the State</w:t>
      </w:r>
      <w:r w:rsidR="003336C0">
        <w:t>*</w:t>
      </w:r>
      <w:r>
        <w:t>.</w:t>
      </w:r>
    </w:p>
    <w:p w:rsidR="005E6FC1" w:rsidRDefault="005E6FC1" w:rsidP="00C53BA6">
      <w:pPr>
        <w:pStyle w:val="Bullet1"/>
      </w:pPr>
      <w:r>
        <w:t>Portfolio ministers are responsible for the oversight of their relevant portfolio departm</w:t>
      </w:r>
      <w:r w:rsidR="00C90293">
        <w:t xml:space="preserve">ents and entities, </w:t>
      </w:r>
      <w:r w:rsidR="00FF76CE">
        <w:t xml:space="preserve">and are </w:t>
      </w:r>
      <w:r w:rsidR="00C90293">
        <w:t>therefore considered as KMP</w:t>
      </w:r>
      <w:r w:rsidR="00750D7B">
        <w:t>s of their representative portfolio entities</w:t>
      </w:r>
      <w:r w:rsidR="00C90293">
        <w:t>.</w:t>
      </w:r>
      <w:r>
        <w:t xml:space="preserve"> Departments and agencies would also need to assess which executives meet the definition of a KMP for their respective departments and agencies. </w:t>
      </w:r>
    </w:p>
    <w:p w:rsidR="005E6FC1" w:rsidRDefault="005E6FC1" w:rsidP="00C53BA6">
      <w:pPr>
        <w:pStyle w:val="Bullet1"/>
      </w:pPr>
      <w:r>
        <w:t>For agencies with a board, members forming the governance board are considered</w:t>
      </w:r>
      <w:r w:rsidR="00FF76CE">
        <w:t xml:space="preserve"> as</w:t>
      </w:r>
      <w:r>
        <w:t xml:space="preserve"> having strategic decision</w:t>
      </w:r>
      <w:r w:rsidR="005C50EC">
        <w:noBreakHyphen/>
      </w:r>
      <w:r>
        <w:t>making authority for the planning, directing and controlling of the overall activities of the entity and would be considered KMP of the agency.</w:t>
      </w:r>
    </w:p>
    <w:p w:rsidR="005E6FC1" w:rsidRDefault="005E6FC1" w:rsidP="00A542BF">
      <w:r>
        <w:t>A related party is defined as a person or an entity related to the reporting entity that is preparing its financial statements. This includes:</w:t>
      </w:r>
    </w:p>
    <w:p w:rsidR="005E6FC1" w:rsidRDefault="005E6FC1" w:rsidP="00C53BA6">
      <w:pPr>
        <w:pStyle w:val="Bullet1"/>
      </w:pPr>
      <w:r>
        <w:t xml:space="preserve">KMP of the reporting entity or </w:t>
      </w:r>
      <w:r w:rsidR="00750D7B">
        <w:t>its parent entity (i.e.</w:t>
      </w:r>
      <w:r>
        <w:t xml:space="preserve"> the State</w:t>
      </w:r>
      <w:r w:rsidR="00750D7B">
        <w:t>)</w:t>
      </w:r>
      <w:r>
        <w:t xml:space="preserve">; or </w:t>
      </w:r>
    </w:p>
    <w:p w:rsidR="005E6FC1" w:rsidRDefault="00244F1E" w:rsidP="00C53BA6">
      <w:pPr>
        <w:pStyle w:val="Bullet1"/>
      </w:pPr>
      <w:r>
        <w:t>a</w:t>
      </w:r>
      <w:r w:rsidR="005E6FC1">
        <w:t xml:space="preserve"> close family member of the KMP; or</w:t>
      </w:r>
    </w:p>
    <w:p w:rsidR="005E6FC1" w:rsidRDefault="005E6FC1" w:rsidP="00C53BA6">
      <w:pPr>
        <w:pStyle w:val="Bullet1"/>
      </w:pPr>
      <w:r>
        <w:t xml:space="preserve">the KMP or close family member’s personal related entities (for example, companies, partnerships, interest in joint ventures, </w:t>
      </w:r>
      <w:proofErr w:type="spellStart"/>
      <w:r>
        <w:t>etc</w:t>
      </w:r>
      <w:proofErr w:type="spellEnd"/>
      <w:r>
        <w:t xml:space="preserve">). </w:t>
      </w:r>
    </w:p>
    <w:p w:rsidR="005E6FC1" w:rsidRDefault="00A11C6C" w:rsidP="007D03CC">
      <w:r>
        <w:t>Personal related entities include any entities that the KMP, or their close family member:</w:t>
      </w:r>
    </w:p>
    <w:p w:rsidR="00A11C6C" w:rsidRDefault="00A11C6C" w:rsidP="00C53BA6">
      <w:pPr>
        <w:pStyle w:val="Bullet1"/>
      </w:pPr>
      <w:r>
        <w:t>has significant influence; or</w:t>
      </w:r>
    </w:p>
    <w:p w:rsidR="00A11C6C" w:rsidRDefault="00A11C6C" w:rsidP="00C53BA6">
      <w:pPr>
        <w:pStyle w:val="Bullet1"/>
      </w:pPr>
      <w:r>
        <w:t>has control or joint control over.</w:t>
      </w:r>
    </w:p>
    <w:p w:rsidR="00A11C6C" w:rsidRDefault="00A11C6C" w:rsidP="00A542BF">
      <w:r>
        <w:t>As all cabinet ministers are considered KMP of the State, they are also related parties of the State and all its controlled entities (i.e. departments and agencies)</w:t>
      </w:r>
      <w:r w:rsidR="003336C0">
        <w:t>*</w:t>
      </w:r>
      <w:r>
        <w:t>.</w:t>
      </w:r>
    </w:p>
    <w:p w:rsidR="00A86C77" w:rsidRDefault="004C7E70" w:rsidP="00A542BF">
      <w:r>
        <w:t>KMP</w:t>
      </w:r>
      <w:r w:rsidR="00750D7B">
        <w:t>s</w:t>
      </w:r>
      <w:r>
        <w:t xml:space="preserve"> will self</w:t>
      </w:r>
      <w:r w:rsidR="005C50EC">
        <w:noBreakHyphen/>
      </w:r>
      <w:r>
        <w:t>declare their related party transactions and only provide personal details of their related parties where there are transactions to declare. This reduces the risk of personal secur</w:t>
      </w:r>
      <w:r w:rsidR="00244F1E">
        <w:t xml:space="preserve">ity and privacy to </w:t>
      </w:r>
      <w:r w:rsidR="00750D7B">
        <w:t>the</w:t>
      </w:r>
      <w:r>
        <w:t xml:space="preserve"> KMPs and their families. A </w:t>
      </w:r>
      <w:r w:rsidR="00E04E2E">
        <w:t xml:space="preserve">proposed </w:t>
      </w:r>
      <w:r w:rsidR="00CD3526">
        <w:t>$10 </w:t>
      </w:r>
      <w:r>
        <w:t>000 threshold may be applied to ongoing standard business transactions to ease the burden of onerous disclosures</w:t>
      </w:r>
      <w:r w:rsidR="00E04E2E">
        <w:t xml:space="preserve"> as agreed with VAGO</w:t>
      </w:r>
      <w:r>
        <w:t xml:space="preserve">. All other related party transactions will be required to be </w:t>
      </w:r>
      <w:r w:rsidR="00750D7B">
        <w:t>declared</w:t>
      </w:r>
      <w:r>
        <w:t xml:space="preserve"> regardless of amount, as some related party transactions </w:t>
      </w:r>
      <w:r w:rsidR="00FB47E7">
        <w:t>may be material by nature rather than by amount.</w:t>
      </w:r>
      <w:r w:rsidR="00E04E2E">
        <w:t xml:space="preserve"> </w:t>
      </w:r>
      <w:r w:rsidR="00E04E2E" w:rsidRPr="003336C0">
        <w:rPr>
          <w:b/>
        </w:rPr>
        <w:t>Please note that the</w:t>
      </w:r>
      <w:r w:rsidR="006E57A8" w:rsidRPr="003336C0">
        <w:rPr>
          <w:b/>
        </w:rPr>
        <w:t xml:space="preserve"> proposed</w:t>
      </w:r>
      <w:r w:rsidR="003336C0" w:rsidRPr="003336C0">
        <w:rPr>
          <w:b/>
        </w:rPr>
        <w:t xml:space="preserve"> implementation approach for</w:t>
      </w:r>
      <w:r w:rsidR="00E04E2E" w:rsidRPr="003336C0">
        <w:rPr>
          <w:b/>
        </w:rPr>
        <w:t xml:space="preserve"> AASB 124 </w:t>
      </w:r>
      <w:r w:rsidR="006E57A8" w:rsidRPr="003336C0">
        <w:rPr>
          <w:b/>
        </w:rPr>
        <w:t xml:space="preserve">will be </w:t>
      </w:r>
      <w:r w:rsidR="003336C0" w:rsidRPr="003336C0">
        <w:rPr>
          <w:b/>
        </w:rPr>
        <w:t xml:space="preserve">finalised </w:t>
      </w:r>
      <w:r w:rsidR="006E57A8" w:rsidRPr="003336C0">
        <w:rPr>
          <w:b/>
        </w:rPr>
        <w:t xml:space="preserve">subject to Cabinet </w:t>
      </w:r>
      <w:r w:rsidR="007C6E38" w:rsidRPr="003336C0">
        <w:rPr>
          <w:b/>
        </w:rPr>
        <w:t>consideration in the new year.</w:t>
      </w:r>
    </w:p>
    <w:p w:rsidR="00FB47E7" w:rsidRDefault="00FB47E7" w:rsidP="00A542BF">
      <w:r>
        <w:t xml:space="preserve">A declaration certificate with guidance and examples will be made available to ministers and other KMPs for completion. An accompanying management checklist will also be </w:t>
      </w:r>
      <w:r w:rsidR="00016FD9">
        <w:t>provided</w:t>
      </w:r>
      <w:r>
        <w:t xml:space="preserve"> to preparers of departmental and agency financial reports to support management assurance of the completeness of their related party disclosures.</w:t>
      </w:r>
      <w:r w:rsidR="008A7EDB">
        <w:t xml:space="preserve"> These documents </w:t>
      </w:r>
      <w:r w:rsidR="0038124B">
        <w:t xml:space="preserve">as well as </w:t>
      </w:r>
      <w:r w:rsidR="008A7EDB">
        <w:t xml:space="preserve">frequently asked questions and disclosure examples will </w:t>
      </w:r>
      <w:r w:rsidR="0038124B">
        <w:t>be</w:t>
      </w:r>
      <w:r w:rsidR="008A7EDB">
        <w:t xml:space="preserve"> included in the </w:t>
      </w:r>
      <w:r w:rsidR="008A7EDB" w:rsidRPr="00244F1E">
        <w:rPr>
          <w:i/>
        </w:rPr>
        <w:t>2016</w:t>
      </w:r>
      <w:r w:rsidR="005C50EC">
        <w:rPr>
          <w:i/>
        </w:rPr>
        <w:noBreakHyphen/>
      </w:r>
      <w:r w:rsidR="008A7EDB" w:rsidRPr="00244F1E">
        <w:rPr>
          <w:i/>
        </w:rPr>
        <w:t>17</w:t>
      </w:r>
      <w:r w:rsidR="008A7EDB">
        <w:t xml:space="preserve"> </w:t>
      </w:r>
      <w:r w:rsidR="008A7EDB" w:rsidRPr="008A7EDB">
        <w:rPr>
          <w:i/>
        </w:rPr>
        <w:t xml:space="preserve">Model </w:t>
      </w:r>
      <w:r w:rsidR="006A16D3">
        <w:rPr>
          <w:i/>
        </w:rPr>
        <w:t>R</w:t>
      </w:r>
      <w:r w:rsidR="008A7EDB" w:rsidRPr="008A7EDB">
        <w:rPr>
          <w:i/>
        </w:rPr>
        <w:t xml:space="preserve">eport </w:t>
      </w:r>
      <w:r w:rsidR="008A7EDB">
        <w:t xml:space="preserve">and published on DTF’s website. </w:t>
      </w:r>
    </w:p>
    <w:p w:rsidR="00323444" w:rsidRDefault="00750D7B" w:rsidP="00A542BF">
      <w:pPr>
        <w:sectPr w:rsidR="00323444" w:rsidSect="00A91B6F">
          <w:footerReference w:type="default" r:id="rId16"/>
          <w:pgSz w:w="11906" w:h="16838" w:code="9"/>
          <w:pgMar w:top="1985" w:right="1440" w:bottom="993" w:left="1440" w:header="706" w:footer="461" w:gutter="0"/>
          <w:cols w:space="533"/>
          <w:docGrid w:linePitch="360"/>
        </w:sectPr>
      </w:pPr>
      <w:r>
        <w:t>It is currently proposed that data collection for ministers will be managed centrally</w:t>
      </w:r>
      <w:r w:rsidR="008632DA">
        <w:t>. Departments and agencies are required to develop their own internal processes for executive KMP</w:t>
      </w:r>
      <w:r w:rsidR="00D4720C">
        <w:t>’s</w:t>
      </w:r>
      <w:r w:rsidR="008632DA">
        <w:t xml:space="preserve"> data collection. </w:t>
      </w:r>
      <w:r w:rsidR="00FB47E7">
        <w:t xml:space="preserve">Not all information collected will be disclosed in the respective annual reports. This is because the accounting standards only require the disclosure of material related party transactions and outstanding balances. In addition, items of a similar nature may be disclosed in aggregate except where separate disclosures </w:t>
      </w:r>
      <w:r w:rsidR="00DA310F">
        <w:t>are</w:t>
      </w:r>
      <w:r w:rsidR="00FB47E7">
        <w:t xml:space="preserve"> necessary for an understanding of the effects of related party transactions on th</w:t>
      </w:r>
      <w:r w:rsidR="00244F1E">
        <w:t>e entity’s financial statements,</w:t>
      </w:r>
      <w:r w:rsidR="00FB47E7">
        <w:t xml:space="preserve"> i.e. individual transactions that are unusual in nature or significantly material by amount.</w:t>
      </w:r>
    </w:p>
    <w:p w:rsidR="00CB23CC" w:rsidRPr="00D20F7C" w:rsidRDefault="00F1257E" w:rsidP="007D03CC">
      <w:pPr>
        <w:pStyle w:val="Heading3"/>
      </w:pPr>
      <w:r w:rsidRPr="00D20F7C">
        <w:lastRenderedPageBreak/>
        <w:t xml:space="preserve">Interim valuation </w:t>
      </w:r>
      <w:r w:rsidR="00CD3526">
        <w:t>assessments</w:t>
      </w:r>
    </w:p>
    <w:p w:rsidR="006A09D1" w:rsidRPr="00254BE3" w:rsidRDefault="001012CC" w:rsidP="00A542BF">
      <w:r w:rsidRPr="00254BE3">
        <w:t xml:space="preserve">VPS </w:t>
      </w:r>
      <w:r w:rsidR="00C96F5F" w:rsidRPr="00254BE3">
        <w:t>entities are required to conduct annual fair value assessments for each class of non</w:t>
      </w:r>
      <w:r w:rsidR="005C50EC">
        <w:noBreakHyphen/>
      </w:r>
      <w:r w:rsidR="00C96F5F" w:rsidRPr="00254BE3">
        <w:t xml:space="preserve">financial physical assets. These interim assessments are the responsibility of management, and </w:t>
      </w:r>
      <w:r w:rsidR="006E57A8">
        <w:t>should</w:t>
      </w:r>
      <w:r w:rsidR="00C96F5F" w:rsidRPr="00254BE3">
        <w:t xml:space="preserve"> be documented as </w:t>
      </w:r>
      <w:r w:rsidRPr="00254BE3">
        <w:t xml:space="preserve">the </w:t>
      </w:r>
      <w:r w:rsidR="00C96F5F" w:rsidRPr="00254BE3">
        <w:t>audit</w:t>
      </w:r>
      <w:r w:rsidRPr="00254BE3">
        <w:t>or</w:t>
      </w:r>
      <w:r w:rsidR="00C96F5F" w:rsidRPr="00254BE3">
        <w:t xml:space="preserve"> may request this information to support the carrying value of assets.</w:t>
      </w:r>
    </w:p>
    <w:p w:rsidR="006A09D1" w:rsidRPr="00254BE3" w:rsidRDefault="006A09D1" w:rsidP="00A542BF">
      <w:r w:rsidRPr="00254BE3">
        <w:t>The methodology of VGV land indices</w:t>
      </w:r>
      <w:r w:rsidR="006E57A8">
        <w:t xml:space="preserve"> is</w:t>
      </w:r>
      <w:r w:rsidRPr="00254BE3">
        <w:t xml:space="preserve"> an important factor </w:t>
      </w:r>
      <w:r w:rsidR="006E1D3A" w:rsidRPr="00254BE3">
        <w:t>to be considered in</w:t>
      </w:r>
      <w:r w:rsidRPr="00254BE3">
        <w:t xml:space="preserve"> </w:t>
      </w:r>
      <w:r w:rsidR="007E27AE" w:rsidRPr="00254BE3">
        <w:t>fair value</w:t>
      </w:r>
      <w:r w:rsidR="006E57A8">
        <w:t xml:space="preserve"> assessments and</w:t>
      </w:r>
      <w:r w:rsidRPr="00254BE3">
        <w:t xml:space="preserve"> has been updated </w:t>
      </w:r>
      <w:r w:rsidR="006E1D3A" w:rsidRPr="00254BE3">
        <w:t xml:space="preserve">for selected metropolitan </w:t>
      </w:r>
      <w:r w:rsidR="006E57A8">
        <w:t xml:space="preserve">and high growth </w:t>
      </w:r>
      <w:r w:rsidR="006E1D3A" w:rsidRPr="00254BE3">
        <w:t xml:space="preserve">areas. A summary of the key points for interim assessments is provided </w:t>
      </w:r>
      <w:r w:rsidR="007E27AE" w:rsidRPr="00254BE3">
        <w:t xml:space="preserve">below </w:t>
      </w:r>
      <w:r w:rsidR="006E1D3A" w:rsidRPr="00254BE3">
        <w:t xml:space="preserve">as a quick reference </w:t>
      </w:r>
      <w:r w:rsidR="00DC2036">
        <w:t>for</w:t>
      </w:r>
      <w:r w:rsidR="006E1D3A" w:rsidRPr="00254BE3">
        <w:t xml:space="preserve"> departments and agencies.</w:t>
      </w:r>
      <w:r w:rsidR="003B0473">
        <w:t xml:space="preserve"> </w:t>
      </w:r>
    </w:p>
    <w:p w:rsidR="00F95B0A" w:rsidRPr="00F95B0A" w:rsidRDefault="006E1D3A" w:rsidP="00A542BF">
      <w:pPr>
        <w:pStyle w:val="Heading4"/>
        <w:rPr>
          <w:rFonts w:eastAsiaTheme="minorEastAsia"/>
        </w:rPr>
      </w:pPr>
      <w:r w:rsidRPr="005F5B0A">
        <w:t>VGV land indices for selected metropolitan areas</w:t>
      </w:r>
    </w:p>
    <w:p w:rsidR="00F41F70" w:rsidRDefault="00F95B0A" w:rsidP="00A542BF">
      <w:pPr>
        <w:rPr>
          <w:highlight w:val="yellow"/>
        </w:rPr>
      </w:pPr>
      <w:r w:rsidRPr="00D302E8">
        <w:t xml:space="preserve">The VGV provides land and building indices every six months for all Victorian postcodes based on annual changes (financial year and calendar year). The indices are </w:t>
      </w:r>
      <w:r w:rsidRPr="00AB62B9">
        <w:t>published in the secure area of the DTF website every October (covering the period 1 January to 31 December) and April (c</w:t>
      </w:r>
      <w:r w:rsidR="003B0473">
        <w:t>overing the period 1 July to 30 </w:t>
      </w:r>
      <w:r w:rsidRPr="00AB62B9">
        <w:t>June).</w:t>
      </w:r>
      <w:r>
        <w:t xml:space="preserve"> </w:t>
      </w:r>
    </w:p>
    <w:p w:rsidR="00F95B0A" w:rsidRDefault="00EE22EB" w:rsidP="00A542BF">
      <w:r w:rsidRPr="00D20F7C">
        <w:t>E</w:t>
      </w:r>
      <w:r w:rsidR="003912D2" w:rsidRPr="00D302E8">
        <w:t>ntities with 30 June reporting periods</w:t>
      </w:r>
      <w:r w:rsidRPr="00D20F7C">
        <w:t xml:space="preserve"> are encouraged to use</w:t>
      </w:r>
      <w:r w:rsidR="003912D2" w:rsidRPr="00D302E8">
        <w:t xml:space="preserve"> the VGV calendar year indices issued in October </w:t>
      </w:r>
      <w:r w:rsidRPr="00D20F7C">
        <w:t>to perform</w:t>
      </w:r>
      <w:r w:rsidR="003912D2" w:rsidRPr="00D302E8">
        <w:t xml:space="preserve"> interim assessments</w:t>
      </w:r>
      <w:r w:rsidRPr="00D20F7C">
        <w:t xml:space="preserve"> of their assets to determine whether any material movements in fair value have occurred</w:t>
      </w:r>
      <w:r w:rsidR="003912D2" w:rsidRPr="00D302E8">
        <w:t xml:space="preserve">. </w:t>
      </w:r>
      <w:r w:rsidRPr="00D20F7C">
        <w:t>E</w:t>
      </w:r>
      <w:r w:rsidR="003912D2" w:rsidRPr="00D302E8">
        <w:t>ntities with 31 December reporting periods</w:t>
      </w:r>
      <w:r w:rsidRPr="00D20F7C">
        <w:t xml:space="preserve"> are encouraged to use the financial year</w:t>
      </w:r>
      <w:r w:rsidR="003912D2" w:rsidRPr="00D302E8">
        <w:t xml:space="preserve"> in</w:t>
      </w:r>
      <w:r w:rsidR="003912D2" w:rsidRPr="00AB62B9">
        <w:t xml:space="preserve">dices issued in April </w:t>
      </w:r>
      <w:r w:rsidRPr="00D20F7C">
        <w:t xml:space="preserve">to perform </w:t>
      </w:r>
      <w:r w:rsidR="003912D2" w:rsidRPr="00D302E8">
        <w:t>interim</w:t>
      </w:r>
      <w:r w:rsidRPr="00D20F7C">
        <w:t xml:space="preserve"> fair value</w:t>
      </w:r>
      <w:r w:rsidR="003912D2" w:rsidRPr="00D302E8">
        <w:t xml:space="preserve"> assessments.</w:t>
      </w:r>
      <w:r w:rsidR="003912D2">
        <w:t xml:space="preserve"> </w:t>
      </w:r>
    </w:p>
    <w:p w:rsidR="006A09D1" w:rsidRPr="00D20F7C" w:rsidRDefault="007B12D3" w:rsidP="00A542BF">
      <w:r>
        <w:t>In response to a</w:t>
      </w:r>
      <w:r w:rsidR="006A09D1" w:rsidRPr="00AB62B9">
        <w:t xml:space="preserve"> recommendation by VAGO in its audit report </w:t>
      </w:r>
      <w:r w:rsidR="006A09D1" w:rsidRPr="00AB62B9">
        <w:rPr>
          <w:i/>
        </w:rPr>
        <w:t>Public Asset Valuation</w:t>
      </w:r>
      <w:r w:rsidR="006A09D1" w:rsidRPr="000D72EA">
        <w:t>,</w:t>
      </w:r>
      <w:r>
        <w:t xml:space="preserve"> t</w:t>
      </w:r>
      <w:r w:rsidR="006A09D1" w:rsidRPr="002C4783">
        <w:t xml:space="preserve">he VGV has engaged Certified Practicing </w:t>
      </w:r>
      <w:proofErr w:type="spellStart"/>
      <w:r w:rsidR="006A09D1" w:rsidRPr="002C4783">
        <w:t>Valuers</w:t>
      </w:r>
      <w:proofErr w:type="spellEnd"/>
      <w:r w:rsidR="006A09D1" w:rsidRPr="002C4783">
        <w:t xml:space="preserve"> to carry out benchmark assessments within sel</w:t>
      </w:r>
      <w:r w:rsidR="006A09D1" w:rsidRPr="00AD5807">
        <w:t>ected metropolitan areas</w:t>
      </w:r>
      <w:r>
        <w:t xml:space="preserve"> to better capture the volatility of recent market movements</w:t>
      </w:r>
      <w:r w:rsidR="006A09D1" w:rsidRPr="00AD5807">
        <w:t xml:space="preserve">. The indexation factors for the benchmark areas and the corresponding postcodes have been incorporated into the </w:t>
      </w:r>
      <w:r w:rsidR="00191A3F" w:rsidRPr="00071360">
        <w:t xml:space="preserve">October </w:t>
      </w:r>
      <w:r w:rsidR="006A09D1" w:rsidRPr="007709AF">
        <w:t>land indexati</w:t>
      </w:r>
      <w:r w:rsidR="00EA6BBD">
        <w:t>on factors released in November </w:t>
      </w:r>
      <w:r w:rsidR="006A09D1" w:rsidRPr="007709AF">
        <w:t>20</w:t>
      </w:r>
      <w:r w:rsidR="006A09D1" w:rsidRPr="003B614B">
        <w:t>16</w:t>
      </w:r>
      <w:r w:rsidR="006A09D1" w:rsidRPr="00936599">
        <w:t>. The value of the same properties will be assessed on a regular basis and</w:t>
      </w:r>
      <w:r w:rsidR="00191A3F" w:rsidRPr="00D20F7C">
        <w:t xml:space="preserve"> </w:t>
      </w:r>
      <w:r w:rsidR="006A09D1" w:rsidRPr="00D20F7C">
        <w:t xml:space="preserve">VGV will continue to provide the indexation factors using the </w:t>
      </w:r>
      <w:r w:rsidR="00191A3F" w:rsidRPr="00D20F7C">
        <w:t xml:space="preserve">current </w:t>
      </w:r>
      <w:r w:rsidR="006A09D1" w:rsidRPr="00D20F7C">
        <w:t>modified approach</w:t>
      </w:r>
      <w:r w:rsidR="00191A3F" w:rsidRPr="00D20F7C">
        <w:t>.</w:t>
      </w:r>
    </w:p>
    <w:p w:rsidR="006E1D3A" w:rsidRPr="00A60032" w:rsidRDefault="006E1D3A" w:rsidP="00A91B6F">
      <w:pPr>
        <w:pStyle w:val="Heading4"/>
      </w:pPr>
      <w:r w:rsidRPr="00A60032">
        <w:t>Key points for interim assessments</w:t>
      </w:r>
    </w:p>
    <w:p w:rsidR="00C96F5F" w:rsidRPr="00A60032" w:rsidRDefault="00C96F5F" w:rsidP="00A542BF">
      <w:pPr>
        <w:spacing w:after="60"/>
      </w:pPr>
      <w:r w:rsidRPr="00A60032">
        <w:t xml:space="preserve">Key points </w:t>
      </w:r>
      <w:r w:rsidR="00F31533" w:rsidRPr="00A60032">
        <w:t xml:space="preserve">for VPS entities </w:t>
      </w:r>
      <w:r w:rsidRPr="00A60032">
        <w:t xml:space="preserve">to note when performing </w:t>
      </w:r>
      <w:r w:rsidR="00482FCC">
        <w:t>interim</w:t>
      </w:r>
      <w:r w:rsidRPr="00A60032">
        <w:t xml:space="preserve"> assessments </w:t>
      </w:r>
      <w:r w:rsidR="00871976" w:rsidRPr="00A60032">
        <w:t>include</w:t>
      </w:r>
      <w:r w:rsidRPr="00A60032">
        <w:t xml:space="preserve">: </w:t>
      </w:r>
    </w:p>
    <w:p w:rsidR="00C96F5F" w:rsidRPr="000D72EA" w:rsidRDefault="00C96F5F" w:rsidP="007D03CC">
      <w:pPr>
        <w:pStyle w:val="Bullet1"/>
        <w:spacing w:before="80" w:after="80"/>
      </w:pPr>
      <w:r w:rsidRPr="00C74692">
        <w:t xml:space="preserve">Fair value assessments should be conducted annually (between formal scheduled revaluations) using </w:t>
      </w:r>
      <w:r w:rsidR="006E57A8">
        <w:t xml:space="preserve">appropriate </w:t>
      </w:r>
      <w:r w:rsidRPr="00C74692">
        <w:t xml:space="preserve">fair value indicators, which include the VGV </w:t>
      </w:r>
      <w:r w:rsidR="006A72F2" w:rsidRPr="00D302E8">
        <w:t>l</w:t>
      </w:r>
      <w:r w:rsidRPr="00AB62B9">
        <w:t xml:space="preserve">and and </w:t>
      </w:r>
      <w:r w:rsidR="006A72F2" w:rsidRPr="00AB62B9">
        <w:t>b</w:t>
      </w:r>
      <w:r w:rsidRPr="000D72EA">
        <w:t xml:space="preserve">uilding indices and other relevant factors. </w:t>
      </w:r>
    </w:p>
    <w:p w:rsidR="00C96F5F" w:rsidRPr="00AD5807" w:rsidRDefault="00C96F5F" w:rsidP="007D03CC">
      <w:pPr>
        <w:pStyle w:val="Bullet1"/>
        <w:spacing w:before="80" w:after="80"/>
      </w:pPr>
      <w:r w:rsidRPr="0094447F">
        <w:t>This assessment should take into consideration the appropriate fair value indicators to determine whether any material (greater than 10 per cent but less than 40 per cent) or exceptionally material (greater than 40 per cent) changes in the asset’s value ha</w:t>
      </w:r>
      <w:r w:rsidRPr="002C4783">
        <w:t xml:space="preserve">s occurred. </w:t>
      </w:r>
    </w:p>
    <w:p w:rsidR="00B83CF6" w:rsidRPr="00AB62B9" w:rsidRDefault="00B83CF6" w:rsidP="007D03CC">
      <w:pPr>
        <w:pStyle w:val="Bullet1"/>
        <w:spacing w:before="80" w:after="80"/>
      </w:pPr>
      <w:r w:rsidRPr="00AB62B9">
        <w:t xml:space="preserve">For </w:t>
      </w:r>
      <w:r w:rsidRPr="00A65CD3">
        <w:rPr>
          <w:b/>
        </w:rPr>
        <w:t>land</w:t>
      </w:r>
      <w:r w:rsidRPr="00D302E8">
        <w:t>, entities may use the VGV land indices</w:t>
      </w:r>
      <w:r w:rsidR="00DA310F">
        <w:t>,</w:t>
      </w:r>
      <w:r w:rsidRPr="00D302E8">
        <w:t xml:space="preserve"> </w:t>
      </w:r>
      <w:r w:rsidRPr="00AB62B9">
        <w:t>which are based on the post</w:t>
      </w:r>
      <w:r w:rsidRPr="000D72EA">
        <w:t xml:space="preserve"> code of each property. Indices are provided for each of the land types</w:t>
      </w:r>
      <w:r w:rsidR="003B0473">
        <w:t xml:space="preserve"> – </w:t>
      </w:r>
      <w:r w:rsidRPr="000D72EA">
        <w:t xml:space="preserve">residential, industrial, commercial and </w:t>
      </w:r>
      <w:proofErr w:type="spellStart"/>
      <w:r w:rsidRPr="000D72EA">
        <w:t>Englobo</w:t>
      </w:r>
      <w:proofErr w:type="spellEnd"/>
      <w:r w:rsidRPr="000D72EA">
        <w:t xml:space="preserve"> (development land</w:t>
      </w:r>
      <w:r>
        <w:t>), and e</w:t>
      </w:r>
      <w:r w:rsidRPr="00D302E8">
        <w:t>ntities should adopt the appropriate indices depending on the zoning of land, rather than what it is bein</w:t>
      </w:r>
      <w:r w:rsidRPr="00AB62B9">
        <w:t>g used for.</w:t>
      </w:r>
    </w:p>
    <w:p w:rsidR="00B83CF6" w:rsidRPr="00AB62B9" w:rsidRDefault="00B83CF6" w:rsidP="007D03CC">
      <w:pPr>
        <w:pStyle w:val="Bullet1"/>
        <w:spacing w:before="80" w:after="80"/>
      </w:pPr>
      <w:r w:rsidRPr="00A65CD3">
        <w:rPr>
          <w:b/>
        </w:rPr>
        <w:t>Infrastructure assets</w:t>
      </w:r>
      <w:r w:rsidRPr="00D302E8">
        <w:t xml:space="preserve"> valued on a </w:t>
      </w:r>
      <w:r w:rsidR="00DA310F">
        <w:t>depreciated replacement cost (</w:t>
      </w:r>
      <w:r w:rsidRPr="00D302E8">
        <w:t>DRC</w:t>
      </w:r>
      <w:r w:rsidR="00DA310F">
        <w:t>)</w:t>
      </w:r>
      <w:r w:rsidRPr="00D302E8">
        <w:t xml:space="preserve"> basis should be assessed against relevant indices for the cost of construction</w:t>
      </w:r>
      <w:r w:rsidR="003B0473">
        <w:t xml:space="preserve">. </w:t>
      </w:r>
    </w:p>
    <w:p w:rsidR="00C96F5F" w:rsidRPr="00AB62B9" w:rsidRDefault="00C96F5F" w:rsidP="007D03CC">
      <w:pPr>
        <w:pStyle w:val="Bullet1"/>
        <w:spacing w:before="80" w:after="80"/>
      </w:pPr>
      <w:r w:rsidRPr="00AD5807">
        <w:t xml:space="preserve">For </w:t>
      </w:r>
      <w:r w:rsidRPr="00D20F7C">
        <w:rPr>
          <w:b/>
        </w:rPr>
        <w:t>non</w:t>
      </w:r>
      <w:r w:rsidR="005C50EC">
        <w:rPr>
          <w:b/>
        </w:rPr>
        <w:noBreakHyphen/>
      </w:r>
      <w:r w:rsidRPr="00D20F7C">
        <w:rPr>
          <w:b/>
        </w:rPr>
        <w:t>specialised buildings</w:t>
      </w:r>
      <w:r w:rsidRPr="00D302E8">
        <w:t xml:space="preserve"> valued on a market value basis, no separate indices are produced by the VGV. Entities may use the land indices, which are based on market values, as a guide for their assessment. </w:t>
      </w:r>
    </w:p>
    <w:p w:rsidR="00C96F5F" w:rsidRPr="00AB62B9" w:rsidRDefault="00C96F5F" w:rsidP="007D03CC">
      <w:pPr>
        <w:pStyle w:val="Bullet1"/>
        <w:spacing w:before="80" w:after="80"/>
      </w:pPr>
      <w:r w:rsidRPr="00AB62B9">
        <w:t xml:space="preserve">For </w:t>
      </w:r>
      <w:r w:rsidRPr="00D20F7C">
        <w:rPr>
          <w:b/>
        </w:rPr>
        <w:t>specialised buildings</w:t>
      </w:r>
      <w:r w:rsidRPr="00D302E8">
        <w:t xml:space="preserve"> valued on a DRC basis, entities may use the VGV building cost indexation factors on the DTF website for their assessment. </w:t>
      </w:r>
    </w:p>
    <w:p w:rsidR="00482FCC" w:rsidRDefault="00C96F5F" w:rsidP="007D03CC">
      <w:pPr>
        <w:pStyle w:val="Bullet1"/>
        <w:spacing w:before="80" w:after="80"/>
      </w:pPr>
      <w:r w:rsidRPr="000D72EA">
        <w:t xml:space="preserve">Assessment of movements in asset values against the appropriate indices is on a compounding or cumulative basis. This means movements should be considered in aggregate for the interim years between </w:t>
      </w:r>
      <w:r w:rsidR="003B7EFE" w:rsidRPr="0094447F">
        <w:t>last managerial/</w:t>
      </w:r>
      <w:r w:rsidRPr="002C4783">
        <w:t xml:space="preserve">formal scheduled revaluations (i.e. years 1 to 4). </w:t>
      </w:r>
    </w:p>
    <w:p w:rsidR="00E018C9" w:rsidRDefault="00E018C9">
      <w:pPr>
        <w:spacing w:before="0" w:after="200"/>
      </w:pPr>
      <w:r>
        <w:br w:type="page"/>
      </w:r>
    </w:p>
    <w:p w:rsidR="00C96F5F" w:rsidRDefault="00B600DC" w:rsidP="00E018C9">
      <w:pPr>
        <w:pStyle w:val="NormalIndent"/>
      </w:pPr>
      <w:r w:rsidRPr="00D302E8">
        <w:lastRenderedPageBreak/>
        <w:t xml:space="preserve">An </w:t>
      </w:r>
      <w:r w:rsidR="00BF04C2" w:rsidRPr="00D20F7C">
        <w:t xml:space="preserve">illustrative </w:t>
      </w:r>
      <w:r w:rsidRPr="00D302E8">
        <w:t xml:space="preserve">example </w:t>
      </w:r>
      <w:r w:rsidR="00BF04C2" w:rsidRPr="00D20F7C">
        <w:t xml:space="preserve">of how indices should be considered on a cumulative basis is provided below: </w:t>
      </w:r>
    </w:p>
    <w:tbl>
      <w:tblPr>
        <w:tblStyle w:val="DTFfinancialtable"/>
        <w:tblW w:w="0" w:type="auto"/>
        <w:tblInd w:w="504" w:type="dxa"/>
        <w:tblLayout w:type="fixed"/>
        <w:tblLook w:val="04A0" w:firstRow="1" w:lastRow="0" w:firstColumn="1" w:lastColumn="0" w:noHBand="0" w:noVBand="1"/>
      </w:tblPr>
      <w:tblGrid>
        <w:gridCol w:w="4111"/>
        <w:gridCol w:w="1134"/>
        <w:gridCol w:w="1215"/>
        <w:gridCol w:w="1206"/>
        <w:gridCol w:w="982"/>
      </w:tblGrid>
      <w:tr w:rsidR="003B0473" w:rsidRPr="00A60032" w:rsidTr="00E018C9">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4111" w:type="dxa"/>
            <w:noWrap/>
            <w:hideMark/>
          </w:tcPr>
          <w:p w:rsidR="00E24D2F" w:rsidRPr="00D20F7C" w:rsidRDefault="00E24D2F" w:rsidP="00405535">
            <w:pPr>
              <w:spacing w:before="0" w:after="0" w:line="240" w:lineRule="auto"/>
              <w:rPr>
                <w:rFonts w:eastAsia="Times New Roman" w:cs="Calibri"/>
                <w:b/>
              </w:rPr>
            </w:pPr>
            <w:r w:rsidRPr="00D20F7C">
              <w:rPr>
                <w:rFonts w:eastAsia="Times New Roman" w:cs="Calibri"/>
                <w:b/>
              </w:rPr>
              <w:t>Valuation</w:t>
            </w:r>
          </w:p>
        </w:tc>
        <w:tc>
          <w:tcPr>
            <w:tcW w:w="1134" w:type="dxa"/>
            <w:noWrap/>
            <w:hideMark/>
          </w:tcPr>
          <w:p w:rsidR="00E24D2F" w:rsidRPr="00D20F7C" w:rsidRDefault="00E24D2F" w:rsidP="003B0473">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b/>
              </w:rPr>
            </w:pPr>
            <w:r w:rsidRPr="00D20F7C">
              <w:rPr>
                <w:rFonts w:eastAsia="Times New Roman" w:cs="Calibri"/>
                <w:b/>
              </w:rPr>
              <w:t>Year 1</w:t>
            </w:r>
          </w:p>
        </w:tc>
        <w:tc>
          <w:tcPr>
            <w:tcW w:w="1215" w:type="dxa"/>
            <w:noWrap/>
            <w:hideMark/>
          </w:tcPr>
          <w:p w:rsidR="00E24D2F" w:rsidRPr="00D20F7C" w:rsidRDefault="00E24D2F" w:rsidP="003B0473">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b/>
              </w:rPr>
            </w:pPr>
            <w:r w:rsidRPr="00D20F7C">
              <w:rPr>
                <w:rFonts w:eastAsia="Times New Roman" w:cs="Calibri"/>
                <w:b/>
              </w:rPr>
              <w:t>Year 2</w:t>
            </w:r>
          </w:p>
        </w:tc>
        <w:tc>
          <w:tcPr>
            <w:tcW w:w="1206" w:type="dxa"/>
            <w:noWrap/>
            <w:hideMark/>
          </w:tcPr>
          <w:p w:rsidR="00E24D2F" w:rsidRPr="00D20F7C" w:rsidRDefault="00E24D2F" w:rsidP="003B0473">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b/>
              </w:rPr>
            </w:pPr>
            <w:r w:rsidRPr="00D20F7C">
              <w:rPr>
                <w:rFonts w:eastAsia="Times New Roman" w:cs="Calibri"/>
                <w:b/>
              </w:rPr>
              <w:t>Year 3</w:t>
            </w:r>
          </w:p>
        </w:tc>
        <w:tc>
          <w:tcPr>
            <w:tcW w:w="982" w:type="dxa"/>
            <w:noWrap/>
            <w:hideMark/>
          </w:tcPr>
          <w:p w:rsidR="00E24D2F" w:rsidRPr="00D20F7C" w:rsidRDefault="00E24D2F" w:rsidP="003B0473">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b/>
              </w:rPr>
            </w:pPr>
            <w:r w:rsidRPr="00D20F7C">
              <w:rPr>
                <w:rFonts w:eastAsia="Times New Roman" w:cs="Calibri"/>
                <w:b/>
              </w:rPr>
              <w:t>Year 4</w:t>
            </w:r>
          </w:p>
        </w:tc>
      </w:tr>
      <w:tr w:rsidR="00432BB3" w:rsidRPr="00A60032" w:rsidTr="00E018C9">
        <w:trPr>
          <w:trHeight w:val="288"/>
        </w:trPr>
        <w:tc>
          <w:tcPr>
            <w:cnfStyle w:val="001000000000" w:firstRow="0" w:lastRow="0" w:firstColumn="1" w:lastColumn="0" w:oddVBand="0" w:evenVBand="0" w:oddHBand="0" w:evenHBand="0" w:firstRowFirstColumn="0" w:firstRowLastColumn="0" w:lastRowFirstColumn="0" w:lastRowLastColumn="0"/>
            <w:tcW w:w="4111" w:type="dxa"/>
            <w:noWrap/>
            <w:hideMark/>
          </w:tcPr>
          <w:p w:rsidR="00E24D2F" w:rsidRPr="00D20F7C" w:rsidRDefault="00E24D2F" w:rsidP="00A91B6F">
            <w:pPr>
              <w:pStyle w:val="Tabletext"/>
              <w:spacing w:before="30" w:after="30"/>
            </w:pPr>
            <w:r w:rsidRPr="00D20F7C">
              <w:t>Annual indices rate</w:t>
            </w:r>
          </w:p>
        </w:tc>
        <w:tc>
          <w:tcPr>
            <w:tcW w:w="1134" w:type="dxa"/>
            <w:noWrap/>
            <w:hideMark/>
          </w:tcPr>
          <w:p w:rsidR="00E24D2F" w:rsidRPr="00D20F7C" w:rsidRDefault="00E24D2F" w:rsidP="00A91B6F">
            <w:pPr>
              <w:pStyle w:val="Tabletextright"/>
              <w:spacing w:before="30" w:after="30"/>
              <w:cnfStyle w:val="000000000000" w:firstRow="0" w:lastRow="0" w:firstColumn="0" w:lastColumn="0" w:oddVBand="0" w:evenVBand="0" w:oddHBand="0" w:evenHBand="0" w:firstRowFirstColumn="0" w:firstRowLastColumn="0" w:lastRowFirstColumn="0" w:lastRowLastColumn="0"/>
            </w:pPr>
            <w:r w:rsidRPr="00D20F7C">
              <w:t>1.0</w:t>
            </w:r>
            <w:r w:rsidR="00CB0777">
              <w:t>9</w:t>
            </w:r>
          </w:p>
        </w:tc>
        <w:tc>
          <w:tcPr>
            <w:tcW w:w="1215" w:type="dxa"/>
            <w:noWrap/>
            <w:hideMark/>
          </w:tcPr>
          <w:p w:rsidR="00E24D2F" w:rsidRPr="00D20F7C" w:rsidRDefault="00E24D2F" w:rsidP="00A91B6F">
            <w:pPr>
              <w:pStyle w:val="Tabletextright"/>
              <w:spacing w:before="30" w:after="30"/>
              <w:cnfStyle w:val="000000000000" w:firstRow="0" w:lastRow="0" w:firstColumn="0" w:lastColumn="0" w:oddVBand="0" w:evenVBand="0" w:oddHBand="0" w:evenHBand="0" w:firstRowFirstColumn="0" w:firstRowLastColumn="0" w:lastRowFirstColumn="0" w:lastRowLastColumn="0"/>
            </w:pPr>
            <w:r w:rsidRPr="00D20F7C">
              <w:t>1.</w:t>
            </w:r>
            <w:r w:rsidR="00CB0777">
              <w:t>11</w:t>
            </w:r>
          </w:p>
        </w:tc>
        <w:tc>
          <w:tcPr>
            <w:tcW w:w="1206" w:type="dxa"/>
            <w:noWrap/>
            <w:hideMark/>
          </w:tcPr>
          <w:p w:rsidR="00E24D2F" w:rsidRPr="00D20F7C" w:rsidRDefault="00E24D2F" w:rsidP="00A91B6F">
            <w:pPr>
              <w:pStyle w:val="Tabletextright"/>
              <w:spacing w:before="30" w:after="30"/>
              <w:cnfStyle w:val="000000000000" w:firstRow="0" w:lastRow="0" w:firstColumn="0" w:lastColumn="0" w:oddVBand="0" w:evenVBand="0" w:oddHBand="0" w:evenHBand="0" w:firstRowFirstColumn="0" w:firstRowLastColumn="0" w:lastRowFirstColumn="0" w:lastRowLastColumn="0"/>
            </w:pPr>
            <w:r w:rsidRPr="00D20F7C">
              <w:t>1.</w:t>
            </w:r>
            <w:r w:rsidR="00CB0777">
              <w:t>12</w:t>
            </w:r>
          </w:p>
        </w:tc>
        <w:tc>
          <w:tcPr>
            <w:tcW w:w="982" w:type="dxa"/>
            <w:noWrap/>
            <w:hideMark/>
          </w:tcPr>
          <w:p w:rsidR="00E24D2F" w:rsidRPr="00D20F7C" w:rsidRDefault="00E24D2F" w:rsidP="00A91B6F">
            <w:pPr>
              <w:pStyle w:val="Tabletextright"/>
              <w:spacing w:before="30" w:after="30"/>
              <w:cnfStyle w:val="000000000000" w:firstRow="0" w:lastRow="0" w:firstColumn="0" w:lastColumn="0" w:oddVBand="0" w:evenVBand="0" w:oddHBand="0" w:evenHBand="0" w:firstRowFirstColumn="0" w:firstRowLastColumn="0" w:lastRowFirstColumn="0" w:lastRowLastColumn="0"/>
            </w:pPr>
            <w:r w:rsidRPr="00D20F7C">
              <w:t>1.0</w:t>
            </w:r>
            <w:r w:rsidR="00CB0777">
              <w:t>8</w:t>
            </w:r>
          </w:p>
        </w:tc>
      </w:tr>
      <w:tr w:rsidR="003B0473" w:rsidRPr="00A60032" w:rsidTr="00E018C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11" w:type="dxa"/>
            <w:noWrap/>
            <w:hideMark/>
          </w:tcPr>
          <w:p w:rsidR="00E24D2F" w:rsidRPr="00D20F7C" w:rsidRDefault="00E24D2F" w:rsidP="00A91B6F">
            <w:pPr>
              <w:pStyle w:val="Tabletext"/>
              <w:spacing w:before="30" w:after="30"/>
            </w:pPr>
            <w:r w:rsidRPr="00D20F7C">
              <w:t xml:space="preserve">Valuation at 30 June </w:t>
            </w:r>
            <w:r w:rsidR="00432BB3">
              <w:t xml:space="preserve">Year 0: </w:t>
            </w:r>
            <w:r w:rsidRPr="00D20F7C">
              <w:t>$1,000</w:t>
            </w:r>
          </w:p>
        </w:tc>
        <w:tc>
          <w:tcPr>
            <w:tcW w:w="1134" w:type="dxa"/>
            <w:noWrap/>
            <w:hideMark/>
          </w:tcPr>
          <w:p w:rsidR="00E24D2F" w:rsidRPr="00D20F7C" w:rsidRDefault="00E24D2F" w:rsidP="0024557E">
            <w:pPr>
              <w:pStyle w:val="Tabletextright"/>
              <w:spacing w:before="30" w:after="30"/>
              <w:cnfStyle w:val="000000010000" w:firstRow="0" w:lastRow="0" w:firstColumn="0" w:lastColumn="0" w:oddVBand="0" w:evenVBand="0" w:oddHBand="0" w:evenHBand="1" w:firstRowFirstColumn="0" w:firstRowLastColumn="0" w:lastRowFirstColumn="0" w:lastRowLastColumn="0"/>
            </w:pPr>
            <w:r w:rsidRPr="00D20F7C">
              <w:t>1</w:t>
            </w:r>
            <w:r w:rsidR="0024557E">
              <w:t> </w:t>
            </w:r>
            <w:r w:rsidRPr="00D20F7C">
              <w:t>0</w:t>
            </w:r>
            <w:r w:rsidR="00CB0777">
              <w:t>9</w:t>
            </w:r>
            <w:r w:rsidRPr="00D20F7C">
              <w:t xml:space="preserve">0 </w:t>
            </w:r>
          </w:p>
        </w:tc>
        <w:tc>
          <w:tcPr>
            <w:tcW w:w="1215" w:type="dxa"/>
            <w:noWrap/>
            <w:hideMark/>
          </w:tcPr>
          <w:p w:rsidR="00E24D2F" w:rsidRPr="00D20F7C" w:rsidRDefault="00E24D2F" w:rsidP="0024557E">
            <w:pPr>
              <w:pStyle w:val="Tabletextright"/>
              <w:spacing w:before="30" w:after="30"/>
              <w:cnfStyle w:val="000000010000" w:firstRow="0" w:lastRow="0" w:firstColumn="0" w:lastColumn="0" w:oddVBand="0" w:evenVBand="0" w:oddHBand="0" w:evenHBand="1" w:firstRowFirstColumn="0" w:firstRowLastColumn="0" w:lastRowFirstColumn="0" w:lastRowLastColumn="0"/>
            </w:pPr>
            <w:r w:rsidRPr="00D20F7C">
              <w:t>1</w:t>
            </w:r>
            <w:r w:rsidR="0024557E">
              <w:t> </w:t>
            </w:r>
            <w:r w:rsidR="00CB0777">
              <w:t>210</w:t>
            </w:r>
            <w:r w:rsidRPr="00D20F7C">
              <w:t xml:space="preserve"> </w:t>
            </w:r>
          </w:p>
        </w:tc>
        <w:tc>
          <w:tcPr>
            <w:tcW w:w="1206" w:type="dxa"/>
            <w:noWrap/>
            <w:hideMark/>
          </w:tcPr>
          <w:p w:rsidR="00E24D2F" w:rsidRPr="00D20F7C" w:rsidRDefault="003B0473" w:rsidP="0024557E">
            <w:pPr>
              <w:pStyle w:val="Tabletextright"/>
              <w:spacing w:before="30" w:after="30"/>
              <w:cnfStyle w:val="000000010000" w:firstRow="0" w:lastRow="0" w:firstColumn="0" w:lastColumn="0" w:oddVBand="0" w:evenVBand="0" w:oddHBand="0" w:evenHBand="1" w:firstRowFirstColumn="0" w:firstRowLastColumn="0" w:lastRowFirstColumn="0" w:lastRowLastColumn="0"/>
            </w:pPr>
            <w:r>
              <w:t xml:space="preserve"> </w:t>
            </w:r>
            <w:r w:rsidR="00E24D2F" w:rsidRPr="00D20F7C">
              <w:t>1</w:t>
            </w:r>
            <w:r w:rsidR="0024557E">
              <w:t> </w:t>
            </w:r>
            <w:r w:rsidR="00CB0777">
              <w:t>355</w:t>
            </w:r>
            <w:r w:rsidR="00E24D2F" w:rsidRPr="00D20F7C">
              <w:t xml:space="preserve"> </w:t>
            </w:r>
          </w:p>
        </w:tc>
        <w:tc>
          <w:tcPr>
            <w:tcW w:w="982" w:type="dxa"/>
            <w:noWrap/>
            <w:hideMark/>
          </w:tcPr>
          <w:p w:rsidR="00E24D2F" w:rsidRPr="00D20F7C" w:rsidRDefault="00432BB3" w:rsidP="00A91B6F">
            <w:pPr>
              <w:pStyle w:val="Tabletextright"/>
              <w:spacing w:before="30" w:after="30"/>
              <w:cnfStyle w:val="000000010000" w:firstRow="0" w:lastRow="0" w:firstColumn="0" w:lastColumn="0" w:oddVBand="0" w:evenVBand="0" w:oddHBand="0" w:evenHBand="1" w:firstRowFirstColumn="0" w:firstRowLastColumn="0" w:lastRowFirstColumn="0" w:lastRowLastColumn="0"/>
            </w:pPr>
            <w:r>
              <w:t>Pending</w:t>
            </w:r>
            <w:r w:rsidRPr="005242F9">
              <w:rPr>
                <w:vertAlign w:val="superscript"/>
              </w:rPr>
              <w:t>3</w:t>
            </w:r>
            <w:r w:rsidR="005C50EC">
              <w:t xml:space="preserve"> </w:t>
            </w:r>
          </w:p>
        </w:tc>
      </w:tr>
      <w:tr w:rsidR="00432BB3" w:rsidRPr="00A60032" w:rsidTr="00E018C9">
        <w:trPr>
          <w:trHeight w:val="288"/>
        </w:trPr>
        <w:tc>
          <w:tcPr>
            <w:cnfStyle w:val="001000000000" w:firstRow="0" w:lastRow="0" w:firstColumn="1" w:lastColumn="0" w:oddVBand="0" w:evenVBand="0" w:oddHBand="0" w:evenHBand="0" w:firstRowFirstColumn="0" w:firstRowLastColumn="0" w:lastRowFirstColumn="0" w:lastRowLastColumn="0"/>
            <w:tcW w:w="4111" w:type="dxa"/>
            <w:noWrap/>
            <w:hideMark/>
          </w:tcPr>
          <w:p w:rsidR="00E24D2F" w:rsidRPr="00D20F7C" w:rsidRDefault="00E24D2F" w:rsidP="00A91B6F">
            <w:pPr>
              <w:pStyle w:val="Tabletext"/>
              <w:spacing w:before="30" w:after="30"/>
            </w:pPr>
            <w:r w:rsidRPr="00D20F7C">
              <w:t xml:space="preserve">Compounded indices rate since Year </w:t>
            </w:r>
            <w:r w:rsidR="00432BB3">
              <w:t>0</w:t>
            </w:r>
          </w:p>
        </w:tc>
        <w:tc>
          <w:tcPr>
            <w:tcW w:w="1134" w:type="dxa"/>
            <w:noWrap/>
            <w:hideMark/>
          </w:tcPr>
          <w:p w:rsidR="00E24D2F" w:rsidRPr="00D20F7C" w:rsidRDefault="00E24D2F" w:rsidP="00A91B6F">
            <w:pPr>
              <w:pStyle w:val="Tabletextright"/>
              <w:spacing w:before="30" w:after="30"/>
              <w:cnfStyle w:val="000000000000" w:firstRow="0" w:lastRow="0" w:firstColumn="0" w:lastColumn="0" w:oddVBand="0" w:evenVBand="0" w:oddHBand="0" w:evenHBand="0" w:firstRowFirstColumn="0" w:firstRowLastColumn="0" w:lastRowFirstColumn="0" w:lastRowLastColumn="0"/>
            </w:pPr>
            <w:r w:rsidRPr="00D20F7C">
              <w:t>1.0</w:t>
            </w:r>
            <w:r w:rsidR="00CB0777">
              <w:t>9</w:t>
            </w:r>
          </w:p>
        </w:tc>
        <w:tc>
          <w:tcPr>
            <w:tcW w:w="1215" w:type="dxa"/>
            <w:noWrap/>
            <w:hideMark/>
          </w:tcPr>
          <w:p w:rsidR="00E24D2F" w:rsidRPr="00D20F7C" w:rsidRDefault="00E24D2F" w:rsidP="00A91B6F">
            <w:pPr>
              <w:pStyle w:val="Tabletextright"/>
              <w:spacing w:before="30" w:after="30"/>
              <w:cnfStyle w:val="000000000000" w:firstRow="0" w:lastRow="0" w:firstColumn="0" w:lastColumn="0" w:oddVBand="0" w:evenVBand="0" w:oddHBand="0" w:evenHBand="0" w:firstRowFirstColumn="0" w:firstRowLastColumn="0" w:lastRowFirstColumn="0" w:lastRowLastColumn="0"/>
            </w:pPr>
            <w:r w:rsidRPr="00D20F7C">
              <w:t>1.</w:t>
            </w:r>
            <w:r w:rsidR="00CB0777">
              <w:t>21</w:t>
            </w:r>
          </w:p>
        </w:tc>
        <w:tc>
          <w:tcPr>
            <w:tcW w:w="1206" w:type="dxa"/>
            <w:noWrap/>
            <w:hideMark/>
          </w:tcPr>
          <w:p w:rsidR="00E24D2F" w:rsidRPr="00D20F7C" w:rsidRDefault="00E24D2F" w:rsidP="00A91B6F">
            <w:pPr>
              <w:pStyle w:val="Tabletextright"/>
              <w:spacing w:before="30" w:after="30"/>
              <w:cnfStyle w:val="000000000000" w:firstRow="0" w:lastRow="0" w:firstColumn="0" w:lastColumn="0" w:oddVBand="0" w:evenVBand="0" w:oddHBand="0" w:evenHBand="0" w:firstRowFirstColumn="0" w:firstRowLastColumn="0" w:lastRowFirstColumn="0" w:lastRowLastColumn="0"/>
            </w:pPr>
            <w:r w:rsidRPr="00D20F7C">
              <w:t>1.</w:t>
            </w:r>
            <w:r w:rsidR="00CB0777">
              <w:t>36</w:t>
            </w:r>
          </w:p>
        </w:tc>
        <w:tc>
          <w:tcPr>
            <w:tcW w:w="982" w:type="dxa"/>
            <w:noWrap/>
            <w:hideMark/>
          </w:tcPr>
          <w:p w:rsidR="00E24D2F" w:rsidRPr="00D20F7C" w:rsidRDefault="00E24D2F" w:rsidP="00A91B6F">
            <w:pPr>
              <w:pStyle w:val="Tabletextright"/>
              <w:spacing w:before="30" w:after="30"/>
              <w:cnfStyle w:val="000000000000" w:firstRow="0" w:lastRow="0" w:firstColumn="0" w:lastColumn="0" w:oddVBand="0" w:evenVBand="0" w:oddHBand="0" w:evenHBand="0" w:firstRowFirstColumn="0" w:firstRowLastColumn="0" w:lastRowFirstColumn="0" w:lastRowLastColumn="0"/>
            </w:pPr>
            <w:r w:rsidRPr="00D20F7C">
              <w:t>1.</w:t>
            </w:r>
            <w:r w:rsidR="00CB0777">
              <w:t>46</w:t>
            </w:r>
          </w:p>
        </w:tc>
      </w:tr>
      <w:tr w:rsidR="003B0473" w:rsidRPr="00A60032" w:rsidTr="00E018C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11" w:type="dxa"/>
            <w:noWrap/>
            <w:hideMark/>
          </w:tcPr>
          <w:p w:rsidR="00E24D2F" w:rsidRPr="00D20F7C" w:rsidRDefault="00E24D2F" w:rsidP="00A91B6F">
            <w:pPr>
              <w:pStyle w:val="Tabletext"/>
              <w:spacing w:before="30" w:after="30"/>
            </w:pPr>
            <w:r w:rsidRPr="00D20F7C">
              <w:t>Action required</w:t>
            </w:r>
          </w:p>
        </w:tc>
        <w:tc>
          <w:tcPr>
            <w:tcW w:w="1134" w:type="dxa"/>
            <w:noWrap/>
            <w:hideMark/>
          </w:tcPr>
          <w:p w:rsidR="00E24D2F" w:rsidRPr="00D20F7C" w:rsidRDefault="00CB0777" w:rsidP="00A91B6F">
            <w:pPr>
              <w:pStyle w:val="Tabletext"/>
              <w:spacing w:before="30" w:after="30"/>
              <w:cnfStyle w:val="000000010000" w:firstRow="0" w:lastRow="0" w:firstColumn="0" w:lastColumn="0" w:oddVBand="0" w:evenVBand="0" w:oddHBand="0" w:evenHBand="1" w:firstRowFirstColumn="0" w:firstRowLastColumn="0" w:lastRowFirstColumn="0" w:lastRowLastColumn="0"/>
            </w:pPr>
            <w:r>
              <w:t>None</w:t>
            </w:r>
            <w:r w:rsidR="00432BB3" w:rsidRPr="005242F9">
              <w:rPr>
                <w:vertAlign w:val="superscript"/>
              </w:rPr>
              <w:t>1</w:t>
            </w:r>
          </w:p>
        </w:tc>
        <w:tc>
          <w:tcPr>
            <w:tcW w:w="1215" w:type="dxa"/>
            <w:noWrap/>
            <w:hideMark/>
          </w:tcPr>
          <w:p w:rsidR="00E24D2F" w:rsidRPr="00D20F7C" w:rsidRDefault="00E24D2F" w:rsidP="00A91B6F">
            <w:pPr>
              <w:pStyle w:val="Tabletext"/>
              <w:spacing w:before="30" w:after="30"/>
              <w:cnfStyle w:val="000000010000" w:firstRow="0" w:lastRow="0" w:firstColumn="0" w:lastColumn="0" w:oddVBand="0" w:evenVBand="0" w:oddHBand="0" w:evenHBand="1" w:firstRowFirstColumn="0" w:firstRowLastColumn="0" w:lastRowFirstColumn="0" w:lastRowLastColumn="0"/>
            </w:pPr>
            <w:r w:rsidRPr="00D20F7C">
              <w:t>Managerial</w:t>
            </w:r>
            <w:r w:rsidR="00432BB3" w:rsidRPr="005242F9">
              <w:rPr>
                <w:vertAlign w:val="superscript"/>
              </w:rPr>
              <w:t>2</w:t>
            </w:r>
          </w:p>
        </w:tc>
        <w:tc>
          <w:tcPr>
            <w:tcW w:w="1206" w:type="dxa"/>
            <w:noWrap/>
            <w:hideMark/>
          </w:tcPr>
          <w:p w:rsidR="00E24D2F" w:rsidRPr="00D20F7C" w:rsidRDefault="007E6207" w:rsidP="00A91B6F">
            <w:pPr>
              <w:pStyle w:val="Tabletext"/>
              <w:spacing w:before="30" w:after="30"/>
              <w:cnfStyle w:val="000000010000" w:firstRow="0" w:lastRow="0" w:firstColumn="0" w:lastColumn="0" w:oddVBand="0" w:evenVBand="0" w:oddHBand="0" w:evenHBand="1" w:firstRowFirstColumn="0" w:firstRowLastColumn="0" w:lastRowFirstColumn="0" w:lastRowLastColumn="0"/>
            </w:pPr>
            <w:r w:rsidRPr="00D20F7C">
              <w:t>Managerial</w:t>
            </w:r>
            <w:r w:rsidR="00432BB3" w:rsidRPr="00A65CD3">
              <w:rPr>
                <w:vertAlign w:val="superscript"/>
              </w:rPr>
              <w:t>2</w:t>
            </w:r>
          </w:p>
        </w:tc>
        <w:tc>
          <w:tcPr>
            <w:tcW w:w="982" w:type="dxa"/>
            <w:noWrap/>
            <w:hideMark/>
          </w:tcPr>
          <w:p w:rsidR="00E24D2F" w:rsidRPr="00D20F7C" w:rsidRDefault="007E6207" w:rsidP="00A91B6F">
            <w:pPr>
              <w:pStyle w:val="Tabletext"/>
              <w:spacing w:before="30" w:after="30"/>
              <w:cnfStyle w:val="000000010000" w:firstRow="0" w:lastRow="0" w:firstColumn="0" w:lastColumn="0" w:oddVBand="0" w:evenVBand="0" w:oddHBand="0" w:evenHBand="1" w:firstRowFirstColumn="0" w:firstRowLastColumn="0" w:lastRowFirstColumn="0" w:lastRowLastColumn="0"/>
            </w:pPr>
            <w:r>
              <w:t>Formal</w:t>
            </w:r>
            <w:r w:rsidR="00432BB3" w:rsidRPr="005242F9">
              <w:rPr>
                <w:vertAlign w:val="superscript"/>
              </w:rPr>
              <w:t>3</w:t>
            </w:r>
          </w:p>
        </w:tc>
      </w:tr>
    </w:tbl>
    <w:p w:rsidR="003A48E8" w:rsidRDefault="003B7EFE" w:rsidP="00E018C9">
      <w:pPr>
        <w:pStyle w:val="NewsletterNote"/>
        <w:numPr>
          <w:ilvl w:val="0"/>
          <w:numId w:val="41"/>
        </w:numPr>
        <w:ind w:left="873"/>
      </w:pPr>
      <w:r w:rsidRPr="00D20F7C">
        <w:t xml:space="preserve">No action </w:t>
      </w:r>
      <w:r w:rsidR="00B83CF6">
        <w:t>is required</w:t>
      </w:r>
      <w:r w:rsidRPr="00D20F7C">
        <w:t xml:space="preserve"> as </w:t>
      </w:r>
      <w:r w:rsidR="00B83CF6">
        <w:t>th</w:t>
      </w:r>
      <w:r w:rsidR="007B12D3">
        <w:t>ere</w:t>
      </w:r>
      <w:r w:rsidR="00B83CF6">
        <w:t xml:space="preserve"> is only a </w:t>
      </w:r>
      <w:r w:rsidR="00432BB3">
        <w:t>9</w:t>
      </w:r>
      <w:r w:rsidR="0024557E">
        <w:t xml:space="preserve"> per cent</w:t>
      </w:r>
      <w:r w:rsidRPr="00D20F7C">
        <w:t xml:space="preserve"> increase from the last valuation.</w:t>
      </w:r>
    </w:p>
    <w:p w:rsidR="00432BB3" w:rsidRPr="00001008" w:rsidRDefault="00432BB3" w:rsidP="00E018C9">
      <w:pPr>
        <w:pStyle w:val="NewsletterNote"/>
        <w:numPr>
          <w:ilvl w:val="0"/>
          <w:numId w:val="41"/>
        </w:numPr>
        <w:ind w:left="873"/>
      </w:pPr>
      <w:r w:rsidRPr="00001008">
        <w:t xml:space="preserve">Managerial valuation is required as there is </w:t>
      </w:r>
      <w:r w:rsidR="006F412C" w:rsidRPr="00001008">
        <w:t xml:space="preserve">a </w:t>
      </w:r>
      <w:r w:rsidRPr="00001008">
        <w:t>more than 10</w:t>
      </w:r>
      <w:r w:rsidR="0024557E" w:rsidRPr="00001008">
        <w:t xml:space="preserve"> per cent </w:t>
      </w:r>
      <w:r w:rsidRPr="00001008">
        <w:t xml:space="preserve">increase </w:t>
      </w:r>
      <w:r w:rsidR="00733E51" w:rsidRPr="00001008">
        <w:t>since</w:t>
      </w:r>
      <w:r w:rsidRPr="00001008">
        <w:t xml:space="preserve"> the </w:t>
      </w:r>
      <w:r w:rsidR="00733E51" w:rsidRPr="00001008">
        <w:t xml:space="preserve">last scheduled, interim or managerial revaluation (whichever is the </w:t>
      </w:r>
      <w:r w:rsidRPr="00001008">
        <w:t>most recent</w:t>
      </w:r>
      <w:r w:rsidR="00733E51" w:rsidRPr="00001008">
        <w:t>)</w:t>
      </w:r>
      <w:r w:rsidRPr="00001008">
        <w:t xml:space="preserve"> but less than 40</w:t>
      </w:r>
      <w:r w:rsidR="0024557E" w:rsidRPr="00001008">
        <w:t xml:space="preserve"> per cent</w:t>
      </w:r>
      <w:r w:rsidRPr="00001008">
        <w:t xml:space="preserve"> increase from the last formal revaluation.</w:t>
      </w:r>
    </w:p>
    <w:p w:rsidR="00432BB3" w:rsidRDefault="00432BB3" w:rsidP="00E018C9">
      <w:pPr>
        <w:pStyle w:val="NewsletterNote"/>
        <w:numPr>
          <w:ilvl w:val="0"/>
          <w:numId w:val="41"/>
        </w:numPr>
        <w:ind w:left="873"/>
      </w:pPr>
      <w:r w:rsidRPr="00001008">
        <w:t xml:space="preserve">Formal revaluation is required as there is </w:t>
      </w:r>
      <w:r w:rsidR="006F412C" w:rsidRPr="00001008">
        <w:t xml:space="preserve">a </w:t>
      </w:r>
      <w:r w:rsidRPr="00001008">
        <w:t>more than 40</w:t>
      </w:r>
      <w:r w:rsidR="0024557E" w:rsidRPr="00001008">
        <w:t xml:space="preserve"> per cent</w:t>
      </w:r>
      <w:r w:rsidRPr="00001008">
        <w:t xml:space="preserve"> increase since last formal revaluation.</w:t>
      </w:r>
    </w:p>
    <w:p w:rsidR="00C96F5F" w:rsidRDefault="00C96F5F" w:rsidP="00E018C9">
      <w:pPr>
        <w:pStyle w:val="NormalIndent"/>
      </w:pPr>
      <w:r w:rsidRPr="00C74692">
        <w:t xml:space="preserve">If an adjustment to the asset’s fair value is triggered, entities </w:t>
      </w:r>
      <w:r w:rsidRPr="00D302E8">
        <w:t>should ensure they adjust the book value of the asset by the appropriate indexation factor before adjusting for depreciation. Note that this process should be performe</w:t>
      </w:r>
      <w:r w:rsidRPr="00AB62B9">
        <w:t>d on a</w:t>
      </w:r>
      <w:r w:rsidR="00B83CF6">
        <w:t>n</w:t>
      </w:r>
      <w:r w:rsidRPr="00AB62B9">
        <w:t xml:space="preserve"> </w:t>
      </w:r>
      <w:r w:rsidR="00B83CF6">
        <w:t>asset</w:t>
      </w:r>
      <w:r w:rsidR="005C50EC">
        <w:noBreakHyphen/>
      </w:r>
      <w:r w:rsidRPr="00AB62B9">
        <w:t>by</w:t>
      </w:r>
      <w:r w:rsidR="005C50EC">
        <w:noBreakHyphen/>
      </w:r>
      <w:r w:rsidR="00B83CF6">
        <w:t>asset</w:t>
      </w:r>
      <w:r w:rsidRPr="00AB62B9">
        <w:t xml:space="preserve"> basis, as the level of depreciation may vary for different types of assets.</w:t>
      </w:r>
    </w:p>
    <w:p w:rsidR="00001008" w:rsidRPr="000D72EA" w:rsidRDefault="00001008" w:rsidP="00001008">
      <w:pPr>
        <w:pStyle w:val="NewsletterNote"/>
      </w:pPr>
    </w:p>
    <w:p w:rsidR="00C34A9C" w:rsidRPr="00D20F7C" w:rsidRDefault="001012CC" w:rsidP="007D03CC">
      <w:pPr>
        <w:pStyle w:val="Heading3"/>
      </w:pPr>
      <w:r w:rsidRPr="00D20F7C">
        <w:t>R</w:t>
      </w:r>
      <w:r w:rsidR="00A14464" w:rsidRPr="00D20F7C">
        <w:t>eclassif</w:t>
      </w:r>
      <w:r w:rsidRPr="00D20F7C">
        <w:t>ication of</w:t>
      </w:r>
      <w:r w:rsidR="00A14464" w:rsidRPr="00D20F7C">
        <w:t xml:space="preserve"> non</w:t>
      </w:r>
      <w:r w:rsidR="005C50EC">
        <w:noBreakHyphen/>
      </w:r>
      <w:r w:rsidR="00A14464" w:rsidRPr="00D20F7C">
        <w:t xml:space="preserve">financial </w:t>
      </w:r>
      <w:r w:rsidR="00706CE9" w:rsidRPr="00D20F7C">
        <w:t xml:space="preserve">physical </w:t>
      </w:r>
      <w:r w:rsidR="00A14464" w:rsidRPr="00D20F7C">
        <w:t>a</w:t>
      </w:r>
      <w:r w:rsidR="00C34A9C" w:rsidRPr="00D20F7C">
        <w:t xml:space="preserve">ssets </w:t>
      </w:r>
      <w:r w:rsidR="00A14464" w:rsidRPr="00D20F7C">
        <w:t>as ‘</w:t>
      </w:r>
      <w:r w:rsidR="00C34A9C" w:rsidRPr="00D20F7C">
        <w:t>held for sale</w:t>
      </w:r>
      <w:r w:rsidR="00A14464" w:rsidRPr="00D20F7C">
        <w:t>’</w:t>
      </w:r>
    </w:p>
    <w:p w:rsidR="00A91295" w:rsidRDefault="00A91295" w:rsidP="00EA6BBD">
      <w:r>
        <w:t xml:space="preserve">Assets are considered to be ‘surplus’ when they no longer contribute to an entity’s current or future service delivery needs. When approval has been sought from the relevant authority to sell or transfer the surplus asset, entities can engage the assistance of the DTF Commercial team to seek a suitable sale or transfer plan. </w:t>
      </w:r>
    </w:p>
    <w:p w:rsidR="00A91295" w:rsidRDefault="00A91295" w:rsidP="00A91295">
      <w:r>
        <w:t>During this process, the surplus asset remains an asset of the entity that continues to be recognised in their financial statements. As a result, entities need to determine whether the surplus asset should be reclassified in accordance with relevant accounting standards.</w:t>
      </w:r>
    </w:p>
    <w:p w:rsidR="00C34A9C" w:rsidRDefault="00A91295" w:rsidP="00EA6BBD">
      <w:r w:rsidRPr="00204B52">
        <w:t xml:space="preserve">DTF has developed a checklist </w:t>
      </w:r>
      <w:r w:rsidR="002B36A4" w:rsidRPr="00204B52">
        <w:t>and accompan</w:t>
      </w:r>
      <w:r w:rsidR="00DF694B" w:rsidRPr="00204B52">
        <w:t>ying</w:t>
      </w:r>
      <w:r w:rsidR="002B36A4" w:rsidRPr="00204B52">
        <w:t xml:space="preserve"> guidance </w:t>
      </w:r>
      <w:r w:rsidRPr="00204B52">
        <w:t>to assist VPS entities in determining when to reclassify surplus non</w:t>
      </w:r>
      <w:r w:rsidR="005C50EC">
        <w:noBreakHyphen/>
      </w:r>
      <w:r w:rsidRPr="00204B52">
        <w:t xml:space="preserve">financial physical assets as </w:t>
      </w:r>
      <w:r w:rsidR="00FF5BC2" w:rsidRPr="00204B52">
        <w:t>‘</w:t>
      </w:r>
      <w:r w:rsidRPr="00204B52">
        <w:t>held for sale</w:t>
      </w:r>
      <w:r w:rsidR="00FF5BC2" w:rsidRPr="00204B52">
        <w:t>’</w:t>
      </w:r>
      <w:r w:rsidRPr="00204B52">
        <w:t xml:space="preserve"> in compliance with the requirements of </w:t>
      </w:r>
      <w:r w:rsidR="00E018C9">
        <w:t>AASB </w:t>
      </w:r>
      <w:r w:rsidRPr="00204B52">
        <w:t xml:space="preserve">5 </w:t>
      </w:r>
      <w:r w:rsidRPr="00204B52">
        <w:rPr>
          <w:i/>
        </w:rPr>
        <w:t>Non</w:t>
      </w:r>
      <w:r w:rsidR="005C50EC">
        <w:rPr>
          <w:i/>
        </w:rPr>
        <w:noBreakHyphen/>
      </w:r>
      <w:r w:rsidRPr="00204B52">
        <w:rPr>
          <w:i/>
        </w:rPr>
        <w:t>current Assets Held for Sale and Discontinued Operations</w:t>
      </w:r>
      <w:r w:rsidR="002B36A4" w:rsidRPr="00204B52">
        <w:t xml:space="preserve">, which </w:t>
      </w:r>
      <w:r w:rsidR="00C5083F">
        <w:t>will be</w:t>
      </w:r>
      <w:r w:rsidR="002B36A4" w:rsidRPr="00204B52">
        <w:t xml:space="preserve"> available </w:t>
      </w:r>
      <w:r w:rsidR="00D70446" w:rsidRPr="00204B52">
        <w:t xml:space="preserve">in the Financial Reporting Policy </w:t>
      </w:r>
      <w:r w:rsidR="00204B52" w:rsidRPr="00204B52">
        <w:t xml:space="preserve">section of the </w:t>
      </w:r>
      <w:r w:rsidRPr="00204B52">
        <w:t>DTF</w:t>
      </w:r>
      <w:r w:rsidR="002B36A4" w:rsidRPr="00204B52">
        <w:t>’s</w:t>
      </w:r>
      <w:r w:rsidRPr="00204B52">
        <w:t xml:space="preserve"> website</w:t>
      </w:r>
      <w:r w:rsidR="00C5083F">
        <w:t xml:space="preserve"> in the coming weeks</w:t>
      </w:r>
      <w:r w:rsidR="002B36A4" w:rsidRPr="00204B52">
        <w:t>.</w:t>
      </w:r>
    </w:p>
    <w:p w:rsidR="00393EBC" w:rsidRPr="00D20F7C" w:rsidRDefault="004036EB" w:rsidP="007D03CC">
      <w:pPr>
        <w:pStyle w:val="Heading3"/>
      </w:pPr>
      <w:r w:rsidRPr="00D20F7C">
        <w:t xml:space="preserve">VPS </w:t>
      </w:r>
      <w:r w:rsidR="00A3484B">
        <w:t>o</w:t>
      </w:r>
      <w:r w:rsidRPr="00D20F7C">
        <w:t xml:space="preserve">perating </w:t>
      </w:r>
      <w:r w:rsidR="00A3484B">
        <w:t>m</w:t>
      </w:r>
      <w:r w:rsidRPr="00D20F7C">
        <w:t xml:space="preserve">anual on </w:t>
      </w:r>
      <w:r w:rsidR="00A3484B">
        <w:t>m</w:t>
      </w:r>
      <w:r w:rsidRPr="00D20F7C">
        <w:t xml:space="preserve">achinery of </w:t>
      </w:r>
      <w:r w:rsidR="00A3484B">
        <w:t>g</w:t>
      </w:r>
      <w:r w:rsidRPr="00D20F7C">
        <w:t xml:space="preserve">overnment </w:t>
      </w:r>
      <w:r w:rsidR="00A3484B">
        <w:t>c</w:t>
      </w:r>
      <w:r w:rsidR="00393EBC" w:rsidRPr="00D20F7C">
        <w:t>hanges</w:t>
      </w:r>
    </w:p>
    <w:p w:rsidR="004036EB" w:rsidRDefault="006E57A8" w:rsidP="00393EBC">
      <w:r w:rsidRPr="00D20F7C">
        <w:t xml:space="preserve">The </w:t>
      </w:r>
      <w:r w:rsidR="004036EB" w:rsidRPr="004036EB">
        <w:rPr>
          <w:i/>
        </w:rPr>
        <w:t xml:space="preserve">VPS </w:t>
      </w:r>
      <w:r w:rsidR="00A3484B">
        <w:rPr>
          <w:i/>
        </w:rPr>
        <w:t>o</w:t>
      </w:r>
      <w:r w:rsidR="004036EB" w:rsidRPr="004036EB">
        <w:rPr>
          <w:i/>
        </w:rPr>
        <w:t xml:space="preserve">perating </w:t>
      </w:r>
      <w:r w:rsidR="00A3484B">
        <w:rPr>
          <w:i/>
        </w:rPr>
        <w:t>m</w:t>
      </w:r>
      <w:r w:rsidR="004036EB" w:rsidRPr="004036EB">
        <w:rPr>
          <w:i/>
        </w:rPr>
        <w:t xml:space="preserve">anual on </w:t>
      </w:r>
      <w:r w:rsidR="00A3484B">
        <w:rPr>
          <w:i/>
        </w:rPr>
        <w:t>m</w:t>
      </w:r>
      <w:r w:rsidR="004036EB" w:rsidRPr="004036EB">
        <w:rPr>
          <w:i/>
        </w:rPr>
        <w:t xml:space="preserve">achinery of </w:t>
      </w:r>
      <w:r w:rsidR="00A3484B">
        <w:rPr>
          <w:i/>
        </w:rPr>
        <w:t>g</w:t>
      </w:r>
      <w:r w:rsidR="004036EB" w:rsidRPr="004036EB">
        <w:rPr>
          <w:i/>
        </w:rPr>
        <w:t xml:space="preserve">overnment </w:t>
      </w:r>
      <w:r w:rsidR="00A3484B">
        <w:rPr>
          <w:i/>
        </w:rPr>
        <w:t>c</w:t>
      </w:r>
      <w:r w:rsidR="004036EB" w:rsidRPr="004036EB">
        <w:rPr>
          <w:i/>
        </w:rPr>
        <w:t>hanges</w:t>
      </w:r>
      <w:r w:rsidR="004036EB">
        <w:t xml:space="preserve"> </w:t>
      </w:r>
      <w:r w:rsidR="002B36A4">
        <w:t xml:space="preserve">was </w:t>
      </w:r>
      <w:r w:rsidR="004036EB">
        <w:t xml:space="preserve">published </w:t>
      </w:r>
      <w:r w:rsidR="002B36A4">
        <w:t xml:space="preserve">in the </w:t>
      </w:r>
      <w:r w:rsidR="00E97E85">
        <w:t xml:space="preserve">Government Financial Management area of </w:t>
      </w:r>
      <w:r w:rsidR="004036EB">
        <w:t>DTF</w:t>
      </w:r>
      <w:r w:rsidR="00725098">
        <w:t>’s</w:t>
      </w:r>
      <w:r w:rsidR="004036EB">
        <w:t xml:space="preserve"> website</w:t>
      </w:r>
      <w:r>
        <w:t xml:space="preserve"> in October 2016</w:t>
      </w:r>
      <w:r w:rsidR="004036EB">
        <w:t xml:space="preserve">. </w:t>
      </w:r>
      <w:r w:rsidR="004036EB" w:rsidRPr="004036EB">
        <w:t>Th</w:t>
      </w:r>
      <w:r w:rsidR="00386AA8">
        <w:t>e</w:t>
      </w:r>
      <w:r w:rsidR="004036EB" w:rsidRPr="004036EB">
        <w:t xml:space="preserve"> manual provides a comprehensive source of guidance to assist departments in implementing machinery of government changes. </w:t>
      </w:r>
    </w:p>
    <w:p w:rsidR="004036EB" w:rsidRDefault="004036EB" w:rsidP="00393EBC">
      <w:r w:rsidRPr="004036EB">
        <w:t xml:space="preserve">The </w:t>
      </w:r>
      <w:r>
        <w:t>manual</w:t>
      </w:r>
      <w:r w:rsidRPr="004036EB">
        <w:t xml:space="preserve"> relates primarily to transfers of responsibilities and people between Victorian government departments under the </w:t>
      </w:r>
      <w:r w:rsidRPr="004036EB">
        <w:rPr>
          <w:i/>
        </w:rPr>
        <w:t>Administrative Arrangements Act 1983</w:t>
      </w:r>
      <w:r w:rsidRPr="004036EB">
        <w:t xml:space="preserve">, the </w:t>
      </w:r>
      <w:r w:rsidRPr="004036EB">
        <w:rPr>
          <w:i/>
        </w:rPr>
        <w:t>Public Administration Act 2004</w:t>
      </w:r>
      <w:r w:rsidRPr="004036EB">
        <w:t xml:space="preserve"> and the </w:t>
      </w:r>
      <w:r w:rsidRPr="004036EB">
        <w:rPr>
          <w:i/>
        </w:rPr>
        <w:t>Financial Management Act 1994</w:t>
      </w:r>
      <w:r w:rsidRPr="004036EB">
        <w:t xml:space="preserve">. </w:t>
      </w:r>
      <w:r>
        <w:t>It</w:t>
      </w:r>
      <w:r w:rsidRPr="004036EB">
        <w:t xml:space="preserve"> also covers changes in portfolio responsibilities for non</w:t>
      </w:r>
      <w:r w:rsidR="005C50EC">
        <w:noBreakHyphen/>
      </w:r>
      <w:r w:rsidRPr="004036EB">
        <w:t>departmental entities including the related impacts on the relationship between a relevant department and a government</w:t>
      </w:r>
      <w:r w:rsidR="005C50EC">
        <w:noBreakHyphen/>
      </w:r>
      <w:r w:rsidRPr="004036EB">
        <w:t>controlled agency, and the accounting for the investment in that entity regardless of whether or not the agency is directly involved in the transfer of departmental functions.</w:t>
      </w:r>
      <w:r>
        <w:t xml:space="preserve"> In addition, s</w:t>
      </w:r>
      <w:r w:rsidRPr="004036EB">
        <w:t>ample documents have been provided to assist departments in the planning and execution of what can be complex movements of functions and responsibilities between departments and their portfolio agencies.</w:t>
      </w:r>
    </w:p>
    <w:p w:rsidR="00E018C9" w:rsidRDefault="00E018C9">
      <w:pPr>
        <w:spacing w:before="0" w:after="200"/>
        <w:rPr>
          <w:rFonts w:asciiTheme="majorHAnsi" w:eastAsiaTheme="majorEastAsia" w:hAnsiTheme="majorHAnsi" w:cstheme="majorBidi"/>
          <w:b/>
          <w:bCs/>
          <w:color w:val="0063A6" w:themeColor="accent1"/>
          <w:sz w:val="24"/>
          <w:szCs w:val="24"/>
        </w:rPr>
      </w:pPr>
      <w:r>
        <w:br w:type="page"/>
      </w:r>
    </w:p>
    <w:p w:rsidR="008B69EC" w:rsidRDefault="00D30DB3" w:rsidP="00CF46D0">
      <w:pPr>
        <w:pStyle w:val="Heading2"/>
      </w:pPr>
      <w:r>
        <w:lastRenderedPageBreak/>
        <w:t>Financial reporting d</w:t>
      </w:r>
      <w:r w:rsidR="001012CC">
        <w:t xml:space="preserve">irections </w:t>
      </w:r>
      <w:r w:rsidR="00CB23CC" w:rsidRPr="00E36F59">
        <w:t>and guidance notes</w:t>
      </w:r>
    </w:p>
    <w:p w:rsidR="00EE4DDF" w:rsidRDefault="00EE4DDF" w:rsidP="00EA6BBD">
      <w:r>
        <w:t>Since the last newsletter,</w:t>
      </w:r>
      <w:r w:rsidR="00E97E85">
        <w:t xml:space="preserve"> </w:t>
      </w:r>
      <w:r>
        <w:t xml:space="preserve">FRD 25C </w:t>
      </w:r>
      <w:r w:rsidRPr="00EE4DDF">
        <w:rPr>
          <w:i/>
        </w:rPr>
        <w:t>Local Jobs First – Victorian Industry Participation Policy</w:t>
      </w:r>
      <w:r>
        <w:t xml:space="preserve"> </w:t>
      </w:r>
      <w:r w:rsidR="001012CC">
        <w:t>(VIPP)</w:t>
      </w:r>
      <w:r>
        <w:t xml:space="preserve"> has been updated to reflect reporting outcomes endorsed by Cabinet in July 2016 as a result of a review performed by the Department of Economic Development, Jobs, Transport and Resources. The review examined how VIPP is applied across government and sought to identify ways to maximise opportunities for local small and medium enterprises and reduce red t</w:t>
      </w:r>
      <w:r w:rsidR="001012CC">
        <w:t>ape</w:t>
      </w:r>
      <w:r>
        <w:t xml:space="preserve">. </w:t>
      </w:r>
      <w:r w:rsidR="00E97E85">
        <w:t xml:space="preserve">The </w:t>
      </w:r>
      <w:r w:rsidR="00724523">
        <w:t>revise</w:t>
      </w:r>
      <w:r w:rsidR="00E97E85">
        <w:t>d FRD 25C is applicable</w:t>
      </w:r>
      <w:r w:rsidR="00AF1B58">
        <w:t xml:space="preserve"> </w:t>
      </w:r>
      <w:r w:rsidR="00724523">
        <w:t>from 1 July 2016</w:t>
      </w:r>
      <w:r w:rsidR="001A21F2">
        <w:t>, and th</w:t>
      </w:r>
      <w:r>
        <w:t xml:space="preserve">e key changes include: </w:t>
      </w:r>
    </w:p>
    <w:p w:rsidR="00EE4DDF" w:rsidRPr="00EE4DDF" w:rsidRDefault="00EE4DDF" w:rsidP="00C53BA6">
      <w:pPr>
        <w:pStyle w:val="Bullet1"/>
      </w:pPr>
      <w:r w:rsidRPr="00EE4DDF">
        <w:t>the introduction of a minimum 10 per cent formal weighting for local content when evaluating tenders for Local Jobs First</w:t>
      </w:r>
      <w:r w:rsidR="003B0473">
        <w:t xml:space="preserve"> – </w:t>
      </w:r>
      <w:r w:rsidRPr="00EE4DDF">
        <w:t>VIPP applicable projects, to be applied for all contracts commencing on or after</w:t>
      </w:r>
      <w:r w:rsidR="000136CE">
        <w:t xml:space="preserve"> </w:t>
      </w:r>
      <w:r w:rsidR="00EA6BBD">
        <w:t>1 </w:t>
      </w:r>
      <w:r w:rsidRPr="00EE4DDF">
        <w:t xml:space="preserve">September 2016; </w:t>
      </w:r>
    </w:p>
    <w:p w:rsidR="00EE4DDF" w:rsidRPr="00EE4DDF" w:rsidRDefault="00EE4DDF" w:rsidP="00C53BA6">
      <w:pPr>
        <w:pStyle w:val="Bullet1"/>
      </w:pPr>
      <w:r w:rsidRPr="00EE4DDF">
        <w:t xml:space="preserve">rebranding of the VIPP to </w:t>
      </w:r>
      <w:r w:rsidR="001E0196">
        <w:t>‘</w:t>
      </w:r>
      <w:r w:rsidRPr="00EE4DDF">
        <w:t>Local Jobs First</w:t>
      </w:r>
      <w:r w:rsidR="001E0196">
        <w:t>’</w:t>
      </w:r>
      <w:r w:rsidRPr="00EE4DDF">
        <w:t xml:space="preserve"> to sit alongside the legislative VIPP brand; and </w:t>
      </w:r>
    </w:p>
    <w:p w:rsidR="00EE4DDF" w:rsidRPr="00EE4DDF" w:rsidRDefault="00EE4DDF" w:rsidP="00C53BA6">
      <w:pPr>
        <w:pStyle w:val="Bullet1"/>
      </w:pPr>
      <w:r w:rsidRPr="00EE4DDF">
        <w:t>removal of the requirement to report on skills/technology transfer outcomes for contracts commenced or completed during the reporting period</w:t>
      </w:r>
      <w:r w:rsidR="003B0473">
        <w:t xml:space="preserve">. </w:t>
      </w:r>
    </w:p>
    <w:p w:rsidR="00F57D07" w:rsidRDefault="001A21F2" w:rsidP="00EA6BBD">
      <w:r>
        <w:t xml:space="preserve">Other proposed </w:t>
      </w:r>
      <w:r w:rsidR="00F57D07">
        <w:t xml:space="preserve">FRD </w:t>
      </w:r>
      <w:r>
        <w:t>changes</w:t>
      </w:r>
      <w:r w:rsidR="00E97E85">
        <w:t xml:space="preserve"> app</w:t>
      </w:r>
      <w:r w:rsidR="00A47208">
        <w:t>l</w:t>
      </w:r>
      <w:r w:rsidR="00E97E85">
        <w:t xml:space="preserve">icable </w:t>
      </w:r>
      <w:r w:rsidR="00EE4DDF">
        <w:t>to the 2016</w:t>
      </w:r>
      <w:r w:rsidR="005C50EC">
        <w:noBreakHyphen/>
      </w:r>
      <w:r w:rsidR="00EE4DDF">
        <w:t>17 reporting period</w:t>
      </w:r>
      <w:r w:rsidR="00F57D07">
        <w:t xml:space="preserve"> include:</w:t>
      </w:r>
    </w:p>
    <w:p w:rsidR="00F57D07" w:rsidRPr="00EE4DDF" w:rsidRDefault="00F57D07" w:rsidP="00001008">
      <w:pPr>
        <w:pStyle w:val="Bullet1"/>
      </w:pPr>
      <w:r w:rsidRPr="00EE4DDF">
        <w:t>FRD 15C Executive officer disclosures in the Report of Operations</w:t>
      </w:r>
      <w:r>
        <w:t xml:space="preserve">; </w:t>
      </w:r>
    </w:p>
    <w:p w:rsidR="00F57D07" w:rsidRPr="00EE4DDF" w:rsidRDefault="00F57D07" w:rsidP="00C53BA6">
      <w:pPr>
        <w:pStyle w:val="Bullet1"/>
      </w:pPr>
      <w:r w:rsidRPr="00EE4DDF">
        <w:t>FRD 21B Disclosures of responsible persons, executive officers and other personnel in the financial report</w:t>
      </w:r>
      <w:r w:rsidRPr="00BC003D">
        <w:t>; and</w:t>
      </w:r>
      <w:r>
        <w:t xml:space="preserve"> </w:t>
      </w:r>
    </w:p>
    <w:p w:rsidR="00F57D07" w:rsidRPr="00EE4DDF" w:rsidRDefault="00F57D07" w:rsidP="00C53BA6">
      <w:pPr>
        <w:pStyle w:val="Bullet1"/>
      </w:pPr>
      <w:r w:rsidRPr="00EE4DDF">
        <w:t>FRD 29A Workforce data disclosures in the Report of Operations – Public Service Employees</w:t>
      </w:r>
      <w:r>
        <w:t>.</w:t>
      </w:r>
    </w:p>
    <w:p w:rsidR="00EE4DDF" w:rsidRPr="00874F40" w:rsidRDefault="00EE4DDF" w:rsidP="00EE4DDF">
      <w:pPr>
        <w:rPr>
          <w:highlight w:val="yellow"/>
        </w:rPr>
      </w:pPr>
      <w:r>
        <w:t xml:space="preserve">Revisions to these FRDs </w:t>
      </w:r>
      <w:r w:rsidR="00E97E85">
        <w:t>will</w:t>
      </w:r>
      <w:r>
        <w:t xml:space="preserve"> align the definition of ‘remuneration’ with AASB 124 </w:t>
      </w:r>
      <w:r w:rsidRPr="001725F4">
        <w:rPr>
          <w:i/>
        </w:rPr>
        <w:t>Related Party Disclosures</w:t>
      </w:r>
      <w:r>
        <w:t xml:space="preserve"> and the remuneration banding for executive officers</w:t>
      </w:r>
      <w:r w:rsidR="00E97E85">
        <w:t xml:space="preserve"> will be expanded to </w:t>
      </w:r>
      <w:r w:rsidR="00AF1B58">
        <w:t>reflect the five disclosure categories prescribed in AASB 124, which include short</w:t>
      </w:r>
      <w:r w:rsidR="005C50EC">
        <w:noBreakHyphen/>
      </w:r>
      <w:r w:rsidR="00AF1B58">
        <w:t>term, long</w:t>
      </w:r>
      <w:r w:rsidR="005C50EC">
        <w:noBreakHyphen/>
      </w:r>
      <w:r w:rsidR="00AF1B58">
        <w:t>term and other long</w:t>
      </w:r>
      <w:r w:rsidR="005C50EC">
        <w:noBreakHyphen/>
      </w:r>
      <w:r w:rsidR="00AF1B58">
        <w:t xml:space="preserve">term employee benefits, </w:t>
      </w:r>
      <w:r w:rsidR="004951E0">
        <w:t>t</w:t>
      </w:r>
      <w:r w:rsidR="00AF1B58">
        <w:t>ermination benefits and share based payments</w:t>
      </w:r>
      <w:r>
        <w:t>.</w:t>
      </w:r>
      <w:r w:rsidR="00720AD4">
        <w:t xml:space="preserve"> Updates to the reporting of executive remuneration will also be made following the review by </w:t>
      </w:r>
      <w:r w:rsidR="00C5083F">
        <w:t xml:space="preserve">the </w:t>
      </w:r>
      <w:r w:rsidR="00720AD4">
        <w:t xml:space="preserve">Victorian Public Sector Commission </w:t>
      </w:r>
      <w:r w:rsidR="00BE1362">
        <w:t xml:space="preserve">and their recommendations </w:t>
      </w:r>
      <w:r w:rsidR="003941C9">
        <w:t>raised</w:t>
      </w:r>
      <w:r w:rsidR="00CD3526">
        <w:t xml:space="preserve"> in </w:t>
      </w:r>
      <w:r w:rsidR="00BE1362">
        <w:t>2016.</w:t>
      </w:r>
    </w:p>
    <w:p w:rsidR="008632DA" w:rsidRDefault="008632DA" w:rsidP="00BC003D">
      <w:bookmarkStart w:id="11" w:name="_Toc424822614"/>
      <w:bookmarkStart w:id="12" w:name="_Toc452724750"/>
      <w:r w:rsidRPr="00E44898">
        <w:t>More detail</w:t>
      </w:r>
      <w:r w:rsidR="006F393D">
        <w:t>s</w:t>
      </w:r>
      <w:r w:rsidRPr="00E44898">
        <w:t xml:space="preserve"> regarding </w:t>
      </w:r>
      <w:r>
        <w:t>the changes to FRD 15C, FRD 21B and FRD 29A</w:t>
      </w:r>
      <w:r w:rsidRPr="00E44898">
        <w:t xml:space="preserve"> will be communicated</w:t>
      </w:r>
      <w:r w:rsidR="00F57D07">
        <w:t xml:space="preserve"> as soon as they are finalised</w:t>
      </w:r>
      <w:r w:rsidRPr="00E44898">
        <w:t xml:space="preserve"> </w:t>
      </w:r>
      <w:r w:rsidR="006F393D">
        <w:t xml:space="preserve">and also </w:t>
      </w:r>
      <w:r w:rsidRPr="00E44898">
        <w:t>in the J</w:t>
      </w:r>
      <w:r w:rsidR="00FA2B51">
        <w:t>uly</w:t>
      </w:r>
      <w:r w:rsidRPr="00E44898">
        <w:t xml:space="preserve"> 2017 newsletter.</w:t>
      </w:r>
    </w:p>
    <w:p w:rsidR="00CB23CC" w:rsidRDefault="00CB23CC" w:rsidP="00CB23CC">
      <w:pPr>
        <w:pStyle w:val="Heading1"/>
      </w:pPr>
      <w:bookmarkStart w:id="13" w:name="_Toc469929434"/>
      <w:r w:rsidRPr="001725F4">
        <w:t>201</w:t>
      </w:r>
      <w:r w:rsidR="00393EBC" w:rsidRPr="001725F4">
        <w:t>6</w:t>
      </w:r>
      <w:r w:rsidR="005C50EC">
        <w:noBreakHyphen/>
      </w:r>
      <w:r w:rsidRPr="001725F4">
        <w:t>1</w:t>
      </w:r>
      <w:r w:rsidR="00393EBC" w:rsidRPr="001725F4">
        <w:t>7</w:t>
      </w:r>
      <w:r w:rsidRPr="001725F4">
        <w:t xml:space="preserve"> financial reporting legislation</w:t>
      </w:r>
      <w:bookmarkEnd w:id="11"/>
      <w:bookmarkEnd w:id="12"/>
      <w:bookmarkEnd w:id="13"/>
    </w:p>
    <w:p w:rsidR="00C11620" w:rsidRPr="00D20F7C" w:rsidRDefault="00C11620" w:rsidP="007D03CC">
      <w:pPr>
        <w:pStyle w:val="Heading3"/>
      </w:pPr>
      <w:r w:rsidRPr="00D20F7C">
        <w:t>Standing Directions</w:t>
      </w:r>
    </w:p>
    <w:p w:rsidR="00C11620" w:rsidRDefault="00C11620" w:rsidP="00EA6BBD">
      <w:r>
        <w:t xml:space="preserve">The </w:t>
      </w:r>
      <w:r w:rsidRPr="00C11620">
        <w:rPr>
          <w:i/>
        </w:rPr>
        <w:t>Standing Directions of the Minister for Finance 2016</w:t>
      </w:r>
      <w:r>
        <w:t xml:space="preserve"> (2016 Standing Directions) were issued by the Minister in February 2016, with an application date commencing 1 July 2016 onwards. As a result, the </w:t>
      </w:r>
      <w:r w:rsidRPr="00C11620">
        <w:rPr>
          <w:i/>
        </w:rPr>
        <w:t xml:space="preserve">Standing Directions </w:t>
      </w:r>
      <w:r>
        <w:rPr>
          <w:i/>
        </w:rPr>
        <w:t>of the Minister for Finance 20</w:t>
      </w:r>
      <w:r w:rsidR="008A3882">
        <w:rPr>
          <w:i/>
        </w:rPr>
        <w:t>0</w:t>
      </w:r>
      <w:r>
        <w:rPr>
          <w:i/>
        </w:rPr>
        <w:t xml:space="preserve">3 </w:t>
      </w:r>
      <w:r>
        <w:t xml:space="preserve">(2003 Standing Directions) have been superseded. </w:t>
      </w:r>
    </w:p>
    <w:p w:rsidR="00C11620" w:rsidRDefault="00C11620" w:rsidP="00C11620">
      <w:r>
        <w:t xml:space="preserve">For entities with annual reporting on a calendar year from 1 January to 31 December, it should be noted that their reporting period overlaps two different reporting periods, as a result, both the 2003 and 2016 Standing Directions will apply (i.e. 2003 Standing Directions apply from 1 January to 30 June and 2016 Standing Directions apply from 1 July to 31 December). </w:t>
      </w:r>
    </w:p>
    <w:p w:rsidR="00C11620" w:rsidRDefault="00C11620" w:rsidP="00EA6BBD">
      <w:r>
        <w:t xml:space="preserve">Although the 2016 Standing Directions are the primary reference as they are applicable at the time of reporting, if the differences between the two Standing Directions are significant, entities are required to comply with the applicable Standing Directions for that respective period (entities are strongly recommended to include an explanatory footnote with their disclosure index to explain variations in reporting requirements and disclose for the full year, notwithstanding the respective Standing Directions only apply for half of the year). </w:t>
      </w:r>
    </w:p>
    <w:p w:rsidR="00C11620" w:rsidRPr="00393EBC" w:rsidRDefault="00C11620" w:rsidP="00EA6BBD">
      <w:pPr>
        <w:rPr>
          <w:highlight w:val="yellow"/>
        </w:rPr>
      </w:pPr>
      <w:r>
        <w:t>If you have any further queries on the Standing Directions, please direct your queries to the DTF Financial Frameworks team mailbox: standing.directions@dtf.vic.gov.au</w:t>
      </w:r>
      <w:r w:rsidR="008D7333">
        <w:t>.</w:t>
      </w:r>
    </w:p>
    <w:p w:rsidR="008D7333" w:rsidRPr="0096740D" w:rsidRDefault="00CD3526" w:rsidP="00CF46D0">
      <w:pPr>
        <w:pStyle w:val="Heading2"/>
      </w:pPr>
      <w:r>
        <w:lastRenderedPageBreak/>
        <w:t>Other guidance</w:t>
      </w:r>
    </w:p>
    <w:p w:rsidR="00CB23CC" w:rsidRPr="00D20F7C" w:rsidRDefault="00CB23CC" w:rsidP="007D03CC">
      <w:pPr>
        <w:pStyle w:val="Heading3"/>
      </w:pPr>
      <w:r w:rsidRPr="00D20F7C">
        <w:t>Superannuation Guarantee Levy</w:t>
      </w:r>
    </w:p>
    <w:p w:rsidR="00CB23CC" w:rsidRPr="00506A37" w:rsidRDefault="00CB23CC" w:rsidP="008B69EC">
      <w:r w:rsidRPr="00506A37">
        <w:t xml:space="preserve">The Superannuation Guarantee Levy (SGL) schedule has been updated in accordance to the </w:t>
      </w:r>
      <w:r w:rsidRPr="00506A37">
        <w:rPr>
          <w:i/>
        </w:rPr>
        <w:t>Minerals Resource Rent Tax Repeal and Other Measures Act</w:t>
      </w:r>
      <w:r w:rsidRPr="00506A37">
        <w:t> </w:t>
      </w:r>
      <w:r w:rsidRPr="00506A37">
        <w:rPr>
          <w:i/>
        </w:rPr>
        <w:t>2014</w:t>
      </w:r>
      <w:r w:rsidRPr="00506A37">
        <w:t xml:space="preserve"> (the Act) passed in September 2014. Based on the Act, the future SGL rates will remain at 9.5 per cent for seven years, before making yearly increments of 0.5 per cent from 2021 to 2025.</w:t>
      </w:r>
    </w:p>
    <w:p w:rsidR="00CB23CC" w:rsidRPr="00506A37" w:rsidRDefault="00CB23CC" w:rsidP="008B69EC">
      <w:r w:rsidRPr="00506A37">
        <w:t xml:space="preserve">The next SGL rate change for </w:t>
      </w:r>
      <w:r w:rsidR="008518B0" w:rsidRPr="00506A37">
        <w:t xml:space="preserve">departments </w:t>
      </w:r>
      <w:r w:rsidRPr="00506A37">
        <w:t xml:space="preserve">and </w:t>
      </w:r>
      <w:r w:rsidR="008518B0" w:rsidRPr="00506A37">
        <w:t xml:space="preserve">agencies </w:t>
      </w:r>
      <w:r w:rsidRPr="00506A37">
        <w:t>will be effective from 1 July 2021 when the rate will increase to 10 per cent.</w:t>
      </w:r>
    </w:p>
    <w:p w:rsidR="00CB23CC" w:rsidRPr="00D20F7C" w:rsidRDefault="00CB23CC" w:rsidP="007D03CC">
      <w:pPr>
        <w:pStyle w:val="Heading3"/>
      </w:pPr>
      <w:r w:rsidRPr="00D20F7C">
        <w:t>Wage inflation and discount rates</w:t>
      </w:r>
    </w:p>
    <w:p w:rsidR="00CB23CC" w:rsidRPr="00514E4A" w:rsidRDefault="00CB23CC" w:rsidP="00CB23CC">
      <w:r w:rsidRPr="00514E4A">
        <w:t>The wage inflation and discount rates are published quarterly (monthly in the last quarter of each financial year), to assist entities in ascertaining their financial position for the year</w:t>
      </w:r>
      <w:r w:rsidR="005C50EC">
        <w:noBreakHyphen/>
      </w:r>
      <w:r w:rsidRPr="00514E4A">
        <w:t>end.</w:t>
      </w:r>
    </w:p>
    <w:p w:rsidR="00CB23CC" w:rsidRPr="00514E4A" w:rsidRDefault="00CB23CC" w:rsidP="00CB23CC">
      <w:pPr>
        <w:rPr>
          <w:color w:val="000000" w:themeColor="text1"/>
          <w:lang w:val="en-US"/>
        </w:rPr>
      </w:pPr>
      <w:r w:rsidRPr="00514E4A">
        <w:rPr>
          <w:color w:val="000000" w:themeColor="text1"/>
          <w:lang w:val="en-US"/>
        </w:rPr>
        <w:t xml:space="preserve">Entities are reminded to </w:t>
      </w:r>
      <w:proofErr w:type="spellStart"/>
      <w:r w:rsidRPr="00514E4A">
        <w:rPr>
          <w:b/>
          <w:color w:val="000000" w:themeColor="text1"/>
          <w:lang w:val="en-US"/>
        </w:rPr>
        <w:t>remeasure</w:t>
      </w:r>
      <w:proofErr w:type="spellEnd"/>
      <w:r w:rsidRPr="00514E4A">
        <w:rPr>
          <w:b/>
          <w:color w:val="000000" w:themeColor="text1"/>
          <w:lang w:val="en-US"/>
        </w:rPr>
        <w:t xml:space="preserve"> the</w:t>
      </w:r>
      <w:r w:rsidR="00F96941">
        <w:rPr>
          <w:b/>
          <w:color w:val="000000" w:themeColor="text1"/>
          <w:lang w:val="en-US"/>
        </w:rPr>
        <w:t>ir</w:t>
      </w:r>
      <w:r w:rsidRPr="00514E4A">
        <w:rPr>
          <w:b/>
          <w:color w:val="000000" w:themeColor="text1"/>
          <w:lang w:val="en-US"/>
        </w:rPr>
        <w:t xml:space="preserve"> provisions</w:t>
      </w:r>
      <w:r w:rsidRPr="00514E4A">
        <w:rPr>
          <w:color w:val="000000" w:themeColor="text1"/>
          <w:lang w:val="en-US"/>
        </w:rPr>
        <w:t xml:space="preserve"> to ensure that any material movements arising from the wage inflation rate and discount rates are reflected during the current reporting period.</w:t>
      </w:r>
    </w:p>
    <w:p w:rsidR="00532754" w:rsidRDefault="00514E4A" w:rsidP="00EA6BBD">
      <w:r w:rsidRPr="00514E4A">
        <w:t>The rates for 31 December</w:t>
      </w:r>
      <w:r w:rsidR="00CB23CC" w:rsidRPr="00514E4A">
        <w:t xml:space="preserve"> 2016 will be distributed at the beginnin</w:t>
      </w:r>
      <w:r w:rsidR="00C45E55" w:rsidRPr="00514E4A">
        <w:t xml:space="preserve">g of </w:t>
      </w:r>
      <w:r w:rsidRPr="00514E4A">
        <w:t>January 2017</w:t>
      </w:r>
      <w:r w:rsidR="00C45E55" w:rsidRPr="00514E4A">
        <w:t xml:space="preserve">. </w:t>
      </w:r>
      <w:r w:rsidR="00E97E85" w:rsidRPr="00D20F7C">
        <w:t>I</w:t>
      </w:r>
      <w:r w:rsidR="004B31E2" w:rsidRPr="00D20F7C">
        <w:t xml:space="preserve">n the recently released </w:t>
      </w:r>
      <w:r w:rsidR="004B31E2" w:rsidRPr="00D20F7C">
        <w:rPr>
          <w:i/>
        </w:rPr>
        <w:t>2016</w:t>
      </w:r>
      <w:r w:rsidR="005C50EC">
        <w:rPr>
          <w:i/>
        </w:rPr>
        <w:noBreakHyphen/>
      </w:r>
      <w:r w:rsidR="004B31E2" w:rsidRPr="00D20F7C">
        <w:rPr>
          <w:i/>
        </w:rPr>
        <w:t>17 Budget Update</w:t>
      </w:r>
      <w:r w:rsidR="004B31E2" w:rsidRPr="00E97E85">
        <w:t>,</w:t>
      </w:r>
      <w:r w:rsidR="004B31E2">
        <w:t xml:space="preserve"> the forecast Victorian wage inflation index for the coming four years has decreased</w:t>
      </w:r>
      <w:r w:rsidR="00532754">
        <w:t xml:space="preserve"> by 0.</w:t>
      </w:r>
      <w:r w:rsidR="0011571C">
        <w:t>3</w:t>
      </w:r>
      <w:r w:rsidR="000136CE">
        <w:t xml:space="preserve"> per cent</w:t>
      </w:r>
      <w:r w:rsidR="00532754">
        <w:t xml:space="preserve"> on average</w:t>
      </w:r>
      <w:r w:rsidR="004B31E2">
        <w:t xml:space="preserve">, in comparison with the forecast </w:t>
      </w:r>
      <w:r w:rsidR="0011571C">
        <w:t xml:space="preserve">published </w:t>
      </w:r>
      <w:r w:rsidR="004B31E2">
        <w:t xml:space="preserve">in the </w:t>
      </w:r>
      <w:r w:rsidR="004B31E2" w:rsidRPr="004B31E2">
        <w:rPr>
          <w:i/>
        </w:rPr>
        <w:t>2016</w:t>
      </w:r>
      <w:r w:rsidR="005C50EC">
        <w:rPr>
          <w:i/>
        </w:rPr>
        <w:noBreakHyphen/>
      </w:r>
      <w:r w:rsidR="004B31E2" w:rsidRPr="004B31E2">
        <w:rPr>
          <w:i/>
        </w:rPr>
        <w:t>17 Budget</w:t>
      </w:r>
      <w:r w:rsidR="00532754">
        <w:t xml:space="preserve">. As a result, the wage inflation rate for 31 December 2016 is expected to decrease </w:t>
      </w:r>
      <w:r w:rsidR="00E97E85">
        <w:t>by a</w:t>
      </w:r>
      <w:r w:rsidR="00532754">
        <w:t xml:space="preserve"> similar quantum.</w:t>
      </w:r>
    </w:p>
    <w:p w:rsidR="00CB23CC" w:rsidRPr="00514E4A" w:rsidRDefault="00F57D07" w:rsidP="00EA6BBD">
      <w:r>
        <w:t xml:space="preserve">DTF </w:t>
      </w:r>
      <w:r w:rsidR="007573A0">
        <w:t xml:space="preserve">will </w:t>
      </w:r>
      <w:r w:rsidR="00AE417D" w:rsidRPr="00D71CBB">
        <w:t>continu</w:t>
      </w:r>
      <w:r w:rsidR="007573A0">
        <w:t>e</w:t>
      </w:r>
      <w:r w:rsidR="00AE417D" w:rsidRPr="00D71CBB">
        <w:t xml:space="preserve"> to</w:t>
      </w:r>
      <w:r w:rsidR="00532754" w:rsidRPr="00D71CBB">
        <w:t xml:space="preserve"> provide</w:t>
      </w:r>
      <w:r w:rsidRPr="00D71CBB">
        <w:t xml:space="preserve"> wage inflation and discount rates </w:t>
      </w:r>
      <w:r w:rsidR="00587532" w:rsidRPr="00D71CBB">
        <w:t xml:space="preserve">to be used </w:t>
      </w:r>
      <w:r w:rsidR="007573A0">
        <w:t xml:space="preserve">with the 2008 Long Service Leave (LSL) Model </w:t>
      </w:r>
      <w:r w:rsidR="007B12D3">
        <w:t>and the previously released</w:t>
      </w:r>
      <w:r w:rsidR="001A1C42">
        <w:t xml:space="preserve"> </w:t>
      </w:r>
      <w:r w:rsidR="00532754" w:rsidRPr="00D71CBB">
        <w:t xml:space="preserve">2004 </w:t>
      </w:r>
      <w:r w:rsidR="007573A0">
        <w:t>LSL</w:t>
      </w:r>
      <w:r w:rsidR="00CB23CC" w:rsidRPr="00D71CBB">
        <w:t xml:space="preserve"> Model</w:t>
      </w:r>
      <w:r>
        <w:t>. The discount</w:t>
      </w:r>
      <w:r w:rsidR="00AE417D" w:rsidRPr="00D71CBB">
        <w:t xml:space="preserve"> rates </w:t>
      </w:r>
      <w:r>
        <w:t xml:space="preserve">applicable for the 2004 LSL Model are </w:t>
      </w:r>
      <w:r w:rsidR="00AE417D" w:rsidRPr="00D71CBB">
        <w:t>based on bond rates with different maturity periods</w:t>
      </w:r>
      <w:r>
        <w:t xml:space="preserve">, </w:t>
      </w:r>
      <w:r w:rsidR="00257EC4">
        <w:t>while the 2008 LSL Model applies</w:t>
      </w:r>
      <w:r>
        <w:t xml:space="preserve"> the</w:t>
      </w:r>
      <w:r w:rsidR="00AE417D" w:rsidRPr="00D71CBB">
        <w:t xml:space="preserve"> single 10</w:t>
      </w:r>
      <w:r w:rsidR="005C50EC">
        <w:noBreakHyphen/>
      </w:r>
      <w:r w:rsidR="00AE417D" w:rsidRPr="00D71CBB">
        <w:t>year bond effective rate</w:t>
      </w:r>
      <w:r w:rsidR="00121837">
        <w:t xml:space="preserve"> consistent with</w:t>
      </w:r>
      <w:r w:rsidR="00257EC4">
        <w:t xml:space="preserve"> the average leave settlement duration of 10 years</w:t>
      </w:r>
      <w:r w:rsidR="00CB23CC" w:rsidRPr="00D71CBB">
        <w:t>.</w:t>
      </w:r>
    </w:p>
    <w:p w:rsidR="00CB23CC" w:rsidRPr="0096740D" w:rsidRDefault="00CB23CC" w:rsidP="00CF46D0">
      <w:pPr>
        <w:pStyle w:val="Heading2"/>
      </w:pPr>
      <w:r w:rsidRPr="001725F4">
        <w:t xml:space="preserve">Key financial publication dates for the State of Victoria </w:t>
      </w:r>
      <w:r w:rsidR="00393EBC" w:rsidRPr="001725F4">
        <w:t>in</w:t>
      </w:r>
      <w:r w:rsidRPr="001725F4">
        <w:t xml:space="preserve"> 2016</w:t>
      </w:r>
      <w:r w:rsidR="005C50EC">
        <w:noBreakHyphen/>
      </w:r>
      <w:r w:rsidRPr="001725F4">
        <w:t>17</w:t>
      </w:r>
    </w:p>
    <w:p w:rsidR="00CB23CC" w:rsidRPr="0096740D" w:rsidRDefault="00CB23CC" w:rsidP="00E018C9">
      <w:pPr>
        <w:spacing w:before="120"/>
      </w:pPr>
      <w:r w:rsidRPr="0096740D">
        <w:t>The following table shows the indicative key publication tabling dates for some of the State’s upcoming financial publications.</w:t>
      </w:r>
    </w:p>
    <w:tbl>
      <w:tblPr>
        <w:tblStyle w:val="DTFtexttable"/>
        <w:tblW w:w="9118" w:type="dxa"/>
        <w:tblLook w:val="04A0" w:firstRow="1" w:lastRow="0" w:firstColumn="1" w:lastColumn="0" w:noHBand="0" w:noVBand="1"/>
      </w:tblPr>
      <w:tblGrid>
        <w:gridCol w:w="1587"/>
        <w:gridCol w:w="2340"/>
        <w:gridCol w:w="5191"/>
      </w:tblGrid>
      <w:tr w:rsidR="00CB23CC" w:rsidRPr="00CD3526" w:rsidTr="00E018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87" w:type="dxa"/>
          </w:tcPr>
          <w:p w:rsidR="00CB23CC" w:rsidRPr="00CD3526" w:rsidRDefault="00CB23CC" w:rsidP="00CD3526">
            <w:pPr>
              <w:pStyle w:val="Tableheader"/>
            </w:pPr>
            <w:r w:rsidRPr="00CD3526">
              <w:t>Reporting year</w:t>
            </w:r>
          </w:p>
        </w:tc>
        <w:tc>
          <w:tcPr>
            <w:tcW w:w="2340" w:type="dxa"/>
          </w:tcPr>
          <w:p w:rsidR="00CB23CC" w:rsidRPr="00CD3526" w:rsidRDefault="00CB23CC" w:rsidP="00CD3526">
            <w:pPr>
              <w:pStyle w:val="Tableheader"/>
              <w:cnfStyle w:val="100000000000" w:firstRow="1" w:lastRow="0" w:firstColumn="0" w:lastColumn="0" w:oddVBand="0" w:evenVBand="0" w:oddHBand="0" w:evenHBand="0" w:firstRowFirstColumn="0" w:firstRowLastColumn="0" w:lastRowFirstColumn="0" w:lastRowLastColumn="0"/>
            </w:pPr>
            <w:r w:rsidRPr="00CD3526">
              <w:t>Publication</w:t>
            </w:r>
          </w:p>
        </w:tc>
        <w:tc>
          <w:tcPr>
            <w:tcW w:w="5191" w:type="dxa"/>
          </w:tcPr>
          <w:p w:rsidR="00CB23CC" w:rsidRPr="00CD3526" w:rsidRDefault="00CB23CC" w:rsidP="00CD3526">
            <w:pPr>
              <w:pStyle w:val="Tableheader"/>
              <w:cnfStyle w:val="100000000000" w:firstRow="1" w:lastRow="0" w:firstColumn="0" w:lastColumn="0" w:oddVBand="0" w:evenVBand="0" w:oddHBand="0" w:evenHBand="0" w:firstRowFirstColumn="0" w:firstRowLastColumn="0" w:lastRowFirstColumn="0" w:lastRowLastColumn="0"/>
            </w:pPr>
            <w:r w:rsidRPr="00CD3526">
              <w:t xml:space="preserve">Anticipated release dates – </w:t>
            </w:r>
            <w:r w:rsidRPr="00CD3526">
              <w:br/>
              <w:t>actual dates to be confirmed</w:t>
            </w:r>
          </w:p>
        </w:tc>
      </w:tr>
      <w:tr w:rsidR="00CB23CC" w:rsidRPr="00393EBC" w:rsidTr="00E018C9">
        <w:tc>
          <w:tcPr>
            <w:cnfStyle w:val="001000000000" w:firstRow="0" w:lastRow="0" w:firstColumn="1" w:lastColumn="0" w:oddVBand="0" w:evenVBand="0" w:oddHBand="0" w:evenHBand="0" w:firstRowFirstColumn="0" w:firstRowLastColumn="0" w:lastRowFirstColumn="0" w:lastRowLastColumn="0"/>
            <w:tcW w:w="1587" w:type="dxa"/>
          </w:tcPr>
          <w:p w:rsidR="00CB23CC" w:rsidRPr="00393EBC" w:rsidRDefault="00CB23CC" w:rsidP="00E018C9">
            <w:pPr>
              <w:pStyle w:val="Tabletext"/>
              <w:spacing w:before="40" w:after="40"/>
              <w:rPr>
                <w:b/>
                <w:highlight w:val="yellow"/>
              </w:rPr>
            </w:pPr>
            <w:r w:rsidRPr="00514E4A">
              <w:rPr>
                <w:b/>
              </w:rPr>
              <w:t>2016</w:t>
            </w:r>
            <w:r w:rsidR="005C50EC">
              <w:rPr>
                <w:b/>
              </w:rPr>
              <w:noBreakHyphen/>
            </w:r>
            <w:r w:rsidRPr="00514E4A">
              <w:rPr>
                <w:b/>
              </w:rPr>
              <w:t>17</w:t>
            </w:r>
          </w:p>
        </w:tc>
        <w:tc>
          <w:tcPr>
            <w:tcW w:w="2340" w:type="dxa"/>
          </w:tcPr>
          <w:p w:rsidR="00CB23CC" w:rsidRPr="00CD3526" w:rsidRDefault="00CB23CC" w:rsidP="00E018C9">
            <w:pPr>
              <w:pStyle w:val="Tabletext"/>
              <w:spacing w:before="40" w:after="40"/>
              <w:cnfStyle w:val="000000000000" w:firstRow="0" w:lastRow="0" w:firstColumn="0" w:lastColumn="0" w:oddVBand="0" w:evenVBand="0" w:oddHBand="0" w:evenHBand="0" w:firstRowFirstColumn="0" w:firstRowLastColumn="0" w:lastRowFirstColumn="0" w:lastRowLastColumn="0"/>
            </w:pPr>
            <w:r w:rsidRPr="00CD3526">
              <w:t>Mid</w:t>
            </w:r>
            <w:r w:rsidR="005C50EC">
              <w:noBreakHyphen/>
            </w:r>
            <w:r w:rsidRPr="00CD3526">
              <w:t>Year Financial Report</w:t>
            </w:r>
          </w:p>
        </w:tc>
        <w:tc>
          <w:tcPr>
            <w:tcW w:w="5191" w:type="dxa"/>
          </w:tcPr>
          <w:p w:rsidR="00CB23CC" w:rsidRPr="00CD3526" w:rsidRDefault="00CB23CC" w:rsidP="00E018C9">
            <w:pPr>
              <w:pStyle w:val="Tabletext"/>
              <w:spacing w:before="40" w:after="40"/>
              <w:cnfStyle w:val="000000000000" w:firstRow="0" w:lastRow="0" w:firstColumn="0" w:lastColumn="0" w:oddVBand="0" w:evenVBand="0" w:oddHBand="0" w:evenHBand="0" w:firstRowFirstColumn="0" w:firstRowLastColumn="0" w:lastRowFirstColumn="0" w:lastRowLastColumn="0"/>
            </w:pPr>
            <w:r w:rsidRPr="00CD3526">
              <w:t>Legislative due date is 15 March 2017.</w:t>
            </w:r>
          </w:p>
        </w:tc>
      </w:tr>
      <w:tr w:rsidR="00CB23CC" w:rsidRPr="00393EBC" w:rsidTr="00E018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CB23CC" w:rsidRPr="00BC17AD" w:rsidRDefault="00CB23CC" w:rsidP="00E018C9">
            <w:pPr>
              <w:pStyle w:val="Tabletext"/>
              <w:spacing w:before="40" w:after="40"/>
              <w:rPr>
                <w:b/>
              </w:rPr>
            </w:pPr>
            <w:r w:rsidRPr="00BC17AD">
              <w:rPr>
                <w:b/>
              </w:rPr>
              <w:t>2017</w:t>
            </w:r>
            <w:r w:rsidR="005C50EC">
              <w:rPr>
                <w:b/>
              </w:rPr>
              <w:noBreakHyphen/>
            </w:r>
            <w:r w:rsidRPr="00BC17AD">
              <w:rPr>
                <w:b/>
              </w:rPr>
              <w:t>18</w:t>
            </w:r>
          </w:p>
        </w:tc>
        <w:tc>
          <w:tcPr>
            <w:tcW w:w="2340" w:type="dxa"/>
          </w:tcPr>
          <w:p w:rsidR="00CB23CC" w:rsidRPr="00EA6BBD" w:rsidRDefault="00CB23CC" w:rsidP="00E018C9">
            <w:pPr>
              <w:pStyle w:val="Tabletext"/>
              <w:spacing w:before="40" w:after="40"/>
              <w:cnfStyle w:val="000000010000" w:firstRow="0" w:lastRow="0" w:firstColumn="0" w:lastColumn="0" w:oddVBand="0" w:evenVBand="0" w:oddHBand="0" w:evenHBand="1" w:firstRowFirstColumn="0" w:firstRowLastColumn="0" w:lastRowFirstColumn="0" w:lastRowLastColumn="0"/>
            </w:pPr>
            <w:r w:rsidRPr="00CD3526">
              <w:t>Budget papers</w:t>
            </w:r>
          </w:p>
        </w:tc>
        <w:tc>
          <w:tcPr>
            <w:tcW w:w="5191" w:type="dxa"/>
          </w:tcPr>
          <w:p w:rsidR="00CB23CC" w:rsidRPr="00CD3526" w:rsidRDefault="00CB23CC" w:rsidP="00E018C9">
            <w:pPr>
              <w:pStyle w:val="Tabletext"/>
              <w:spacing w:before="40" w:after="40"/>
              <w:cnfStyle w:val="000000010000" w:firstRow="0" w:lastRow="0" w:firstColumn="0" w:lastColumn="0" w:oddVBand="0" w:evenVBand="0" w:oddHBand="0" w:evenHBand="1" w:firstRowFirstColumn="0" w:firstRowLastColumn="0" w:lastRowFirstColumn="0" w:lastRowLastColumn="0"/>
            </w:pPr>
            <w:r w:rsidRPr="00CD3526">
              <w:t xml:space="preserve">Anticipated date is </w:t>
            </w:r>
            <w:r w:rsidR="00BA3107" w:rsidRPr="00CD3526">
              <w:t>2</w:t>
            </w:r>
            <w:r w:rsidRPr="00CD3526">
              <w:t xml:space="preserve"> May 2017.</w:t>
            </w:r>
          </w:p>
        </w:tc>
      </w:tr>
      <w:tr w:rsidR="00CB23CC" w:rsidRPr="00393EBC" w:rsidTr="00E018C9">
        <w:tc>
          <w:tcPr>
            <w:cnfStyle w:val="001000000000" w:firstRow="0" w:lastRow="0" w:firstColumn="1" w:lastColumn="0" w:oddVBand="0" w:evenVBand="0" w:oddHBand="0" w:evenHBand="0" w:firstRowFirstColumn="0" w:firstRowLastColumn="0" w:lastRowFirstColumn="0" w:lastRowLastColumn="0"/>
            <w:tcW w:w="1587" w:type="dxa"/>
          </w:tcPr>
          <w:p w:rsidR="00CB23CC" w:rsidRPr="00BC17AD" w:rsidRDefault="00CB23CC" w:rsidP="00E018C9">
            <w:pPr>
              <w:pStyle w:val="Tabletext"/>
              <w:spacing w:before="40" w:after="40"/>
              <w:rPr>
                <w:b/>
              </w:rPr>
            </w:pPr>
            <w:r w:rsidRPr="00BC17AD">
              <w:rPr>
                <w:b/>
              </w:rPr>
              <w:t>2016</w:t>
            </w:r>
            <w:r w:rsidR="005C50EC">
              <w:rPr>
                <w:b/>
              </w:rPr>
              <w:noBreakHyphen/>
            </w:r>
            <w:r w:rsidRPr="00BC17AD">
              <w:rPr>
                <w:b/>
              </w:rPr>
              <w:t>17</w:t>
            </w:r>
          </w:p>
        </w:tc>
        <w:tc>
          <w:tcPr>
            <w:tcW w:w="2340" w:type="dxa"/>
          </w:tcPr>
          <w:p w:rsidR="00CB23CC" w:rsidRPr="00CD3526" w:rsidRDefault="005D2483" w:rsidP="005D2483">
            <w:pPr>
              <w:pStyle w:val="Tabletext"/>
              <w:spacing w:before="40" w:after="40"/>
              <w:cnfStyle w:val="000000000000" w:firstRow="0" w:lastRow="0" w:firstColumn="0" w:lastColumn="0" w:oddVBand="0" w:evenVBand="0" w:oddHBand="0" w:evenHBand="0" w:firstRowFirstColumn="0" w:firstRowLastColumn="0" w:lastRowFirstColumn="0" w:lastRowLastColumn="0"/>
            </w:pPr>
            <w:r>
              <w:t xml:space="preserve">The State’s </w:t>
            </w:r>
            <w:r w:rsidR="00CB23CC" w:rsidRPr="00CD3526">
              <w:t>Financial Report</w:t>
            </w:r>
          </w:p>
        </w:tc>
        <w:tc>
          <w:tcPr>
            <w:tcW w:w="5191" w:type="dxa"/>
          </w:tcPr>
          <w:p w:rsidR="00CB23CC" w:rsidRPr="00CD3526" w:rsidRDefault="00CB23CC" w:rsidP="00E018C9">
            <w:pPr>
              <w:pStyle w:val="Tabletext"/>
              <w:spacing w:before="40" w:after="40"/>
              <w:cnfStyle w:val="000000000000" w:firstRow="0" w:lastRow="0" w:firstColumn="0" w:lastColumn="0" w:oddVBand="0" w:evenVBand="0" w:oddHBand="0" w:evenHBand="0" w:firstRowFirstColumn="0" w:firstRowLastColumn="0" w:lastRowFirstColumn="0" w:lastRowLastColumn="0"/>
            </w:pPr>
            <w:r w:rsidRPr="00CD3526">
              <w:t>Legislated due date is 1</w:t>
            </w:r>
            <w:r w:rsidR="0001655D" w:rsidRPr="00CD3526">
              <w:t>5</w:t>
            </w:r>
            <w:r w:rsidRPr="00CD3526">
              <w:t xml:space="preserve"> October 2017.</w:t>
            </w:r>
          </w:p>
        </w:tc>
      </w:tr>
      <w:tr w:rsidR="00CB23CC" w:rsidRPr="00184F8B" w:rsidTr="00E018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CB23CC" w:rsidRPr="00BC17AD" w:rsidRDefault="00CB23CC" w:rsidP="00E018C9">
            <w:pPr>
              <w:pStyle w:val="Tabletext"/>
              <w:spacing w:before="40" w:after="40"/>
              <w:rPr>
                <w:b/>
              </w:rPr>
            </w:pPr>
            <w:r w:rsidRPr="00BC17AD">
              <w:rPr>
                <w:b/>
              </w:rPr>
              <w:t>2016</w:t>
            </w:r>
            <w:r w:rsidR="005C50EC">
              <w:rPr>
                <w:b/>
              </w:rPr>
              <w:noBreakHyphen/>
            </w:r>
            <w:r w:rsidRPr="00BC17AD">
              <w:rPr>
                <w:b/>
              </w:rPr>
              <w:t>17</w:t>
            </w:r>
          </w:p>
        </w:tc>
        <w:tc>
          <w:tcPr>
            <w:tcW w:w="2340" w:type="dxa"/>
          </w:tcPr>
          <w:p w:rsidR="00CB23CC" w:rsidRPr="00CD3526" w:rsidRDefault="00CB23CC" w:rsidP="00E018C9">
            <w:pPr>
              <w:pStyle w:val="Tabletext"/>
              <w:spacing w:before="40" w:after="40"/>
              <w:cnfStyle w:val="000000010000" w:firstRow="0" w:lastRow="0" w:firstColumn="0" w:lastColumn="0" w:oddVBand="0" w:evenVBand="0" w:oddHBand="0" w:evenHBand="1" w:firstRowFirstColumn="0" w:firstRowLastColumn="0" w:lastRowFirstColumn="0" w:lastRowLastColumn="0"/>
            </w:pPr>
            <w:r w:rsidRPr="00CD3526">
              <w:t>Department and entity reporting</w:t>
            </w:r>
          </w:p>
        </w:tc>
        <w:tc>
          <w:tcPr>
            <w:tcW w:w="5191" w:type="dxa"/>
          </w:tcPr>
          <w:p w:rsidR="00CB23CC" w:rsidRPr="00CD3526" w:rsidRDefault="00F77888" w:rsidP="00E018C9">
            <w:pPr>
              <w:pStyle w:val="Tabletext"/>
              <w:spacing w:before="40" w:after="40"/>
              <w:cnfStyle w:val="000000010000" w:firstRow="0" w:lastRow="0" w:firstColumn="0" w:lastColumn="0" w:oddVBand="0" w:evenVBand="0" w:oddHBand="0" w:evenHBand="1" w:firstRowFirstColumn="0" w:firstRowLastColumn="0" w:lastRowFirstColumn="0" w:lastRowLastColumn="0"/>
            </w:pPr>
            <w:r w:rsidRPr="00CD3526">
              <w:t xml:space="preserve">Legislated due date is 15 October 2017. </w:t>
            </w:r>
            <w:r w:rsidR="00257EC4" w:rsidRPr="00CD3526">
              <w:t>Entities are e</w:t>
            </w:r>
            <w:r w:rsidR="0086695D" w:rsidRPr="00CD3526">
              <w:t>ncouraged</w:t>
            </w:r>
            <w:r w:rsidR="00CB23CC" w:rsidRPr="00CD3526">
              <w:t xml:space="preserve"> to tabl</w:t>
            </w:r>
            <w:r w:rsidR="00257EC4" w:rsidRPr="00CD3526">
              <w:t>e their annual reports</w:t>
            </w:r>
            <w:r w:rsidR="00CB23CC" w:rsidRPr="00CD3526">
              <w:t xml:space="preserve"> </w:t>
            </w:r>
            <w:r w:rsidRPr="00CD3526">
              <w:t>prior to the legislated due date</w:t>
            </w:r>
            <w:r w:rsidR="00CB23CC" w:rsidRPr="00CD3526">
              <w:t>.</w:t>
            </w:r>
          </w:p>
        </w:tc>
      </w:tr>
    </w:tbl>
    <w:p w:rsidR="00E018C9" w:rsidRDefault="00E018C9" w:rsidP="00E018C9">
      <w:pPr>
        <w:pStyle w:val="NewsletterNote"/>
      </w:pPr>
      <w:bookmarkStart w:id="14" w:name="_Toc424822616"/>
      <w:bookmarkStart w:id="15" w:name="_Toc452724752"/>
      <w:bookmarkStart w:id="16" w:name="_Toc469929435"/>
    </w:p>
    <w:p w:rsidR="00CB23CC" w:rsidRDefault="00FB7089" w:rsidP="00CB23CC">
      <w:pPr>
        <w:pStyle w:val="Heading1"/>
      </w:pPr>
      <w:r>
        <w:t>AASB update</w:t>
      </w:r>
      <w:bookmarkEnd w:id="14"/>
      <w:bookmarkEnd w:id="15"/>
      <w:bookmarkEnd w:id="16"/>
    </w:p>
    <w:p w:rsidR="00CB23CC" w:rsidRDefault="00CB23CC" w:rsidP="00E018C9">
      <w:pPr>
        <w:pStyle w:val="Heading2"/>
        <w:spacing w:before="180"/>
      </w:pPr>
      <w:r w:rsidRPr="00777785">
        <w:t>Key AASB Standards</w:t>
      </w:r>
      <w:r>
        <w:t xml:space="preserve"> and Exposure Drafts</w:t>
      </w:r>
      <w:r w:rsidRPr="00777785">
        <w:t xml:space="preserve"> </w:t>
      </w:r>
      <w:r w:rsidRPr="00164666">
        <w:t>issued</w:t>
      </w:r>
      <w:r w:rsidRPr="00777785">
        <w:t xml:space="preserve"> but not effective for 201</w:t>
      </w:r>
      <w:r w:rsidR="00393EBC">
        <w:t>6</w:t>
      </w:r>
      <w:r w:rsidR="005C50EC">
        <w:noBreakHyphen/>
      </w:r>
      <w:r w:rsidRPr="00777785">
        <w:t>1</w:t>
      </w:r>
      <w:r w:rsidR="00393EBC">
        <w:t>7</w:t>
      </w:r>
    </w:p>
    <w:p w:rsidR="00FC045D" w:rsidRPr="00D20F7C" w:rsidRDefault="00FC045D" w:rsidP="007D03CC">
      <w:pPr>
        <w:pStyle w:val="Heading3"/>
      </w:pPr>
      <w:r w:rsidRPr="00D20F7C">
        <w:t xml:space="preserve">AASB 9 </w:t>
      </w:r>
      <w:r w:rsidRPr="00414B6E">
        <w:rPr>
          <w:i/>
        </w:rPr>
        <w:t>Financial Instruments</w:t>
      </w:r>
    </w:p>
    <w:p w:rsidR="009C5B37" w:rsidRDefault="009C5B37" w:rsidP="00FC045D">
      <w:r>
        <w:t>AASB 9</w:t>
      </w:r>
      <w:r w:rsidRPr="00F25DD9">
        <w:t xml:space="preserve"> </w:t>
      </w:r>
      <w:r>
        <w:rPr>
          <w:i/>
        </w:rPr>
        <w:t>Financial Instruments</w:t>
      </w:r>
      <w:r w:rsidRPr="009C5B37">
        <w:t xml:space="preserve"> will supersede previous versions of the standard </w:t>
      </w:r>
      <w:r w:rsidR="007C1CCE">
        <w:t xml:space="preserve">(AASB 9 (2014)) </w:t>
      </w:r>
      <w:r w:rsidRPr="009C5B37">
        <w:t xml:space="preserve">and </w:t>
      </w:r>
      <w:r w:rsidR="007D03CC">
        <w:t>AASB </w:t>
      </w:r>
      <w:r w:rsidRPr="009C5B37">
        <w:t xml:space="preserve">139 </w:t>
      </w:r>
      <w:r w:rsidRPr="00D20F7C">
        <w:rPr>
          <w:i/>
        </w:rPr>
        <w:t>Financial Instruments: Recognition and Measurement</w:t>
      </w:r>
      <w:r w:rsidR="00157700">
        <w:t xml:space="preserve">. It </w:t>
      </w:r>
      <w:r w:rsidRPr="009C5B37">
        <w:t>will apply to annual reporting periods beginning on or after 1 January</w:t>
      </w:r>
      <w:r w:rsidR="00996470">
        <w:t xml:space="preserve"> 2018, with retrospective application.</w:t>
      </w:r>
    </w:p>
    <w:p w:rsidR="00E018C9" w:rsidRDefault="00E018C9">
      <w:pPr>
        <w:spacing w:before="0" w:after="200"/>
      </w:pPr>
      <w:r>
        <w:br w:type="page"/>
      </w:r>
    </w:p>
    <w:p w:rsidR="00FC045D" w:rsidRDefault="00FC045D" w:rsidP="00FC045D">
      <w:r>
        <w:lastRenderedPageBreak/>
        <w:t>AASB 9</w:t>
      </w:r>
      <w:r w:rsidRPr="00F25DD9">
        <w:t xml:space="preserve"> </w:t>
      </w:r>
      <w:r w:rsidRPr="00FC045D">
        <w:t>simplifies the model for classifying and r</w:t>
      </w:r>
      <w:r w:rsidR="009D1895">
        <w:t>ecognising financial assets</w:t>
      </w:r>
      <w:r w:rsidRPr="00FC045D">
        <w:t xml:space="preserve"> from </w:t>
      </w:r>
      <w:r w:rsidR="007C1CCE">
        <w:t xml:space="preserve">four </w:t>
      </w:r>
      <w:r w:rsidR="009D1895">
        <w:t>categories</w:t>
      </w:r>
      <w:r w:rsidRPr="00FC045D">
        <w:t xml:space="preserve"> into </w:t>
      </w:r>
      <w:r w:rsidR="00257EC4">
        <w:t>three</w:t>
      </w:r>
      <w:r w:rsidR="009D1895">
        <w:t xml:space="preserve"> categories</w:t>
      </w:r>
      <w:r w:rsidRPr="00FC045D">
        <w:t xml:space="preserve"> –</w:t>
      </w:r>
      <w:r w:rsidR="009D1895">
        <w:t xml:space="preserve"> financial assets</w:t>
      </w:r>
      <w:r w:rsidR="009D1895" w:rsidRPr="009D1895">
        <w:t xml:space="preserve"> as subsequently measured at either amortised cost</w:t>
      </w:r>
      <w:r w:rsidR="00CB0777">
        <w:t>, and</w:t>
      </w:r>
      <w:r w:rsidR="00257EC4">
        <w:t xml:space="preserve"> financial assets </w:t>
      </w:r>
      <w:r w:rsidR="00257EC4" w:rsidRPr="00257EC4">
        <w:t>measured at fair value through profit or loss</w:t>
      </w:r>
      <w:r w:rsidR="001B27D2">
        <w:t xml:space="preserve"> or through other comprehensive income</w:t>
      </w:r>
      <w:r w:rsidR="009D1895">
        <w:t>.</w:t>
      </w:r>
      <w:r>
        <w:t xml:space="preserve"> AASB 9 adopts an ‘expected loss model’</w:t>
      </w:r>
      <w:r w:rsidR="009C5B37">
        <w:t xml:space="preserve"> for impairment assessment</w:t>
      </w:r>
      <w:r>
        <w:t>, where the expected</w:t>
      </w:r>
      <w:r w:rsidR="009C5B37">
        <w:t xml:space="preserve"> </w:t>
      </w:r>
      <w:r>
        <w:t>losses are recognised throughout the life of a loan or other financial asset</w:t>
      </w:r>
      <w:r w:rsidR="009C5B37">
        <w:t xml:space="preserve"> </w:t>
      </w:r>
      <w:r>
        <w:t>measured at amortised cost, and not only after a loss event has been identified.</w:t>
      </w:r>
      <w:r w:rsidR="009C5B37">
        <w:t xml:space="preserve"> </w:t>
      </w:r>
      <w:r w:rsidR="007C1CCE">
        <w:t>The revised standard</w:t>
      </w:r>
      <w:r w:rsidR="009C5B37">
        <w:t xml:space="preserve"> </w:t>
      </w:r>
      <w:r w:rsidR="009C5B37" w:rsidRPr="009C5B37">
        <w:t xml:space="preserve">no longer requires a credit event </w:t>
      </w:r>
      <w:r w:rsidR="009C5B37">
        <w:t xml:space="preserve">(e.g. a receivable is past due) </w:t>
      </w:r>
      <w:r w:rsidR="009C5B37" w:rsidRPr="009C5B37">
        <w:t>to have occurred before credit losses are recognised</w:t>
      </w:r>
      <w:r w:rsidR="009C5B37">
        <w:t>.</w:t>
      </w:r>
      <w:r w:rsidR="009C5B37" w:rsidRPr="009C5B37">
        <w:t xml:space="preserve"> </w:t>
      </w:r>
      <w:r w:rsidR="009C5B37">
        <w:t>As a result, impairment losses will be recognised earlier and at more regular intervals than under the existing ‘incurred loss model’</w:t>
      </w:r>
      <w:r w:rsidR="00991739">
        <w:t xml:space="preserve"> of AASB 139</w:t>
      </w:r>
      <w:r w:rsidR="009C5B37">
        <w:t>.</w:t>
      </w:r>
    </w:p>
    <w:p w:rsidR="00CB23CC" w:rsidRPr="00D20F7C" w:rsidRDefault="00CB23CC" w:rsidP="007D03CC">
      <w:pPr>
        <w:pStyle w:val="Heading3"/>
      </w:pPr>
      <w:r w:rsidRPr="00D20F7C">
        <w:t xml:space="preserve">AASB 15 </w:t>
      </w:r>
      <w:r w:rsidRPr="00414B6E">
        <w:rPr>
          <w:i/>
        </w:rPr>
        <w:t>Revenue from Contracts with Customers</w:t>
      </w:r>
    </w:p>
    <w:p w:rsidR="00692E7F" w:rsidRPr="00F25DD9" w:rsidRDefault="00CB23CC" w:rsidP="00CB23CC">
      <w:r w:rsidRPr="00F25DD9">
        <w:t xml:space="preserve">AASB 15 </w:t>
      </w:r>
      <w:r w:rsidRPr="00F25DD9">
        <w:rPr>
          <w:i/>
        </w:rPr>
        <w:t>Revenue from Contracts with Customers</w:t>
      </w:r>
      <w:r w:rsidRPr="00F25DD9">
        <w:t xml:space="preserve"> </w:t>
      </w:r>
      <w:r w:rsidR="00692E7F" w:rsidRPr="00F25DD9">
        <w:t>applies where there is an enforceable contract</w:t>
      </w:r>
      <w:r w:rsidR="00F25DD9" w:rsidRPr="00F25DD9">
        <w:t>,</w:t>
      </w:r>
      <w:r w:rsidR="00692E7F" w:rsidRPr="00F25DD9">
        <w:t xml:space="preserve"> </w:t>
      </w:r>
      <w:r w:rsidR="00F25DD9" w:rsidRPr="00F25DD9">
        <w:t xml:space="preserve">imposing a sufficiently specific performance obligation </w:t>
      </w:r>
      <w:r w:rsidR="0096740D">
        <w:t>on</w:t>
      </w:r>
      <w:r w:rsidR="00692E7F" w:rsidRPr="00F25DD9">
        <w:t xml:space="preserve"> an entity to transfer </w:t>
      </w:r>
      <w:r w:rsidR="00F25DD9" w:rsidRPr="00F25DD9">
        <w:t>goods or services.</w:t>
      </w:r>
      <w:r w:rsidRPr="00F25DD9">
        <w:t xml:space="preserve"> </w:t>
      </w:r>
      <w:r w:rsidR="00F25DD9" w:rsidRPr="00F25DD9">
        <w:t xml:space="preserve">AASB 15 requires entities </w:t>
      </w:r>
      <w:r w:rsidR="00545348">
        <w:t xml:space="preserve">to </w:t>
      </w:r>
      <w:r w:rsidRPr="00F25DD9">
        <w:t xml:space="preserve">only recognise revenue upon the </w:t>
      </w:r>
      <w:r w:rsidR="00692E7F" w:rsidRPr="00F25DD9">
        <w:t>fulfilment of the performance obligation</w:t>
      </w:r>
      <w:r w:rsidRPr="00F25DD9">
        <w:t xml:space="preserve">. </w:t>
      </w:r>
      <w:r w:rsidR="00897396" w:rsidRPr="00897396">
        <w:t>Therefore, entities need to allocate the transaction price to each performance obligation in a contract and recognise the revenue only when the related obligation is satisfied.</w:t>
      </w:r>
    </w:p>
    <w:p w:rsidR="00897396" w:rsidRDefault="00897396" w:rsidP="00CB23CC">
      <w:r>
        <w:t>The effective date of AASB 15 for for</w:t>
      </w:r>
      <w:r w:rsidR="005C50EC">
        <w:noBreakHyphen/>
      </w:r>
      <w:r>
        <w:t>profit entities is 1 January 2018</w:t>
      </w:r>
      <w:r w:rsidR="00BA14D0">
        <w:t xml:space="preserve"> (the 2018</w:t>
      </w:r>
      <w:r w:rsidR="005C50EC">
        <w:noBreakHyphen/>
      </w:r>
      <w:r w:rsidR="00BA14D0">
        <w:t>19 reporting period)</w:t>
      </w:r>
      <w:r>
        <w:t>, while t</w:t>
      </w:r>
      <w:r w:rsidR="00692E7F">
        <w:t>he effective date for not</w:t>
      </w:r>
      <w:r w:rsidR="005C50EC">
        <w:noBreakHyphen/>
      </w:r>
      <w:r w:rsidR="00692E7F">
        <w:t>for</w:t>
      </w:r>
      <w:r w:rsidR="005C50EC">
        <w:noBreakHyphen/>
      </w:r>
      <w:r w:rsidR="00692E7F">
        <w:t>profit entities has been deferred to 1 January 2019</w:t>
      </w:r>
      <w:r w:rsidR="00345C0D">
        <w:t xml:space="preserve"> (the 2019</w:t>
      </w:r>
      <w:r w:rsidR="005C50EC">
        <w:noBreakHyphen/>
      </w:r>
      <w:r w:rsidR="00345C0D">
        <w:t>20 reporting period)</w:t>
      </w:r>
      <w:r w:rsidR="00683F4E">
        <w:t>, with respective comparative periods being the 2017</w:t>
      </w:r>
      <w:r w:rsidR="005C50EC">
        <w:noBreakHyphen/>
      </w:r>
      <w:r w:rsidR="00683F4E">
        <w:t>18 and 2018</w:t>
      </w:r>
      <w:r w:rsidR="005C50EC">
        <w:noBreakHyphen/>
      </w:r>
      <w:r w:rsidR="00683F4E">
        <w:t>19 reporting periods.</w:t>
      </w:r>
    </w:p>
    <w:p w:rsidR="00BA14D0" w:rsidRDefault="00897396" w:rsidP="00CB23CC">
      <w:r>
        <w:t>VPS entities are strongly encouraged to</w:t>
      </w:r>
      <w:r w:rsidR="00F029C2">
        <w:t xml:space="preserve"> </w:t>
      </w:r>
      <w:r w:rsidRPr="00897396">
        <w:t xml:space="preserve">start </w:t>
      </w:r>
      <w:r w:rsidR="00683F4E">
        <w:t>review</w:t>
      </w:r>
      <w:r w:rsidRPr="00897396">
        <w:t xml:space="preserve">ing </w:t>
      </w:r>
      <w:r>
        <w:t>the terms and conditions of their</w:t>
      </w:r>
      <w:r w:rsidRPr="00897396">
        <w:t xml:space="preserve"> contracts to identify the </w:t>
      </w:r>
      <w:r w:rsidR="00996470">
        <w:t>various</w:t>
      </w:r>
      <w:r>
        <w:t xml:space="preserve"> performance obligations</w:t>
      </w:r>
      <w:r w:rsidR="007C1CCE">
        <w:t xml:space="preserve"> within the agreements</w:t>
      </w:r>
      <w:r>
        <w:t>,</w:t>
      </w:r>
      <w:r w:rsidRPr="00897396">
        <w:t xml:space="preserve"> as there may be different revenue recognition for each performance obligation</w:t>
      </w:r>
      <w:r>
        <w:t xml:space="preserve">. </w:t>
      </w:r>
    </w:p>
    <w:p w:rsidR="00CB23CC" w:rsidRDefault="00897396" w:rsidP="00CB23CC">
      <w:r w:rsidRPr="007C1CCE">
        <w:t xml:space="preserve">DTF will </w:t>
      </w:r>
      <w:r w:rsidR="007C1CCE" w:rsidRPr="00D20F7C">
        <w:t>be hosting</w:t>
      </w:r>
      <w:r w:rsidRPr="007C1CCE">
        <w:t xml:space="preserve"> working group consultation</w:t>
      </w:r>
      <w:r w:rsidR="007C1CCE" w:rsidRPr="00D20F7C">
        <w:t>s</w:t>
      </w:r>
      <w:r w:rsidRPr="007C1CCE">
        <w:t xml:space="preserve"> for department</w:t>
      </w:r>
      <w:r w:rsidR="007C1CCE" w:rsidRPr="00D20F7C">
        <w:t>al</w:t>
      </w:r>
      <w:r w:rsidRPr="007C1CCE">
        <w:t xml:space="preserve"> rep</w:t>
      </w:r>
      <w:r w:rsidR="00AB0B1F" w:rsidRPr="007C1CCE">
        <w:t>resentative</w:t>
      </w:r>
      <w:r w:rsidRPr="007C1CCE">
        <w:t xml:space="preserve">s to assist with </w:t>
      </w:r>
      <w:r w:rsidR="007C1CCE" w:rsidRPr="00D20F7C">
        <w:t xml:space="preserve">implementing the standard and to </w:t>
      </w:r>
      <w:r w:rsidRPr="007C1CCE">
        <w:t>quantify the financial impact of this new standard for the State.</w:t>
      </w:r>
    </w:p>
    <w:p w:rsidR="00CB23CC" w:rsidRPr="00D20F7C" w:rsidRDefault="00CB23CC" w:rsidP="007D03CC">
      <w:pPr>
        <w:pStyle w:val="Heading3"/>
      </w:pPr>
      <w:r w:rsidRPr="00D20F7C">
        <w:t>E</w:t>
      </w:r>
      <w:r w:rsidR="00DB7C7C" w:rsidRPr="00D20F7C">
        <w:t>xposure Draft</w:t>
      </w:r>
      <w:r w:rsidRPr="00D20F7C">
        <w:t xml:space="preserve"> 260 </w:t>
      </w:r>
      <w:r w:rsidRPr="00D20F7C">
        <w:rPr>
          <w:i/>
        </w:rPr>
        <w:t>Income of Not</w:t>
      </w:r>
      <w:r w:rsidR="005C50EC">
        <w:rPr>
          <w:i/>
        </w:rPr>
        <w:noBreakHyphen/>
      </w:r>
      <w:r w:rsidRPr="00D20F7C">
        <w:rPr>
          <w:i/>
        </w:rPr>
        <w:t>for</w:t>
      </w:r>
      <w:r w:rsidR="005C50EC">
        <w:rPr>
          <w:i/>
        </w:rPr>
        <w:noBreakHyphen/>
      </w:r>
      <w:r w:rsidR="00633429" w:rsidRPr="00D20F7C">
        <w:rPr>
          <w:i/>
        </w:rPr>
        <w:t>P</w:t>
      </w:r>
      <w:r w:rsidRPr="00D20F7C">
        <w:rPr>
          <w:i/>
        </w:rPr>
        <w:t xml:space="preserve">rofit </w:t>
      </w:r>
      <w:r w:rsidR="00633429" w:rsidRPr="00D20F7C">
        <w:rPr>
          <w:i/>
        </w:rPr>
        <w:t>E</w:t>
      </w:r>
      <w:r w:rsidRPr="00D20F7C">
        <w:rPr>
          <w:i/>
        </w:rPr>
        <w:t>ntities</w:t>
      </w:r>
      <w:r w:rsidRPr="00D20F7C">
        <w:t xml:space="preserve"> (New AASB 10XX)</w:t>
      </w:r>
    </w:p>
    <w:p w:rsidR="00F25DD9" w:rsidRPr="00F80774" w:rsidRDefault="00677FF4" w:rsidP="00CB23CC">
      <w:r>
        <w:t>For</w:t>
      </w:r>
      <w:r w:rsidR="0079011F">
        <w:t xml:space="preserve"> income recognition, not</w:t>
      </w:r>
      <w:r w:rsidR="005C50EC">
        <w:noBreakHyphen/>
      </w:r>
      <w:r w:rsidR="0079011F">
        <w:t>for</w:t>
      </w:r>
      <w:r w:rsidR="005C50EC">
        <w:noBreakHyphen/>
      </w:r>
      <w:r w:rsidR="0079011F">
        <w:t xml:space="preserve">profit entities will need to first assess </w:t>
      </w:r>
      <w:r w:rsidR="00F80774" w:rsidRPr="00F80774">
        <w:t xml:space="preserve">if </w:t>
      </w:r>
      <w:r w:rsidR="0079011F">
        <w:t xml:space="preserve">they </w:t>
      </w:r>
      <w:r w:rsidR="00F25DD9" w:rsidRPr="00F80774">
        <w:t xml:space="preserve">have a contract with customers as defined </w:t>
      </w:r>
      <w:r w:rsidR="00F80774" w:rsidRPr="00F80774">
        <w:t>by AASB 15, which must:</w:t>
      </w:r>
    </w:p>
    <w:p w:rsidR="00F80774" w:rsidRPr="00F80774" w:rsidRDefault="00F80774" w:rsidP="00C53BA6">
      <w:pPr>
        <w:pStyle w:val="Bullet1"/>
      </w:pPr>
      <w:r w:rsidRPr="00F80774">
        <w:t>be enforceable;</w:t>
      </w:r>
    </w:p>
    <w:p w:rsidR="00F80774" w:rsidRPr="00F80774" w:rsidRDefault="00F80774" w:rsidP="00C53BA6">
      <w:pPr>
        <w:pStyle w:val="Bullet1"/>
      </w:pPr>
      <w:r w:rsidRPr="00F80774">
        <w:t xml:space="preserve">contain performance obligations to transfer goods or services to another party </w:t>
      </w:r>
      <w:r w:rsidR="00677FF4">
        <w:t xml:space="preserve">that are </w:t>
      </w:r>
      <w:r w:rsidRPr="00F80774">
        <w:t>sufficiently specific to enable determination of when the obligation has or has not been satisfied; and</w:t>
      </w:r>
    </w:p>
    <w:p w:rsidR="00F80774" w:rsidRPr="00F80774" w:rsidRDefault="00F80774" w:rsidP="00C53BA6">
      <w:pPr>
        <w:pStyle w:val="Bullet1"/>
      </w:pPr>
      <w:r w:rsidRPr="00F80774">
        <w:t>not result in the goods and services being retained by the entity.</w:t>
      </w:r>
    </w:p>
    <w:p w:rsidR="0079011F" w:rsidRPr="00FD34E2" w:rsidRDefault="0079011F" w:rsidP="00CB23CC">
      <w:r w:rsidRPr="00182513">
        <w:t xml:space="preserve">If any of the above criteria fails, the transaction would be accounted for in accordance with the upcoming AASB 10XX </w:t>
      </w:r>
      <w:r w:rsidRPr="00182513">
        <w:rPr>
          <w:i/>
        </w:rPr>
        <w:t>Income of Not</w:t>
      </w:r>
      <w:r w:rsidR="005C50EC">
        <w:rPr>
          <w:i/>
        </w:rPr>
        <w:noBreakHyphen/>
      </w:r>
      <w:r w:rsidRPr="00182513">
        <w:rPr>
          <w:i/>
        </w:rPr>
        <w:t>for</w:t>
      </w:r>
      <w:r w:rsidR="005C50EC">
        <w:rPr>
          <w:i/>
        </w:rPr>
        <w:noBreakHyphen/>
      </w:r>
      <w:r w:rsidRPr="00182513">
        <w:rPr>
          <w:i/>
        </w:rPr>
        <w:t xml:space="preserve">Profit </w:t>
      </w:r>
      <w:r w:rsidRPr="0054475A">
        <w:rPr>
          <w:i/>
        </w:rPr>
        <w:t>Entities</w:t>
      </w:r>
      <w:r w:rsidR="00C65BE7" w:rsidRPr="0054475A">
        <w:t>. The</w:t>
      </w:r>
      <w:r w:rsidR="00C65BE7" w:rsidRPr="00182513">
        <w:t xml:space="preserve"> </w:t>
      </w:r>
      <w:r w:rsidR="00437EE8" w:rsidRPr="00182513">
        <w:t xml:space="preserve">draft </w:t>
      </w:r>
      <w:r w:rsidR="00C65BE7" w:rsidRPr="00182513">
        <w:t xml:space="preserve">AASB 10XX </w:t>
      </w:r>
      <w:r w:rsidR="00FD34E2" w:rsidRPr="00182513">
        <w:t xml:space="preserve">proposes immediate </w:t>
      </w:r>
      <w:r w:rsidR="00437EE8" w:rsidRPr="00182513">
        <w:t>recognition</w:t>
      </w:r>
      <w:r w:rsidR="00FD34E2" w:rsidRPr="00182513">
        <w:t xml:space="preserve"> in the operating statement for income without a contract with customers</w:t>
      </w:r>
      <w:r w:rsidR="00437EE8" w:rsidRPr="00182513">
        <w:t xml:space="preserve">, except for </w:t>
      </w:r>
      <w:r w:rsidR="00897BA6" w:rsidRPr="00182513">
        <w:t xml:space="preserve">the amount attributable to </w:t>
      </w:r>
      <w:r w:rsidR="00437EE8" w:rsidRPr="00182513">
        <w:t xml:space="preserve">contributions by </w:t>
      </w:r>
      <w:r w:rsidR="00FD34E2" w:rsidRPr="00182513">
        <w:t xml:space="preserve">owners, </w:t>
      </w:r>
      <w:r w:rsidR="00FD34E2" w:rsidRPr="00D20F7C">
        <w:t>liabilities</w:t>
      </w:r>
      <w:r w:rsidR="00FD34E2" w:rsidRPr="00182513">
        <w:t>,</w:t>
      </w:r>
      <w:r w:rsidR="00897BA6" w:rsidRPr="00182513">
        <w:t xml:space="preserve"> </w:t>
      </w:r>
      <w:r w:rsidR="00FD34E2" w:rsidRPr="00D20F7C">
        <w:t>and</w:t>
      </w:r>
      <w:r w:rsidR="00FD34E2" w:rsidRPr="00182513">
        <w:t xml:space="preserve"> transfers</w:t>
      </w:r>
      <w:r w:rsidR="00FD34E2" w:rsidRPr="00182513">
        <w:rPr>
          <w:i/>
        </w:rPr>
        <w:t xml:space="preserve"> </w:t>
      </w:r>
      <w:r w:rsidR="00FD34E2" w:rsidRPr="00D20F7C">
        <w:t>to enable an entity to acquire or construct a non</w:t>
      </w:r>
      <w:r w:rsidR="005C50EC">
        <w:noBreakHyphen/>
      </w:r>
      <w:r w:rsidR="00FD34E2" w:rsidRPr="00D20F7C">
        <w:t>financial asset to be controlled by the entity</w:t>
      </w:r>
      <w:r w:rsidR="00534B39" w:rsidRPr="00182513">
        <w:t xml:space="preserve"> </w:t>
      </w:r>
      <w:r w:rsidR="00897BA6" w:rsidRPr="00182513">
        <w:t>as described below.</w:t>
      </w:r>
    </w:p>
    <w:p w:rsidR="00C65BE7" w:rsidRPr="00C65BE7" w:rsidRDefault="00C65BE7" w:rsidP="00CB23CC">
      <w:r>
        <w:t xml:space="preserve">The new standard may affect the timing of the grant revenue being recognised in the operating statement. </w:t>
      </w:r>
      <w:r w:rsidRPr="00C65BE7">
        <w:t xml:space="preserve">Under the existing AASB 1004 </w:t>
      </w:r>
      <w:r w:rsidRPr="00D20F7C">
        <w:rPr>
          <w:i/>
        </w:rPr>
        <w:t>Contributions</w:t>
      </w:r>
      <w:r>
        <w:rPr>
          <w:i/>
        </w:rPr>
        <w:t>,</w:t>
      </w:r>
      <w:r w:rsidRPr="00C65BE7">
        <w:t xml:space="preserve"> grant revenue is</w:t>
      </w:r>
      <w:r w:rsidR="00996470">
        <w:t xml:space="preserve"> generally</w:t>
      </w:r>
      <w:r w:rsidRPr="00C65BE7">
        <w:t xml:space="preserve"> recognised when the cash is received.</w:t>
      </w:r>
      <w:r>
        <w:t xml:space="preserve"> </w:t>
      </w:r>
      <w:r w:rsidR="006E1F18">
        <w:t xml:space="preserve">Under AASB 15 and AASB 10XX, recognition of the grant revenue in the operating statement </w:t>
      </w:r>
      <w:r w:rsidR="00000304">
        <w:t>will</w:t>
      </w:r>
      <w:r w:rsidR="006E1F18">
        <w:t xml:space="preserve"> be deferred if there is any </w:t>
      </w:r>
      <w:r w:rsidR="006E1F18" w:rsidRPr="004C77AB">
        <w:rPr>
          <w:lang w:val="en-US"/>
        </w:rPr>
        <w:t>liability or other performance obligation (a promise to transfer a good or service) related to the cash or grant received</w:t>
      </w:r>
      <w:r w:rsidR="006E1F18">
        <w:rPr>
          <w:lang w:val="en-US"/>
        </w:rPr>
        <w:t xml:space="preserve">, or the transfer is </w:t>
      </w:r>
      <w:r w:rsidR="006E1F18" w:rsidRPr="00AB21EC">
        <w:t>to enable an entity to acquire or construct a non</w:t>
      </w:r>
      <w:r w:rsidR="005C50EC">
        <w:noBreakHyphen/>
      </w:r>
      <w:r w:rsidR="006E1F18" w:rsidRPr="00AB21EC">
        <w:t>financial asset to be controlled by the entity</w:t>
      </w:r>
      <w:r w:rsidR="006E1F18">
        <w:t>.</w:t>
      </w:r>
      <w:r w:rsidR="00F462A9">
        <w:t xml:space="preserve"> VPS </w:t>
      </w:r>
      <w:r w:rsidR="0085257B">
        <w:t xml:space="preserve">entities </w:t>
      </w:r>
      <w:r w:rsidR="00F462A9" w:rsidRPr="00F462A9">
        <w:t>will nee</w:t>
      </w:r>
      <w:r w:rsidR="00F462A9">
        <w:t xml:space="preserve">d to start determining whether </w:t>
      </w:r>
      <w:r w:rsidR="0085257B">
        <w:t>they</w:t>
      </w:r>
      <w:r w:rsidR="00F462A9" w:rsidRPr="00F462A9">
        <w:t xml:space="preserve"> have any enforceable contracts in place and whethe</w:t>
      </w:r>
      <w:r w:rsidR="0085257B">
        <w:t>r performance obligations exist</w:t>
      </w:r>
      <w:r w:rsidR="00996470">
        <w:t xml:space="preserve"> related to their grant arrangement</w:t>
      </w:r>
      <w:r w:rsidR="00F462A9">
        <w:t>.</w:t>
      </w:r>
    </w:p>
    <w:p w:rsidR="00F80774" w:rsidRPr="00555EA1" w:rsidRDefault="00F80774" w:rsidP="00CB23CC">
      <w:r w:rsidRPr="002D1A17">
        <w:t xml:space="preserve">A revised draft Standard AASB 10XX and implementation </w:t>
      </w:r>
      <w:r w:rsidR="0096740D" w:rsidRPr="002D1A17">
        <w:t xml:space="preserve">guidance </w:t>
      </w:r>
      <w:r w:rsidR="00BC23B4" w:rsidRPr="002D1A17">
        <w:t>was</w:t>
      </w:r>
      <w:r w:rsidRPr="002D1A17">
        <w:t xml:space="preserve"> published in September 2016 on the AASB website for a fatal</w:t>
      </w:r>
      <w:r w:rsidR="005C50EC">
        <w:noBreakHyphen/>
      </w:r>
      <w:r w:rsidRPr="002D1A17">
        <w:t xml:space="preserve">flaw review. </w:t>
      </w:r>
      <w:r w:rsidR="00BC23B4" w:rsidRPr="002D1A17">
        <w:t>The Board has since met and discussed the pre</w:t>
      </w:r>
      <w:r w:rsidR="005C50EC">
        <w:noBreakHyphen/>
      </w:r>
      <w:r w:rsidR="00BC23B4" w:rsidRPr="002D1A17">
        <w:t>ballot draft of the Standard</w:t>
      </w:r>
      <w:r w:rsidR="00F462A9" w:rsidRPr="002D1A17">
        <w:t xml:space="preserve">. </w:t>
      </w:r>
      <w:r w:rsidR="006E1F18" w:rsidRPr="00D20F7C">
        <w:t xml:space="preserve">The finalised standard is expected to be released by the </w:t>
      </w:r>
      <w:r w:rsidR="00182513" w:rsidRPr="00D20F7C">
        <w:t>end of 2016 or early 2017</w:t>
      </w:r>
      <w:r w:rsidR="006E1F18" w:rsidRPr="00D20F7C">
        <w:t>.</w:t>
      </w:r>
    </w:p>
    <w:p w:rsidR="00E018C9" w:rsidRDefault="00E018C9">
      <w:pPr>
        <w:spacing w:before="0" w:after="200"/>
      </w:pPr>
      <w:r>
        <w:br w:type="page"/>
      </w:r>
    </w:p>
    <w:p w:rsidR="00F80774" w:rsidRPr="00555EA1" w:rsidRDefault="00555EA1" w:rsidP="005242F9">
      <w:pPr>
        <w:spacing w:before="0" w:after="200"/>
      </w:pPr>
      <w:r w:rsidRPr="00555EA1">
        <w:lastRenderedPageBreak/>
        <w:t xml:space="preserve">The major updates </w:t>
      </w:r>
      <w:r w:rsidR="00B22E99">
        <w:t>to</w:t>
      </w:r>
      <w:r w:rsidR="00B22E99" w:rsidRPr="00555EA1">
        <w:t xml:space="preserve"> </w:t>
      </w:r>
      <w:r w:rsidRPr="00555EA1">
        <w:t>the</w:t>
      </w:r>
      <w:r w:rsidR="00996470">
        <w:t xml:space="preserve"> proposed</w:t>
      </w:r>
      <w:r w:rsidRPr="00555EA1">
        <w:t xml:space="preserve"> standard (previously as Exposure Draft 260 </w:t>
      </w:r>
      <w:r w:rsidRPr="00555EA1">
        <w:rPr>
          <w:i/>
        </w:rPr>
        <w:t>Income of Not</w:t>
      </w:r>
      <w:r w:rsidR="005C50EC">
        <w:rPr>
          <w:i/>
        </w:rPr>
        <w:noBreakHyphen/>
      </w:r>
      <w:r w:rsidRPr="00555EA1">
        <w:rPr>
          <w:i/>
        </w:rPr>
        <w:t>for</w:t>
      </w:r>
      <w:r w:rsidR="005C50EC">
        <w:rPr>
          <w:i/>
        </w:rPr>
        <w:noBreakHyphen/>
      </w:r>
      <w:r w:rsidRPr="00555EA1">
        <w:rPr>
          <w:i/>
        </w:rPr>
        <w:t xml:space="preserve">Profit Entities) </w:t>
      </w:r>
      <w:r w:rsidRPr="00555EA1">
        <w:t>since</w:t>
      </w:r>
      <w:r w:rsidRPr="00555EA1">
        <w:rPr>
          <w:i/>
        </w:rPr>
        <w:t xml:space="preserve"> </w:t>
      </w:r>
      <w:r w:rsidRPr="00881675">
        <w:rPr>
          <w:i/>
        </w:rPr>
        <w:t xml:space="preserve">Accounting Policy </w:t>
      </w:r>
      <w:r w:rsidR="00B22E99" w:rsidRPr="00881675">
        <w:rPr>
          <w:i/>
        </w:rPr>
        <w:t>Update – Issue no. 30</w:t>
      </w:r>
      <w:r w:rsidR="003B0473">
        <w:rPr>
          <w:i/>
        </w:rPr>
        <w:t xml:space="preserve"> – </w:t>
      </w:r>
      <w:r w:rsidRPr="00881675">
        <w:rPr>
          <w:i/>
        </w:rPr>
        <w:t>July 2016</w:t>
      </w:r>
      <w:r w:rsidR="00B22E99">
        <w:rPr>
          <w:i/>
        </w:rPr>
        <w:t xml:space="preserve"> </w:t>
      </w:r>
      <w:r w:rsidRPr="00555EA1">
        <w:t>include:</w:t>
      </w:r>
    </w:p>
    <w:p w:rsidR="00BC23B4" w:rsidRPr="00BC003D" w:rsidRDefault="00BC23B4" w:rsidP="007D03CC">
      <w:pPr>
        <w:pStyle w:val="Bullet1"/>
      </w:pPr>
      <w:r w:rsidRPr="00BC003D">
        <w:t>Transfer</w:t>
      </w:r>
      <w:r w:rsidR="00CD3B07" w:rsidRPr="00BC003D">
        <w:t>s</w:t>
      </w:r>
      <w:r w:rsidRPr="00BC003D">
        <w:t xml:space="preserve"> to enable an entity to acquire or construct a non</w:t>
      </w:r>
      <w:r w:rsidR="005C50EC">
        <w:noBreakHyphen/>
      </w:r>
      <w:r w:rsidRPr="00BC003D">
        <w:t>financial asset to be controlled by the entity</w:t>
      </w:r>
    </w:p>
    <w:p w:rsidR="00BC23B4" w:rsidRDefault="00CD3B07" w:rsidP="007D03CC">
      <w:pPr>
        <w:pStyle w:val="NormalIndent"/>
      </w:pPr>
      <w:r>
        <w:t>For transfers made to enable an entity to acquire or construct a non</w:t>
      </w:r>
      <w:r w:rsidR="005C50EC">
        <w:noBreakHyphen/>
      </w:r>
      <w:r>
        <w:t>financial asset for its own use, t</w:t>
      </w:r>
      <w:r w:rsidR="00BC23B4">
        <w:t xml:space="preserve">he draft standard </w:t>
      </w:r>
      <w:r>
        <w:t xml:space="preserve">defers the recognition of income until </w:t>
      </w:r>
      <w:r w:rsidR="00996470">
        <w:t>the entity</w:t>
      </w:r>
      <w:r>
        <w:t xml:space="preserve"> satisfies the obligation to acquire or construct the asset.</w:t>
      </w:r>
    </w:p>
    <w:p w:rsidR="00CD3B07" w:rsidRDefault="00CD3B07" w:rsidP="007D03CC">
      <w:pPr>
        <w:pStyle w:val="NormalIndent"/>
      </w:pPr>
      <w:r>
        <w:t>To meet the definition of such transfer, the Board has tentatively decided that the non</w:t>
      </w:r>
      <w:r w:rsidR="005C50EC">
        <w:noBreakHyphen/>
      </w:r>
      <w:r>
        <w:t xml:space="preserve">financial asset to be acquired or constructed by the entity must be one that will be recognised as an asset in accordance with the appropriate </w:t>
      </w:r>
      <w:r w:rsidR="003C26E2">
        <w:t>AAS</w:t>
      </w:r>
      <w:r>
        <w:t>. As a result, grant</w:t>
      </w:r>
      <w:r w:rsidR="000B286B">
        <w:t>s</w:t>
      </w:r>
      <w:r>
        <w:t xml:space="preserve"> for research will be recognised immediately as the ‘research asset’ being developed cannot meet the asset recognition criteria of AASB 138 </w:t>
      </w:r>
      <w:r w:rsidRPr="00CD3B07">
        <w:rPr>
          <w:i/>
        </w:rPr>
        <w:t>Intangible Assets</w:t>
      </w:r>
      <w:r>
        <w:t>.</w:t>
      </w:r>
    </w:p>
    <w:p w:rsidR="00BC23B4" w:rsidRDefault="0000577E" w:rsidP="007D03CC">
      <w:pPr>
        <w:pStyle w:val="NormalIndent"/>
      </w:pPr>
      <w:r>
        <w:t xml:space="preserve">The Board has also </w:t>
      </w:r>
      <w:r w:rsidR="000D3A5A">
        <w:t xml:space="preserve">clarified </w:t>
      </w:r>
      <w:r>
        <w:t xml:space="preserve">that the deferral accounting </w:t>
      </w:r>
      <w:r w:rsidR="001B2853">
        <w:t xml:space="preserve">applies </w:t>
      </w:r>
      <w:r>
        <w:t>only to the transfer of a financial asset. Transfers of non</w:t>
      </w:r>
      <w:r w:rsidR="005C50EC">
        <w:noBreakHyphen/>
      </w:r>
      <w:r>
        <w:t xml:space="preserve">financial assets, such as building materials or land, </w:t>
      </w:r>
      <w:r w:rsidR="000D3A5A">
        <w:t xml:space="preserve">to </w:t>
      </w:r>
      <w:r w:rsidR="001B2853">
        <w:t>acquire or construct a non</w:t>
      </w:r>
      <w:r w:rsidR="005C50EC">
        <w:noBreakHyphen/>
      </w:r>
      <w:r w:rsidR="001B2853">
        <w:t xml:space="preserve">financial asset </w:t>
      </w:r>
      <w:r>
        <w:t>will not qualify for the specified accounting treatment.</w:t>
      </w:r>
      <w:r w:rsidR="00CD3B07">
        <w:t xml:space="preserve"> </w:t>
      </w:r>
    </w:p>
    <w:p w:rsidR="00EB60CA" w:rsidRPr="00BC003D" w:rsidRDefault="0096740D" w:rsidP="00C53BA6">
      <w:pPr>
        <w:pStyle w:val="Bullet1"/>
      </w:pPr>
      <w:r w:rsidRPr="00BC003D">
        <w:t>Volunteer s</w:t>
      </w:r>
      <w:r w:rsidR="00EB60CA" w:rsidRPr="00BC003D">
        <w:t>ervices</w:t>
      </w:r>
    </w:p>
    <w:p w:rsidR="00336FD2" w:rsidRDefault="000E0178" w:rsidP="007D03CC">
      <w:pPr>
        <w:pStyle w:val="NormalIndent"/>
      </w:pPr>
      <w:r>
        <w:t xml:space="preserve">Consistent with the current accounting </w:t>
      </w:r>
      <w:r w:rsidR="00996470">
        <w:t>requirements of</w:t>
      </w:r>
      <w:r>
        <w:t xml:space="preserve"> AASB 1004, l</w:t>
      </w:r>
      <w:r w:rsidR="00336FD2">
        <w:t>ocal governments, government departments, general government sectors and whole of governments</w:t>
      </w:r>
      <w:r w:rsidR="00E93062">
        <w:t xml:space="preserve"> </w:t>
      </w:r>
      <w:r>
        <w:t xml:space="preserve">are expected to </w:t>
      </w:r>
      <w:r w:rsidR="00E93062">
        <w:t xml:space="preserve">recognise the inflow of resources in the form of volunteer services if the fair value can be measured reliably and the services would have been purchased </w:t>
      </w:r>
      <w:r w:rsidR="00E93062" w:rsidRPr="00D20F7C">
        <w:rPr>
          <w:u w:val="single"/>
        </w:rPr>
        <w:t>if they had not been donated</w:t>
      </w:r>
      <w:r w:rsidR="00E93062">
        <w:t>.</w:t>
      </w:r>
    </w:p>
    <w:p w:rsidR="00336FD2" w:rsidRDefault="00FA02E0" w:rsidP="007D03CC">
      <w:pPr>
        <w:pStyle w:val="NormalIndent"/>
      </w:pPr>
      <w:r>
        <w:t>ED 260 also provides an option for a</w:t>
      </w:r>
      <w:r w:rsidR="005472A1">
        <w:t xml:space="preserve">ny </w:t>
      </w:r>
      <w:r w:rsidR="00877721">
        <w:t>not</w:t>
      </w:r>
      <w:r w:rsidR="005C50EC">
        <w:noBreakHyphen/>
      </w:r>
      <w:r w:rsidR="00877721">
        <w:t>for</w:t>
      </w:r>
      <w:r w:rsidR="005C50EC">
        <w:noBreakHyphen/>
      </w:r>
      <w:r w:rsidR="00877721">
        <w:t>profit</w:t>
      </w:r>
      <w:r w:rsidR="005472A1">
        <w:t xml:space="preserve"> entity</w:t>
      </w:r>
      <w:r>
        <w:t xml:space="preserve"> so that they</w:t>
      </w:r>
      <w:r w:rsidR="005472A1">
        <w:t xml:space="preserve"> </w:t>
      </w:r>
      <w:r w:rsidR="005472A1" w:rsidRPr="0096740D">
        <w:rPr>
          <w:b/>
        </w:rPr>
        <w:t>may</w:t>
      </w:r>
      <w:r w:rsidR="005472A1">
        <w:t xml:space="preserve"> elect to recognise volunteer services if their fair value can be measured reliably, whether or not the services would have been purchased if they had not been donated.</w:t>
      </w:r>
      <w:r w:rsidR="000E0178">
        <w:t xml:space="preserve"> </w:t>
      </w:r>
      <w:r w:rsidR="00CB0777">
        <w:t xml:space="preserve">Provision of the </w:t>
      </w:r>
      <w:r w:rsidR="00996470">
        <w:t xml:space="preserve">option is </w:t>
      </w:r>
      <w:r w:rsidR="00CB0777">
        <w:t xml:space="preserve">to avoid </w:t>
      </w:r>
      <w:r w:rsidR="00996470" w:rsidRPr="00996470">
        <w:t>unintended costs by mandating it</w:t>
      </w:r>
      <w:r w:rsidR="00996470">
        <w:t>.</w:t>
      </w:r>
    </w:p>
    <w:p w:rsidR="00EB60CA" w:rsidRPr="00BC003D" w:rsidRDefault="00EB60CA" w:rsidP="00C53BA6">
      <w:pPr>
        <w:pStyle w:val="Bullet1"/>
      </w:pPr>
      <w:r w:rsidRPr="00BC003D">
        <w:t>Licences</w:t>
      </w:r>
    </w:p>
    <w:p w:rsidR="00E93062" w:rsidRDefault="005472A1" w:rsidP="007D03CC">
      <w:pPr>
        <w:pStyle w:val="NormalIndent"/>
      </w:pPr>
      <w:r>
        <w:t>The scope of AASB 10XX has been amende</w:t>
      </w:r>
      <w:r w:rsidR="00EB60CA">
        <w:t>d to exclude licenc</w:t>
      </w:r>
      <w:r>
        <w:t>es outside the scope of AASB 15</w:t>
      </w:r>
      <w:r w:rsidR="008015B2">
        <w:t>, e.g. r</w:t>
      </w:r>
      <w:r w:rsidR="008015B2" w:rsidRPr="008015B2">
        <w:t>egulatory licences (</w:t>
      </w:r>
      <w:r w:rsidR="008015B2">
        <w:t>such as gaming licence</w:t>
      </w:r>
      <w:r w:rsidR="008015B2" w:rsidRPr="008015B2">
        <w:t>) and licences for the u</w:t>
      </w:r>
      <w:r w:rsidR="008015B2">
        <w:t>se of non</w:t>
      </w:r>
      <w:r w:rsidR="005C50EC">
        <w:noBreakHyphen/>
      </w:r>
      <w:r w:rsidR="008015B2">
        <w:t xml:space="preserve">produced assets (such as </w:t>
      </w:r>
      <w:r w:rsidR="008015B2" w:rsidRPr="008015B2">
        <w:t>mineral and water rights, fishing licences)</w:t>
      </w:r>
      <w:r>
        <w:t>.</w:t>
      </w:r>
      <w:r w:rsidR="00CB0777">
        <w:t xml:space="preserve"> For such licences, a</w:t>
      </w:r>
      <w:r>
        <w:t xml:space="preserve">n entity would apply AASB 108 </w:t>
      </w:r>
      <w:r w:rsidRPr="00EB60CA">
        <w:rPr>
          <w:i/>
        </w:rPr>
        <w:t>Accounting Policies, Changes in Accounting Estimates and Errors</w:t>
      </w:r>
      <w:r>
        <w:t xml:space="preserve"> in determining its accounting policies, which m</w:t>
      </w:r>
      <w:r w:rsidR="00CB0777">
        <w:t>ay</w:t>
      </w:r>
      <w:r>
        <w:t xml:space="preserve"> result in applying the licence provisions of AASB 15 by analogy or the requirements of AASB 10XX</w:t>
      </w:r>
      <w:r w:rsidR="00CB0777">
        <w:t xml:space="preserve"> as appropriate</w:t>
      </w:r>
      <w:r>
        <w:t xml:space="preserve">. </w:t>
      </w:r>
    </w:p>
    <w:p w:rsidR="00AC2674" w:rsidRPr="00BC003D" w:rsidRDefault="0096740D" w:rsidP="00C53BA6">
      <w:pPr>
        <w:pStyle w:val="Bullet1"/>
      </w:pPr>
      <w:r w:rsidRPr="00BC003D">
        <w:t>Effective d</w:t>
      </w:r>
      <w:r w:rsidR="00AC2674" w:rsidRPr="00BC003D">
        <w:t>ate</w:t>
      </w:r>
    </w:p>
    <w:p w:rsidR="00AC2674" w:rsidRPr="00515E2D" w:rsidRDefault="00AC2674" w:rsidP="007D03CC">
      <w:pPr>
        <w:pStyle w:val="NormalIndent"/>
      </w:pPr>
      <w:r>
        <w:t xml:space="preserve">The </w:t>
      </w:r>
      <w:r w:rsidR="00996470">
        <w:t xml:space="preserve">proposed </w:t>
      </w:r>
      <w:r>
        <w:t>effective date of AASB 10XX has been deferred by one year to annual reporting periods beginning on or after 1 January 2019</w:t>
      </w:r>
      <w:r w:rsidR="00996470">
        <w:t xml:space="preserve"> to align with the application date of AASB 15 for not</w:t>
      </w:r>
      <w:r w:rsidR="005C50EC">
        <w:noBreakHyphen/>
      </w:r>
      <w:r w:rsidR="00996470">
        <w:t>for</w:t>
      </w:r>
      <w:r w:rsidR="005C50EC">
        <w:noBreakHyphen/>
      </w:r>
      <w:r w:rsidR="00996470">
        <w:t>profit entities.</w:t>
      </w:r>
    </w:p>
    <w:p w:rsidR="009C5B37" w:rsidRPr="00D20F7C" w:rsidRDefault="000238D7" w:rsidP="007D03CC">
      <w:pPr>
        <w:pStyle w:val="Heading3"/>
      </w:pPr>
      <w:r w:rsidRPr="00D20F7C">
        <w:t>AASB 1</w:t>
      </w:r>
      <w:r w:rsidR="002128F8" w:rsidRPr="00D20F7C">
        <w:t>6</w:t>
      </w:r>
      <w:r w:rsidRPr="00D20F7C">
        <w:t xml:space="preserve"> </w:t>
      </w:r>
      <w:r w:rsidR="009C5B37" w:rsidRPr="00D20F7C">
        <w:rPr>
          <w:i/>
        </w:rPr>
        <w:t>Leases</w:t>
      </w:r>
    </w:p>
    <w:p w:rsidR="009C5B37" w:rsidRDefault="008A6C31" w:rsidP="009C5B37">
      <w:pPr>
        <w:rPr>
          <w:lang w:val="en-US"/>
        </w:rPr>
      </w:pPr>
      <w:r>
        <w:t>T</w:t>
      </w:r>
      <w:r w:rsidR="009C5B37" w:rsidRPr="009C5B37">
        <w:t xml:space="preserve">he AASB issued the new leasing standard AASB 16 </w:t>
      </w:r>
      <w:r w:rsidR="009C5B37" w:rsidRPr="00D20F7C">
        <w:rPr>
          <w:i/>
        </w:rPr>
        <w:t>Leases</w:t>
      </w:r>
      <w:r w:rsidR="009C5B37" w:rsidRPr="009C5B37">
        <w:t xml:space="preserve"> </w:t>
      </w:r>
      <w:r>
        <w:t>i</w:t>
      </w:r>
      <w:r w:rsidRPr="009C5B37">
        <w:t>n February 2016</w:t>
      </w:r>
      <w:r>
        <w:t xml:space="preserve"> </w:t>
      </w:r>
      <w:r w:rsidR="009C5B37" w:rsidRPr="009C5B37">
        <w:t xml:space="preserve">to supersede the existing standard AASB 117 </w:t>
      </w:r>
      <w:r w:rsidR="009C5B37" w:rsidRPr="00D20F7C">
        <w:rPr>
          <w:i/>
        </w:rPr>
        <w:t>Leases</w:t>
      </w:r>
      <w:r w:rsidR="009C5B37" w:rsidRPr="00DD0492">
        <w:t>.</w:t>
      </w:r>
      <w:r w:rsidR="000717DA">
        <w:t xml:space="preserve"> It </w:t>
      </w:r>
      <w:r w:rsidR="000717DA" w:rsidRPr="004C77AB">
        <w:rPr>
          <w:lang w:val="en-US"/>
        </w:rPr>
        <w:t>will apply for annual reporting periods beginning on or after 1 January 2019</w:t>
      </w:r>
      <w:r w:rsidR="000717DA">
        <w:rPr>
          <w:lang w:val="en-US"/>
        </w:rPr>
        <w:t>.</w:t>
      </w:r>
    </w:p>
    <w:p w:rsidR="009F25CB" w:rsidRDefault="001C4802" w:rsidP="009C5B37">
      <w:pPr>
        <w:rPr>
          <w:lang w:val="en-US"/>
        </w:rPr>
      </w:pPr>
      <w:r>
        <w:rPr>
          <w:lang w:val="en-US"/>
        </w:rPr>
        <w:t xml:space="preserve">AASB 16 keeps the same accounting principles for lessors as in AASB 117. However, it </w:t>
      </w:r>
      <w:r w:rsidRPr="001C4802">
        <w:rPr>
          <w:lang w:val="en-US"/>
        </w:rPr>
        <w:t xml:space="preserve">eliminates the differentiation between operating and finance leases </w:t>
      </w:r>
      <w:r>
        <w:rPr>
          <w:lang w:val="en-US"/>
        </w:rPr>
        <w:t>from the lessee</w:t>
      </w:r>
      <w:r w:rsidR="00081517">
        <w:rPr>
          <w:lang w:val="en-US"/>
        </w:rPr>
        <w:t>’s</w:t>
      </w:r>
      <w:r>
        <w:rPr>
          <w:lang w:val="en-US"/>
        </w:rPr>
        <w:t xml:space="preserve"> perspective </w:t>
      </w:r>
      <w:r w:rsidRPr="001C4802">
        <w:rPr>
          <w:lang w:val="en-US"/>
        </w:rPr>
        <w:t>by introducing a single lessee accounting model</w:t>
      </w:r>
      <w:r>
        <w:rPr>
          <w:lang w:val="en-US"/>
        </w:rPr>
        <w:t>.</w:t>
      </w:r>
      <w:r w:rsidR="00A74E46">
        <w:rPr>
          <w:lang w:val="en-US"/>
        </w:rPr>
        <w:t xml:space="preserve"> </w:t>
      </w:r>
    </w:p>
    <w:p w:rsidR="001C4802" w:rsidRDefault="00A74E46" w:rsidP="009C5B37">
      <w:r>
        <w:rPr>
          <w:lang w:val="en-US"/>
        </w:rPr>
        <w:t xml:space="preserve">Under this model, </w:t>
      </w:r>
      <w:r w:rsidRPr="004C77AB">
        <w:t>the lessee recognises most operating leases on balance sheet</w:t>
      </w:r>
      <w:r w:rsidR="00F24364">
        <w:t xml:space="preserve">, with short term leases less than 12 months and low value leases as the only exemptions. </w:t>
      </w:r>
      <w:r w:rsidR="00F24364" w:rsidRPr="00F24364">
        <w:t>Lessees will have to account for most leases in a manner similar to how finance leases are currently treated under AASB 117</w:t>
      </w:r>
      <w:r w:rsidR="00F24364">
        <w:t>, recognising a right</w:t>
      </w:r>
      <w:r w:rsidR="005C50EC">
        <w:noBreakHyphen/>
      </w:r>
      <w:r w:rsidR="00F24364">
        <w:t>of</w:t>
      </w:r>
      <w:r w:rsidR="005C50EC">
        <w:noBreakHyphen/>
      </w:r>
      <w:r w:rsidR="00F24364">
        <w:t>use asset and a lease liability at the lease commencement date, and depreciating the asset and amortising the liability over the lease period.</w:t>
      </w:r>
    </w:p>
    <w:p w:rsidR="00E018C9" w:rsidRDefault="00E018C9">
      <w:pPr>
        <w:spacing w:before="0" w:after="200"/>
      </w:pPr>
      <w:r>
        <w:br w:type="page"/>
      </w:r>
    </w:p>
    <w:p w:rsidR="00F24364" w:rsidRDefault="001D73E5" w:rsidP="009C5B37">
      <w:r>
        <w:lastRenderedPageBreak/>
        <w:t>The recognition of</w:t>
      </w:r>
      <w:r w:rsidRPr="001D73E5">
        <w:t xml:space="preserve"> all lease assets and liabilities on balance sheet</w:t>
      </w:r>
      <w:r>
        <w:t xml:space="preserve"> will increase the net debt of lessees. The net impact on their operating surplus is expected to be marginal. The presentation in </w:t>
      </w:r>
      <w:r w:rsidR="00996470">
        <w:t xml:space="preserve">the </w:t>
      </w:r>
      <w:r>
        <w:t xml:space="preserve">cash flow statement will </w:t>
      </w:r>
      <w:r w:rsidR="00996470">
        <w:t>also be affected</w:t>
      </w:r>
      <w:r>
        <w:t xml:space="preserve">, with </w:t>
      </w:r>
      <w:r w:rsidRPr="001D73E5">
        <w:t xml:space="preserve">the amounts of cash paid for the principal </w:t>
      </w:r>
      <w:r w:rsidR="00996470">
        <w:t>repayment</w:t>
      </w:r>
      <w:r w:rsidRPr="001D73E5">
        <w:t xml:space="preserve"> of the lease liability </w:t>
      </w:r>
      <w:r>
        <w:t xml:space="preserve">classified </w:t>
      </w:r>
      <w:r w:rsidR="00996470">
        <w:t>under</w:t>
      </w:r>
      <w:r w:rsidRPr="001D73E5">
        <w:t xml:space="preserve"> financing activities, and the amount</w:t>
      </w:r>
      <w:r w:rsidR="00996470">
        <w:t>s</w:t>
      </w:r>
      <w:r w:rsidRPr="001D73E5">
        <w:t xml:space="preserve"> paid</w:t>
      </w:r>
      <w:r>
        <w:t xml:space="preserve"> for the interest </w:t>
      </w:r>
      <w:r w:rsidR="00996470">
        <w:t>component being classified under</w:t>
      </w:r>
      <w:r w:rsidRPr="001D73E5">
        <w:t xml:space="preserve"> operating activities</w:t>
      </w:r>
      <w:r>
        <w:t>.</w:t>
      </w:r>
    </w:p>
    <w:p w:rsidR="0054475A" w:rsidRPr="00D20F7C" w:rsidRDefault="0056706D" w:rsidP="009C5B37">
      <w:r w:rsidRPr="0054475A">
        <w:t>In preparation for implementing this new leasing standard, VPS entities should</w:t>
      </w:r>
      <w:r w:rsidR="0054475A" w:rsidRPr="00D20F7C">
        <w:t xml:space="preserve">: </w:t>
      </w:r>
    </w:p>
    <w:p w:rsidR="0054475A" w:rsidRDefault="0054475A" w:rsidP="00C53BA6">
      <w:pPr>
        <w:pStyle w:val="Bullet1"/>
      </w:pPr>
      <w:r w:rsidRPr="00D20F7C">
        <w:t>develop a register to capture all operating leases;</w:t>
      </w:r>
    </w:p>
    <w:p w:rsidR="0054475A" w:rsidRDefault="0054475A" w:rsidP="00C53BA6">
      <w:pPr>
        <w:pStyle w:val="Bullet1"/>
      </w:pPr>
      <w:r w:rsidRPr="00D20F7C">
        <w:t xml:space="preserve">review service agreements </w:t>
      </w:r>
      <w:r w:rsidR="00115A52">
        <w:t>to determine if it</w:t>
      </w:r>
      <w:r w:rsidRPr="00D20F7C">
        <w:t xml:space="preserve"> contain</w:t>
      </w:r>
      <w:r w:rsidR="00115A52">
        <w:t>s</w:t>
      </w:r>
      <w:r w:rsidRPr="00D20F7C">
        <w:t xml:space="preserve"> an embedded finance or operating lease that will need to be segregated f</w:t>
      </w:r>
      <w:r>
        <w:t xml:space="preserve">rom the service element to be reported on balance sheet; and </w:t>
      </w:r>
    </w:p>
    <w:p w:rsidR="0054475A" w:rsidRDefault="0054475A" w:rsidP="00C53BA6">
      <w:pPr>
        <w:pStyle w:val="Bullet1"/>
      </w:pPr>
      <w:r w:rsidRPr="00D20F7C">
        <w:t xml:space="preserve">identify </w:t>
      </w:r>
      <w:r>
        <w:t xml:space="preserve">changes </w:t>
      </w:r>
      <w:r w:rsidR="00115A52">
        <w:t xml:space="preserve">required </w:t>
      </w:r>
      <w:r>
        <w:t>to internal processes or systems in order to capture the necessary information for reporting purposes</w:t>
      </w:r>
      <w:r w:rsidRPr="00D20F7C">
        <w:t xml:space="preserve">. </w:t>
      </w:r>
    </w:p>
    <w:p w:rsidR="009C5B37" w:rsidRDefault="005F1737" w:rsidP="00D20F7C">
      <w:r w:rsidRPr="00D302E8">
        <w:t xml:space="preserve">To assist entities with the implementation </w:t>
      </w:r>
      <w:r w:rsidR="00773872" w:rsidRPr="00AB62B9">
        <w:t xml:space="preserve">of this new </w:t>
      </w:r>
      <w:r w:rsidR="00773872" w:rsidRPr="000D72EA">
        <w:t>standard</w:t>
      </w:r>
      <w:r w:rsidR="009F25CB" w:rsidRPr="00000304">
        <w:t xml:space="preserve">, </w:t>
      </w:r>
      <w:r w:rsidRPr="002C4783">
        <w:t xml:space="preserve">DTF </w:t>
      </w:r>
      <w:r w:rsidRPr="00AD5807">
        <w:t xml:space="preserve">will </w:t>
      </w:r>
      <w:r w:rsidR="00000304">
        <w:t xml:space="preserve">be </w:t>
      </w:r>
      <w:r w:rsidR="0054475A" w:rsidRPr="00AD5807">
        <w:t xml:space="preserve">hosting working group </w:t>
      </w:r>
      <w:r w:rsidR="00000304">
        <w:t>c</w:t>
      </w:r>
      <w:r w:rsidR="0054475A" w:rsidRPr="002C4783">
        <w:t xml:space="preserve">onsultations </w:t>
      </w:r>
      <w:r w:rsidR="00996470">
        <w:t>with</w:t>
      </w:r>
      <w:r w:rsidR="0054475A" w:rsidRPr="002C4783">
        <w:t xml:space="preserve"> departmental representatives</w:t>
      </w:r>
      <w:r w:rsidR="00996470">
        <w:t>, and portfolio entities are encouraged to be in contact with their portfolio department representatives.</w:t>
      </w:r>
    </w:p>
    <w:p w:rsidR="00C36FA4" w:rsidRPr="00405535" w:rsidRDefault="000238D7" w:rsidP="007D03CC">
      <w:pPr>
        <w:pStyle w:val="Heading3"/>
      </w:pPr>
      <w:r w:rsidRPr="00D20F7C">
        <w:t xml:space="preserve">ED 261 </w:t>
      </w:r>
      <w:r w:rsidR="00C36FA4" w:rsidRPr="00713FB5">
        <w:rPr>
          <w:i/>
        </w:rPr>
        <w:t>Service Concession Arrangements</w:t>
      </w:r>
    </w:p>
    <w:p w:rsidR="008E34B2" w:rsidRDefault="008E34B2" w:rsidP="00C36FA4">
      <w:r w:rsidRPr="008E34B2">
        <w:t xml:space="preserve">ED 261 </w:t>
      </w:r>
      <w:r w:rsidRPr="00D20F7C">
        <w:rPr>
          <w:i/>
        </w:rPr>
        <w:t>Service Concession Arrangements</w:t>
      </w:r>
      <w:r>
        <w:t xml:space="preserve"> </w:t>
      </w:r>
      <w:r w:rsidR="00115A52">
        <w:t>was</w:t>
      </w:r>
      <w:r w:rsidRPr="008E34B2">
        <w:t xml:space="preserve"> issued by the AASB </w:t>
      </w:r>
      <w:r w:rsidR="00ED0DD3">
        <w:t>with</w:t>
      </w:r>
      <w:r w:rsidRPr="008E34B2">
        <w:t xml:space="preserve"> </w:t>
      </w:r>
      <w:r w:rsidR="00115A52">
        <w:t>an</w:t>
      </w:r>
      <w:r w:rsidRPr="008E34B2">
        <w:t xml:space="preserve"> </w:t>
      </w:r>
      <w:r w:rsidR="00115A52">
        <w:t>initial</w:t>
      </w:r>
      <w:r w:rsidRPr="008E34B2">
        <w:t xml:space="preserve"> application</w:t>
      </w:r>
      <w:r w:rsidR="00115A52">
        <w:t xml:space="preserve"> </w:t>
      </w:r>
      <w:r w:rsidR="00BA7208">
        <w:t xml:space="preserve">date </w:t>
      </w:r>
      <w:r w:rsidR="00115A52">
        <w:t xml:space="preserve">from </w:t>
      </w:r>
      <w:r w:rsidR="00BA7208">
        <w:br/>
      </w:r>
      <w:r w:rsidR="00A261D2">
        <w:t>the 2017</w:t>
      </w:r>
      <w:r w:rsidR="005C50EC">
        <w:noBreakHyphen/>
      </w:r>
      <w:r w:rsidR="00A261D2">
        <w:t>18 reporting</w:t>
      </w:r>
      <w:r w:rsidR="00115A52">
        <w:t xml:space="preserve"> period</w:t>
      </w:r>
      <w:r>
        <w:t xml:space="preserve">. </w:t>
      </w:r>
      <w:r w:rsidRPr="008E34B2">
        <w:t>However</w:t>
      </w:r>
      <w:r w:rsidR="00ED0DD3">
        <w:t>,</w:t>
      </w:r>
      <w:r w:rsidR="00115A52">
        <w:t xml:space="preserve"> it is</w:t>
      </w:r>
      <w:r w:rsidRPr="008E34B2">
        <w:t xml:space="preserve"> anticipated that the issue of ED 261 as an accounting standard will be </w:t>
      </w:r>
      <w:r w:rsidR="001661C8">
        <w:t>delayed</w:t>
      </w:r>
      <w:r w:rsidR="00CB66E1">
        <w:t xml:space="preserve"> </w:t>
      </w:r>
      <w:r w:rsidRPr="008E34B2">
        <w:t>with a potential application date from 1 January 2019</w:t>
      </w:r>
      <w:r w:rsidR="00115A52">
        <w:t xml:space="preserve"> (the 2019</w:t>
      </w:r>
      <w:r w:rsidR="005C50EC">
        <w:noBreakHyphen/>
      </w:r>
      <w:r w:rsidR="00115A52">
        <w:t>20 reporting period)</w:t>
      </w:r>
      <w:r w:rsidR="00CB66E1">
        <w:t>.</w:t>
      </w:r>
    </w:p>
    <w:p w:rsidR="00CB66E1" w:rsidRDefault="00337BDA" w:rsidP="00C36FA4">
      <w:r>
        <w:t>ED</w:t>
      </w:r>
      <w:r w:rsidR="00CB66E1">
        <w:t xml:space="preserve"> 261</w:t>
      </w:r>
      <w:r w:rsidR="00CB66E1" w:rsidRPr="00CB66E1">
        <w:t xml:space="preserve"> addresses</w:t>
      </w:r>
      <w:r w:rsidR="00CC77E8">
        <w:t xml:space="preserve"> accounting for</w:t>
      </w:r>
      <w:r w:rsidR="00CB66E1" w:rsidRPr="00CB66E1">
        <w:t xml:space="preserve"> service concession arrangements from a grantor’s perspective as th</w:t>
      </w:r>
      <w:r w:rsidR="00CC77E8">
        <w:t xml:space="preserve">ere was previously no specific </w:t>
      </w:r>
      <w:r w:rsidR="002E0F67">
        <w:t>AAS</w:t>
      </w:r>
      <w:r w:rsidR="00CC77E8">
        <w:t xml:space="preserve"> to address the accounting for such arrangements</w:t>
      </w:r>
      <w:r w:rsidR="00CB66E1" w:rsidRPr="00CB66E1">
        <w:t>.</w:t>
      </w:r>
      <w:r w:rsidR="00CB66E1">
        <w:t xml:space="preserve"> It</w:t>
      </w:r>
      <w:r w:rsidR="00CB66E1" w:rsidRPr="00CB66E1">
        <w:t xml:space="preserve"> prescribes the accounting treatment for </w:t>
      </w:r>
      <w:r w:rsidR="000136CE">
        <w:t>p</w:t>
      </w:r>
      <w:r w:rsidR="00CB66E1" w:rsidRPr="00CB66E1">
        <w:t xml:space="preserve">ublic </w:t>
      </w:r>
      <w:r w:rsidR="000136CE">
        <w:t>p</w:t>
      </w:r>
      <w:r w:rsidR="00CB66E1" w:rsidRPr="00CB66E1">
        <w:t xml:space="preserve">rivate </w:t>
      </w:r>
      <w:r w:rsidR="000136CE">
        <w:t>p</w:t>
      </w:r>
      <w:r w:rsidR="00CB66E1" w:rsidRPr="00CB66E1">
        <w:t>artnership (PPP) arrangements where a private sector operator is providing a public asset or service to the State</w:t>
      </w:r>
      <w:r w:rsidR="00CB66E1">
        <w:t>.</w:t>
      </w:r>
    </w:p>
    <w:p w:rsidR="00CB66E1" w:rsidRDefault="00337BDA" w:rsidP="00C36FA4">
      <w:r>
        <w:t>Currently</w:t>
      </w:r>
      <w:r w:rsidR="00CB66E1">
        <w:t xml:space="preserve">, there are </w:t>
      </w:r>
      <w:r>
        <w:t>two</w:t>
      </w:r>
      <w:r w:rsidR="00CB66E1">
        <w:t xml:space="preserve"> types of PPP arrangements:</w:t>
      </w:r>
    </w:p>
    <w:p w:rsidR="002D1A17" w:rsidRPr="003B0473" w:rsidRDefault="009D5750" w:rsidP="00C53BA6">
      <w:pPr>
        <w:pStyle w:val="Bullet1"/>
      </w:pPr>
      <w:r>
        <w:t>s</w:t>
      </w:r>
      <w:r w:rsidR="00CB66E1" w:rsidRPr="00C74692">
        <w:t>ocial infrastructure PPPs</w:t>
      </w:r>
      <w:r w:rsidR="00CB66E1" w:rsidRPr="00CB66E1">
        <w:t xml:space="preserve"> where the public sector entity directly pay</w:t>
      </w:r>
      <w:r w:rsidR="000136CE">
        <w:t>s</w:t>
      </w:r>
      <w:r w:rsidR="00CB66E1" w:rsidRPr="00CB66E1">
        <w:t xml:space="preserve"> for the infrastructure</w:t>
      </w:r>
      <w:r w:rsidR="00592174">
        <w:t>, such as the</w:t>
      </w:r>
      <w:r w:rsidR="00CB66E1" w:rsidRPr="00CB66E1">
        <w:t xml:space="preserve"> arrangements for the construction of prisons, schools, hospitals. These are currently accounted for on bala</w:t>
      </w:r>
      <w:r w:rsidR="00CB66E1" w:rsidRPr="003B0473">
        <w:t xml:space="preserve">nce sheet as a finance lease, </w:t>
      </w:r>
      <w:r w:rsidR="00CC77E8" w:rsidRPr="003B0473">
        <w:t>with recognition on</w:t>
      </w:r>
      <w:r w:rsidR="00CB66E1" w:rsidRPr="003B0473">
        <w:t xml:space="preserve"> commercial acceptance (</w:t>
      </w:r>
      <w:r w:rsidR="00592174" w:rsidRPr="003B0473">
        <w:t>i.e. when they are</w:t>
      </w:r>
      <w:r w:rsidR="00CB66E1" w:rsidRPr="003B0473">
        <w:t xml:space="preserve"> available for service</w:t>
      </w:r>
      <w:r w:rsidR="00FF159C" w:rsidRPr="003B0473">
        <w:t xml:space="preserve"> on completion of construction</w:t>
      </w:r>
      <w:r w:rsidR="00CB66E1" w:rsidRPr="003B0473">
        <w:t>)</w:t>
      </w:r>
      <w:r w:rsidR="00CB0777" w:rsidRPr="003B0473">
        <w:t>; and</w:t>
      </w:r>
    </w:p>
    <w:p w:rsidR="00CB66E1" w:rsidRDefault="009D5750" w:rsidP="00C53BA6">
      <w:pPr>
        <w:pStyle w:val="Bullet1"/>
      </w:pPr>
      <w:r w:rsidRPr="003B0473">
        <w:t>e</w:t>
      </w:r>
      <w:r w:rsidR="00CB66E1" w:rsidRPr="003B0473">
        <w:t xml:space="preserve">conomic infrastructure PPPs where the State does not pay for </w:t>
      </w:r>
      <w:r w:rsidR="00337BDA" w:rsidRPr="003B0473">
        <w:t>the infrastructure</w:t>
      </w:r>
      <w:r w:rsidR="00CB66E1" w:rsidRPr="003B0473">
        <w:t xml:space="preserve">, but instead </w:t>
      </w:r>
      <w:r w:rsidR="00337BDA" w:rsidRPr="003B0473">
        <w:t xml:space="preserve">provides the </w:t>
      </w:r>
      <w:r w:rsidR="00CB66E1" w:rsidRPr="003B0473">
        <w:t>op</w:t>
      </w:r>
      <w:r w:rsidR="00CB66E1" w:rsidRPr="00CB66E1">
        <w:t xml:space="preserve">erator </w:t>
      </w:r>
      <w:r w:rsidR="00337BDA">
        <w:t>with</w:t>
      </w:r>
      <w:r w:rsidR="00CB66E1" w:rsidRPr="00CB66E1">
        <w:t xml:space="preserve"> the right to charge users</w:t>
      </w:r>
      <w:r w:rsidR="00CB0E7A">
        <w:t xml:space="preserve"> of the asset</w:t>
      </w:r>
      <w:r w:rsidR="00CB66E1" w:rsidRPr="00CB66E1">
        <w:t xml:space="preserve"> (</w:t>
      </w:r>
      <w:r w:rsidR="00CB0E7A">
        <w:t xml:space="preserve">e.g. </w:t>
      </w:r>
      <w:r w:rsidR="00CB66E1" w:rsidRPr="00CB66E1">
        <w:t>toll road</w:t>
      </w:r>
      <w:r w:rsidR="00337BDA">
        <w:t>s such as</w:t>
      </w:r>
      <w:r w:rsidR="00CB66E1" w:rsidRPr="00CB66E1">
        <w:t xml:space="preserve"> </w:t>
      </w:r>
      <w:proofErr w:type="spellStart"/>
      <w:r w:rsidR="00CB66E1" w:rsidRPr="00CB66E1">
        <w:t>City</w:t>
      </w:r>
      <w:r w:rsidR="00EF073A">
        <w:t>L</w:t>
      </w:r>
      <w:r w:rsidR="00CB66E1" w:rsidRPr="00CB66E1">
        <w:t>ink</w:t>
      </w:r>
      <w:proofErr w:type="spellEnd"/>
      <w:r w:rsidR="00CB66E1" w:rsidRPr="00CB66E1">
        <w:t>). This is not recorded on balance sheet until the asset is returned to the State.</w:t>
      </w:r>
    </w:p>
    <w:p w:rsidR="00CB66E1" w:rsidRDefault="00337BDA" w:rsidP="00C36FA4">
      <w:r>
        <w:t xml:space="preserve">Under the proposed </w:t>
      </w:r>
      <w:r w:rsidR="00CB66E1" w:rsidRPr="00D20F7C">
        <w:t>new standard</w:t>
      </w:r>
      <w:r w:rsidR="00CB0777">
        <w:t>:</w:t>
      </w:r>
      <w:r>
        <w:t xml:space="preserve"> </w:t>
      </w:r>
    </w:p>
    <w:p w:rsidR="00ED0DD3" w:rsidRDefault="00ED0DD3" w:rsidP="00C53BA6">
      <w:pPr>
        <w:pStyle w:val="Bullet1"/>
      </w:pPr>
      <w:r w:rsidRPr="00D20F7C">
        <w:t>t</w:t>
      </w:r>
      <w:r w:rsidR="00FF159C" w:rsidRPr="002D1A17">
        <w:t>here w</w:t>
      </w:r>
      <w:r>
        <w:t>ill</w:t>
      </w:r>
      <w:r w:rsidR="00CB66E1" w:rsidRPr="002D1A17">
        <w:t xml:space="preserve"> be </w:t>
      </w:r>
      <w:r w:rsidR="00FB7089">
        <w:t xml:space="preserve">an </w:t>
      </w:r>
      <w:r w:rsidR="00CB66E1" w:rsidRPr="002D1A17">
        <w:t>earlier recognition of</w:t>
      </w:r>
      <w:r w:rsidR="008F1B26" w:rsidRPr="002D1A17">
        <w:t xml:space="preserve"> social infrastructure</w:t>
      </w:r>
      <w:r w:rsidR="00CB66E1" w:rsidRPr="002D1A17">
        <w:t xml:space="preserve"> PPP</w:t>
      </w:r>
      <w:r w:rsidR="008F1B26" w:rsidRPr="002D1A17">
        <w:t>’s</w:t>
      </w:r>
      <w:r w:rsidR="00CB66E1" w:rsidRPr="002D1A17">
        <w:t xml:space="preserve"> on </w:t>
      </w:r>
      <w:r w:rsidR="00427C82">
        <w:t xml:space="preserve">the </w:t>
      </w:r>
      <w:r w:rsidR="00CB66E1" w:rsidRPr="002D1A17">
        <w:t>balance sheet</w:t>
      </w:r>
      <w:r>
        <w:t xml:space="preserve">, at the earlier of commencement of construction or contractual arrangement. This will bring forward the </w:t>
      </w:r>
      <w:r w:rsidRPr="002D1A17">
        <w:t>timing of the corresponding liability’s recognition, and change the phasing profile of the net debt impact</w:t>
      </w:r>
      <w:r>
        <w:t>; and</w:t>
      </w:r>
    </w:p>
    <w:p w:rsidR="00CB66E1" w:rsidRDefault="00ED0DD3" w:rsidP="00C53BA6">
      <w:pPr>
        <w:pStyle w:val="Bullet1"/>
      </w:pPr>
      <w:r>
        <w:t>e</w:t>
      </w:r>
      <w:r w:rsidR="00CB66E1" w:rsidRPr="00D20F7C">
        <w:t>conomic infrastructure PP</w:t>
      </w:r>
      <w:r w:rsidR="008F1B26" w:rsidRPr="00D20F7C">
        <w:t>Ps</w:t>
      </w:r>
      <w:r w:rsidR="00FF159C" w:rsidRPr="008F1B26">
        <w:t xml:space="preserve"> </w:t>
      </w:r>
      <w:r w:rsidR="008F1B26">
        <w:t>will</w:t>
      </w:r>
      <w:r w:rsidR="00FF159C">
        <w:t xml:space="preserve"> be brought onto balance sheet. The service concession asset w</w:t>
      </w:r>
      <w:r>
        <w:t xml:space="preserve">ill </w:t>
      </w:r>
      <w:r w:rsidR="00FF159C">
        <w:t xml:space="preserve">be recognised at its fair value with a corresponding deferred liability </w:t>
      </w:r>
      <w:r w:rsidR="00D71CBB">
        <w:t xml:space="preserve">recognised as unearned revenue. </w:t>
      </w:r>
      <w:r w:rsidR="00FB7089">
        <w:t xml:space="preserve">This has no impact on net debt as it is </w:t>
      </w:r>
      <w:r w:rsidR="00654722">
        <w:t>not affecting financial asset or liabilities</w:t>
      </w:r>
      <w:r w:rsidR="00FB7089">
        <w:t xml:space="preserve"> upon its initial recognition. The</w:t>
      </w:r>
      <w:r w:rsidR="00D71CBB">
        <w:t xml:space="preserve"> treatment</w:t>
      </w:r>
      <w:r w:rsidR="00D71CBB" w:rsidRPr="00D71CBB">
        <w:t xml:space="preserve"> may generate a positive impact on net r</w:t>
      </w:r>
      <w:r w:rsidR="00D71CBB">
        <w:t xml:space="preserve">esult from transactions </w:t>
      </w:r>
      <w:r w:rsidR="00944F19">
        <w:t xml:space="preserve">during </w:t>
      </w:r>
      <w:r w:rsidR="00D71CBB">
        <w:t xml:space="preserve">the </w:t>
      </w:r>
      <w:r w:rsidR="00D71CBB" w:rsidRPr="00D71CBB">
        <w:t>earlier years of the arrangement</w:t>
      </w:r>
      <w:r w:rsidR="00944F19">
        <w:t>, because</w:t>
      </w:r>
      <w:r w:rsidR="00D71CBB" w:rsidRPr="00D71CBB">
        <w:t xml:space="preserve"> the phasing of depreciation over the</w:t>
      </w:r>
      <w:r w:rsidR="00944F19">
        <w:t xml:space="preserve"> useful</w:t>
      </w:r>
      <w:r w:rsidR="00D71CBB" w:rsidRPr="00D71CBB">
        <w:t xml:space="preserve"> life of the asset</w:t>
      </w:r>
      <w:r w:rsidR="001132A7">
        <w:t xml:space="preserve"> may be lower than the revenue recognised in each period</w:t>
      </w:r>
      <w:r w:rsidR="00FB7089">
        <w:t xml:space="preserve"> over the shorter service concession period</w:t>
      </w:r>
      <w:r w:rsidR="00D71CBB" w:rsidRPr="00D71CBB">
        <w:t>.</w:t>
      </w:r>
    </w:p>
    <w:p w:rsidR="009567FE" w:rsidRPr="00D20F7C" w:rsidRDefault="009567FE" w:rsidP="007D03CC">
      <w:pPr>
        <w:pStyle w:val="Heading3"/>
      </w:pPr>
      <w:r w:rsidRPr="00D20F7C">
        <w:t>Insurance contracts</w:t>
      </w:r>
    </w:p>
    <w:p w:rsidR="00E30C66" w:rsidRDefault="00E30C66" w:rsidP="009567FE">
      <w:r>
        <w:t>T</w:t>
      </w:r>
      <w:r w:rsidRPr="00E30C66">
        <w:t>he International Accounting Standards Board (IASB) has completed its substantive decision</w:t>
      </w:r>
      <w:r w:rsidR="005C50EC">
        <w:noBreakHyphen/>
      </w:r>
      <w:r w:rsidRPr="00E30C66">
        <w:t xml:space="preserve">making on a forthcoming revised IFRS 4 </w:t>
      </w:r>
      <w:r w:rsidRPr="00DD0492">
        <w:rPr>
          <w:i/>
        </w:rPr>
        <w:t>Insurance Contracts</w:t>
      </w:r>
      <w:r w:rsidR="00DD0492">
        <w:t xml:space="preserve">. The AASB has been undertaking domestic work to consider the </w:t>
      </w:r>
      <w:r w:rsidR="00DD0492" w:rsidRPr="00DD0492">
        <w:t>modifications</w:t>
      </w:r>
      <w:r w:rsidR="00F94E40">
        <w:t xml:space="preserve"> that</w:t>
      </w:r>
      <w:r w:rsidR="00DD0492" w:rsidRPr="00DD0492">
        <w:t xml:space="preserve"> </w:t>
      </w:r>
      <w:r w:rsidR="00F94E40" w:rsidRPr="00DD0492">
        <w:t>m</w:t>
      </w:r>
      <w:r w:rsidR="00F94E40">
        <w:t>ay</w:t>
      </w:r>
      <w:r w:rsidR="00F94E40" w:rsidRPr="00DD0492">
        <w:t xml:space="preserve"> </w:t>
      </w:r>
      <w:r w:rsidR="00DD0492" w:rsidRPr="00DD0492">
        <w:t xml:space="preserve">need to be made </w:t>
      </w:r>
      <w:r w:rsidR="00DD0492">
        <w:t>in the equivalent new AASB standard, which</w:t>
      </w:r>
      <w:r w:rsidR="00DD0492" w:rsidRPr="00DD0492">
        <w:t xml:space="preserve"> would supersede the existing AASB 4 </w:t>
      </w:r>
      <w:r w:rsidR="00DD0492" w:rsidRPr="00DD0492">
        <w:rPr>
          <w:i/>
        </w:rPr>
        <w:t>Insurance Contracts</w:t>
      </w:r>
      <w:r w:rsidR="00DD0492" w:rsidRPr="00DD0492">
        <w:t xml:space="preserve">, AASB 1023 </w:t>
      </w:r>
      <w:r w:rsidR="00DD0492" w:rsidRPr="00DD0492">
        <w:rPr>
          <w:i/>
        </w:rPr>
        <w:t>General Insurance Contracts</w:t>
      </w:r>
      <w:r w:rsidR="00DD0492" w:rsidRPr="00DD0492">
        <w:t xml:space="preserve"> and AASB 1038 </w:t>
      </w:r>
      <w:r w:rsidR="00DD0492" w:rsidRPr="00DD0492">
        <w:rPr>
          <w:i/>
        </w:rPr>
        <w:t>Life Insurance Contracts</w:t>
      </w:r>
      <w:r w:rsidR="00DD0492" w:rsidRPr="00DD0492">
        <w:t>.</w:t>
      </w:r>
    </w:p>
    <w:p w:rsidR="00E018C9" w:rsidRDefault="00E018C9">
      <w:pPr>
        <w:spacing w:before="0" w:after="200"/>
      </w:pPr>
      <w:r>
        <w:br w:type="page"/>
      </w:r>
    </w:p>
    <w:p w:rsidR="00CE135A" w:rsidRDefault="00CE135A" w:rsidP="00D20F7C">
      <w:r>
        <w:lastRenderedPageBreak/>
        <w:t>T</w:t>
      </w:r>
      <w:r w:rsidRPr="00755403">
        <w:t xml:space="preserve">he </w:t>
      </w:r>
      <w:r>
        <w:t xml:space="preserve">AASB </w:t>
      </w:r>
      <w:r w:rsidRPr="00755403">
        <w:t>will clarify the scope of the forthcoming new AASB insurance standard for public sector entities, to ensure similar activities are treated similarly.</w:t>
      </w:r>
      <w:r>
        <w:t xml:space="preserve"> The Board has tentatively decided to include a </w:t>
      </w:r>
      <w:r w:rsidRPr="00755403">
        <w:t>public sector</w:t>
      </w:r>
      <w:r w:rsidR="005C50EC">
        <w:noBreakHyphen/>
      </w:r>
      <w:r w:rsidRPr="00755403">
        <w:t>specific paragraph to avoid</w:t>
      </w:r>
      <w:r>
        <w:t xml:space="preserve"> the consequence of public sector insurers to account for their </w:t>
      </w:r>
      <w:r w:rsidRPr="00755403">
        <w:t>long</w:t>
      </w:r>
      <w:r w:rsidR="005C50EC">
        <w:noBreakHyphen/>
      </w:r>
      <w:r w:rsidRPr="00755403">
        <w:t>term (possibly perpetual) contracts</w:t>
      </w:r>
      <w:r>
        <w:t xml:space="preserve"> </w:t>
      </w:r>
      <w:r w:rsidRPr="00755403">
        <w:t>using the ‘general model’ for liability measurement</w:t>
      </w:r>
      <w:r>
        <w:t xml:space="preserve"> in the revised IFRS 4, which would involve considerably more work than the existing accounting. It has also noted the recognition </w:t>
      </w:r>
      <w:r w:rsidR="00944F19">
        <w:t xml:space="preserve">principle </w:t>
      </w:r>
      <w:r>
        <w:t>of an onerous contract liability on a lower level of portfolio group in the new standard than the current practice adopted by Australian public sector insurers.</w:t>
      </w:r>
    </w:p>
    <w:p w:rsidR="000D7F8F" w:rsidRDefault="000D7F8F" w:rsidP="00DF6166">
      <w:r>
        <w:t>The IASB expects to release the revised IFRS 4 in the first half of 2017.</w:t>
      </w:r>
      <w:r w:rsidRPr="000D7F8F">
        <w:t xml:space="preserve"> </w:t>
      </w:r>
      <w:r w:rsidR="00DF6166">
        <w:t>The AASB will issue</w:t>
      </w:r>
      <w:r w:rsidRPr="000D7F8F">
        <w:t xml:space="preserve"> a revised AASB stand</w:t>
      </w:r>
      <w:r w:rsidR="00DF6166">
        <w:t>ard on insurance contracts based on</w:t>
      </w:r>
      <w:r w:rsidRPr="000D7F8F">
        <w:t xml:space="preserve"> the forthcoming IFRS</w:t>
      </w:r>
      <w:r w:rsidR="00DF6166">
        <w:t xml:space="preserve"> standard, taking </w:t>
      </w:r>
      <w:r w:rsidR="00FB7089">
        <w:t>into account</w:t>
      </w:r>
      <w:r w:rsidR="00DF6166">
        <w:t xml:space="preserve"> issues</w:t>
      </w:r>
      <w:r w:rsidR="00FB7089">
        <w:t xml:space="preserve"> specific to</w:t>
      </w:r>
      <w:r w:rsidR="00CE135A">
        <w:t xml:space="preserve"> the Australian public sector</w:t>
      </w:r>
      <w:r w:rsidR="00DF6166">
        <w:t>.</w:t>
      </w:r>
    </w:p>
    <w:p w:rsidR="001C1192" w:rsidRDefault="00FB7089" w:rsidP="001C1192">
      <w:pPr>
        <w:pStyle w:val="Heading1"/>
      </w:pPr>
      <w:bookmarkStart w:id="17" w:name="_Toc469929436"/>
      <w:r>
        <w:t>VAGO communication</w:t>
      </w:r>
      <w:bookmarkEnd w:id="17"/>
    </w:p>
    <w:p w:rsidR="00920193" w:rsidRPr="00AD5807" w:rsidRDefault="00920193" w:rsidP="007D03CC">
      <w:pPr>
        <w:pStyle w:val="Heading3"/>
      </w:pPr>
      <w:r w:rsidRPr="00AD5807">
        <w:t>Changes to auditor’s reports</w:t>
      </w:r>
    </w:p>
    <w:p w:rsidR="00920193" w:rsidRDefault="00920193" w:rsidP="00D20F7C">
      <w:r>
        <w:t xml:space="preserve">VAGO have advised that there will be changes </w:t>
      </w:r>
      <w:r w:rsidR="005D0029">
        <w:t xml:space="preserve">to the layout and content of </w:t>
      </w:r>
      <w:r>
        <w:t xml:space="preserve">auditor's reports for </w:t>
      </w:r>
      <w:r w:rsidR="005D0029">
        <w:t>the 2016</w:t>
      </w:r>
      <w:r w:rsidR="005C50EC">
        <w:noBreakHyphen/>
      </w:r>
      <w:r w:rsidR="005D0029">
        <w:t xml:space="preserve">17 reporting period </w:t>
      </w:r>
      <w:r w:rsidR="00B05C5D">
        <w:t>and</w:t>
      </w:r>
      <w:r w:rsidR="00637AA9">
        <w:t xml:space="preserve"> periods</w:t>
      </w:r>
      <w:r w:rsidR="00B05C5D">
        <w:t xml:space="preserve"> </w:t>
      </w:r>
      <w:r w:rsidR="005D0029">
        <w:t>going forward</w:t>
      </w:r>
      <w:r>
        <w:t xml:space="preserve">. The changes reflect an update to the relevant Australian </w:t>
      </w:r>
      <w:r w:rsidR="00637AA9">
        <w:t>auditing standards</w:t>
      </w:r>
      <w:r>
        <w:t>.</w:t>
      </w:r>
    </w:p>
    <w:p w:rsidR="00920193" w:rsidRDefault="00920193" w:rsidP="00D20F7C">
      <w:r>
        <w:t>All entities will receive an auditor's report with the following key changes:</w:t>
      </w:r>
      <w:r w:rsidR="003B0473">
        <w:t xml:space="preserve"> </w:t>
      </w:r>
    </w:p>
    <w:p w:rsidR="00920193" w:rsidRPr="003B0473" w:rsidRDefault="00920193" w:rsidP="00C53BA6">
      <w:pPr>
        <w:pStyle w:val="Bullet1"/>
      </w:pPr>
      <w:r>
        <w:t>the</w:t>
      </w:r>
      <w:r w:rsidRPr="003B0473">
        <w:t xml:space="preserve"> opinion paragraph </w:t>
      </w:r>
      <w:r w:rsidR="005D0029" w:rsidRPr="003B0473">
        <w:t>w</w:t>
      </w:r>
      <w:r w:rsidR="00B05C5D" w:rsidRPr="003B0473">
        <w:t>ill now be</w:t>
      </w:r>
      <w:r w:rsidR="005D0029" w:rsidRPr="003B0473">
        <w:t xml:space="preserve"> presented at the start of the auditor’s report; </w:t>
      </w:r>
    </w:p>
    <w:p w:rsidR="00920193" w:rsidRPr="003B0473" w:rsidRDefault="005D0029" w:rsidP="00C53BA6">
      <w:pPr>
        <w:pStyle w:val="Bullet1"/>
      </w:pPr>
      <w:r w:rsidRPr="003B0473">
        <w:t>there will be increased detail</w:t>
      </w:r>
      <w:r w:rsidR="00920193" w:rsidRPr="003B0473">
        <w:t xml:space="preserve"> of auditor’s responsibilities</w:t>
      </w:r>
      <w:r w:rsidRPr="003B0473">
        <w:t>;</w:t>
      </w:r>
      <w:r w:rsidR="003B0473">
        <w:t xml:space="preserve"> </w:t>
      </w:r>
    </w:p>
    <w:p w:rsidR="005D0029" w:rsidRPr="003B0473" w:rsidRDefault="00B05C5D" w:rsidP="004834E8">
      <w:pPr>
        <w:pStyle w:val="Bullet1"/>
      </w:pPr>
      <w:r w:rsidRPr="003B0473">
        <w:t xml:space="preserve">there will be </w:t>
      </w:r>
      <w:r w:rsidR="005D0029" w:rsidRPr="003B0473">
        <w:t xml:space="preserve">explicit commentary on management’s responsibilities in relation to going concern; and </w:t>
      </w:r>
    </w:p>
    <w:p w:rsidR="00920193" w:rsidRDefault="005D0029" w:rsidP="00C53BA6">
      <w:pPr>
        <w:pStyle w:val="Bullet1"/>
      </w:pPr>
      <w:r w:rsidRPr="003B0473">
        <w:t>there</w:t>
      </w:r>
      <w:r>
        <w:t xml:space="preserve"> is </w:t>
      </w:r>
      <w:r w:rsidR="00920193">
        <w:t>potential f</w:t>
      </w:r>
      <w:r>
        <w:t>or an increased number of pages</w:t>
      </w:r>
      <w:r w:rsidR="003B0473">
        <w:t xml:space="preserve">. </w:t>
      </w:r>
    </w:p>
    <w:p w:rsidR="00920193" w:rsidRPr="00AD5807" w:rsidRDefault="00920193" w:rsidP="007D03CC">
      <w:pPr>
        <w:pStyle w:val="Heading3"/>
      </w:pPr>
      <w:r w:rsidRPr="00AD5807">
        <w:t xml:space="preserve">Key </w:t>
      </w:r>
      <w:r w:rsidR="005D0029">
        <w:t>A</w:t>
      </w:r>
      <w:r w:rsidR="005D0029" w:rsidRPr="00AD5807">
        <w:t xml:space="preserve">udit </w:t>
      </w:r>
      <w:r w:rsidR="005D0029">
        <w:t>M</w:t>
      </w:r>
      <w:r w:rsidR="005D0029" w:rsidRPr="00AD5807">
        <w:t>atters</w:t>
      </w:r>
      <w:r w:rsidR="005D0029">
        <w:t xml:space="preserve"> </w:t>
      </w:r>
    </w:p>
    <w:p w:rsidR="00453C6A" w:rsidRDefault="00453C6A" w:rsidP="00D20F7C">
      <w:pPr>
        <w:rPr>
          <w:i/>
          <w:iCs/>
        </w:rPr>
      </w:pPr>
      <w:r>
        <w:t xml:space="preserve">VAGO is taking a staged approach to the implementation of the new auditing standard, ASA 701 </w:t>
      </w:r>
      <w:r>
        <w:rPr>
          <w:i/>
          <w:iCs/>
        </w:rPr>
        <w:t>Communicating Key Audit Matters in the Independent Auditor's Report</w:t>
      </w:r>
      <w:r>
        <w:t>, starting with material entities</w:t>
      </w:r>
      <w:r w:rsidR="003B0473">
        <w:t xml:space="preserve">. </w:t>
      </w:r>
    </w:p>
    <w:p w:rsidR="0035528A" w:rsidRDefault="0035528A" w:rsidP="00D20F7C">
      <w:r>
        <w:t xml:space="preserve">The </w:t>
      </w:r>
      <w:r w:rsidR="00920193">
        <w:t>2016</w:t>
      </w:r>
      <w:r w:rsidR="005C50EC">
        <w:noBreakHyphen/>
      </w:r>
      <w:r w:rsidR="00920193">
        <w:t>17 auditor's reports for material entities will include a section on key audit matters (KAMs). KAMs are matters which the auditor determines were of most significance to the audit</w:t>
      </w:r>
      <w:r>
        <w:t>, and are selected by taking into account areas of higher risk, significant auditor judgements, and the effect on the audit of significant events or transactions.</w:t>
      </w:r>
    </w:p>
    <w:p w:rsidR="00920193" w:rsidRDefault="00920193" w:rsidP="00D20F7C">
      <w:r>
        <w:t>The KAM section of the auditor</w:t>
      </w:r>
      <w:r w:rsidR="00671FC5">
        <w:t>’s</w:t>
      </w:r>
      <w:r>
        <w:t xml:space="preserve"> report will include:</w:t>
      </w:r>
    </w:p>
    <w:p w:rsidR="00920193" w:rsidRDefault="00920193" w:rsidP="00C53BA6">
      <w:pPr>
        <w:pStyle w:val="Bullet1"/>
      </w:pPr>
      <w:r>
        <w:t xml:space="preserve">a </w:t>
      </w:r>
      <w:r w:rsidR="00B05C5D">
        <w:t>brief description of the key audit matter</w:t>
      </w:r>
      <w:r w:rsidR="00AD5807">
        <w:t>s</w:t>
      </w:r>
      <w:r w:rsidR="00B05C5D">
        <w:t xml:space="preserve">; </w:t>
      </w:r>
    </w:p>
    <w:p w:rsidR="00920193" w:rsidRDefault="00920193" w:rsidP="00C53BA6">
      <w:pPr>
        <w:pStyle w:val="Bullet1"/>
      </w:pPr>
      <w:r>
        <w:t>why VAGO</w:t>
      </w:r>
      <w:r w:rsidR="00B05C5D">
        <w:t xml:space="preserve"> considered </w:t>
      </w:r>
      <w:r w:rsidR="00AD5807">
        <w:t>them</w:t>
      </w:r>
      <w:r w:rsidR="00B05C5D">
        <w:t xml:space="preserve"> to be key to the audit; and </w:t>
      </w:r>
    </w:p>
    <w:p w:rsidR="00920193" w:rsidRDefault="00920193" w:rsidP="00C53BA6">
      <w:pPr>
        <w:pStyle w:val="Bullet1"/>
      </w:pPr>
      <w:r>
        <w:t xml:space="preserve">what procedures were performed to address the matter. </w:t>
      </w:r>
    </w:p>
    <w:p w:rsidR="00671FC5" w:rsidRDefault="00920193">
      <w:r>
        <w:t xml:space="preserve">In future years, VAGO plans to include KAMs in auditor's reports of all </w:t>
      </w:r>
      <w:r w:rsidR="00671FC5">
        <w:t>entities</w:t>
      </w:r>
      <w:r>
        <w:t xml:space="preserve"> as it will improve the transparency of the audit process. </w:t>
      </w:r>
      <w:r w:rsidR="00671FC5">
        <w:t xml:space="preserve">VAGO </w:t>
      </w:r>
      <w:r w:rsidR="00BF69F3">
        <w:t xml:space="preserve">will discuss this further with the relevant entities during the planning stage of their individual audit engagements. </w:t>
      </w:r>
    </w:p>
    <w:p w:rsidR="008B69EC" w:rsidRDefault="008B69EC" w:rsidP="000C21C3">
      <w:pPr>
        <w:pStyle w:val="Heading1"/>
        <w:rPr>
          <w:rFonts w:asciiTheme="minorHAnsi" w:eastAsiaTheme="minorEastAsia" w:hAnsiTheme="minorHAnsi" w:cstheme="minorBidi"/>
          <w:b w:val="0"/>
          <w:bCs w:val="0"/>
          <w:color w:val="auto"/>
          <w:spacing w:val="2"/>
          <w:sz w:val="18"/>
          <w:szCs w:val="20"/>
          <w:highlight w:val="yellow"/>
        </w:rPr>
      </w:pPr>
    </w:p>
    <w:p w:rsidR="009F6007" w:rsidRPr="009F6007" w:rsidRDefault="009F6007" w:rsidP="009F6007">
      <w:pPr>
        <w:rPr>
          <w:highlight w:val="yellow"/>
        </w:rPr>
        <w:sectPr w:rsidR="009F6007" w:rsidRPr="009F6007" w:rsidSect="00A91B6F">
          <w:footerReference w:type="default" r:id="rId17"/>
          <w:pgSz w:w="11906" w:h="16838" w:code="9"/>
          <w:pgMar w:top="1985" w:right="1440" w:bottom="993" w:left="1440" w:header="706" w:footer="461" w:gutter="0"/>
          <w:cols w:space="533"/>
          <w:docGrid w:linePitch="360"/>
        </w:sectPr>
      </w:pPr>
    </w:p>
    <w:p w:rsidR="000C21C3" w:rsidRDefault="000C21C3" w:rsidP="000C21C3">
      <w:pPr>
        <w:pStyle w:val="Heading1"/>
      </w:pPr>
      <w:bookmarkStart w:id="18" w:name="_Toc469929437"/>
      <w:r>
        <w:lastRenderedPageBreak/>
        <w:t xml:space="preserve">How </w:t>
      </w:r>
      <w:r w:rsidRPr="00C30359">
        <w:t>to</w:t>
      </w:r>
      <w:r>
        <w:t xml:space="preserve"> </w:t>
      </w:r>
      <w:r w:rsidRPr="00794745">
        <w:t>contact</w:t>
      </w:r>
      <w:r>
        <w:t xml:space="preserve"> us</w:t>
      </w:r>
      <w:bookmarkEnd w:id="18"/>
    </w:p>
    <w:p w:rsidR="008B69EC" w:rsidRDefault="008B69EC" w:rsidP="00CF46D0">
      <w:pPr>
        <w:pStyle w:val="Heading2"/>
        <w:sectPr w:rsidR="008B69EC" w:rsidSect="008B69EC">
          <w:pgSz w:w="11906" w:h="16838" w:code="9"/>
          <w:pgMar w:top="2160" w:right="1440" w:bottom="1354" w:left="1440" w:header="706" w:footer="461" w:gutter="0"/>
          <w:cols w:num="2" w:space="533"/>
          <w:docGrid w:linePitch="360"/>
        </w:sectPr>
      </w:pPr>
    </w:p>
    <w:p w:rsidR="000C21C3" w:rsidRDefault="000C21C3" w:rsidP="00CF46D0">
      <w:pPr>
        <w:pStyle w:val="Heading2"/>
      </w:pPr>
      <w:proofErr w:type="spellStart"/>
      <w:r w:rsidRPr="000C21C3">
        <w:lastRenderedPageBreak/>
        <w:t>AccPol</w:t>
      </w:r>
      <w:proofErr w:type="spellEnd"/>
      <w:r w:rsidRPr="000C21C3">
        <w:t xml:space="preserve"> mail box</w:t>
      </w:r>
    </w:p>
    <w:p w:rsidR="000C21C3" w:rsidRDefault="009567FE" w:rsidP="000C21C3">
      <w:pPr>
        <w:rPr>
          <w:rFonts w:eastAsiaTheme="minorHAnsi"/>
          <w:lang w:eastAsia="en-US"/>
        </w:rPr>
      </w:pPr>
      <w:r w:rsidRPr="009A160D">
        <w:rPr>
          <w:rFonts w:eastAsiaTheme="minorHAnsi"/>
          <w:lang w:eastAsia="en-US"/>
        </w:rPr>
        <w:t xml:space="preserve">When </w:t>
      </w:r>
      <w:r w:rsidRPr="009A160D">
        <w:t xml:space="preserve">directing accounting policy enquiries to DTF at </w:t>
      </w:r>
      <w:hyperlink r:id="rId18" w:history="1">
        <w:r w:rsidRPr="009A160D">
          <w:rPr>
            <w:rStyle w:val="Hyperlink"/>
          </w:rPr>
          <w:t>accpol@dtf.vic.gov.au</w:t>
        </w:r>
      </w:hyperlink>
      <w:r w:rsidRPr="009A160D">
        <w:t>,</w:t>
      </w:r>
      <w:r w:rsidRPr="009A160D">
        <w:rPr>
          <w:rFonts w:eastAsiaTheme="minorHAnsi"/>
          <w:lang w:eastAsia="en-US"/>
        </w:rPr>
        <w:t xml:space="preserve"> </w:t>
      </w:r>
      <w:r w:rsidR="00BD5F0F">
        <w:rPr>
          <w:rFonts w:eastAsiaTheme="minorHAnsi"/>
          <w:b/>
          <w:bCs/>
          <w:lang w:eastAsia="en-US"/>
        </w:rPr>
        <w:t>d</w:t>
      </w:r>
      <w:r w:rsidR="00BD5F0F" w:rsidRPr="009A160D">
        <w:rPr>
          <w:rFonts w:eastAsiaTheme="minorHAnsi"/>
          <w:b/>
          <w:bCs/>
          <w:lang w:eastAsia="en-US"/>
        </w:rPr>
        <w:t>epartments</w:t>
      </w:r>
      <w:r w:rsidR="00BD5F0F" w:rsidRPr="009A160D">
        <w:rPr>
          <w:rFonts w:eastAsiaTheme="minorHAnsi"/>
          <w:lang w:eastAsia="en-US"/>
        </w:rPr>
        <w:t xml:space="preserve"> </w:t>
      </w:r>
      <w:r w:rsidRPr="009A160D">
        <w:rPr>
          <w:rFonts w:eastAsiaTheme="minorHAnsi"/>
          <w:lang w:eastAsia="en-US"/>
        </w:rPr>
        <w:t xml:space="preserve">are requested to </w:t>
      </w:r>
      <w:r w:rsidRPr="003A27FA">
        <w:t>support</w:t>
      </w:r>
      <w:r w:rsidRPr="009A160D">
        <w:rPr>
          <w:rFonts w:eastAsiaTheme="minorHAnsi"/>
          <w:lang w:eastAsia="en-US"/>
        </w:rPr>
        <w:t xml:space="preserve"> their questions with the facts and with clear referencing to Accounting Standards, FRDs and </w:t>
      </w:r>
      <w:r w:rsidRPr="009A160D">
        <w:t>other</w:t>
      </w:r>
      <w:r w:rsidRPr="009A160D">
        <w:rPr>
          <w:rFonts w:eastAsiaTheme="minorHAnsi"/>
          <w:lang w:eastAsia="en-US"/>
        </w:rPr>
        <w:t xml:space="preserve"> authoritative pronouncements related to their queries.</w:t>
      </w:r>
    </w:p>
    <w:p w:rsidR="000C21C3" w:rsidRDefault="009567FE" w:rsidP="000C21C3">
      <w:pPr>
        <w:rPr>
          <w:rFonts w:eastAsiaTheme="minorHAnsi"/>
          <w:lang w:eastAsia="en-US"/>
        </w:rPr>
      </w:pPr>
      <w:r w:rsidRPr="009A160D">
        <w:rPr>
          <w:rFonts w:eastAsiaTheme="minorHAnsi"/>
          <w:b/>
          <w:bCs/>
          <w:lang w:eastAsia="en-US"/>
        </w:rPr>
        <w:t>Other entities</w:t>
      </w:r>
      <w:r w:rsidRPr="009A160D">
        <w:rPr>
          <w:rFonts w:eastAsiaTheme="minorHAnsi"/>
          <w:lang w:eastAsia="en-US"/>
        </w:rPr>
        <w:t xml:space="preserve"> are requested to contact their portfolio department in the first instance to resolve any accounting policy issues.</w:t>
      </w:r>
    </w:p>
    <w:p w:rsidR="000C21C3" w:rsidRDefault="000C21C3" w:rsidP="00CF46D0">
      <w:pPr>
        <w:pStyle w:val="Heading2"/>
      </w:pPr>
      <w:r>
        <w:t>Useful websites</w:t>
      </w:r>
    </w:p>
    <w:p w:rsidR="000C21C3" w:rsidRDefault="009567FE" w:rsidP="000C21C3">
      <w:r w:rsidRPr="009A160D">
        <w:rPr>
          <w:b/>
        </w:rPr>
        <w:t>AASB</w:t>
      </w:r>
      <w:r w:rsidRPr="009A160D">
        <w:t xml:space="preserve"> – </w:t>
      </w:r>
      <w:hyperlink r:id="rId19" w:history="1">
        <w:r w:rsidRPr="009A160D">
          <w:rPr>
            <w:rStyle w:val="Hyperlink"/>
          </w:rPr>
          <w:t>www.aasb.com.au</w:t>
        </w:r>
      </w:hyperlink>
      <w:r w:rsidRPr="009A160D">
        <w:t xml:space="preserve"> for information on AASB pronouncements, discussion papers and ED publications.</w:t>
      </w:r>
    </w:p>
    <w:p w:rsidR="000C21C3" w:rsidRDefault="009567FE" w:rsidP="000C21C3">
      <w:r w:rsidRPr="009A160D">
        <w:rPr>
          <w:b/>
        </w:rPr>
        <w:t>International Public Sector Accounting Standards Board</w:t>
      </w:r>
      <w:r w:rsidRPr="009A160D">
        <w:t xml:space="preserve"> (IPSASB) – </w:t>
      </w:r>
      <w:hyperlink r:id="rId20" w:history="1">
        <w:r w:rsidR="004834E8" w:rsidRPr="009E6937">
          <w:rPr>
            <w:rStyle w:val="Hyperlink"/>
          </w:rPr>
          <w:t>www.ifac.org/public</w:t>
        </w:r>
        <w:r w:rsidR="005C50EC">
          <w:rPr>
            <w:rStyle w:val="Hyperlink"/>
          </w:rPr>
          <w:noBreakHyphen/>
        </w:r>
        <w:r w:rsidR="004834E8" w:rsidRPr="009E6937">
          <w:rPr>
            <w:rStyle w:val="Hyperlink"/>
          </w:rPr>
          <w:t>sector/</w:t>
        </w:r>
      </w:hyperlink>
      <w:r w:rsidR="004834E8">
        <w:t xml:space="preserve"> </w:t>
      </w:r>
      <w:r w:rsidRPr="009A160D">
        <w:t>for information on IPSASB and IPSASB pronouncements</w:t>
      </w:r>
      <w:r>
        <w:t>.</w:t>
      </w:r>
    </w:p>
    <w:p w:rsidR="000C21C3" w:rsidRDefault="00711BEF" w:rsidP="00CF46D0">
      <w:pPr>
        <w:pStyle w:val="Heading2"/>
      </w:pPr>
      <w:r>
        <w:br w:type="column"/>
      </w:r>
      <w:r w:rsidR="000C21C3">
        <w:lastRenderedPageBreak/>
        <w:t>DTF website</w:t>
      </w:r>
    </w:p>
    <w:p w:rsidR="000C21C3" w:rsidRDefault="009567FE" w:rsidP="000C21C3">
      <w:r w:rsidRPr="009A160D">
        <w:rPr>
          <w:b/>
        </w:rPr>
        <w:t>The DTF website (for all internet users)</w:t>
      </w:r>
      <w:r w:rsidRPr="009A160D">
        <w:t xml:space="preserve"> – </w:t>
      </w:r>
      <w:hyperlink r:id="rId21" w:history="1">
        <w:r w:rsidRPr="00ED647B">
          <w:rPr>
            <w:rStyle w:val="Hyperlink"/>
          </w:rPr>
          <w:t>www.dtf.vic.gov.au</w:t>
        </w:r>
      </w:hyperlink>
      <w:r w:rsidRPr="009A160D">
        <w:t xml:space="preserve">, covers FRDs and guidance, the Model Report, accounting policy updates, </w:t>
      </w:r>
      <w:r>
        <w:t>wage inflation and</w:t>
      </w:r>
      <w:r w:rsidRPr="009A160D">
        <w:t xml:space="preserve"> discount rates. From the menu on the top of the home page, users should select Government Financial Management, then Financial Reporting Policy.</w:t>
      </w:r>
    </w:p>
    <w:p w:rsidR="000C21C3" w:rsidRDefault="009567FE" w:rsidP="000C21C3">
      <w:r w:rsidRPr="009A160D">
        <w:rPr>
          <w:b/>
        </w:rPr>
        <w:t>VPS users</w:t>
      </w:r>
      <w:r w:rsidRPr="009A160D">
        <w:t xml:space="preserve"> should contact their portfolio department in the first instance for the login </w:t>
      </w:r>
      <w:r w:rsidRPr="003A27FA">
        <w:t>details</w:t>
      </w:r>
      <w:r w:rsidRPr="009A160D">
        <w:t xml:space="preserve"> to access the information relating to the 2008 L</w:t>
      </w:r>
      <w:r>
        <w:t xml:space="preserve">ong </w:t>
      </w:r>
      <w:r w:rsidRPr="009A160D">
        <w:t>S</w:t>
      </w:r>
      <w:r>
        <w:t xml:space="preserve">ervice </w:t>
      </w:r>
      <w:r w:rsidRPr="009A160D">
        <w:t>L</w:t>
      </w:r>
      <w:r>
        <w:t>eave</w:t>
      </w:r>
      <w:r w:rsidRPr="009A160D">
        <w:t xml:space="preserve"> Model, the </w:t>
      </w:r>
      <w:proofErr w:type="spellStart"/>
      <w:r w:rsidRPr="009A160D">
        <w:t>Valuer</w:t>
      </w:r>
      <w:proofErr w:type="spellEnd"/>
      <w:r w:rsidR="005C50EC">
        <w:noBreakHyphen/>
      </w:r>
      <w:r w:rsidRPr="009A160D">
        <w:t xml:space="preserve">General </w:t>
      </w:r>
      <w:r>
        <w:t>b</w:t>
      </w:r>
      <w:r w:rsidRPr="009A160D">
        <w:t xml:space="preserve">uilding and </w:t>
      </w:r>
      <w:r>
        <w:t>l</w:t>
      </w:r>
      <w:r w:rsidRPr="009A160D">
        <w:t xml:space="preserve">and </w:t>
      </w:r>
      <w:r>
        <w:t>i</w:t>
      </w:r>
      <w:r w:rsidRPr="009A160D">
        <w:t>ndices.</w:t>
      </w:r>
    </w:p>
    <w:p w:rsidR="000C21C3" w:rsidRDefault="009567FE" w:rsidP="000C21C3">
      <w:pPr>
        <w:rPr>
          <w:rStyle w:val="Hyperlink"/>
        </w:rPr>
      </w:pPr>
      <w:r w:rsidRPr="009A160D">
        <w:t xml:space="preserve">For assistance with technical difficulties using the DTF website, e.g. broken links, please contact the DTF web team via email at </w:t>
      </w:r>
      <w:hyperlink r:id="rId22" w:history="1">
        <w:r w:rsidRPr="009A160D">
          <w:rPr>
            <w:rStyle w:val="Hyperlink"/>
          </w:rPr>
          <w:t>dtfweb@dtf.vic.gov.au</w:t>
        </w:r>
      </w:hyperlink>
      <w:r>
        <w:rPr>
          <w:rStyle w:val="Hyperlink"/>
        </w:rPr>
        <w:t>.</w:t>
      </w:r>
    </w:p>
    <w:p w:rsidR="000C21C3" w:rsidRDefault="000C21C3" w:rsidP="00CF46D0">
      <w:pPr>
        <w:pStyle w:val="Heading2"/>
      </w:pPr>
      <w:r>
        <w:t>About the Accounting Policy Update</w:t>
      </w:r>
    </w:p>
    <w:p w:rsidR="000C21C3" w:rsidRDefault="009567FE" w:rsidP="000C21C3">
      <w:r w:rsidRPr="009A160D">
        <w:t>Accounting Policy Update is published by the Accounting Policy team of DTF twice a year. The aim of the newsletter is to highlight changes in financial reporting requirements affecting public sector entities, outlining any financial reporting related policy decisions reached by DTF and to inform readers of other developments that are under consideration by the AASB.</w:t>
      </w:r>
    </w:p>
    <w:p w:rsidR="000C21C3" w:rsidRDefault="000C21C3" w:rsidP="000C21C3"/>
    <w:p w:rsidR="000C21C3" w:rsidRDefault="000C21C3" w:rsidP="000C21C3">
      <w:pPr>
        <w:sectPr w:rsidR="000C21C3" w:rsidSect="008B69EC">
          <w:type w:val="continuous"/>
          <w:pgSz w:w="11906" w:h="16838" w:code="9"/>
          <w:pgMar w:top="2160" w:right="1440" w:bottom="1350" w:left="1440" w:header="706" w:footer="461" w:gutter="0"/>
          <w:pgNumType w:start="1"/>
          <w:cols w:num="2" w:space="533"/>
          <w:docGrid w:linePitch="360"/>
        </w:sectPr>
      </w:pPr>
    </w:p>
    <w:p w:rsidR="000C21C3" w:rsidRPr="000C21C3" w:rsidRDefault="000C21C3" w:rsidP="000C21C3">
      <w:pPr>
        <w:pStyle w:val="Disclaimertext"/>
      </w:pPr>
      <w:r w:rsidRPr="000C21C3">
        <w:rPr>
          <w:b/>
        </w:rPr>
        <w:lastRenderedPageBreak/>
        <w:t>Disclaimer:</w:t>
      </w:r>
      <w:r w:rsidRPr="000C21C3">
        <w:t xml:space="preserve"> No responsibility is taken for any action(s) taken on the basis of information contained in this Newsletter nor for any errors or omissions in that information.</w:t>
      </w:r>
    </w:p>
    <w:p w:rsidR="009567FE" w:rsidRDefault="009567FE" w:rsidP="009567FE">
      <w:pPr>
        <w:pStyle w:val="NewsletterNote"/>
      </w:pPr>
    </w:p>
    <w:p w:rsidR="009567FE" w:rsidRPr="004B443C" w:rsidRDefault="009567FE" w:rsidP="009567FE">
      <w:pPr>
        <w:pStyle w:val="NewsletterNote"/>
      </w:pPr>
      <w:r w:rsidRPr="004B443C">
        <w:t xml:space="preserve">Accounting Policy Update </w:t>
      </w:r>
      <w:r>
        <w:br/>
      </w:r>
      <w:r w:rsidRPr="004B443C">
        <w:t>ISSN 2205</w:t>
      </w:r>
      <w:r w:rsidR="005C50EC">
        <w:noBreakHyphen/>
      </w:r>
      <w:r w:rsidRPr="004B443C">
        <w:t>4014</w:t>
      </w:r>
    </w:p>
    <w:p w:rsidR="000C21C3" w:rsidRPr="000C21C3" w:rsidRDefault="000C21C3" w:rsidP="000C21C3">
      <w:pPr>
        <w:keepNext/>
        <w:keepLines/>
        <w:rPr>
          <w:rFonts w:cstheme="minorHAnsi"/>
          <w:sz w:val="16"/>
          <w:szCs w:val="16"/>
        </w:rPr>
      </w:pPr>
      <w:r w:rsidRPr="000C21C3">
        <w:rPr>
          <w:rFonts w:cstheme="minorHAnsi"/>
          <w:sz w:val="16"/>
          <w:szCs w:val="16"/>
        </w:rPr>
        <w:t>© State of Victoria 2016</w:t>
      </w:r>
    </w:p>
    <w:p w:rsidR="000C21C3" w:rsidRPr="000C21C3" w:rsidRDefault="000C21C3" w:rsidP="000C21C3">
      <w:pPr>
        <w:keepNext/>
        <w:keepLines/>
        <w:rPr>
          <w:rFonts w:cstheme="minorHAnsi"/>
          <w:sz w:val="16"/>
          <w:szCs w:val="16"/>
        </w:rPr>
      </w:pPr>
      <w:r w:rsidRPr="000C21C3">
        <w:rPr>
          <w:rFonts w:cstheme="minorHAnsi"/>
          <w:noProof/>
          <w:sz w:val="16"/>
          <w:szCs w:val="16"/>
        </w:rPr>
        <w:drawing>
          <wp:inline distT="0" distB="0" distL="0" distR="0" wp14:anchorId="5D880E2B" wp14:editId="479465CE">
            <wp:extent cx="1117460" cy="393651"/>
            <wp:effectExtent l="0" t="0" r="6985" b="6985"/>
            <wp:docPr id="2" name="Picture 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rsidR="000C21C3" w:rsidRPr="000C21C3" w:rsidRDefault="000C21C3" w:rsidP="000C21C3">
      <w:pPr>
        <w:keepNext/>
        <w:keepLines/>
        <w:rPr>
          <w:rFonts w:cstheme="minorHAnsi"/>
          <w:sz w:val="16"/>
          <w:szCs w:val="16"/>
        </w:rPr>
      </w:pPr>
      <w:r w:rsidRPr="000C21C3">
        <w:rPr>
          <w:rFonts w:cstheme="minorHAnsi"/>
          <w:sz w:val="16"/>
          <w:szCs w:val="16"/>
        </w:rPr>
        <w:t>You are free to re</w:t>
      </w:r>
      <w:r w:rsidR="005C50EC">
        <w:rPr>
          <w:rFonts w:cstheme="minorHAnsi"/>
          <w:sz w:val="16"/>
          <w:szCs w:val="16"/>
        </w:rPr>
        <w:noBreakHyphen/>
      </w:r>
      <w:r w:rsidRPr="000C21C3">
        <w:rPr>
          <w:rFonts w:cstheme="minorHAnsi"/>
          <w:sz w:val="16"/>
          <w:szCs w:val="16"/>
        </w:rPr>
        <w:t xml:space="preserve">use this work under a </w:t>
      </w:r>
      <w:hyperlink r:id="rId25" w:history="1">
        <w:r w:rsidRPr="000C21C3">
          <w:rPr>
            <w:rStyle w:val="Hyperlink"/>
            <w:rFonts w:cstheme="minorHAnsi"/>
            <w:sz w:val="16"/>
            <w:szCs w:val="16"/>
          </w:rPr>
          <w:t>Creative Commons Attribution 4.0 licence</w:t>
        </w:r>
      </w:hyperlink>
      <w:r w:rsidRPr="000C21C3">
        <w:rPr>
          <w:rFonts w:cstheme="minorHAnsi"/>
          <w:sz w:val="16"/>
          <w:szCs w:val="16"/>
        </w:rPr>
        <w:t>, provided you credit the State of Victoria (Department of Treasury and Finance) as author, indicate if changes were made and comply with the other licence terms. The licence does not apply to any branding, including Government logos.</w:t>
      </w:r>
    </w:p>
    <w:p w:rsidR="000C21C3" w:rsidRPr="000C21C3" w:rsidRDefault="000C21C3" w:rsidP="000C21C3">
      <w:pPr>
        <w:keepNext/>
        <w:keepLines/>
        <w:rPr>
          <w:rFonts w:cstheme="minorHAnsi"/>
          <w:sz w:val="16"/>
          <w:szCs w:val="16"/>
        </w:rPr>
      </w:pPr>
      <w:r w:rsidRPr="000C21C3">
        <w:rPr>
          <w:rFonts w:cstheme="minorHAnsi"/>
          <w:sz w:val="16"/>
          <w:szCs w:val="16"/>
        </w:rPr>
        <w:t xml:space="preserve">Copyright queries may be directed to </w:t>
      </w:r>
      <w:hyperlink r:id="rId26" w:history="1">
        <w:r w:rsidRPr="004834E8">
          <w:rPr>
            <w:rStyle w:val="Hyperlink"/>
            <w:rFonts w:cstheme="minorHAnsi"/>
            <w:sz w:val="16"/>
            <w:szCs w:val="16"/>
          </w:rPr>
          <w:t>IPpolicy@dtf.vic.gov.au</w:t>
        </w:r>
      </w:hyperlink>
      <w:r w:rsidRPr="000C21C3">
        <w:rPr>
          <w:rFonts w:cstheme="minorHAnsi"/>
          <w:sz w:val="16"/>
          <w:szCs w:val="16"/>
        </w:rPr>
        <w:t xml:space="preserve">. </w:t>
      </w:r>
      <w:bookmarkEnd w:id="0"/>
      <w:bookmarkEnd w:id="5"/>
    </w:p>
    <w:sectPr w:rsidR="000C21C3" w:rsidRPr="000C21C3" w:rsidSect="000C21C3">
      <w:type w:val="continuous"/>
      <w:pgSz w:w="11906" w:h="16838" w:code="9"/>
      <w:pgMar w:top="2160" w:right="1440" w:bottom="1350" w:left="1440" w:header="706" w:footer="461" w:gutter="0"/>
      <w:pgNumType w:start="1"/>
      <w:cols w:space="53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EDA" w:rsidRDefault="006B5EDA" w:rsidP="002D711A">
      <w:pPr>
        <w:spacing w:after="0" w:line="240" w:lineRule="auto"/>
      </w:pPr>
      <w:r>
        <w:separator/>
      </w:r>
    </w:p>
  </w:endnote>
  <w:endnote w:type="continuationSeparator" w:id="0">
    <w:p w:rsidR="006B5EDA" w:rsidRDefault="006B5EDA"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B0" w:rsidRDefault="008428B0">
    <w:pPr>
      <w:pStyle w:val="Footer"/>
      <w:spacing w:before="0"/>
      <w:rPr>
        <w:rFonts w:ascii="Arial" w:hAnsi="Arial" w:cs="Arial"/>
        <w:b/>
        <w:color w:val="3F3F3F"/>
        <w:sz w:val="20"/>
      </w:rPr>
    </w:pPr>
    <w:bookmarkStart w:id="2" w:name="aliashNonProtectiveMarki1FooterEvenPages"/>
  </w:p>
  <w:p w:rsidR="008428B0" w:rsidRDefault="008428B0">
    <w:pPr>
      <w:pStyle w:val="Footer"/>
      <w:spacing w:before="0"/>
      <w:rPr>
        <w:rFonts w:ascii="Arial" w:hAnsi="Arial" w:cs="Arial"/>
        <w:b/>
        <w:color w:val="3F3F3F"/>
        <w:sz w:val="20"/>
      </w:rPr>
    </w:pPr>
  </w:p>
  <w:bookmarkEnd w:id="2"/>
  <w:p w:rsidR="008428B0" w:rsidRPr="00014213" w:rsidRDefault="008428B0" w:rsidP="00C022F9">
    <w:pPr>
      <w:pStyle w:val="Footer"/>
    </w:pPr>
    <w:r>
      <w:drawing>
        <wp:anchor distT="0" distB="0" distL="114300" distR="114300" simplePos="0" relativeHeight="251667456" behindDoc="0" locked="0" layoutInCell="1" allowOverlap="1" wp14:anchorId="65A5EC1C" wp14:editId="295FCD8F">
          <wp:simplePos x="0" y="0"/>
          <wp:positionH relativeFrom="column">
            <wp:posOffset>4240861</wp:posOffset>
          </wp:positionH>
          <wp:positionV relativeFrom="page">
            <wp:posOffset>9493250</wp:posOffset>
          </wp:positionV>
          <wp:extent cx="1956435" cy="582930"/>
          <wp:effectExtent l="0" t="0" r="5715" b="7620"/>
          <wp:wrapNone/>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B0" w:rsidRDefault="008428B0">
    <w:pPr>
      <w:pStyle w:val="Spacer"/>
      <w:rPr>
        <w:rFonts w:ascii="Arial" w:hAnsi="Arial" w:cs="Arial"/>
        <w:b/>
        <w:color w:val="3F3F3F"/>
        <w:sz w:val="20"/>
      </w:rPr>
    </w:pPr>
    <w:bookmarkStart w:id="3" w:name="aliashNonProtectiveMarking1FooterPrimary"/>
  </w:p>
  <w:p w:rsidR="008428B0" w:rsidRDefault="008428B0">
    <w:pPr>
      <w:pStyle w:val="Spacer"/>
    </w:pPr>
  </w:p>
  <w:bookmarkEnd w:id="3"/>
  <w:p w:rsidR="008428B0" w:rsidRDefault="008428B0" w:rsidP="000C21C3">
    <w:pPr>
      <w:pStyle w:val="Spacer"/>
    </w:pPr>
  </w:p>
  <w:p w:rsidR="008428B0" w:rsidRPr="00C022F9" w:rsidRDefault="008428B0"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E90CCC">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E90CCC">
      <w:t>Newsletter – Edition No. 31, December 2016</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sidR="00E90CCC">
      <w:rPr>
        <w:rStyle w:val="PageNumber"/>
      </w:rPr>
      <w:t>1</w:t>
    </w:r>
    <w:r w:rsidRPr="008B69E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B0" w:rsidRDefault="008428B0">
    <w:pPr>
      <w:pStyle w:val="Footer"/>
      <w:spacing w:before="0"/>
      <w:rPr>
        <w:rFonts w:ascii="Arial" w:hAnsi="Arial" w:cs="Arial"/>
        <w:b/>
        <w:color w:val="3F3F3F"/>
        <w:sz w:val="20"/>
      </w:rPr>
    </w:pPr>
    <w:bookmarkStart w:id="4" w:name="aliashNonProtectiveMarki1FooterFirstPage"/>
  </w:p>
  <w:p w:rsidR="008428B0" w:rsidRDefault="008428B0">
    <w:pPr>
      <w:pStyle w:val="Footer"/>
      <w:spacing w:before="0"/>
      <w:rPr>
        <w:rFonts w:ascii="Arial" w:hAnsi="Arial" w:cs="Arial"/>
        <w:b/>
        <w:color w:val="3F3F3F"/>
        <w:sz w:val="20"/>
      </w:rPr>
    </w:pPr>
  </w:p>
  <w:bookmarkEnd w:id="4"/>
  <w:p w:rsidR="008428B0" w:rsidRDefault="008428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BF" w:rsidRDefault="00A23EBF" w:rsidP="000C21C3">
    <w:pPr>
      <w:pStyle w:val="Spacer"/>
    </w:pPr>
  </w:p>
  <w:p w:rsidR="00A23EBF" w:rsidRPr="00C022F9" w:rsidRDefault="00A23EBF"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E90CCC">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E90CCC">
      <w:t>Newsletter – Edition No. 31, December 2016</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sidR="00E90CCC">
      <w:rPr>
        <w:rStyle w:val="PageNumber"/>
      </w:rPr>
      <w:t>2</w:t>
    </w:r>
    <w:r w:rsidRPr="008B69EC">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BF" w:rsidRDefault="00A23EBF" w:rsidP="00A23EBF">
    <w:pPr>
      <w:pStyle w:val="Spacer"/>
      <w:rPr>
        <w:rFonts w:ascii="Arial" w:hAnsi="Arial" w:cs="Arial"/>
        <w:b/>
        <w:color w:val="3F3F3F"/>
        <w:sz w:val="20"/>
      </w:rPr>
    </w:pPr>
  </w:p>
  <w:p w:rsidR="00A23EBF" w:rsidRPr="00A23EBF" w:rsidRDefault="00A23EBF" w:rsidP="00A23EBF">
    <w:pPr>
      <w:pStyle w:val="Spacer"/>
      <w:rPr>
        <w:sz w:val="16"/>
        <w:szCs w:val="16"/>
      </w:rPr>
    </w:pPr>
    <w:r w:rsidRPr="00A23EBF">
      <w:rPr>
        <w:sz w:val="16"/>
        <w:szCs w:val="16"/>
      </w:rPr>
      <w:t>*Subject to Ca</w:t>
    </w:r>
    <w:r>
      <w:rPr>
        <w:sz w:val="16"/>
        <w:szCs w:val="16"/>
      </w:rPr>
      <w:t>binet consideration and endorsement.</w:t>
    </w:r>
  </w:p>
  <w:p w:rsidR="00A23EBF" w:rsidRDefault="00A23EBF" w:rsidP="000C21C3">
    <w:pPr>
      <w:pStyle w:val="Spacer"/>
    </w:pPr>
  </w:p>
  <w:p w:rsidR="00A23EBF" w:rsidRPr="00C022F9" w:rsidRDefault="00A23EBF"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E90CCC">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E90CCC">
      <w:t>Newsletter – Edition No. 31, December 2016</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sidR="00E90CCC">
      <w:rPr>
        <w:rStyle w:val="PageNumber"/>
      </w:rPr>
      <w:t>3</w:t>
    </w:r>
    <w:r w:rsidRPr="008B69EC">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44" w:rsidRDefault="00323444" w:rsidP="00A23EBF">
    <w:pPr>
      <w:pStyle w:val="Spacer"/>
      <w:rPr>
        <w:rFonts w:ascii="Arial" w:hAnsi="Arial" w:cs="Arial"/>
        <w:b/>
        <w:color w:val="3F3F3F"/>
        <w:sz w:val="20"/>
      </w:rPr>
    </w:pPr>
  </w:p>
  <w:p w:rsidR="00323444" w:rsidRPr="00A23EBF" w:rsidRDefault="00323444" w:rsidP="00A23EBF">
    <w:pPr>
      <w:pStyle w:val="Spacer"/>
      <w:rPr>
        <w:sz w:val="16"/>
        <w:szCs w:val="16"/>
      </w:rPr>
    </w:pPr>
  </w:p>
  <w:p w:rsidR="00323444" w:rsidRDefault="00323444" w:rsidP="000C21C3">
    <w:pPr>
      <w:pStyle w:val="Spacer"/>
    </w:pPr>
  </w:p>
  <w:p w:rsidR="00323444" w:rsidRPr="00C022F9" w:rsidRDefault="00323444"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E90CCC">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E90CCC">
      <w:t>Newsletter – Edition No. 31, December 2016</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sidR="00E90CCC">
      <w:rPr>
        <w:rStyle w:val="PageNumber"/>
      </w:rPr>
      <w:t>12</w:t>
    </w:r>
    <w:r w:rsidRPr="008B69E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EDA" w:rsidRDefault="006B5EDA" w:rsidP="002D711A">
      <w:pPr>
        <w:spacing w:after="0" w:line="240" w:lineRule="auto"/>
      </w:pPr>
      <w:r>
        <w:separator/>
      </w:r>
    </w:p>
  </w:footnote>
  <w:footnote w:type="continuationSeparator" w:id="0">
    <w:p w:rsidR="006B5EDA" w:rsidRDefault="006B5EDA"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44" w:rsidRDefault="003234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B0" w:rsidRPr="0041689E" w:rsidRDefault="008428B0">
    <w:pPr>
      <w:pStyle w:val="Header"/>
    </w:pPr>
    <w:r>
      <w:rPr>
        <w:noProof/>
      </w:rPr>
      <w:drawing>
        <wp:anchor distT="0" distB="0" distL="114300" distR="114300" simplePos="0" relativeHeight="251670528" behindDoc="0" locked="0" layoutInCell="1" allowOverlap="1" wp14:anchorId="322B0603" wp14:editId="379266ED">
          <wp:simplePos x="0" y="0"/>
          <wp:positionH relativeFrom="column">
            <wp:posOffset>-309880</wp:posOffset>
          </wp:positionH>
          <wp:positionV relativeFrom="page">
            <wp:posOffset>299085</wp:posOffset>
          </wp:positionV>
          <wp:extent cx="1380490" cy="411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068350AB" wp14:editId="76BA56EE">
          <wp:simplePos x="0" y="0"/>
          <wp:positionH relativeFrom="column">
            <wp:posOffset>-914400</wp:posOffset>
          </wp:positionH>
          <wp:positionV relativeFrom="page">
            <wp:posOffset>125095</wp:posOffset>
          </wp:positionV>
          <wp:extent cx="7589520" cy="740410"/>
          <wp:effectExtent l="0" t="0" r="0" b="2540"/>
          <wp:wrapNone/>
          <wp:docPr id="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44" w:rsidRDefault="003234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C2821E"/>
    <w:lvl w:ilvl="0">
      <w:numFmt w:val="bullet"/>
      <w:lvlText w:val="*"/>
      <w:lvlJc w:val="left"/>
    </w:lvl>
  </w:abstractNum>
  <w:abstractNum w:abstractNumId="1">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2">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78B2ACB"/>
    <w:multiLevelType w:val="hybridMultilevel"/>
    <w:tmpl w:val="B2D28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7E9443A"/>
    <w:multiLevelType w:val="hybridMultilevel"/>
    <w:tmpl w:val="3958493A"/>
    <w:lvl w:ilvl="0" w:tplc="CE3EB29A">
      <w:start w:val="1"/>
      <w:numFmt w:val="decimal"/>
      <w:lvlText w:val="%1."/>
      <w:lvlJc w:val="left"/>
      <w:pPr>
        <w:ind w:left="10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EBC27E0"/>
    <w:multiLevelType w:val="hybridMultilevel"/>
    <w:tmpl w:val="E2266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8110F3"/>
    <w:multiLevelType w:val="hybridMultilevel"/>
    <w:tmpl w:val="BDCA9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901726"/>
    <w:multiLevelType w:val="multilevel"/>
    <w:tmpl w:val="A638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6D3A6A"/>
    <w:multiLevelType w:val="multilevel"/>
    <w:tmpl w:val="301CFAB6"/>
    <w:lvl w:ilvl="0">
      <w:start w:val="1"/>
      <w:numFmt w:val="bullet"/>
      <w:pStyle w:val="Bullet1"/>
      <w:lvlText w:val=""/>
      <w:lvlJc w:val="left"/>
      <w:pPr>
        <w:tabs>
          <w:tab w:val="num" w:pos="504"/>
        </w:tabs>
        <w:ind w:left="504" w:hanging="504"/>
      </w:pPr>
      <w:rPr>
        <w:rFonts w:ascii="Symbol" w:hAnsi="Symbol" w:hint="default"/>
        <w:b w:val="0"/>
        <w:i w:val="0"/>
        <w:vanish w:val="0"/>
        <w:color w:val="auto"/>
        <w:sz w:val="22"/>
      </w:rPr>
    </w:lvl>
    <w:lvl w:ilvl="1">
      <w:start w:val="1"/>
      <w:numFmt w:val="bullet"/>
      <w:pStyle w:val="Bullet2"/>
      <w:lvlText w:val="–"/>
      <w:lvlJc w:val="left"/>
      <w:pPr>
        <w:tabs>
          <w:tab w:val="num" w:pos="864"/>
        </w:tabs>
        <w:ind w:left="864"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nsid w:val="44AD6509"/>
    <w:multiLevelType w:val="hybridMultilevel"/>
    <w:tmpl w:val="76065622"/>
    <w:lvl w:ilvl="0" w:tplc="0C090005">
      <w:start w:val="1"/>
      <w:numFmt w:val="bullet"/>
      <w:lvlText w:val=""/>
      <w:lvlJc w:val="left"/>
      <w:pPr>
        <w:ind w:left="360" w:hanging="360"/>
      </w:pPr>
      <w:rPr>
        <w:rFonts w:ascii="Wingdings" w:hAnsi="Wingdings" w:hint="default"/>
        <w:color w:val="595959"/>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52F840C3"/>
    <w:multiLevelType w:val="hybridMultilevel"/>
    <w:tmpl w:val="619AD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6481A60"/>
    <w:multiLevelType w:val="hybridMultilevel"/>
    <w:tmpl w:val="067E8DE0"/>
    <w:lvl w:ilvl="0" w:tplc="2E26B5E2">
      <w:start w:val="1"/>
      <w:numFmt w:val="bullet"/>
      <w:lvlText w:val="•"/>
      <w:lvlJc w:val="left"/>
      <w:pPr>
        <w:tabs>
          <w:tab w:val="num" w:pos="720"/>
        </w:tabs>
        <w:ind w:left="720" w:hanging="360"/>
      </w:pPr>
      <w:rPr>
        <w:rFonts w:ascii="Arial" w:hAnsi="Arial" w:hint="default"/>
      </w:rPr>
    </w:lvl>
    <w:lvl w:ilvl="1" w:tplc="2B1ADF0C">
      <w:start w:val="509"/>
      <w:numFmt w:val="bullet"/>
      <w:lvlText w:val=""/>
      <w:lvlJc w:val="left"/>
      <w:pPr>
        <w:tabs>
          <w:tab w:val="num" w:pos="1440"/>
        </w:tabs>
        <w:ind w:left="1440" w:hanging="360"/>
      </w:pPr>
      <w:rPr>
        <w:rFonts w:ascii="Wingdings" w:hAnsi="Wingdings" w:hint="default"/>
      </w:rPr>
    </w:lvl>
    <w:lvl w:ilvl="2" w:tplc="767A9D46" w:tentative="1">
      <w:start w:val="1"/>
      <w:numFmt w:val="bullet"/>
      <w:lvlText w:val="•"/>
      <w:lvlJc w:val="left"/>
      <w:pPr>
        <w:tabs>
          <w:tab w:val="num" w:pos="2160"/>
        </w:tabs>
        <w:ind w:left="2160" w:hanging="360"/>
      </w:pPr>
      <w:rPr>
        <w:rFonts w:ascii="Arial" w:hAnsi="Arial" w:hint="default"/>
      </w:rPr>
    </w:lvl>
    <w:lvl w:ilvl="3" w:tplc="EEDAB6B4" w:tentative="1">
      <w:start w:val="1"/>
      <w:numFmt w:val="bullet"/>
      <w:lvlText w:val="•"/>
      <w:lvlJc w:val="left"/>
      <w:pPr>
        <w:tabs>
          <w:tab w:val="num" w:pos="2880"/>
        </w:tabs>
        <w:ind w:left="2880" w:hanging="360"/>
      </w:pPr>
      <w:rPr>
        <w:rFonts w:ascii="Arial" w:hAnsi="Arial" w:hint="default"/>
      </w:rPr>
    </w:lvl>
    <w:lvl w:ilvl="4" w:tplc="A9FEDF58" w:tentative="1">
      <w:start w:val="1"/>
      <w:numFmt w:val="bullet"/>
      <w:lvlText w:val="•"/>
      <w:lvlJc w:val="left"/>
      <w:pPr>
        <w:tabs>
          <w:tab w:val="num" w:pos="3600"/>
        </w:tabs>
        <w:ind w:left="3600" w:hanging="360"/>
      </w:pPr>
      <w:rPr>
        <w:rFonts w:ascii="Arial" w:hAnsi="Arial" w:hint="default"/>
      </w:rPr>
    </w:lvl>
    <w:lvl w:ilvl="5" w:tplc="C1FED00C" w:tentative="1">
      <w:start w:val="1"/>
      <w:numFmt w:val="bullet"/>
      <w:lvlText w:val="•"/>
      <w:lvlJc w:val="left"/>
      <w:pPr>
        <w:tabs>
          <w:tab w:val="num" w:pos="4320"/>
        </w:tabs>
        <w:ind w:left="4320" w:hanging="360"/>
      </w:pPr>
      <w:rPr>
        <w:rFonts w:ascii="Arial" w:hAnsi="Arial" w:hint="default"/>
      </w:rPr>
    </w:lvl>
    <w:lvl w:ilvl="6" w:tplc="E9E4901A" w:tentative="1">
      <w:start w:val="1"/>
      <w:numFmt w:val="bullet"/>
      <w:lvlText w:val="•"/>
      <w:lvlJc w:val="left"/>
      <w:pPr>
        <w:tabs>
          <w:tab w:val="num" w:pos="5040"/>
        </w:tabs>
        <w:ind w:left="5040" w:hanging="360"/>
      </w:pPr>
      <w:rPr>
        <w:rFonts w:ascii="Arial" w:hAnsi="Arial" w:hint="default"/>
      </w:rPr>
    </w:lvl>
    <w:lvl w:ilvl="7" w:tplc="CCAA16AC" w:tentative="1">
      <w:start w:val="1"/>
      <w:numFmt w:val="bullet"/>
      <w:lvlText w:val="•"/>
      <w:lvlJc w:val="left"/>
      <w:pPr>
        <w:tabs>
          <w:tab w:val="num" w:pos="5760"/>
        </w:tabs>
        <w:ind w:left="5760" w:hanging="360"/>
      </w:pPr>
      <w:rPr>
        <w:rFonts w:ascii="Arial" w:hAnsi="Arial" w:hint="default"/>
      </w:rPr>
    </w:lvl>
    <w:lvl w:ilvl="8" w:tplc="4D985566" w:tentative="1">
      <w:start w:val="1"/>
      <w:numFmt w:val="bullet"/>
      <w:lvlText w:val="•"/>
      <w:lvlJc w:val="left"/>
      <w:pPr>
        <w:tabs>
          <w:tab w:val="num" w:pos="6480"/>
        </w:tabs>
        <w:ind w:left="6480" w:hanging="360"/>
      </w:pPr>
      <w:rPr>
        <w:rFonts w:ascii="Arial" w:hAnsi="Arial" w:hint="default"/>
      </w:rPr>
    </w:lvl>
  </w:abstractNum>
  <w:abstractNum w:abstractNumId="12">
    <w:nsid w:val="66E416C6"/>
    <w:multiLevelType w:val="hybridMultilevel"/>
    <w:tmpl w:val="4D3E9A54"/>
    <w:lvl w:ilvl="0" w:tplc="52C4AD90">
      <w:start w:val="1"/>
      <w:numFmt w:val="bullet"/>
      <w:lvlText w:val=""/>
      <w:lvlJc w:val="left"/>
      <w:pPr>
        <w:ind w:left="360" w:hanging="360"/>
      </w:pPr>
      <w:rPr>
        <w:rFonts w:ascii="Wingdings" w:hAnsi="Wingdings" w:hint="default"/>
        <w:color w:val="595959"/>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6B73599F"/>
    <w:multiLevelType w:val="hybridMultilevel"/>
    <w:tmpl w:val="D4184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CB22D92"/>
    <w:multiLevelType w:val="hybridMultilevel"/>
    <w:tmpl w:val="329852F0"/>
    <w:lvl w:ilvl="0" w:tplc="CE3EB29A">
      <w:start w:val="1"/>
      <w:numFmt w:val="decimal"/>
      <w:lvlText w:val="%1."/>
      <w:lvlJc w:val="left"/>
      <w:pPr>
        <w:ind w:left="1088" w:hanging="360"/>
      </w:pPr>
      <w:rPr>
        <w:rFonts w:hint="default"/>
      </w:rPr>
    </w:lvl>
    <w:lvl w:ilvl="1" w:tplc="0C090019" w:tentative="1">
      <w:start w:val="1"/>
      <w:numFmt w:val="lowerLetter"/>
      <w:lvlText w:val="%2."/>
      <w:lvlJc w:val="left"/>
      <w:pPr>
        <w:ind w:left="1808" w:hanging="360"/>
      </w:pPr>
    </w:lvl>
    <w:lvl w:ilvl="2" w:tplc="0C09001B" w:tentative="1">
      <w:start w:val="1"/>
      <w:numFmt w:val="lowerRoman"/>
      <w:lvlText w:val="%3."/>
      <w:lvlJc w:val="right"/>
      <w:pPr>
        <w:ind w:left="2528" w:hanging="180"/>
      </w:pPr>
    </w:lvl>
    <w:lvl w:ilvl="3" w:tplc="0C09000F" w:tentative="1">
      <w:start w:val="1"/>
      <w:numFmt w:val="decimal"/>
      <w:lvlText w:val="%4."/>
      <w:lvlJc w:val="left"/>
      <w:pPr>
        <w:ind w:left="3248" w:hanging="360"/>
      </w:pPr>
    </w:lvl>
    <w:lvl w:ilvl="4" w:tplc="0C090019" w:tentative="1">
      <w:start w:val="1"/>
      <w:numFmt w:val="lowerLetter"/>
      <w:lvlText w:val="%5."/>
      <w:lvlJc w:val="left"/>
      <w:pPr>
        <w:ind w:left="3968" w:hanging="360"/>
      </w:pPr>
    </w:lvl>
    <w:lvl w:ilvl="5" w:tplc="0C09001B" w:tentative="1">
      <w:start w:val="1"/>
      <w:numFmt w:val="lowerRoman"/>
      <w:lvlText w:val="%6."/>
      <w:lvlJc w:val="right"/>
      <w:pPr>
        <w:ind w:left="4688" w:hanging="180"/>
      </w:pPr>
    </w:lvl>
    <w:lvl w:ilvl="6" w:tplc="0C09000F" w:tentative="1">
      <w:start w:val="1"/>
      <w:numFmt w:val="decimal"/>
      <w:lvlText w:val="%7."/>
      <w:lvlJc w:val="left"/>
      <w:pPr>
        <w:ind w:left="5408" w:hanging="360"/>
      </w:pPr>
    </w:lvl>
    <w:lvl w:ilvl="7" w:tplc="0C090019" w:tentative="1">
      <w:start w:val="1"/>
      <w:numFmt w:val="lowerLetter"/>
      <w:lvlText w:val="%8."/>
      <w:lvlJc w:val="left"/>
      <w:pPr>
        <w:ind w:left="6128" w:hanging="360"/>
      </w:pPr>
    </w:lvl>
    <w:lvl w:ilvl="8" w:tplc="0C09001B" w:tentative="1">
      <w:start w:val="1"/>
      <w:numFmt w:val="lowerRoman"/>
      <w:lvlText w:val="%9."/>
      <w:lvlJc w:val="right"/>
      <w:pPr>
        <w:ind w:left="6848" w:hanging="180"/>
      </w:pPr>
    </w:lvl>
  </w:abstractNum>
  <w:abstractNum w:abstractNumId="15">
    <w:nsid w:val="7FD44514"/>
    <w:multiLevelType w:val="multilevel"/>
    <w:tmpl w:val="C9485A58"/>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8"/>
  </w:num>
  <w:num w:numId="2">
    <w:abstractNumId w:val="8"/>
  </w:num>
  <w:num w:numId="3">
    <w:abstractNumId w:val="8"/>
  </w:num>
  <w:num w:numId="4">
    <w:abstractNumId w:val="15"/>
  </w:num>
  <w:num w:numId="5">
    <w:abstractNumId w:val="8"/>
  </w:num>
  <w:num w:numId="6">
    <w:abstractNumId w:val="8"/>
  </w:num>
  <w:num w:numId="7">
    <w:abstractNumId w:val="8"/>
  </w:num>
  <w:num w:numId="8">
    <w:abstractNumId w:val="8"/>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2"/>
  </w:num>
  <w:num w:numId="18">
    <w:abstractNumId w:val="2"/>
  </w:num>
  <w:num w:numId="19">
    <w:abstractNumId w:val="7"/>
  </w:num>
  <w:num w:numId="20">
    <w:abstractNumId w:val="1"/>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5"/>
  </w:num>
  <w:num w:numId="29">
    <w:abstractNumId w:val="10"/>
  </w:num>
  <w:num w:numId="30">
    <w:abstractNumId w:val="13"/>
  </w:num>
  <w:num w:numId="31">
    <w:abstractNumId w:val="3"/>
  </w:num>
  <w:num w:numId="32">
    <w:abstractNumId w:val="6"/>
  </w:num>
  <w:num w:numId="33">
    <w:abstractNumId w:val="8"/>
  </w:num>
  <w:num w:numId="34">
    <w:abstractNumId w:val="11"/>
  </w:num>
  <w:num w:numId="35">
    <w:abstractNumId w:val="12"/>
  </w:num>
  <w:num w:numId="36">
    <w:abstractNumId w:val="9"/>
  </w:num>
  <w:num w:numId="37">
    <w:abstractNumId w:val="0"/>
    <w:lvlOverride w:ilvl="0">
      <w:lvl w:ilvl="0">
        <w:numFmt w:val="bullet"/>
        <w:lvlText w:val=""/>
        <w:legacy w:legacy="1" w:legacySpace="0" w:legacyIndent="0"/>
        <w:lvlJc w:val="left"/>
        <w:rPr>
          <w:rFonts w:ascii="Symbol" w:hAnsi="Symbol" w:hint="default"/>
          <w:sz w:val="22"/>
        </w:rPr>
      </w:lvl>
    </w:lvlOverride>
  </w:num>
  <w:num w:numId="38">
    <w:abstractNumId w:val="8"/>
  </w:num>
  <w:num w:numId="39">
    <w:abstractNumId w:val="8"/>
  </w:num>
  <w:num w:numId="40">
    <w:abstractNumId w:val="14"/>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CC"/>
    <w:rsid w:val="00000304"/>
    <w:rsid w:val="00001008"/>
    <w:rsid w:val="000029D8"/>
    <w:rsid w:val="0000577E"/>
    <w:rsid w:val="0001126C"/>
    <w:rsid w:val="00011DCA"/>
    <w:rsid w:val="00012F6F"/>
    <w:rsid w:val="000136CE"/>
    <w:rsid w:val="00014213"/>
    <w:rsid w:val="00014B55"/>
    <w:rsid w:val="0001655D"/>
    <w:rsid w:val="00016FD9"/>
    <w:rsid w:val="00017BF7"/>
    <w:rsid w:val="00017F92"/>
    <w:rsid w:val="00020E3E"/>
    <w:rsid w:val="000238D7"/>
    <w:rsid w:val="00023BF3"/>
    <w:rsid w:val="00026811"/>
    <w:rsid w:val="00027F53"/>
    <w:rsid w:val="0004085F"/>
    <w:rsid w:val="0004356D"/>
    <w:rsid w:val="00045296"/>
    <w:rsid w:val="00071360"/>
    <w:rsid w:val="000717DA"/>
    <w:rsid w:val="00075E6C"/>
    <w:rsid w:val="00081517"/>
    <w:rsid w:val="0008405C"/>
    <w:rsid w:val="000B286B"/>
    <w:rsid w:val="000B29AD"/>
    <w:rsid w:val="000C21C3"/>
    <w:rsid w:val="000C6372"/>
    <w:rsid w:val="000D0DD1"/>
    <w:rsid w:val="000D3A5A"/>
    <w:rsid w:val="000D3A9C"/>
    <w:rsid w:val="000D72EA"/>
    <w:rsid w:val="000D7F8F"/>
    <w:rsid w:val="000E0178"/>
    <w:rsid w:val="000E1475"/>
    <w:rsid w:val="000E392D"/>
    <w:rsid w:val="000E7F4B"/>
    <w:rsid w:val="000F4288"/>
    <w:rsid w:val="000F50A6"/>
    <w:rsid w:val="000F7165"/>
    <w:rsid w:val="001012CC"/>
    <w:rsid w:val="00102379"/>
    <w:rsid w:val="00102CEF"/>
    <w:rsid w:val="001065D6"/>
    <w:rsid w:val="00112BCF"/>
    <w:rsid w:val="001132A7"/>
    <w:rsid w:val="0011571C"/>
    <w:rsid w:val="00115A52"/>
    <w:rsid w:val="00121252"/>
    <w:rsid w:val="00121837"/>
    <w:rsid w:val="0012325C"/>
    <w:rsid w:val="00124609"/>
    <w:rsid w:val="001254CE"/>
    <w:rsid w:val="00133603"/>
    <w:rsid w:val="00134CEA"/>
    <w:rsid w:val="0013502C"/>
    <w:rsid w:val="00141B1B"/>
    <w:rsid w:val="001422CC"/>
    <w:rsid w:val="0014266D"/>
    <w:rsid w:val="0014305C"/>
    <w:rsid w:val="00157028"/>
    <w:rsid w:val="00157700"/>
    <w:rsid w:val="001617B6"/>
    <w:rsid w:val="00165E66"/>
    <w:rsid w:val="001661C8"/>
    <w:rsid w:val="0016657D"/>
    <w:rsid w:val="001725F4"/>
    <w:rsid w:val="001752FA"/>
    <w:rsid w:val="00182513"/>
    <w:rsid w:val="00191A3F"/>
    <w:rsid w:val="00194B88"/>
    <w:rsid w:val="001A0420"/>
    <w:rsid w:val="001A1C42"/>
    <w:rsid w:val="001A21F2"/>
    <w:rsid w:val="001A6878"/>
    <w:rsid w:val="001B27D2"/>
    <w:rsid w:val="001B2853"/>
    <w:rsid w:val="001B43FF"/>
    <w:rsid w:val="001C1192"/>
    <w:rsid w:val="001C4802"/>
    <w:rsid w:val="001C7BAE"/>
    <w:rsid w:val="001D2C64"/>
    <w:rsid w:val="001D73E5"/>
    <w:rsid w:val="001E0196"/>
    <w:rsid w:val="001E2604"/>
    <w:rsid w:val="001E31FA"/>
    <w:rsid w:val="001E5DD1"/>
    <w:rsid w:val="001E64F6"/>
    <w:rsid w:val="001F13BA"/>
    <w:rsid w:val="001F25D1"/>
    <w:rsid w:val="001F64AC"/>
    <w:rsid w:val="001F6776"/>
    <w:rsid w:val="00204B52"/>
    <w:rsid w:val="002128F8"/>
    <w:rsid w:val="00215FBE"/>
    <w:rsid w:val="00222BEB"/>
    <w:rsid w:val="00225E60"/>
    <w:rsid w:val="0023202C"/>
    <w:rsid w:val="00236203"/>
    <w:rsid w:val="00242252"/>
    <w:rsid w:val="00244F1E"/>
    <w:rsid w:val="00245043"/>
    <w:rsid w:val="0024557E"/>
    <w:rsid w:val="0025351A"/>
    <w:rsid w:val="00253C77"/>
    <w:rsid w:val="00254BE3"/>
    <w:rsid w:val="00256627"/>
    <w:rsid w:val="00256E96"/>
    <w:rsid w:val="0025749A"/>
    <w:rsid w:val="00257760"/>
    <w:rsid w:val="00257EC4"/>
    <w:rsid w:val="002638EB"/>
    <w:rsid w:val="002642A0"/>
    <w:rsid w:val="00264CFF"/>
    <w:rsid w:val="00265489"/>
    <w:rsid w:val="00272742"/>
    <w:rsid w:val="002904C9"/>
    <w:rsid w:val="00292D36"/>
    <w:rsid w:val="00297281"/>
    <w:rsid w:val="002A02FA"/>
    <w:rsid w:val="002B0133"/>
    <w:rsid w:val="002B3221"/>
    <w:rsid w:val="002B36A4"/>
    <w:rsid w:val="002B6C30"/>
    <w:rsid w:val="002C38A4"/>
    <w:rsid w:val="002C4783"/>
    <w:rsid w:val="002C54E0"/>
    <w:rsid w:val="002D1A17"/>
    <w:rsid w:val="002D711A"/>
    <w:rsid w:val="002D7336"/>
    <w:rsid w:val="002E0F67"/>
    <w:rsid w:val="002E12F7"/>
    <w:rsid w:val="002E3396"/>
    <w:rsid w:val="002E402C"/>
    <w:rsid w:val="002E50FD"/>
    <w:rsid w:val="002F2339"/>
    <w:rsid w:val="00302838"/>
    <w:rsid w:val="0031149C"/>
    <w:rsid w:val="00316800"/>
    <w:rsid w:val="00323444"/>
    <w:rsid w:val="003336C0"/>
    <w:rsid w:val="00336FD2"/>
    <w:rsid w:val="00337262"/>
    <w:rsid w:val="00337BDA"/>
    <w:rsid w:val="0034008B"/>
    <w:rsid w:val="00345C0D"/>
    <w:rsid w:val="0035528A"/>
    <w:rsid w:val="0036477A"/>
    <w:rsid w:val="00366862"/>
    <w:rsid w:val="0036757E"/>
    <w:rsid w:val="0038124B"/>
    <w:rsid w:val="00381438"/>
    <w:rsid w:val="00386AA8"/>
    <w:rsid w:val="003871E1"/>
    <w:rsid w:val="0038771C"/>
    <w:rsid w:val="003912D2"/>
    <w:rsid w:val="00393EBC"/>
    <w:rsid w:val="0039405B"/>
    <w:rsid w:val="003941C9"/>
    <w:rsid w:val="00396E36"/>
    <w:rsid w:val="003A1C92"/>
    <w:rsid w:val="003A48E8"/>
    <w:rsid w:val="003A541A"/>
    <w:rsid w:val="003A6923"/>
    <w:rsid w:val="003B0473"/>
    <w:rsid w:val="003B60CB"/>
    <w:rsid w:val="003B614B"/>
    <w:rsid w:val="003B7EFE"/>
    <w:rsid w:val="003C26E2"/>
    <w:rsid w:val="003C2C67"/>
    <w:rsid w:val="003C5BA4"/>
    <w:rsid w:val="003C6F2B"/>
    <w:rsid w:val="003C7BBD"/>
    <w:rsid w:val="003D028E"/>
    <w:rsid w:val="003E3E26"/>
    <w:rsid w:val="003F0BB7"/>
    <w:rsid w:val="003F0F41"/>
    <w:rsid w:val="003F1295"/>
    <w:rsid w:val="003F2B80"/>
    <w:rsid w:val="003F76FC"/>
    <w:rsid w:val="004002EB"/>
    <w:rsid w:val="004036EB"/>
    <w:rsid w:val="00405535"/>
    <w:rsid w:val="00414B6E"/>
    <w:rsid w:val="0041689E"/>
    <w:rsid w:val="00417E72"/>
    <w:rsid w:val="004236C8"/>
    <w:rsid w:val="00427681"/>
    <w:rsid w:val="00427C82"/>
    <w:rsid w:val="004302C5"/>
    <w:rsid w:val="00432BB3"/>
    <w:rsid w:val="00433DB7"/>
    <w:rsid w:val="00437EE8"/>
    <w:rsid w:val="004442DD"/>
    <w:rsid w:val="00453750"/>
    <w:rsid w:val="00453C6A"/>
    <w:rsid w:val="00456941"/>
    <w:rsid w:val="00456EF5"/>
    <w:rsid w:val="00464B13"/>
    <w:rsid w:val="00466E26"/>
    <w:rsid w:val="004702EA"/>
    <w:rsid w:val="00477612"/>
    <w:rsid w:val="00482D02"/>
    <w:rsid w:val="00482D96"/>
    <w:rsid w:val="00482FCC"/>
    <w:rsid w:val="004834E8"/>
    <w:rsid w:val="00487F9D"/>
    <w:rsid w:val="0049095F"/>
    <w:rsid w:val="004951E0"/>
    <w:rsid w:val="004A0E15"/>
    <w:rsid w:val="004A2742"/>
    <w:rsid w:val="004A7519"/>
    <w:rsid w:val="004B31E2"/>
    <w:rsid w:val="004C062A"/>
    <w:rsid w:val="004C6806"/>
    <w:rsid w:val="004C6C14"/>
    <w:rsid w:val="004C7E70"/>
    <w:rsid w:val="004D2ECD"/>
    <w:rsid w:val="004D3518"/>
    <w:rsid w:val="004D3C82"/>
    <w:rsid w:val="004D62D6"/>
    <w:rsid w:val="004E31E5"/>
    <w:rsid w:val="004E39FF"/>
    <w:rsid w:val="004E558A"/>
    <w:rsid w:val="004E5F87"/>
    <w:rsid w:val="005025A6"/>
    <w:rsid w:val="005027C8"/>
    <w:rsid w:val="00504BD9"/>
    <w:rsid w:val="00506A37"/>
    <w:rsid w:val="00514E4A"/>
    <w:rsid w:val="00515E2D"/>
    <w:rsid w:val="00523E4D"/>
    <w:rsid w:val="005242F9"/>
    <w:rsid w:val="00531EAD"/>
    <w:rsid w:val="00532754"/>
    <w:rsid w:val="0053416C"/>
    <w:rsid w:val="00534B39"/>
    <w:rsid w:val="00537CB4"/>
    <w:rsid w:val="00540F7B"/>
    <w:rsid w:val="00541C2F"/>
    <w:rsid w:val="0054475A"/>
    <w:rsid w:val="00545348"/>
    <w:rsid w:val="00546E00"/>
    <w:rsid w:val="005472A1"/>
    <w:rsid w:val="00550A0E"/>
    <w:rsid w:val="00555723"/>
    <w:rsid w:val="00555EA1"/>
    <w:rsid w:val="00560720"/>
    <w:rsid w:val="00563527"/>
    <w:rsid w:val="0056706D"/>
    <w:rsid w:val="00574CA9"/>
    <w:rsid w:val="0057585B"/>
    <w:rsid w:val="00580BA3"/>
    <w:rsid w:val="0058124E"/>
    <w:rsid w:val="00587532"/>
    <w:rsid w:val="005875A3"/>
    <w:rsid w:val="0058775C"/>
    <w:rsid w:val="00592174"/>
    <w:rsid w:val="00593D50"/>
    <w:rsid w:val="005A3416"/>
    <w:rsid w:val="005B27FE"/>
    <w:rsid w:val="005B442B"/>
    <w:rsid w:val="005B6BBD"/>
    <w:rsid w:val="005C3E6D"/>
    <w:rsid w:val="005C50EC"/>
    <w:rsid w:val="005C7A39"/>
    <w:rsid w:val="005D0029"/>
    <w:rsid w:val="005D186E"/>
    <w:rsid w:val="005D2483"/>
    <w:rsid w:val="005E0B8B"/>
    <w:rsid w:val="005E2514"/>
    <w:rsid w:val="005E6029"/>
    <w:rsid w:val="005E6FC1"/>
    <w:rsid w:val="005E76CF"/>
    <w:rsid w:val="005F1737"/>
    <w:rsid w:val="005F5B0A"/>
    <w:rsid w:val="005F61DF"/>
    <w:rsid w:val="006023F9"/>
    <w:rsid w:val="00603A3B"/>
    <w:rsid w:val="006077D8"/>
    <w:rsid w:val="00610559"/>
    <w:rsid w:val="00617A43"/>
    <w:rsid w:val="006226B4"/>
    <w:rsid w:val="00625C2F"/>
    <w:rsid w:val="006273BA"/>
    <w:rsid w:val="00627832"/>
    <w:rsid w:val="006310AA"/>
    <w:rsid w:val="006332F6"/>
    <w:rsid w:val="00633429"/>
    <w:rsid w:val="00637AA9"/>
    <w:rsid w:val="006468C8"/>
    <w:rsid w:val="00652625"/>
    <w:rsid w:val="006534B2"/>
    <w:rsid w:val="00654722"/>
    <w:rsid w:val="0065615D"/>
    <w:rsid w:val="00657011"/>
    <w:rsid w:val="006650B5"/>
    <w:rsid w:val="006651B1"/>
    <w:rsid w:val="00665778"/>
    <w:rsid w:val="006703E8"/>
    <w:rsid w:val="00670D5B"/>
    <w:rsid w:val="00671FC5"/>
    <w:rsid w:val="0067682E"/>
    <w:rsid w:val="00677FF4"/>
    <w:rsid w:val="00683F4E"/>
    <w:rsid w:val="00691C69"/>
    <w:rsid w:val="00692E7F"/>
    <w:rsid w:val="00693339"/>
    <w:rsid w:val="006A0212"/>
    <w:rsid w:val="006A09D1"/>
    <w:rsid w:val="006A16D3"/>
    <w:rsid w:val="006A25DD"/>
    <w:rsid w:val="006A5639"/>
    <w:rsid w:val="006A5B34"/>
    <w:rsid w:val="006A5F5B"/>
    <w:rsid w:val="006A72F2"/>
    <w:rsid w:val="006A7865"/>
    <w:rsid w:val="006B56C3"/>
    <w:rsid w:val="006B5EDA"/>
    <w:rsid w:val="006C09F6"/>
    <w:rsid w:val="006C1530"/>
    <w:rsid w:val="006C77A9"/>
    <w:rsid w:val="006E1D3A"/>
    <w:rsid w:val="006E1F18"/>
    <w:rsid w:val="006E5531"/>
    <w:rsid w:val="006E57A8"/>
    <w:rsid w:val="006F0F13"/>
    <w:rsid w:val="006F393D"/>
    <w:rsid w:val="006F3B8D"/>
    <w:rsid w:val="006F412C"/>
    <w:rsid w:val="006F6693"/>
    <w:rsid w:val="00700D18"/>
    <w:rsid w:val="00706CE9"/>
    <w:rsid w:val="00707FE8"/>
    <w:rsid w:val="00711BEF"/>
    <w:rsid w:val="00713FB5"/>
    <w:rsid w:val="00714A38"/>
    <w:rsid w:val="007176CF"/>
    <w:rsid w:val="00720AD4"/>
    <w:rsid w:val="00724523"/>
    <w:rsid w:val="00724962"/>
    <w:rsid w:val="00724A0F"/>
    <w:rsid w:val="00725098"/>
    <w:rsid w:val="00732162"/>
    <w:rsid w:val="00733B41"/>
    <w:rsid w:val="00733E51"/>
    <w:rsid w:val="00734F7F"/>
    <w:rsid w:val="00736732"/>
    <w:rsid w:val="00740231"/>
    <w:rsid w:val="00750CBE"/>
    <w:rsid w:val="00750D7B"/>
    <w:rsid w:val="00755403"/>
    <w:rsid w:val="00755676"/>
    <w:rsid w:val="00755879"/>
    <w:rsid w:val="007564E5"/>
    <w:rsid w:val="007573A0"/>
    <w:rsid w:val="007576F8"/>
    <w:rsid w:val="007606F7"/>
    <w:rsid w:val="00766B5A"/>
    <w:rsid w:val="007709AF"/>
    <w:rsid w:val="00773872"/>
    <w:rsid w:val="007766C1"/>
    <w:rsid w:val="007834F2"/>
    <w:rsid w:val="00786B9A"/>
    <w:rsid w:val="0079011F"/>
    <w:rsid w:val="00791020"/>
    <w:rsid w:val="00791970"/>
    <w:rsid w:val="00793D44"/>
    <w:rsid w:val="007A0924"/>
    <w:rsid w:val="007A14E7"/>
    <w:rsid w:val="007A4644"/>
    <w:rsid w:val="007A5F82"/>
    <w:rsid w:val="007A7C89"/>
    <w:rsid w:val="007B12D3"/>
    <w:rsid w:val="007B38D3"/>
    <w:rsid w:val="007B7A19"/>
    <w:rsid w:val="007B7C1C"/>
    <w:rsid w:val="007C1CCE"/>
    <w:rsid w:val="007C4172"/>
    <w:rsid w:val="007C50C2"/>
    <w:rsid w:val="007C6E38"/>
    <w:rsid w:val="007D03CC"/>
    <w:rsid w:val="007D0C34"/>
    <w:rsid w:val="007E0770"/>
    <w:rsid w:val="007E19BE"/>
    <w:rsid w:val="007E27AE"/>
    <w:rsid w:val="007E6207"/>
    <w:rsid w:val="007E77C8"/>
    <w:rsid w:val="007F1A4C"/>
    <w:rsid w:val="007F729F"/>
    <w:rsid w:val="008015B2"/>
    <w:rsid w:val="00801B6D"/>
    <w:rsid w:val="008022C3"/>
    <w:rsid w:val="008041E6"/>
    <w:rsid w:val="008065D2"/>
    <w:rsid w:val="00811F18"/>
    <w:rsid w:val="0082194C"/>
    <w:rsid w:val="008220C4"/>
    <w:rsid w:val="008222FF"/>
    <w:rsid w:val="008241FF"/>
    <w:rsid w:val="008245AD"/>
    <w:rsid w:val="00833B52"/>
    <w:rsid w:val="008372D2"/>
    <w:rsid w:val="008411E9"/>
    <w:rsid w:val="0084200F"/>
    <w:rsid w:val="008428B0"/>
    <w:rsid w:val="00843B2C"/>
    <w:rsid w:val="008518B0"/>
    <w:rsid w:val="0085257B"/>
    <w:rsid w:val="00855889"/>
    <w:rsid w:val="00855C7B"/>
    <w:rsid w:val="008632DA"/>
    <w:rsid w:val="0086695D"/>
    <w:rsid w:val="00871976"/>
    <w:rsid w:val="008740B3"/>
    <w:rsid w:val="00874F40"/>
    <w:rsid w:val="00877721"/>
    <w:rsid w:val="00881675"/>
    <w:rsid w:val="00885327"/>
    <w:rsid w:val="00897396"/>
    <w:rsid w:val="00897BA6"/>
    <w:rsid w:val="00897CF2"/>
    <w:rsid w:val="008A0551"/>
    <w:rsid w:val="008A3882"/>
    <w:rsid w:val="008A4900"/>
    <w:rsid w:val="008A6C31"/>
    <w:rsid w:val="008A7EDB"/>
    <w:rsid w:val="008B23D6"/>
    <w:rsid w:val="008B34C2"/>
    <w:rsid w:val="008B69EC"/>
    <w:rsid w:val="008D0281"/>
    <w:rsid w:val="008D7333"/>
    <w:rsid w:val="008E34B2"/>
    <w:rsid w:val="008E3C4E"/>
    <w:rsid w:val="008F024D"/>
    <w:rsid w:val="008F1B26"/>
    <w:rsid w:val="008F6D45"/>
    <w:rsid w:val="009000AA"/>
    <w:rsid w:val="00900D19"/>
    <w:rsid w:val="00901A08"/>
    <w:rsid w:val="0090245C"/>
    <w:rsid w:val="00910AE2"/>
    <w:rsid w:val="009145B1"/>
    <w:rsid w:val="00916BFF"/>
    <w:rsid w:val="00920193"/>
    <w:rsid w:val="00920C1E"/>
    <w:rsid w:val="00936599"/>
    <w:rsid w:val="009416A9"/>
    <w:rsid w:val="00944015"/>
    <w:rsid w:val="0094447F"/>
    <w:rsid w:val="00944F19"/>
    <w:rsid w:val="00945E8C"/>
    <w:rsid w:val="009567FE"/>
    <w:rsid w:val="00965A3E"/>
    <w:rsid w:val="0096613D"/>
    <w:rsid w:val="0096740D"/>
    <w:rsid w:val="009834C0"/>
    <w:rsid w:val="00984DE0"/>
    <w:rsid w:val="00986AAC"/>
    <w:rsid w:val="00987E37"/>
    <w:rsid w:val="00990F8A"/>
    <w:rsid w:val="00991739"/>
    <w:rsid w:val="009933F6"/>
    <w:rsid w:val="00994A49"/>
    <w:rsid w:val="00996470"/>
    <w:rsid w:val="00997740"/>
    <w:rsid w:val="00997F29"/>
    <w:rsid w:val="009A1DA2"/>
    <w:rsid w:val="009A3704"/>
    <w:rsid w:val="009A4739"/>
    <w:rsid w:val="009A5458"/>
    <w:rsid w:val="009A674F"/>
    <w:rsid w:val="009B199C"/>
    <w:rsid w:val="009B54C8"/>
    <w:rsid w:val="009B61F1"/>
    <w:rsid w:val="009B62E0"/>
    <w:rsid w:val="009C1943"/>
    <w:rsid w:val="009C2711"/>
    <w:rsid w:val="009C3D88"/>
    <w:rsid w:val="009C43A1"/>
    <w:rsid w:val="009C5B37"/>
    <w:rsid w:val="009C5CF6"/>
    <w:rsid w:val="009D1895"/>
    <w:rsid w:val="009D5750"/>
    <w:rsid w:val="009E3858"/>
    <w:rsid w:val="009E70DD"/>
    <w:rsid w:val="009F25CB"/>
    <w:rsid w:val="009F2ED9"/>
    <w:rsid w:val="009F3231"/>
    <w:rsid w:val="009F5C58"/>
    <w:rsid w:val="009F6007"/>
    <w:rsid w:val="00A023A0"/>
    <w:rsid w:val="00A0385E"/>
    <w:rsid w:val="00A07C30"/>
    <w:rsid w:val="00A11C6C"/>
    <w:rsid w:val="00A14464"/>
    <w:rsid w:val="00A14A9C"/>
    <w:rsid w:val="00A1562B"/>
    <w:rsid w:val="00A170F4"/>
    <w:rsid w:val="00A21D23"/>
    <w:rsid w:val="00A23EBF"/>
    <w:rsid w:val="00A2559E"/>
    <w:rsid w:val="00A25FD9"/>
    <w:rsid w:val="00A26145"/>
    <w:rsid w:val="00A261D2"/>
    <w:rsid w:val="00A3484B"/>
    <w:rsid w:val="00A414CA"/>
    <w:rsid w:val="00A46BA8"/>
    <w:rsid w:val="00A47208"/>
    <w:rsid w:val="00A47634"/>
    <w:rsid w:val="00A52879"/>
    <w:rsid w:val="00A542BF"/>
    <w:rsid w:val="00A60032"/>
    <w:rsid w:val="00A612FE"/>
    <w:rsid w:val="00A63C98"/>
    <w:rsid w:val="00A66CD1"/>
    <w:rsid w:val="00A74E46"/>
    <w:rsid w:val="00A81D9D"/>
    <w:rsid w:val="00A831F0"/>
    <w:rsid w:val="00A86C77"/>
    <w:rsid w:val="00A91295"/>
    <w:rsid w:val="00A91B6F"/>
    <w:rsid w:val="00AA10AD"/>
    <w:rsid w:val="00AA26B8"/>
    <w:rsid w:val="00AA39DE"/>
    <w:rsid w:val="00AA45BA"/>
    <w:rsid w:val="00AA5F39"/>
    <w:rsid w:val="00AA72BF"/>
    <w:rsid w:val="00AB0B1F"/>
    <w:rsid w:val="00AB337D"/>
    <w:rsid w:val="00AB3B7D"/>
    <w:rsid w:val="00AB3FE2"/>
    <w:rsid w:val="00AB62B9"/>
    <w:rsid w:val="00AB78D9"/>
    <w:rsid w:val="00AC0711"/>
    <w:rsid w:val="00AC2674"/>
    <w:rsid w:val="00AC3171"/>
    <w:rsid w:val="00AC77A8"/>
    <w:rsid w:val="00AD08A5"/>
    <w:rsid w:val="00AD256A"/>
    <w:rsid w:val="00AD3322"/>
    <w:rsid w:val="00AD5807"/>
    <w:rsid w:val="00AD7CE5"/>
    <w:rsid w:val="00AD7E4E"/>
    <w:rsid w:val="00AE417D"/>
    <w:rsid w:val="00AF0273"/>
    <w:rsid w:val="00AF1B58"/>
    <w:rsid w:val="00AF27D3"/>
    <w:rsid w:val="00AF4D58"/>
    <w:rsid w:val="00AF6666"/>
    <w:rsid w:val="00B05C5D"/>
    <w:rsid w:val="00B061D9"/>
    <w:rsid w:val="00B10154"/>
    <w:rsid w:val="00B10545"/>
    <w:rsid w:val="00B22E99"/>
    <w:rsid w:val="00B25123"/>
    <w:rsid w:val="00B26573"/>
    <w:rsid w:val="00B52A8C"/>
    <w:rsid w:val="00B600DC"/>
    <w:rsid w:val="00B62ECA"/>
    <w:rsid w:val="00B67B87"/>
    <w:rsid w:val="00B81B44"/>
    <w:rsid w:val="00B83CF6"/>
    <w:rsid w:val="00B9053B"/>
    <w:rsid w:val="00B956A1"/>
    <w:rsid w:val="00BA14D0"/>
    <w:rsid w:val="00BA3107"/>
    <w:rsid w:val="00BA6129"/>
    <w:rsid w:val="00BA7208"/>
    <w:rsid w:val="00BB2CB9"/>
    <w:rsid w:val="00BC003D"/>
    <w:rsid w:val="00BC17AD"/>
    <w:rsid w:val="00BC23B4"/>
    <w:rsid w:val="00BC3422"/>
    <w:rsid w:val="00BD0E3F"/>
    <w:rsid w:val="00BD24E7"/>
    <w:rsid w:val="00BD5F0F"/>
    <w:rsid w:val="00BE1362"/>
    <w:rsid w:val="00BE68BD"/>
    <w:rsid w:val="00BF0266"/>
    <w:rsid w:val="00BF04C2"/>
    <w:rsid w:val="00BF412D"/>
    <w:rsid w:val="00BF69F3"/>
    <w:rsid w:val="00BF6C17"/>
    <w:rsid w:val="00C015B9"/>
    <w:rsid w:val="00C022F9"/>
    <w:rsid w:val="00C032EA"/>
    <w:rsid w:val="00C06EB5"/>
    <w:rsid w:val="00C10DF0"/>
    <w:rsid w:val="00C1145F"/>
    <w:rsid w:val="00C11620"/>
    <w:rsid w:val="00C24A9C"/>
    <w:rsid w:val="00C24DA0"/>
    <w:rsid w:val="00C2643F"/>
    <w:rsid w:val="00C33AD1"/>
    <w:rsid w:val="00C34A9C"/>
    <w:rsid w:val="00C3686C"/>
    <w:rsid w:val="00C36FA4"/>
    <w:rsid w:val="00C40FC5"/>
    <w:rsid w:val="00C45B33"/>
    <w:rsid w:val="00C45E55"/>
    <w:rsid w:val="00C46455"/>
    <w:rsid w:val="00C47380"/>
    <w:rsid w:val="00C50524"/>
    <w:rsid w:val="00C5083F"/>
    <w:rsid w:val="00C53BA6"/>
    <w:rsid w:val="00C55194"/>
    <w:rsid w:val="00C615DD"/>
    <w:rsid w:val="00C61CA0"/>
    <w:rsid w:val="00C637E1"/>
    <w:rsid w:val="00C65BE7"/>
    <w:rsid w:val="00C70D50"/>
    <w:rsid w:val="00C74692"/>
    <w:rsid w:val="00C75B40"/>
    <w:rsid w:val="00C76071"/>
    <w:rsid w:val="00C84D69"/>
    <w:rsid w:val="00C85E2A"/>
    <w:rsid w:val="00C90293"/>
    <w:rsid w:val="00C907D7"/>
    <w:rsid w:val="00C92338"/>
    <w:rsid w:val="00C96F5F"/>
    <w:rsid w:val="00CA3FD4"/>
    <w:rsid w:val="00CA48C5"/>
    <w:rsid w:val="00CA7C3A"/>
    <w:rsid w:val="00CB01C2"/>
    <w:rsid w:val="00CB0777"/>
    <w:rsid w:val="00CB0E7A"/>
    <w:rsid w:val="00CB23CC"/>
    <w:rsid w:val="00CB38E6"/>
    <w:rsid w:val="00CB66E1"/>
    <w:rsid w:val="00CC2DB2"/>
    <w:rsid w:val="00CC5D53"/>
    <w:rsid w:val="00CC5F1C"/>
    <w:rsid w:val="00CC77E8"/>
    <w:rsid w:val="00CD0307"/>
    <w:rsid w:val="00CD1E80"/>
    <w:rsid w:val="00CD280B"/>
    <w:rsid w:val="00CD3526"/>
    <w:rsid w:val="00CD3B07"/>
    <w:rsid w:val="00CD3D1B"/>
    <w:rsid w:val="00CE135A"/>
    <w:rsid w:val="00CE3834"/>
    <w:rsid w:val="00CF127E"/>
    <w:rsid w:val="00CF46D0"/>
    <w:rsid w:val="00CF7DCA"/>
    <w:rsid w:val="00D002AE"/>
    <w:rsid w:val="00D0153A"/>
    <w:rsid w:val="00D13E9F"/>
    <w:rsid w:val="00D206CE"/>
    <w:rsid w:val="00D20F7C"/>
    <w:rsid w:val="00D211E9"/>
    <w:rsid w:val="00D2312F"/>
    <w:rsid w:val="00D269C1"/>
    <w:rsid w:val="00D3027B"/>
    <w:rsid w:val="00D302E8"/>
    <w:rsid w:val="00D30DB3"/>
    <w:rsid w:val="00D36463"/>
    <w:rsid w:val="00D44953"/>
    <w:rsid w:val="00D44B1E"/>
    <w:rsid w:val="00D45C31"/>
    <w:rsid w:val="00D4720C"/>
    <w:rsid w:val="00D542F3"/>
    <w:rsid w:val="00D54CE7"/>
    <w:rsid w:val="00D559AA"/>
    <w:rsid w:val="00D5644B"/>
    <w:rsid w:val="00D56E25"/>
    <w:rsid w:val="00D70446"/>
    <w:rsid w:val="00D718D7"/>
    <w:rsid w:val="00D71CBB"/>
    <w:rsid w:val="00D7775C"/>
    <w:rsid w:val="00D814B7"/>
    <w:rsid w:val="00D84BCC"/>
    <w:rsid w:val="00D90688"/>
    <w:rsid w:val="00D91282"/>
    <w:rsid w:val="00D945A3"/>
    <w:rsid w:val="00DA1E3D"/>
    <w:rsid w:val="00DA310F"/>
    <w:rsid w:val="00DA3AAD"/>
    <w:rsid w:val="00DA5BE1"/>
    <w:rsid w:val="00DB2ED7"/>
    <w:rsid w:val="00DB312B"/>
    <w:rsid w:val="00DB7C7C"/>
    <w:rsid w:val="00DC07AE"/>
    <w:rsid w:val="00DC2036"/>
    <w:rsid w:val="00DC5654"/>
    <w:rsid w:val="00DC658F"/>
    <w:rsid w:val="00DD0492"/>
    <w:rsid w:val="00DE155B"/>
    <w:rsid w:val="00DE3E44"/>
    <w:rsid w:val="00DE40D6"/>
    <w:rsid w:val="00DE60CC"/>
    <w:rsid w:val="00DF6166"/>
    <w:rsid w:val="00DF694B"/>
    <w:rsid w:val="00DF7A5F"/>
    <w:rsid w:val="00E018C9"/>
    <w:rsid w:val="00E04E2E"/>
    <w:rsid w:val="00E17D08"/>
    <w:rsid w:val="00E24D2F"/>
    <w:rsid w:val="00E24D30"/>
    <w:rsid w:val="00E26B32"/>
    <w:rsid w:val="00E30C66"/>
    <w:rsid w:val="00E34CC8"/>
    <w:rsid w:val="00E407B6"/>
    <w:rsid w:val="00E41EF1"/>
    <w:rsid w:val="00E42942"/>
    <w:rsid w:val="00E468A6"/>
    <w:rsid w:val="00E64CF8"/>
    <w:rsid w:val="00E7114E"/>
    <w:rsid w:val="00E71BDF"/>
    <w:rsid w:val="00E81BDC"/>
    <w:rsid w:val="00E83CA7"/>
    <w:rsid w:val="00E90CCC"/>
    <w:rsid w:val="00E93062"/>
    <w:rsid w:val="00E95BD9"/>
    <w:rsid w:val="00E97E85"/>
    <w:rsid w:val="00EA6BBD"/>
    <w:rsid w:val="00EB5453"/>
    <w:rsid w:val="00EB60CA"/>
    <w:rsid w:val="00EB770D"/>
    <w:rsid w:val="00EC171D"/>
    <w:rsid w:val="00EC3508"/>
    <w:rsid w:val="00ED0DD3"/>
    <w:rsid w:val="00ED487E"/>
    <w:rsid w:val="00ED4AB9"/>
    <w:rsid w:val="00EE22EB"/>
    <w:rsid w:val="00EE4DDF"/>
    <w:rsid w:val="00EE7A0D"/>
    <w:rsid w:val="00EF0016"/>
    <w:rsid w:val="00EF073A"/>
    <w:rsid w:val="00F00304"/>
    <w:rsid w:val="00F029C2"/>
    <w:rsid w:val="00F04686"/>
    <w:rsid w:val="00F04E0C"/>
    <w:rsid w:val="00F07B1C"/>
    <w:rsid w:val="00F1257E"/>
    <w:rsid w:val="00F17CE1"/>
    <w:rsid w:val="00F2115C"/>
    <w:rsid w:val="00F22ABA"/>
    <w:rsid w:val="00F24364"/>
    <w:rsid w:val="00F25DD9"/>
    <w:rsid w:val="00F31533"/>
    <w:rsid w:val="00F335B3"/>
    <w:rsid w:val="00F337FC"/>
    <w:rsid w:val="00F36B12"/>
    <w:rsid w:val="00F41F70"/>
    <w:rsid w:val="00F420DD"/>
    <w:rsid w:val="00F462A9"/>
    <w:rsid w:val="00F57D07"/>
    <w:rsid w:val="00F60AF5"/>
    <w:rsid w:val="00F60F9F"/>
    <w:rsid w:val="00F64F08"/>
    <w:rsid w:val="00F6507B"/>
    <w:rsid w:val="00F66391"/>
    <w:rsid w:val="00F734F5"/>
    <w:rsid w:val="00F77888"/>
    <w:rsid w:val="00F80774"/>
    <w:rsid w:val="00F807C0"/>
    <w:rsid w:val="00F91E41"/>
    <w:rsid w:val="00F92110"/>
    <w:rsid w:val="00F92B68"/>
    <w:rsid w:val="00F94E40"/>
    <w:rsid w:val="00F95B0A"/>
    <w:rsid w:val="00F966B1"/>
    <w:rsid w:val="00F96941"/>
    <w:rsid w:val="00F96C2A"/>
    <w:rsid w:val="00F97D48"/>
    <w:rsid w:val="00FA02E0"/>
    <w:rsid w:val="00FA0311"/>
    <w:rsid w:val="00FA2B0F"/>
    <w:rsid w:val="00FA2B51"/>
    <w:rsid w:val="00FA36FF"/>
    <w:rsid w:val="00FA62A1"/>
    <w:rsid w:val="00FB47E7"/>
    <w:rsid w:val="00FB6821"/>
    <w:rsid w:val="00FB7089"/>
    <w:rsid w:val="00FC045D"/>
    <w:rsid w:val="00FC1D24"/>
    <w:rsid w:val="00FC42E5"/>
    <w:rsid w:val="00FC4CF8"/>
    <w:rsid w:val="00FD0D96"/>
    <w:rsid w:val="00FD34E2"/>
    <w:rsid w:val="00FD640F"/>
    <w:rsid w:val="00FD6B4C"/>
    <w:rsid w:val="00FE0B84"/>
    <w:rsid w:val="00FE4E20"/>
    <w:rsid w:val="00FF159C"/>
    <w:rsid w:val="00FF2F8B"/>
    <w:rsid w:val="00FF367C"/>
    <w:rsid w:val="00FF4E99"/>
    <w:rsid w:val="00FF5BC2"/>
    <w:rsid w:val="00FF7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CF46D0"/>
    <w:pPr>
      <w:spacing w:before="160" w:after="100"/>
    </w:pPr>
    <w:rPr>
      <w:spacing w:val="2"/>
      <w:sz w:val="18"/>
    </w:rPr>
  </w:style>
  <w:style w:type="paragraph" w:styleId="Heading1">
    <w:name w:val="heading 1"/>
    <w:next w:val="Normal"/>
    <w:link w:val="Heading1Char"/>
    <w:qFormat/>
    <w:rsid w:val="00CF46D0"/>
    <w:pPr>
      <w:keepNext/>
      <w:keepLines/>
      <w:spacing w:before="240" w:after="16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CF46D0"/>
    <w:pPr>
      <w:keepNext/>
      <w:keepLines/>
      <w:spacing w:before="240" w:after="120"/>
      <w:outlineLvl w:val="1"/>
    </w:pPr>
    <w:rPr>
      <w:rFonts w:asciiTheme="majorHAnsi" w:eastAsiaTheme="majorEastAsia" w:hAnsiTheme="majorHAnsi" w:cstheme="majorBidi"/>
      <w:b/>
      <w:bCs/>
      <w:color w:val="0063A6" w:themeColor="accent1"/>
      <w:sz w:val="24"/>
      <w:szCs w:val="24"/>
    </w:rPr>
  </w:style>
  <w:style w:type="paragraph" w:styleId="Heading3">
    <w:name w:val="heading 3"/>
    <w:basedOn w:val="Normal"/>
    <w:next w:val="Normal"/>
    <w:link w:val="Heading3Char"/>
    <w:qFormat/>
    <w:rsid w:val="007D03CC"/>
    <w:pPr>
      <w:keepNext/>
      <w:keepLines/>
      <w:spacing w:before="180" w:after="0"/>
      <w:outlineLvl w:val="2"/>
    </w:pPr>
    <w:rPr>
      <w:rFonts w:asciiTheme="majorHAnsi" w:eastAsiaTheme="majorEastAsia" w:hAnsiTheme="majorHAnsi" w:cstheme="majorBidi"/>
      <w:b/>
      <w:bCs/>
      <w:color w:val="009CDE" w:themeColor="accent5"/>
      <w:sz w:val="21"/>
      <w:szCs w:val="21"/>
    </w:rPr>
  </w:style>
  <w:style w:type="paragraph" w:styleId="Heading4">
    <w:name w:val="heading 4"/>
    <w:basedOn w:val="Normal"/>
    <w:next w:val="Normal"/>
    <w:link w:val="Heading4Char"/>
    <w:qFormat/>
    <w:rsid w:val="00CF46D0"/>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CF46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F46D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CF46D0"/>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CF46D0"/>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CF46D0"/>
    <w:pPr>
      <w:tabs>
        <w:tab w:val="right" w:leader="dot" w:pos="2520"/>
      </w:tabs>
      <w:spacing w:before="0" w:after="0"/>
      <w:ind w:right="432"/>
    </w:pPr>
    <w:rPr>
      <w:sz w:val="16"/>
      <w:szCs w:val="24"/>
    </w:rPr>
  </w:style>
  <w:style w:type="paragraph" w:styleId="TOC2">
    <w:name w:val="toc 2"/>
    <w:next w:val="Normal"/>
    <w:uiPriority w:val="39"/>
    <w:rsid w:val="00CF46D0"/>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CF46D0"/>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CF46D0"/>
    <w:pPr>
      <w:spacing w:after="60" w:line="240" w:lineRule="auto"/>
    </w:pPr>
    <w:rPr>
      <w:sz w:val="16"/>
    </w:rPr>
  </w:style>
  <w:style w:type="paragraph" w:styleId="Index2">
    <w:name w:val="index 2"/>
    <w:basedOn w:val="Normal"/>
    <w:next w:val="Normal"/>
    <w:uiPriority w:val="99"/>
    <w:semiHidden/>
    <w:rsid w:val="00CF46D0"/>
    <w:pPr>
      <w:spacing w:after="0" w:line="240" w:lineRule="auto"/>
      <w:ind w:left="216"/>
    </w:pPr>
    <w:rPr>
      <w:sz w:val="16"/>
      <w:szCs w:val="16"/>
    </w:rPr>
  </w:style>
  <w:style w:type="character" w:styleId="Hyperlink">
    <w:name w:val="Hyperlink"/>
    <w:basedOn w:val="DefaultParagraphFont"/>
    <w:uiPriority w:val="99"/>
    <w:rsid w:val="00CF46D0"/>
    <w:rPr>
      <w:color w:val="53565A" w:themeColor="hyperlink"/>
      <w:u w:val="none"/>
    </w:rPr>
  </w:style>
  <w:style w:type="character" w:customStyle="1" w:styleId="Heading1Char">
    <w:name w:val="Heading 1 Char"/>
    <w:basedOn w:val="DefaultParagraphFont"/>
    <w:link w:val="Heading1"/>
    <w:rsid w:val="00CF46D0"/>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CF46D0"/>
    <w:rPr>
      <w:rFonts w:asciiTheme="majorHAnsi" w:eastAsiaTheme="majorEastAsia" w:hAnsiTheme="majorHAnsi" w:cstheme="majorBidi"/>
      <w:b/>
      <w:bCs/>
      <w:color w:val="0063A6" w:themeColor="accent1"/>
      <w:spacing w:val="2"/>
      <w:sz w:val="24"/>
      <w:szCs w:val="24"/>
    </w:rPr>
  </w:style>
  <w:style w:type="paragraph" w:customStyle="1" w:styleId="Bullet1">
    <w:name w:val="Bullet 1"/>
    <w:uiPriority w:val="1"/>
    <w:qFormat/>
    <w:rsid w:val="00CF46D0"/>
    <w:pPr>
      <w:numPr>
        <w:numId w:val="1"/>
      </w:numPr>
      <w:spacing w:before="100" w:after="100" w:line="240" w:lineRule="auto"/>
      <w:contextualSpacing/>
    </w:pPr>
    <w:rPr>
      <w:rFonts w:eastAsia="Times New Roman" w:cs="Calibri"/>
      <w:spacing w:val="2"/>
      <w:sz w:val="18"/>
    </w:rPr>
  </w:style>
  <w:style w:type="paragraph" w:customStyle="1" w:styleId="Bullet2">
    <w:name w:val="Bullet 2"/>
    <w:basedOn w:val="Bullet1"/>
    <w:uiPriority w:val="1"/>
    <w:qFormat/>
    <w:rsid w:val="00CF46D0"/>
    <w:pPr>
      <w:numPr>
        <w:ilvl w:val="1"/>
      </w:numPr>
    </w:pPr>
  </w:style>
  <w:style w:type="paragraph" w:customStyle="1" w:styleId="Bulletindent">
    <w:name w:val="Bullet indent"/>
    <w:basedOn w:val="Bullet2"/>
    <w:uiPriority w:val="5"/>
    <w:semiHidden/>
    <w:qFormat/>
    <w:rsid w:val="00CF46D0"/>
    <w:pPr>
      <w:numPr>
        <w:ilvl w:val="2"/>
      </w:numPr>
    </w:pPr>
  </w:style>
  <w:style w:type="paragraph" w:customStyle="1" w:styleId="Heading1numbered">
    <w:name w:val="Heading 1 numbered"/>
    <w:basedOn w:val="Heading1"/>
    <w:next w:val="NormalIndent"/>
    <w:uiPriority w:val="4"/>
    <w:semiHidden/>
    <w:qFormat/>
    <w:rsid w:val="00CF46D0"/>
    <w:pPr>
      <w:numPr>
        <w:ilvl w:val="2"/>
        <w:numId w:val="4"/>
      </w:numPr>
    </w:pPr>
  </w:style>
  <w:style w:type="paragraph" w:customStyle="1" w:styleId="Heading2numbered">
    <w:name w:val="Heading 2 numbered"/>
    <w:basedOn w:val="Heading2"/>
    <w:next w:val="NormalIndent"/>
    <w:uiPriority w:val="4"/>
    <w:semiHidden/>
    <w:qFormat/>
    <w:rsid w:val="00CF46D0"/>
    <w:pPr>
      <w:numPr>
        <w:ilvl w:val="3"/>
        <w:numId w:val="4"/>
      </w:numPr>
    </w:pPr>
  </w:style>
  <w:style w:type="paragraph" w:customStyle="1" w:styleId="Heading3numbered">
    <w:name w:val="Heading 3 numbered"/>
    <w:basedOn w:val="Heading3"/>
    <w:next w:val="NormalIndent"/>
    <w:uiPriority w:val="4"/>
    <w:semiHidden/>
    <w:qFormat/>
    <w:rsid w:val="00CF46D0"/>
    <w:pPr>
      <w:numPr>
        <w:ilvl w:val="4"/>
        <w:numId w:val="4"/>
      </w:numPr>
    </w:pPr>
  </w:style>
  <w:style w:type="character" w:customStyle="1" w:styleId="Heading3Char">
    <w:name w:val="Heading 3 Char"/>
    <w:basedOn w:val="DefaultParagraphFont"/>
    <w:link w:val="Heading3"/>
    <w:rsid w:val="007D03CC"/>
    <w:rPr>
      <w:rFonts w:asciiTheme="majorHAnsi" w:eastAsiaTheme="majorEastAsia" w:hAnsiTheme="majorHAnsi" w:cstheme="majorBidi"/>
      <w:b/>
      <w:bCs/>
      <w:color w:val="009CDE" w:themeColor="accent5"/>
      <w:spacing w:val="2"/>
      <w:sz w:val="21"/>
      <w:szCs w:val="21"/>
    </w:rPr>
  </w:style>
  <w:style w:type="paragraph" w:customStyle="1" w:styleId="Heading4numbered">
    <w:name w:val="Heading 4 numbered"/>
    <w:basedOn w:val="Heading4"/>
    <w:next w:val="NormalIndent"/>
    <w:uiPriority w:val="4"/>
    <w:semiHidden/>
    <w:qFormat/>
    <w:rsid w:val="00CF46D0"/>
    <w:pPr>
      <w:numPr>
        <w:ilvl w:val="5"/>
        <w:numId w:val="4"/>
      </w:numPr>
    </w:pPr>
  </w:style>
  <w:style w:type="character" w:customStyle="1" w:styleId="Heading4Char">
    <w:name w:val="Heading 4 Char"/>
    <w:basedOn w:val="DefaultParagraphFont"/>
    <w:link w:val="Heading4"/>
    <w:rsid w:val="00CF46D0"/>
    <w:rPr>
      <w:rFonts w:asciiTheme="majorHAnsi" w:eastAsiaTheme="majorEastAsia" w:hAnsiTheme="majorHAnsi" w:cstheme="majorBidi"/>
      <w:b/>
      <w:bCs/>
      <w:iCs/>
      <w:color w:val="53565A"/>
      <w:spacing w:val="2"/>
      <w:sz w:val="18"/>
    </w:rPr>
  </w:style>
  <w:style w:type="paragraph" w:styleId="NormalIndent">
    <w:name w:val="Normal Indent"/>
    <w:basedOn w:val="Normal"/>
    <w:uiPriority w:val="4"/>
    <w:qFormat/>
    <w:rsid w:val="007D03CC"/>
    <w:pPr>
      <w:spacing w:line="252" w:lineRule="auto"/>
      <w:ind w:left="504"/>
    </w:pPr>
  </w:style>
  <w:style w:type="paragraph" w:customStyle="1" w:styleId="NoteNormal">
    <w:name w:val="Note Normal"/>
    <w:basedOn w:val="Normal"/>
    <w:uiPriority w:val="11"/>
    <w:rsid w:val="00CF46D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CF46D0"/>
    <w:pPr>
      <w:spacing w:before="0" w:after="0" w:line="120" w:lineRule="atLeast"/>
    </w:pPr>
    <w:rPr>
      <w:rFonts w:eastAsia="Times New Roman" w:cs="Calibri"/>
      <w:spacing w:val="0"/>
      <w:sz w:val="10"/>
      <w:szCs w:val="22"/>
    </w:rPr>
  </w:style>
  <w:style w:type="paragraph" w:styleId="Subtitle">
    <w:name w:val="Subtitle"/>
    <w:link w:val="SubtitleChar"/>
    <w:uiPriority w:val="99"/>
    <w:rsid w:val="00CF46D0"/>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CF46D0"/>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CF46D0"/>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CF46D0"/>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CF46D0"/>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CF4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D0"/>
    <w:rPr>
      <w:rFonts w:ascii="Tahoma" w:hAnsi="Tahoma" w:cs="Tahoma"/>
      <w:spacing w:val="2"/>
      <w:sz w:val="16"/>
      <w:szCs w:val="16"/>
    </w:rPr>
  </w:style>
  <w:style w:type="paragraph" w:customStyle="1" w:styleId="Bulletindent2">
    <w:name w:val="Bullet indent 2"/>
    <w:basedOn w:val="Normal"/>
    <w:uiPriority w:val="5"/>
    <w:semiHidden/>
    <w:qFormat/>
    <w:rsid w:val="00CF46D0"/>
    <w:pPr>
      <w:numPr>
        <w:ilvl w:val="3"/>
        <w:numId w:val="1"/>
      </w:numPr>
      <w:spacing w:before="100"/>
      <w:contextualSpacing/>
    </w:pPr>
  </w:style>
  <w:style w:type="paragraph" w:styleId="IndexHeading">
    <w:name w:val="index heading"/>
    <w:basedOn w:val="Normal"/>
    <w:next w:val="Index1"/>
    <w:uiPriority w:val="99"/>
    <w:semiHidden/>
    <w:rsid w:val="00CF46D0"/>
    <w:rPr>
      <w:rFonts w:asciiTheme="majorHAnsi" w:eastAsiaTheme="majorEastAsia" w:hAnsiTheme="majorHAnsi" w:cstheme="majorBidi"/>
      <w:b/>
      <w:bCs/>
    </w:rPr>
  </w:style>
  <w:style w:type="paragraph" w:styleId="Header">
    <w:name w:val="header"/>
    <w:basedOn w:val="Normal"/>
    <w:link w:val="HeaderChar"/>
    <w:uiPriority w:val="99"/>
    <w:semiHidden/>
    <w:rsid w:val="00CF46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46D0"/>
    <w:rPr>
      <w:spacing w:val="2"/>
      <w:sz w:val="18"/>
    </w:rPr>
  </w:style>
  <w:style w:type="paragraph" w:styleId="Footer">
    <w:name w:val="footer"/>
    <w:basedOn w:val="Normal"/>
    <w:link w:val="FooterChar"/>
    <w:uiPriority w:val="24"/>
    <w:semiHidden/>
    <w:rsid w:val="00CF46D0"/>
    <w:pPr>
      <w:tabs>
        <w:tab w:val="right" w:pos="9026"/>
      </w:tabs>
      <w:spacing w:after="0" w:line="240" w:lineRule="auto"/>
    </w:pPr>
    <w:rPr>
      <w:noProof/>
      <w:szCs w:val="18"/>
    </w:rPr>
  </w:style>
  <w:style w:type="character" w:customStyle="1" w:styleId="FooterChar">
    <w:name w:val="Footer Char"/>
    <w:basedOn w:val="DefaultParagraphFont"/>
    <w:link w:val="Footer"/>
    <w:uiPriority w:val="24"/>
    <w:semiHidden/>
    <w:rsid w:val="00CF46D0"/>
    <w:rPr>
      <w:noProof/>
      <w:spacing w:val="2"/>
      <w:sz w:val="18"/>
      <w:szCs w:val="18"/>
    </w:rPr>
  </w:style>
  <w:style w:type="character" w:styleId="PageNumber">
    <w:name w:val="page number"/>
    <w:uiPriority w:val="49"/>
    <w:semiHidden/>
    <w:rsid w:val="00CF46D0"/>
  </w:style>
  <w:style w:type="paragraph" w:styleId="TOCHeading">
    <w:name w:val="TOC Heading"/>
    <w:basedOn w:val="Heading1"/>
    <w:next w:val="Normal"/>
    <w:uiPriority w:val="39"/>
    <w:rsid w:val="00CF46D0"/>
    <w:pPr>
      <w:spacing w:before="480" w:after="720"/>
      <w:outlineLvl w:val="9"/>
    </w:pPr>
    <w:rPr>
      <w:spacing w:val="2"/>
    </w:rPr>
  </w:style>
  <w:style w:type="paragraph" w:customStyle="1" w:styleId="NormalTight">
    <w:name w:val="Normal Tight"/>
    <w:uiPriority w:val="99"/>
    <w:semiHidden/>
    <w:rsid w:val="00CF46D0"/>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CF46D0"/>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CF46D0"/>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CF46D0"/>
    <w:pPr>
      <w:spacing w:before="5800"/>
      <w:ind w:right="1382"/>
    </w:pPr>
  </w:style>
  <w:style w:type="paragraph" w:styleId="TOC4">
    <w:name w:val="toc 4"/>
    <w:basedOn w:val="TOC1"/>
    <w:next w:val="Normal"/>
    <w:uiPriority w:val="39"/>
    <w:semiHidden/>
    <w:rsid w:val="00CF46D0"/>
    <w:pPr>
      <w:ind w:left="450" w:hanging="450"/>
    </w:pPr>
    <w:rPr>
      <w:noProof/>
      <w:lang w:eastAsia="en-US"/>
    </w:rPr>
  </w:style>
  <w:style w:type="paragraph" w:styleId="TOC5">
    <w:name w:val="toc 5"/>
    <w:basedOn w:val="TOC2"/>
    <w:next w:val="Normal"/>
    <w:uiPriority w:val="39"/>
    <w:semiHidden/>
    <w:rsid w:val="00CF46D0"/>
    <w:pPr>
      <w:ind w:left="1080" w:hanging="634"/>
    </w:pPr>
    <w:rPr>
      <w:lang w:eastAsia="en-US"/>
    </w:rPr>
  </w:style>
  <w:style w:type="paragraph" w:styleId="TOC6">
    <w:name w:val="toc 6"/>
    <w:basedOn w:val="TOC3"/>
    <w:next w:val="Normal"/>
    <w:uiPriority w:val="39"/>
    <w:semiHidden/>
    <w:rsid w:val="00CF46D0"/>
    <w:pPr>
      <w:ind w:left="1800" w:hanging="720"/>
    </w:pPr>
    <w:rPr>
      <w:lang w:eastAsia="en-US"/>
    </w:rPr>
  </w:style>
  <w:style w:type="table" w:customStyle="1" w:styleId="DTFtexttable">
    <w:name w:val="DTF text table"/>
    <w:basedOn w:val="TableGrid"/>
    <w:uiPriority w:val="99"/>
    <w:rsid w:val="00CF46D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CF46D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F46D0"/>
    <w:pPr>
      <w:spacing w:before="60" w:after="60" w:line="264" w:lineRule="auto"/>
    </w:pPr>
    <w:rPr>
      <w:sz w:val="17"/>
    </w:rPr>
  </w:style>
  <w:style w:type="paragraph" w:customStyle="1" w:styleId="Tabletextright">
    <w:name w:val="Table text right"/>
    <w:basedOn w:val="Tabletext"/>
    <w:uiPriority w:val="6"/>
    <w:qFormat/>
    <w:rsid w:val="00CF46D0"/>
    <w:pPr>
      <w:jc w:val="right"/>
    </w:pPr>
  </w:style>
  <w:style w:type="paragraph" w:customStyle="1" w:styleId="Listnumindent2">
    <w:name w:val="List num indent 2"/>
    <w:basedOn w:val="Normal"/>
    <w:uiPriority w:val="5"/>
    <w:semiHidden/>
    <w:qFormat/>
    <w:rsid w:val="00CF46D0"/>
    <w:pPr>
      <w:numPr>
        <w:ilvl w:val="7"/>
        <w:numId w:val="4"/>
      </w:numPr>
      <w:spacing w:before="100"/>
      <w:contextualSpacing/>
    </w:pPr>
  </w:style>
  <w:style w:type="paragraph" w:customStyle="1" w:styleId="Listnumindent">
    <w:name w:val="List num indent"/>
    <w:basedOn w:val="Normal"/>
    <w:uiPriority w:val="5"/>
    <w:semiHidden/>
    <w:qFormat/>
    <w:rsid w:val="00CF46D0"/>
    <w:pPr>
      <w:numPr>
        <w:ilvl w:val="6"/>
        <w:numId w:val="4"/>
      </w:numPr>
      <w:spacing w:before="100"/>
    </w:pPr>
  </w:style>
  <w:style w:type="paragraph" w:customStyle="1" w:styleId="Listnum">
    <w:name w:val="List num"/>
    <w:basedOn w:val="Normal"/>
    <w:uiPriority w:val="1"/>
    <w:qFormat/>
    <w:rsid w:val="00CF46D0"/>
    <w:pPr>
      <w:numPr>
        <w:numId w:val="4"/>
      </w:numPr>
    </w:pPr>
  </w:style>
  <w:style w:type="paragraph" w:customStyle="1" w:styleId="Listnum2">
    <w:name w:val="List num 2"/>
    <w:basedOn w:val="Normal"/>
    <w:uiPriority w:val="1"/>
    <w:qFormat/>
    <w:rsid w:val="00CF46D0"/>
    <w:pPr>
      <w:numPr>
        <w:ilvl w:val="1"/>
        <w:numId w:val="4"/>
      </w:numPr>
    </w:pPr>
  </w:style>
  <w:style w:type="paragraph" w:customStyle="1" w:styleId="Tabletextcentred">
    <w:name w:val="Table text centred"/>
    <w:basedOn w:val="Tabletext"/>
    <w:uiPriority w:val="6"/>
    <w:qFormat/>
    <w:rsid w:val="00CF46D0"/>
    <w:pPr>
      <w:jc w:val="center"/>
    </w:pPr>
  </w:style>
  <w:style w:type="paragraph" w:customStyle="1" w:styleId="Tableheader">
    <w:name w:val="Table header"/>
    <w:basedOn w:val="Tabletext"/>
    <w:uiPriority w:val="6"/>
    <w:qFormat/>
    <w:rsid w:val="00E018C9"/>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7"/>
    <w:rsid w:val="00CF46D0"/>
    <w:pPr>
      <w:numPr>
        <w:numId w:val="17"/>
      </w:numPr>
    </w:pPr>
  </w:style>
  <w:style w:type="paragraph" w:customStyle="1" w:styleId="Tabledash">
    <w:name w:val="Table dash"/>
    <w:basedOn w:val="Tablebullet"/>
    <w:uiPriority w:val="7"/>
    <w:rsid w:val="00CF46D0"/>
    <w:pPr>
      <w:numPr>
        <w:ilvl w:val="1"/>
      </w:numPr>
    </w:pPr>
  </w:style>
  <w:style w:type="paragraph" w:customStyle="1" w:styleId="Tabletextindent">
    <w:name w:val="Table text indent"/>
    <w:basedOn w:val="Tabletext"/>
    <w:uiPriority w:val="6"/>
    <w:qFormat/>
    <w:rsid w:val="00CF46D0"/>
    <w:pPr>
      <w:ind w:left="288"/>
    </w:pPr>
  </w:style>
  <w:style w:type="paragraph" w:customStyle="1" w:styleId="Disclaimertext">
    <w:name w:val="Disclaimer text"/>
    <w:basedOn w:val="Normal"/>
    <w:uiPriority w:val="12"/>
    <w:qFormat/>
    <w:rsid w:val="00CF46D0"/>
    <w:pPr>
      <w:pBdr>
        <w:top w:val="single" w:sz="6" w:space="3" w:color="0063A6" w:themeColor="accent1"/>
        <w:bottom w:val="single" w:sz="6" w:space="3" w:color="0063A6" w:themeColor="accent1"/>
      </w:pBdr>
    </w:pPr>
    <w:rPr>
      <w:color w:val="0063A6" w:themeColor="accent1"/>
    </w:rPr>
  </w:style>
  <w:style w:type="paragraph" w:customStyle="1" w:styleId="BreakoutList1">
    <w:name w:val="Breakout List 1"/>
    <w:basedOn w:val="Normal"/>
    <w:semiHidden/>
    <w:rsid w:val="00CB23CC"/>
    <w:pPr>
      <w:numPr>
        <w:numId w:val="20"/>
      </w:numPr>
      <w:spacing w:before="100" w:line="252" w:lineRule="auto"/>
    </w:pPr>
    <w:rPr>
      <w:rFonts w:ascii="Calibri" w:eastAsia="Times New Roman" w:hAnsi="Calibri" w:cs="Calibri"/>
      <w:spacing w:val="4"/>
      <w:sz w:val="20"/>
      <w:szCs w:val="22"/>
    </w:rPr>
  </w:style>
  <w:style w:type="paragraph" w:customStyle="1" w:styleId="BreakoutList2">
    <w:name w:val="Breakout List 2"/>
    <w:basedOn w:val="BreakoutList1"/>
    <w:semiHidden/>
    <w:rsid w:val="00CB23CC"/>
    <w:pPr>
      <w:numPr>
        <w:ilvl w:val="1"/>
      </w:numPr>
    </w:pPr>
  </w:style>
  <w:style w:type="paragraph" w:customStyle="1" w:styleId="NewsletterNormal">
    <w:name w:val="Newsletter Normal"/>
    <w:basedOn w:val="Normal"/>
    <w:link w:val="NewsletterNormalChar"/>
    <w:qFormat/>
    <w:rsid w:val="009567FE"/>
    <w:pPr>
      <w:spacing w:before="100" w:after="60" w:line="252" w:lineRule="auto"/>
    </w:pPr>
    <w:rPr>
      <w:rFonts w:ascii="Arial" w:hAnsi="Arial"/>
      <w:spacing w:val="4"/>
      <w:sz w:val="20"/>
      <w:szCs w:val="22"/>
    </w:rPr>
  </w:style>
  <w:style w:type="paragraph" w:customStyle="1" w:styleId="TableHeading">
    <w:name w:val="Table Heading"/>
    <w:basedOn w:val="Normal"/>
    <w:qFormat/>
    <w:rsid w:val="00CB23CC"/>
    <w:pPr>
      <w:spacing w:before="60" w:after="60" w:line="230" w:lineRule="atLeast"/>
    </w:pPr>
    <w:rPr>
      <w:rFonts w:ascii="Arial" w:eastAsia="Times New Roman" w:hAnsi="Arial" w:cs="Calibri"/>
      <w:b/>
      <w:spacing w:val="4"/>
      <w:sz w:val="16"/>
    </w:rPr>
  </w:style>
  <w:style w:type="character" w:customStyle="1" w:styleId="NewsletterNormalChar">
    <w:name w:val="Newsletter Normal Char"/>
    <w:basedOn w:val="DefaultParagraphFont"/>
    <w:link w:val="NewsletterNormal"/>
    <w:rsid w:val="009567FE"/>
    <w:rPr>
      <w:rFonts w:ascii="Arial" w:hAnsi="Arial"/>
      <w:spacing w:val="4"/>
      <w:szCs w:val="22"/>
    </w:rPr>
  </w:style>
  <w:style w:type="paragraph" w:customStyle="1" w:styleId="NewsletterNote">
    <w:name w:val="Newsletter Note"/>
    <w:basedOn w:val="Normal"/>
    <w:rsid w:val="00001008"/>
    <w:pPr>
      <w:keepNext/>
      <w:keepLines/>
      <w:spacing w:before="100" w:after="0" w:line="252" w:lineRule="auto"/>
      <w:contextualSpacing/>
    </w:pPr>
    <w:rPr>
      <w:rFonts w:ascii="Arial" w:eastAsia="Times New Roman" w:hAnsi="Arial" w:cs="Calibri"/>
      <w:color w:val="000000"/>
      <w:spacing w:val="4"/>
      <w:sz w:val="16"/>
      <w:szCs w:val="22"/>
      <w:lang w:eastAsia="en-US"/>
    </w:rPr>
  </w:style>
  <w:style w:type="character" w:styleId="CommentReference">
    <w:name w:val="annotation reference"/>
    <w:basedOn w:val="DefaultParagraphFont"/>
    <w:uiPriority w:val="99"/>
    <w:semiHidden/>
    <w:rsid w:val="00DB7C7C"/>
    <w:rPr>
      <w:sz w:val="16"/>
      <w:szCs w:val="16"/>
    </w:rPr>
  </w:style>
  <w:style w:type="paragraph" w:styleId="CommentText">
    <w:name w:val="annotation text"/>
    <w:basedOn w:val="Normal"/>
    <w:link w:val="CommentTextChar"/>
    <w:uiPriority w:val="99"/>
    <w:semiHidden/>
    <w:rsid w:val="00DB7C7C"/>
    <w:pPr>
      <w:spacing w:line="240" w:lineRule="auto"/>
    </w:pPr>
    <w:rPr>
      <w:sz w:val="20"/>
    </w:rPr>
  </w:style>
  <w:style w:type="character" w:customStyle="1" w:styleId="CommentTextChar">
    <w:name w:val="Comment Text Char"/>
    <w:basedOn w:val="DefaultParagraphFont"/>
    <w:link w:val="CommentText"/>
    <w:uiPriority w:val="99"/>
    <w:semiHidden/>
    <w:rsid w:val="00DB7C7C"/>
    <w:rPr>
      <w:spacing w:val="2"/>
    </w:rPr>
  </w:style>
  <w:style w:type="paragraph" w:styleId="CommentSubject">
    <w:name w:val="annotation subject"/>
    <w:basedOn w:val="CommentText"/>
    <w:next w:val="CommentText"/>
    <w:link w:val="CommentSubjectChar"/>
    <w:uiPriority w:val="99"/>
    <w:semiHidden/>
    <w:rsid w:val="00DB7C7C"/>
    <w:rPr>
      <w:b/>
      <w:bCs/>
    </w:rPr>
  </w:style>
  <w:style w:type="character" w:customStyle="1" w:styleId="CommentSubjectChar">
    <w:name w:val="Comment Subject Char"/>
    <w:basedOn w:val="CommentTextChar"/>
    <w:link w:val="CommentSubject"/>
    <w:uiPriority w:val="99"/>
    <w:semiHidden/>
    <w:rsid w:val="00DB7C7C"/>
    <w:rPr>
      <w:b/>
      <w:bCs/>
      <w:spacing w:val="2"/>
    </w:rPr>
  </w:style>
  <w:style w:type="paragraph" w:styleId="Revision">
    <w:name w:val="Revision"/>
    <w:hidden/>
    <w:uiPriority w:val="99"/>
    <w:semiHidden/>
    <w:rsid w:val="00DB7C7C"/>
    <w:pPr>
      <w:spacing w:after="0" w:line="240" w:lineRule="auto"/>
    </w:pPr>
    <w:rPr>
      <w:spacing w:val="2"/>
      <w:sz w:val="18"/>
    </w:rPr>
  </w:style>
  <w:style w:type="paragraph" w:styleId="ListParagraph">
    <w:name w:val="List Paragraph"/>
    <w:basedOn w:val="Normal"/>
    <w:uiPriority w:val="34"/>
    <w:semiHidden/>
    <w:qFormat/>
    <w:rsid w:val="005E6FC1"/>
    <w:pPr>
      <w:ind w:left="720"/>
      <w:contextualSpacing/>
    </w:pPr>
  </w:style>
  <w:style w:type="paragraph" w:customStyle="1" w:styleId="Bullet1grey">
    <w:name w:val="Bullet 1 grey"/>
    <w:basedOn w:val="Bullet1"/>
    <w:uiPriority w:val="1"/>
    <w:qFormat/>
    <w:rsid w:val="003912D2"/>
    <w:pPr>
      <w:tabs>
        <w:tab w:val="left" w:pos="360"/>
      </w:tabs>
      <w:spacing w:before="60" w:after="40"/>
      <w:contextualSpacing w:val="0"/>
    </w:pPr>
    <w:rPr>
      <w:rFonts w:ascii="Calibri" w:eastAsia="Calibri" w:hAnsi="Calibri" w:cs="Times New Roman"/>
      <w:color w:val="6E6E64"/>
      <w:spacing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CF46D0"/>
    <w:pPr>
      <w:spacing w:before="160" w:after="100"/>
    </w:pPr>
    <w:rPr>
      <w:spacing w:val="2"/>
      <w:sz w:val="18"/>
    </w:rPr>
  </w:style>
  <w:style w:type="paragraph" w:styleId="Heading1">
    <w:name w:val="heading 1"/>
    <w:next w:val="Normal"/>
    <w:link w:val="Heading1Char"/>
    <w:qFormat/>
    <w:rsid w:val="00CF46D0"/>
    <w:pPr>
      <w:keepNext/>
      <w:keepLines/>
      <w:spacing w:before="240" w:after="16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CF46D0"/>
    <w:pPr>
      <w:keepNext/>
      <w:keepLines/>
      <w:spacing w:before="240" w:after="120"/>
      <w:outlineLvl w:val="1"/>
    </w:pPr>
    <w:rPr>
      <w:rFonts w:asciiTheme="majorHAnsi" w:eastAsiaTheme="majorEastAsia" w:hAnsiTheme="majorHAnsi" w:cstheme="majorBidi"/>
      <w:b/>
      <w:bCs/>
      <w:color w:val="0063A6" w:themeColor="accent1"/>
      <w:sz w:val="24"/>
      <w:szCs w:val="24"/>
    </w:rPr>
  </w:style>
  <w:style w:type="paragraph" w:styleId="Heading3">
    <w:name w:val="heading 3"/>
    <w:basedOn w:val="Normal"/>
    <w:next w:val="Normal"/>
    <w:link w:val="Heading3Char"/>
    <w:qFormat/>
    <w:rsid w:val="007D03CC"/>
    <w:pPr>
      <w:keepNext/>
      <w:keepLines/>
      <w:spacing w:before="180" w:after="0"/>
      <w:outlineLvl w:val="2"/>
    </w:pPr>
    <w:rPr>
      <w:rFonts w:asciiTheme="majorHAnsi" w:eastAsiaTheme="majorEastAsia" w:hAnsiTheme="majorHAnsi" w:cstheme="majorBidi"/>
      <w:b/>
      <w:bCs/>
      <w:color w:val="009CDE" w:themeColor="accent5"/>
      <w:sz w:val="21"/>
      <w:szCs w:val="21"/>
    </w:rPr>
  </w:style>
  <w:style w:type="paragraph" w:styleId="Heading4">
    <w:name w:val="heading 4"/>
    <w:basedOn w:val="Normal"/>
    <w:next w:val="Normal"/>
    <w:link w:val="Heading4Char"/>
    <w:qFormat/>
    <w:rsid w:val="00CF46D0"/>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CF46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F46D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CF46D0"/>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CF46D0"/>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CF46D0"/>
    <w:pPr>
      <w:tabs>
        <w:tab w:val="right" w:leader="dot" w:pos="2520"/>
      </w:tabs>
      <w:spacing w:before="0" w:after="0"/>
      <w:ind w:right="432"/>
    </w:pPr>
    <w:rPr>
      <w:sz w:val="16"/>
      <w:szCs w:val="24"/>
    </w:rPr>
  </w:style>
  <w:style w:type="paragraph" w:styleId="TOC2">
    <w:name w:val="toc 2"/>
    <w:next w:val="Normal"/>
    <w:uiPriority w:val="39"/>
    <w:rsid w:val="00CF46D0"/>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CF46D0"/>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CF46D0"/>
    <w:pPr>
      <w:spacing w:after="60" w:line="240" w:lineRule="auto"/>
    </w:pPr>
    <w:rPr>
      <w:sz w:val="16"/>
    </w:rPr>
  </w:style>
  <w:style w:type="paragraph" w:styleId="Index2">
    <w:name w:val="index 2"/>
    <w:basedOn w:val="Normal"/>
    <w:next w:val="Normal"/>
    <w:uiPriority w:val="99"/>
    <w:semiHidden/>
    <w:rsid w:val="00CF46D0"/>
    <w:pPr>
      <w:spacing w:after="0" w:line="240" w:lineRule="auto"/>
      <w:ind w:left="216"/>
    </w:pPr>
    <w:rPr>
      <w:sz w:val="16"/>
      <w:szCs w:val="16"/>
    </w:rPr>
  </w:style>
  <w:style w:type="character" w:styleId="Hyperlink">
    <w:name w:val="Hyperlink"/>
    <w:basedOn w:val="DefaultParagraphFont"/>
    <w:uiPriority w:val="99"/>
    <w:rsid w:val="00CF46D0"/>
    <w:rPr>
      <w:color w:val="53565A" w:themeColor="hyperlink"/>
      <w:u w:val="none"/>
    </w:rPr>
  </w:style>
  <w:style w:type="character" w:customStyle="1" w:styleId="Heading1Char">
    <w:name w:val="Heading 1 Char"/>
    <w:basedOn w:val="DefaultParagraphFont"/>
    <w:link w:val="Heading1"/>
    <w:rsid w:val="00CF46D0"/>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CF46D0"/>
    <w:rPr>
      <w:rFonts w:asciiTheme="majorHAnsi" w:eastAsiaTheme="majorEastAsia" w:hAnsiTheme="majorHAnsi" w:cstheme="majorBidi"/>
      <w:b/>
      <w:bCs/>
      <w:color w:val="0063A6" w:themeColor="accent1"/>
      <w:spacing w:val="2"/>
      <w:sz w:val="24"/>
      <w:szCs w:val="24"/>
    </w:rPr>
  </w:style>
  <w:style w:type="paragraph" w:customStyle="1" w:styleId="Bullet1">
    <w:name w:val="Bullet 1"/>
    <w:uiPriority w:val="1"/>
    <w:qFormat/>
    <w:rsid w:val="00CF46D0"/>
    <w:pPr>
      <w:numPr>
        <w:numId w:val="1"/>
      </w:numPr>
      <w:spacing w:before="100" w:after="100" w:line="240" w:lineRule="auto"/>
      <w:contextualSpacing/>
    </w:pPr>
    <w:rPr>
      <w:rFonts w:eastAsia="Times New Roman" w:cs="Calibri"/>
      <w:spacing w:val="2"/>
      <w:sz w:val="18"/>
    </w:rPr>
  </w:style>
  <w:style w:type="paragraph" w:customStyle="1" w:styleId="Bullet2">
    <w:name w:val="Bullet 2"/>
    <w:basedOn w:val="Bullet1"/>
    <w:uiPriority w:val="1"/>
    <w:qFormat/>
    <w:rsid w:val="00CF46D0"/>
    <w:pPr>
      <w:numPr>
        <w:ilvl w:val="1"/>
      </w:numPr>
    </w:pPr>
  </w:style>
  <w:style w:type="paragraph" w:customStyle="1" w:styleId="Bulletindent">
    <w:name w:val="Bullet indent"/>
    <w:basedOn w:val="Bullet2"/>
    <w:uiPriority w:val="5"/>
    <w:semiHidden/>
    <w:qFormat/>
    <w:rsid w:val="00CF46D0"/>
    <w:pPr>
      <w:numPr>
        <w:ilvl w:val="2"/>
      </w:numPr>
    </w:pPr>
  </w:style>
  <w:style w:type="paragraph" w:customStyle="1" w:styleId="Heading1numbered">
    <w:name w:val="Heading 1 numbered"/>
    <w:basedOn w:val="Heading1"/>
    <w:next w:val="NormalIndent"/>
    <w:uiPriority w:val="4"/>
    <w:semiHidden/>
    <w:qFormat/>
    <w:rsid w:val="00CF46D0"/>
    <w:pPr>
      <w:numPr>
        <w:ilvl w:val="2"/>
        <w:numId w:val="4"/>
      </w:numPr>
    </w:pPr>
  </w:style>
  <w:style w:type="paragraph" w:customStyle="1" w:styleId="Heading2numbered">
    <w:name w:val="Heading 2 numbered"/>
    <w:basedOn w:val="Heading2"/>
    <w:next w:val="NormalIndent"/>
    <w:uiPriority w:val="4"/>
    <w:semiHidden/>
    <w:qFormat/>
    <w:rsid w:val="00CF46D0"/>
    <w:pPr>
      <w:numPr>
        <w:ilvl w:val="3"/>
        <w:numId w:val="4"/>
      </w:numPr>
    </w:pPr>
  </w:style>
  <w:style w:type="paragraph" w:customStyle="1" w:styleId="Heading3numbered">
    <w:name w:val="Heading 3 numbered"/>
    <w:basedOn w:val="Heading3"/>
    <w:next w:val="NormalIndent"/>
    <w:uiPriority w:val="4"/>
    <w:semiHidden/>
    <w:qFormat/>
    <w:rsid w:val="00CF46D0"/>
    <w:pPr>
      <w:numPr>
        <w:ilvl w:val="4"/>
        <w:numId w:val="4"/>
      </w:numPr>
    </w:pPr>
  </w:style>
  <w:style w:type="character" w:customStyle="1" w:styleId="Heading3Char">
    <w:name w:val="Heading 3 Char"/>
    <w:basedOn w:val="DefaultParagraphFont"/>
    <w:link w:val="Heading3"/>
    <w:rsid w:val="007D03CC"/>
    <w:rPr>
      <w:rFonts w:asciiTheme="majorHAnsi" w:eastAsiaTheme="majorEastAsia" w:hAnsiTheme="majorHAnsi" w:cstheme="majorBidi"/>
      <w:b/>
      <w:bCs/>
      <w:color w:val="009CDE" w:themeColor="accent5"/>
      <w:spacing w:val="2"/>
      <w:sz w:val="21"/>
      <w:szCs w:val="21"/>
    </w:rPr>
  </w:style>
  <w:style w:type="paragraph" w:customStyle="1" w:styleId="Heading4numbered">
    <w:name w:val="Heading 4 numbered"/>
    <w:basedOn w:val="Heading4"/>
    <w:next w:val="NormalIndent"/>
    <w:uiPriority w:val="4"/>
    <w:semiHidden/>
    <w:qFormat/>
    <w:rsid w:val="00CF46D0"/>
    <w:pPr>
      <w:numPr>
        <w:ilvl w:val="5"/>
        <w:numId w:val="4"/>
      </w:numPr>
    </w:pPr>
  </w:style>
  <w:style w:type="character" w:customStyle="1" w:styleId="Heading4Char">
    <w:name w:val="Heading 4 Char"/>
    <w:basedOn w:val="DefaultParagraphFont"/>
    <w:link w:val="Heading4"/>
    <w:rsid w:val="00CF46D0"/>
    <w:rPr>
      <w:rFonts w:asciiTheme="majorHAnsi" w:eastAsiaTheme="majorEastAsia" w:hAnsiTheme="majorHAnsi" w:cstheme="majorBidi"/>
      <w:b/>
      <w:bCs/>
      <w:iCs/>
      <w:color w:val="53565A"/>
      <w:spacing w:val="2"/>
      <w:sz w:val="18"/>
    </w:rPr>
  </w:style>
  <w:style w:type="paragraph" w:styleId="NormalIndent">
    <w:name w:val="Normal Indent"/>
    <w:basedOn w:val="Normal"/>
    <w:uiPriority w:val="4"/>
    <w:qFormat/>
    <w:rsid w:val="007D03CC"/>
    <w:pPr>
      <w:spacing w:line="252" w:lineRule="auto"/>
      <w:ind w:left="504"/>
    </w:pPr>
  </w:style>
  <w:style w:type="paragraph" w:customStyle="1" w:styleId="NoteNormal">
    <w:name w:val="Note Normal"/>
    <w:basedOn w:val="Normal"/>
    <w:uiPriority w:val="11"/>
    <w:rsid w:val="00CF46D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CF46D0"/>
    <w:pPr>
      <w:spacing w:before="0" w:after="0" w:line="120" w:lineRule="atLeast"/>
    </w:pPr>
    <w:rPr>
      <w:rFonts w:eastAsia="Times New Roman" w:cs="Calibri"/>
      <w:spacing w:val="0"/>
      <w:sz w:val="10"/>
      <w:szCs w:val="22"/>
    </w:rPr>
  </w:style>
  <w:style w:type="paragraph" w:styleId="Subtitle">
    <w:name w:val="Subtitle"/>
    <w:link w:val="SubtitleChar"/>
    <w:uiPriority w:val="99"/>
    <w:rsid w:val="00CF46D0"/>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CF46D0"/>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CF46D0"/>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CF46D0"/>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CF46D0"/>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CF4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D0"/>
    <w:rPr>
      <w:rFonts w:ascii="Tahoma" w:hAnsi="Tahoma" w:cs="Tahoma"/>
      <w:spacing w:val="2"/>
      <w:sz w:val="16"/>
      <w:szCs w:val="16"/>
    </w:rPr>
  </w:style>
  <w:style w:type="paragraph" w:customStyle="1" w:styleId="Bulletindent2">
    <w:name w:val="Bullet indent 2"/>
    <w:basedOn w:val="Normal"/>
    <w:uiPriority w:val="5"/>
    <w:semiHidden/>
    <w:qFormat/>
    <w:rsid w:val="00CF46D0"/>
    <w:pPr>
      <w:numPr>
        <w:ilvl w:val="3"/>
        <w:numId w:val="1"/>
      </w:numPr>
      <w:spacing w:before="100"/>
      <w:contextualSpacing/>
    </w:pPr>
  </w:style>
  <w:style w:type="paragraph" w:styleId="IndexHeading">
    <w:name w:val="index heading"/>
    <w:basedOn w:val="Normal"/>
    <w:next w:val="Index1"/>
    <w:uiPriority w:val="99"/>
    <w:semiHidden/>
    <w:rsid w:val="00CF46D0"/>
    <w:rPr>
      <w:rFonts w:asciiTheme="majorHAnsi" w:eastAsiaTheme="majorEastAsia" w:hAnsiTheme="majorHAnsi" w:cstheme="majorBidi"/>
      <w:b/>
      <w:bCs/>
    </w:rPr>
  </w:style>
  <w:style w:type="paragraph" w:styleId="Header">
    <w:name w:val="header"/>
    <w:basedOn w:val="Normal"/>
    <w:link w:val="HeaderChar"/>
    <w:uiPriority w:val="99"/>
    <w:semiHidden/>
    <w:rsid w:val="00CF46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46D0"/>
    <w:rPr>
      <w:spacing w:val="2"/>
      <w:sz w:val="18"/>
    </w:rPr>
  </w:style>
  <w:style w:type="paragraph" w:styleId="Footer">
    <w:name w:val="footer"/>
    <w:basedOn w:val="Normal"/>
    <w:link w:val="FooterChar"/>
    <w:uiPriority w:val="24"/>
    <w:semiHidden/>
    <w:rsid w:val="00CF46D0"/>
    <w:pPr>
      <w:tabs>
        <w:tab w:val="right" w:pos="9026"/>
      </w:tabs>
      <w:spacing w:after="0" w:line="240" w:lineRule="auto"/>
    </w:pPr>
    <w:rPr>
      <w:noProof/>
      <w:szCs w:val="18"/>
    </w:rPr>
  </w:style>
  <w:style w:type="character" w:customStyle="1" w:styleId="FooterChar">
    <w:name w:val="Footer Char"/>
    <w:basedOn w:val="DefaultParagraphFont"/>
    <w:link w:val="Footer"/>
    <w:uiPriority w:val="24"/>
    <w:semiHidden/>
    <w:rsid w:val="00CF46D0"/>
    <w:rPr>
      <w:noProof/>
      <w:spacing w:val="2"/>
      <w:sz w:val="18"/>
      <w:szCs w:val="18"/>
    </w:rPr>
  </w:style>
  <w:style w:type="character" w:styleId="PageNumber">
    <w:name w:val="page number"/>
    <w:uiPriority w:val="49"/>
    <w:semiHidden/>
    <w:rsid w:val="00CF46D0"/>
  </w:style>
  <w:style w:type="paragraph" w:styleId="TOCHeading">
    <w:name w:val="TOC Heading"/>
    <w:basedOn w:val="Heading1"/>
    <w:next w:val="Normal"/>
    <w:uiPriority w:val="39"/>
    <w:rsid w:val="00CF46D0"/>
    <w:pPr>
      <w:spacing w:before="480" w:after="720"/>
      <w:outlineLvl w:val="9"/>
    </w:pPr>
    <w:rPr>
      <w:spacing w:val="2"/>
    </w:rPr>
  </w:style>
  <w:style w:type="paragraph" w:customStyle="1" w:styleId="NormalTight">
    <w:name w:val="Normal Tight"/>
    <w:uiPriority w:val="99"/>
    <w:semiHidden/>
    <w:rsid w:val="00CF46D0"/>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CF46D0"/>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CF46D0"/>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CF46D0"/>
    <w:pPr>
      <w:spacing w:before="5800"/>
      <w:ind w:right="1382"/>
    </w:pPr>
  </w:style>
  <w:style w:type="paragraph" w:styleId="TOC4">
    <w:name w:val="toc 4"/>
    <w:basedOn w:val="TOC1"/>
    <w:next w:val="Normal"/>
    <w:uiPriority w:val="39"/>
    <w:semiHidden/>
    <w:rsid w:val="00CF46D0"/>
    <w:pPr>
      <w:ind w:left="450" w:hanging="450"/>
    </w:pPr>
    <w:rPr>
      <w:noProof/>
      <w:lang w:eastAsia="en-US"/>
    </w:rPr>
  </w:style>
  <w:style w:type="paragraph" w:styleId="TOC5">
    <w:name w:val="toc 5"/>
    <w:basedOn w:val="TOC2"/>
    <w:next w:val="Normal"/>
    <w:uiPriority w:val="39"/>
    <w:semiHidden/>
    <w:rsid w:val="00CF46D0"/>
    <w:pPr>
      <w:ind w:left="1080" w:hanging="634"/>
    </w:pPr>
    <w:rPr>
      <w:lang w:eastAsia="en-US"/>
    </w:rPr>
  </w:style>
  <w:style w:type="paragraph" w:styleId="TOC6">
    <w:name w:val="toc 6"/>
    <w:basedOn w:val="TOC3"/>
    <w:next w:val="Normal"/>
    <w:uiPriority w:val="39"/>
    <w:semiHidden/>
    <w:rsid w:val="00CF46D0"/>
    <w:pPr>
      <w:ind w:left="1800" w:hanging="720"/>
    </w:pPr>
    <w:rPr>
      <w:lang w:eastAsia="en-US"/>
    </w:rPr>
  </w:style>
  <w:style w:type="table" w:customStyle="1" w:styleId="DTFtexttable">
    <w:name w:val="DTF text table"/>
    <w:basedOn w:val="TableGrid"/>
    <w:uiPriority w:val="99"/>
    <w:rsid w:val="00CF46D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CF46D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F46D0"/>
    <w:pPr>
      <w:spacing w:before="60" w:after="60" w:line="264" w:lineRule="auto"/>
    </w:pPr>
    <w:rPr>
      <w:sz w:val="17"/>
    </w:rPr>
  </w:style>
  <w:style w:type="paragraph" w:customStyle="1" w:styleId="Tabletextright">
    <w:name w:val="Table text right"/>
    <w:basedOn w:val="Tabletext"/>
    <w:uiPriority w:val="6"/>
    <w:qFormat/>
    <w:rsid w:val="00CF46D0"/>
    <w:pPr>
      <w:jc w:val="right"/>
    </w:pPr>
  </w:style>
  <w:style w:type="paragraph" w:customStyle="1" w:styleId="Listnumindent2">
    <w:name w:val="List num indent 2"/>
    <w:basedOn w:val="Normal"/>
    <w:uiPriority w:val="5"/>
    <w:semiHidden/>
    <w:qFormat/>
    <w:rsid w:val="00CF46D0"/>
    <w:pPr>
      <w:numPr>
        <w:ilvl w:val="7"/>
        <w:numId w:val="4"/>
      </w:numPr>
      <w:spacing w:before="100"/>
      <w:contextualSpacing/>
    </w:pPr>
  </w:style>
  <w:style w:type="paragraph" w:customStyle="1" w:styleId="Listnumindent">
    <w:name w:val="List num indent"/>
    <w:basedOn w:val="Normal"/>
    <w:uiPriority w:val="5"/>
    <w:semiHidden/>
    <w:qFormat/>
    <w:rsid w:val="00CF46D0"/>
    <w:pPr>
      <w:numPr>
        <w:ilvl w:val="6"/>
        <w:numId w:val="4"/>
      </w:numPr>
      <w:spacing w:before="100"/>
    </w:pPr>
  </w:style>
  <w:style w:type="paragraph" w:customStyle="1" w:styleId="Listnum">
    <w:name w:val="List num"/>
    <w:basedOn w:val="Normal"/>
    <w:uiPriority w:val="1"/>
    <w:qFormat/>
    <w:rsid w:val="00CF46D0"/>
    <w:pPr>
      <w:numPr>
        <w:numId w:val="4"/>
      </w:numPr>
    </w:pPr>
  </w:style>
  <w:style w:type="paragraph" w:customStyle="1" w:styleId="Listnum2">
    <w:name w:val="List num 2"/>
    <w:basedOn w:val="Normal"/>
    <w:uiPriority w:val="1"/>
    <w:qFormat/>
    <w:rsid w:val="00CF46D0"/>
    <w:pPr>
      <w:numPr>
        <w:ilvl w:val="1"/>
        <w:numId w:val="4"/>
      </w:numPr>
    </w:pPr>
  </w:style>
  <w:style w:type="paragraph" w:customStyle="1" w:styleId="Tabletextcentred">
    <w:name w:val="Table text centred"/>
    <w:basedOn w:val="Tabletext"/>
    <w:uiPriority w:val="6"/>
    <w:qFormat/>
    <w:rsid w:val="00CF46D0"/>
    <w:pPr>
      <w:jc w:val="center"/>
    </w:pPr>
  </w:style>
  <w:style w:type="paragraph" w:customStyle="1" w:styleId="Tableheader">
    <w:name w:val="Table header"/>
    <w:basedOn w:val="Tabletext"/>
    <w:uiPriority w:val="6"/>
    <w:qFormat/>
    <w:rsid w:val="00E018C9"/>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7"/>
    <w:rsid w:val="00CF46D0"/>
    <w:pPr>
      <w:numPr>
        <w:numId w:val="17"/>
      </w:numPr>
    </w:pPr>
  </w:style>
  <w:style w:type="paragraph" w:customStyle="1" w:styleId="Tabledash">
    <w:name w:val="Table dash"/>
    <w:basedOn w:val="Tablebullet"/>
    <w:uiPriority w:val="7"/>
    <w:rsid w:val="00CF46D0"/>
    <w:pPr>
      <w:numPr>
        <w:ilvl w:val="1"/>
      </w:numPr>
    </w:pPr>
  </w:style>
  <w:style w:type="paragraph" w:customStyle="1" w:styleId="Tabletextindent">
    <w:name w:val="Table text indent"/>
    <w:basedOn w:val="Tabletext"/>
    <w:uiPriority w:val="6"/>
    <w:qFormat/>
    <w:rsid w:val="00CF46D0"/>
    <w:pPr>
      <w:ind w:left="288"/>
    </w:pPr>
  </w:style>
  <w:style w:type="paragraph" w:customStyle="1" w:styleId="Disclaimertext">
    <w:name w:val="Disclaimer text"/>
    <w:basedOn w:val="Normal"/>
    <w:uiPriority w:val="12"/>
    <w:qFormat/>
    <w:rsid w:val="00CF46D0"/>
    <w:pPr>
      <w:pBdr>
        <w:top w:val="single" w:sz="6" w:space="3" w:color="0063A6" w:themeColor="accent1"/>
        <w:bottom w:val="single" w:sz="6" w:space="3" w:color="0063A6" w:themeColor="accent1"/>
      </w:pBdr>
    </w:pPr>
    <w:rPr>
      <w:color w:val="0063A6" w:themeColor="accent1"/>
    </w:rPr>
  </w:style>
  <w:style w:type="paragraph" w:customStyle="1" w:styleId="BreakoutList1">
    <w:name w:val="Breakout List 1"/>
    <w:basedOn w:val="Normal"/>
    <w:semiHidden/>
    <w:rsid w:val="00CB23CC"/>
    <w:pPr>
      <w:numPr>
        <w:numId w:val="20"/>
      </w:numPr>
      <w:spacing w:before="100" w:line="252" w:lineRule="auto"/>
    </w:pPr>
    <w:rPr>
      <w:rFonts w:ascii="Calibri" w:eastAsia="Times New Roman" w:hAnsi="Calibri" w:cs="Calibri"/>
      <w:spacing w:val="4"/>
      <w:sz w:val="20"/>
      <w:szCs w:val="22"/>
    </w:rPr>
  </w:style>
  <w:style w:type="paragraph" w:customStyle="1" w:styleId="BreakoutList2">
    <w:name w:val="Breakout List 2"/>
    <w:basedOn w:val="BreakoutList1"/>
    <w:semiHidden/>
    <w:rsid w:val="00CB23CC"/>
    <w:pPr>
      <w:numPr>
        <w:ilvl w:val="1"/>
      </w:numPr>
    </w:pPr>
  </w:style>
  <w:style w:type="paragraph" w:customStyle="1" w:styleId="NewsletterNormal">
    <w:name w:val="Newsletter Normal"/>
    <w:basedOn w:val="Normal"/>
    <w:link w:val="NewsletterNormalChar"/>
    <w:qFormat/>
    <w:rsid w:val="009567FE"/>
    <w:pPr>
      <w:spacing w:before="100" w:after="60" w:line="252" w:lineRule="auto"/>
    </w:pPr>
    <w:rPr>
      <w:rFonts w:ascii="Arial" w:hAnsi="Arial"/>
      <w:spacing w:val="4"/>
      <w:sz w:val="20"/>
      <w:szCs w:val="22"/>
    </w:rPr>
  </w:style>
  <w:style w:type="paragraph" w:customStyle="1" w:styleId="TableHeading">
    <w:name w:val="Table Heading"/>
    <w:basedOn w:val="Normal"/>
    <w:qFormat/>
    <w:rsid w:val="00CB23CC"/>
    <w:pPr>
      <w:spacing w:before="60" w:after="60" w:line="230" w:lineRule="atLeast"/>
    </w:pPr>
    <w:rPr>
      <w:rFonts w:ascii="Arial" w:eastAsia="Times New Roman" w:hAnsi="Arial" w:cs="Calibri"/>
      <w:b/>
      <w:spacing w:val="4"/>
      <w:sz w:val="16"/>
    </w:rPr>
  </w:style>
  <w:style w:type="character" w:customStyle="1" w:styleId="NewsletterNormalChar">
    <w:name w:val="Newsletter Normal Char"/>
    <w:basedOn w:val="DefaultParagraphFont"/>
    <w:link w:val="NewsletterNormal"/>
    <w:rsid w:val="009567FE"/>
    <w:rPr>
      <w:rFonts w:ascii="Arial" w:hAnsi="Arial"/>
      <w:spacing w:val="4"/>
      <w:szCs w:val="22"/>
    </w:rPr>
  </w:style>
  <w:style w:type="paragraph" w:customStyle="1" w:styleId="NewsletterNote">
    <w:name w:val="Newsletter Note"/>
    <w:basedOn w:val="Normal"/>
    <w:rsid w:val="00001008"/>
    <w:pPr>
      <w:keepNext/>
      <w:keepLines/>
      <w:spacing w:before="100" w:after="0" w:line="252" w:lineRule="auto"/>
      <w:contextualSpacing/>
    </w:pPr>
    <w:rPr>
      <w:rFonts w:ascii="Arial" w:eastAsia="Times New Roman" w:hAnsi="Arial" w:cs="Calibri"/>
      <w:color w:val="000000"/>
      <w:spacing w:val="4"/>
      <w:sz w:val="16"/>
      <w:szCs w:val="22"/>
      <w:lang w:eastAsia="en-US"/>
    </w:rPr>
  </w:style>
  <w:style w:type="character" w:styleId="CommentReference">
    <w:name w:val="annotation reference"/>
    <w:basedOn w:val="DefaultParagraphFont"/>
    <w:uiPriority w:val="99"/>
    <w:semiHidden/>
    <w:rsid w:val="00DB7C7C"/>
    <w:rPr>
      <w:sz w:val="16"/>
      <w:szCs w:val="16"/>
    </w:rPr>
  </w:style>
  <w:style w:type="paragraph" w:styleId="CommentText">
    <w:name w:val="annotation text"/>
    <w:basedOn w:val="Normal"/>
    <w:link w:val="CommentTextChar"/>
    <w:uiPriority w:val="99"/>
    <w:semiHidden/>
    <w:rsid w:val="00DB7C7C"/>
    <w:pPr>
      <w:spacing w:line="240" w:lineRule="auto"/>
    </w:pPr>
    <w:rPr>
      <w:sz w:val="20"/>
    </w:rPr>
  </w:style>
  <w:style w:type="character" w:customStyle="1" w:styleId="CommentTextChar">
    <w:name w:val="Comment Text Char"/>
    <w:basedOn w:val="DefaultParagraphFont"/>
    <w:link w:val="CommentText"/>
    <w:uiPriority w:val="99"/>
    <w:semiHidden/>
    <w:rsid w:val="00DB7C7C"/>
    <w:rPr>
      <w:spacing w:val="2"/>
    </w:rPr>
  </w:style>
  <w:style w:type="paragraph" w:styleId="CommentSubject">
    <w:name w:val="annotation subject"/>
    <w:basedOn w:val="CommentText"/>
    <w:next w:val="CommentText"/>
    <w:link w:val="CommentSubjectChar"/>
    <w:uiPriority w:val="99"/>
    <w:semiHidden/>
    <w:rsid w:val="00DB7C7C"/>
    <w:rPr>
      <w:b/>
      <w:bCs/>
    </w:rPr>
  </w:style>
  <w:style w:type="character" w:customStyle="1" w:styleId="CommentSubjectChar">
    <w:name w:val="Comment Subject Char"/>
    <w:basedOn w:val="CommentTextChar"/>
    <w:link w:val="CommentSubject"/>
    <w:uiPriority w:val="99"/>
    <w:semiHidden/>
    <w:rsid w:val="00DB7C7C"/>
    <w:rPr>
      <w:b/>
      <w:bCs/>
      <w:spacing w:val="2"/>
    </w:rPr>
  </w:style>
  <w:style w:type="paragraph" w:styleId="Revision">
    <w:name w:val="Revision"/>
    <w:hidden/>
    <w:uiPriority w:val="99"/>
    <w:semiHidden/>
    <w:rsid w:val="00DB7C7C"/>
    <w:pPr>
      <w:spacing w:after="0" w:line="240" w:lineRule="auto"/>
    </w:pPr>
    <w:rPr>
      <w:spacing w:val="2"/>
      <w:sz w:val="18"/>
    </w:rPr>
  </w:style>
  <w:style w:type="paragraph" w:styleId="ListParagraph">
    <w:name w:val="List Paragraph"/>
    <w:basedOn w:val="Normal"/>
    <w:uiPriority w:val="34"/>
    <w:semiHidden/>
    <w:qFormat/>
    <w:rsid w:val="005E6FC1"/>
    <w:pPr>
      <w:ind w:left="720"/>
      <w:contextualSpacing/>
    </w:pPr>
  </w:style>
  <w:style w:type="paragraph" w:customStyle="1" w:styleId="Bullet1grey">
    <w:name w:val="Bullet 1 grey"/>
    <w:basedOn w:val="Bullet1"/>
    <w:uiPriority w:val="1"/>
    <w:qFormat/>
    <w:rsid w:val="003912D2"/>
    <w:pPr>
      <w:tabs>
        <w:tab w:val="left" w:pos="360"/>
      </w:tabs>
      <w:spacing w:before="60" w:after="40"/>
      <w:contextualSpacing w:val="0"/>
    </w:pPr>
    <w:rPr>
      <w:rFonts w:ascii="Calibri" w:eastAsia="Calibri" w:hAnsi="Calibri" w:cs="Times New Roman"/>
      <w:color w:val="6E6E64"/>
      <w:spacing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91782">
      <w:bodyDiv w:val="1"/>
      <w:marLeft w:val="0"/>
      <w:marRight w:val="0"/>
      <w:marTop w:val="0"/>
      <w:marBottom w:val="0"/>
      <w:divBdr>
        <w:top w:val="none" w:sz="0" w:space="0" w:color="auto"/>
        <w:left w:val="none" w:sz="0" w:space="0" w:color="auto"/>
        <w:bottom w:val="none" w:sz="0" w:space="0" w:color="auto"/>
        <w:right w:val="none" w:sz="0" w:space="0" w:color="auto"/>
      </w:divBdr>
    </w:div>
    <w:div w:id="17738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accpol@dtf.vic.gov.au" TargetMode="External"/><Relationship Id="rId26" Type="http://schemas.openxmlformats.org/officeDocument/2006/relationships/hyperlink" Target="mailto:IPpolicy@dtf.vic.gov.au" TargetMode="External"/><Relationship Id="rId3" Type="http://schemas.openxmlformats.org/officeDocument/2006/relationships/styles" Target="styles.xml"/><Relationship Id="rId21" Type="http://schemas.openxmlformats.org/officeDocument/2006/relationships/hyperlink" Target="http://www.dtf.vic.gov.au/Government-Financial-Management/Financial-reporting-polic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yperlink" Target="http://creativecommons.org/licenses/by/4.0/"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ifac.org/publicsect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creativecommons.org/licenses/by/3.0/a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aasb.com.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tfweb@dtf.vic.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Other\Newsletter%20Accounting%20Policy.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9B0C6-D869-4CE6-93D5-58930562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Accounting Policy.dotx</Template>
  <TotalTime>0</TotalTime>
  <Pages>12</Pages>
  <Words>6094</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Stephanie Mizzi</cp:lastModifiedBy>
  <cp:revision>2</cp:revision>
  <cp:lastPrinted>2016-12-18T23:06:00Z</cp:lastPrinted>
  <dcterms:created xsi:type="dcterms:W3CDTF">2016-12-20T01:32:00Z</dcterms:created>
  <dcterms:modified xsi:type="dcterms:W3CDTF">2016-12-20T01:32:00Z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