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Default="000C21C3" w:rsidP="00045296">
      <w:pPr>
        <w:pStyle w:val="Title"/>
      </w:pPr>
      <w:bookmarkStart w:id="0" w:name="_Toc442780672"/>
      <w:bookmarkStart w:id="1" w:name="_GoBack"/>
      <w:bookmarkEnd w:id="1"/>
      <w:r w:rsidRPr="00607F49">
        <w:t>Accounting policy update</w:t>
      </w:r>
    </w:p>
    <w:p w:rsidR="000C21C3" w:rsidRPr="000C21C3" w:rsidRDefault="000C21C3" w:rsidP="000C21C3">
      <w:pPr>
        <w:pStyle w:val="Subtitle"/>
      </w:pPr>
      <w:r w:rsidRPr="00607F49">
        <w:t>Newslet</w:t>
      </w:r>
      <w:r>
        <w:t xml:space="preserve">ter – Edition No. </w:t>
      </w:r>
      <w:r w:rsidR="001A13DD">
        <w:t>32</w:t>
      </w:r>
      <w:r>
        <w:t xml:space="preserve">, </w:t>
      </w:r>
      <w:r w:rsidR="001A13DD">
        <w:t>July</w:t>
      </w:r>
      <w:r w:rsidR="002B3221">
        <w:t xml:space="preserve"> </w:t>
      </w:r>
      <w:r w:rsidR="006F0F13">
        <w:t>201</w:t>
      </w:r>
      <w:r w:rsidR="001A13DD">
        <w:t>7</w:t>
      </w:r>
    </w:p>
    <w:p w:rsidR="000C21C3" w:rsidRDefault="000C21C3" w:rsidP="000C21C3">
      <w:pPr>
        <w:pStyle w:val="Spacer"/>
      </w:pPr>
    </w:p>
    <w:p w:rsidR="000C21C3" w:rsidRDefault="000C21C3" w:rsidP="000C21C3">
      <w:pPr>
        <w:pStyle w:val="Spacer"/>
      </w:pPr>
    </w:p>
    <w:p w:rsidR="000C21C3" w:rsidRDefault="000C21C3" w:rsidP="000C21C3">
      <w:pPr>
        <w:pStyle w:val="Heading1"/>
        <w:sectPr w:rsidR="000C21C3" w:rsidSect="008B69EC">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pPr>
    </w:p>
    <w:p w:rsidR="000C21C3" w:rsidRPr="000C21C3" w:rsidRDefault="000C21C3" w:rsidP="000C21C3">
      <w:pPr>
        <w:pStyle w:val="Spacer"/>
      </w:pPr>
      <w:bookmarkStart w:id="5" w:name="_Toc442780674"/>
    </w:p>
    <w:p w:rsidR="00045296" w:rsidRDefault="000C21C3" w:rsidP="004834E8">
      <w:pPr>
        <w:pStyle w:val="Heading4"/>
        <w:spacing w:before="60"/>
      </w:pPr>
      <w:r w:rsidRPr="00A73FFD">
        <w:t>Scope: This bi</w:t>
      </w:r>
      <w:r w:rsidR="00AA2BF4">
        <w:noBreakHyphen/>
      </w:r>
      <w:r w:rsidRPr="00A73FFD">
        <w:t xml:space="preserve">annual newsletter outlines areas of </w:t>
      </w:r>
      <w:r w:rsidRPr="002620A4">
        <w:t>particular</w:t>
      </w:r>
      <w:r w:rsidRPr="00A73FFD">
        <w:t xml:space="preserve"> importance in public sector financial reporting. Please distribute to both budget and financial reporting areas of Victorian public sector entities.</w:t>
      </w:r>
    </w:p>
    <w:p w:rsidR="000C21C3" w:rsidRDefault="000C21C3" w:rsidP="000C21C3"/>
    <w:p w:rsidR="000C21C3" w:rsidRDefault="000C21C3" w:rsidP="001752FA">
      <w:pPr>
        <w:spacing w:before="0" w:after="0"/>
      </w:pPr>
    </w:p>
    <w:tbl>
      <w:tblPr>
        <w:tblStyle w:val="TableGrid"/>
        <w:tblW w:w="0" w:type="auto"/>
        <w:tblBorders>
          <w:bottom w:val="none" w:sz="0" w:space="0" w:color="auto"/>
        </w:tblBorders>
        <w:tblLook w:val="0480" w:firstRow="0" w:lastRow="0" w:firstColumn="1" w:lastColumn="0" w:noHBand="0" w:noVBand="1"/>
      </w:tblPr>
      <w:tblGrid>
        <w:gridCol w:w="2833"/>
      </w:tblGrid>
      <w:tr w:rsidR="000C21C3" w:rsidTr="000C21C3">
        <w:tc>
          <w:tcPr>
            <w:cnfStyle w:val="001000000000" w:firstRow="0" w:lastRow="0" w:firstColumn="1" w:lastColumn="0" w:oddVBand="0" w:evenVBand="0" w:oddHBand="0" w:evenHBand="0" w:firstRowFirstColumn="0" w:firstRowLastColumn="0" w:lastRowFirstColumn="0" w:lastRowLastColumn="0"/>
            <w:tcW w:w="2833" w:type="dxa"/>
          </w:tcPr>
          <w:p w:rsidR="000C21C3" w:rsidRDefault="000C21C3" w:rsidP="000C21C3">
            <w:pPr>
              <w:pStyle w:val="TOCHeading"/>
              <w:spacing w:before="200" w:after="100"/>
            </w:pPr>
            <w:r>
              <w:t>Inside this edition</w:t>
            </w:r>
          </w:p>
          <w:p w:rsidR="00F6272B" w:rsidRDefault="000C21C3">
            <w:pPr>
              <w:pStyle w:val="TOC1"/>
              <w:rPr>
                <w:noProof/>
                <w:spacing w:val="0"/>
                <w:sz w:val="22"/>
                <w:szCs w:val="22"/>
              </w:rPr>
            </w:pPr>
            <w:r w:rsidRPr="000F50A6">
              <w:rPr>
                <w:rFonts w:eastAsiaTheme="minorEastAsia"/>
                <w:szCs w:val="16"/>
                <w:lang w:eastAsia="en-AU"/>
              </w:rPr>
              <w:fldChar w:fldCharType="begin"/>
            </w:r>
            <w:r w:rsidRPr="000F50A6">
              <w:rPr>
                <w:szCs w:val="16"/>
              </w:rPr>
              <w:instrText xml:space="preserve"> TOC \h \z \t "Heading 1,1" </w:instrText>
            </w:r>
            <w:r w:rsidRPr="000F50A6">
              <w:rPr>
                <w:rFonts w:eastAsiaTheme="minorEastAsia"/>
                <w:szCs w:val="16"/>
                <w:lang w:eastAsia="en-AU"/>
              </w:rPr>
              <w:fldChar w:fldCharType="separate"/>
            </w:r>
            <w:hyperlink w:anchor="_Toc487727277" w:history="1">
              <w:r w:rsidR="00F6272B" w:rsidRPr="00AC16FB">
                <w:rPr>
                  <w:rStyle w:val="Hyperlink"/>
                  <w:noProof/>
                </w:rPr>
                <w:t>Overview</w:t>
              </w:r>
              <w:r w:rsidR="00F6272B">
                <w:rPr>
                  <w:noProof/>
                  <w:webHidden/>
                </w:rPr>
                <w:tab/>
              </w:r>
              <w:r w:rsidR="00F6272B">
                <w:rPr>
                  <w:noProof/>
                  <w:webHidden/>
                </w:rPr>
                <w:fldChar w:fldCharType="begin"/>
              </w:r>
              <w:r w:rsidR="00F6272B">
                <w:rPr>
                  <w:noProof/>
                  <w:webHidden/>
                </w:rPr>
                <w:instrText xml:space="preserve"> PAGEREF _Toc487727277 \h </w:instrText>
              </w:r>
              <w:r w:rsidR="00F6272B">
                <w:rPr>
                  <w:noProof/>
                  <w:webHidden/>
                </w:rPr>
              </w:r>
              <w:r w:rsidR="00F6272B">
                <w:rPr>
                  <w:noProof/>
                  <w:webHidden/>
                </w:rPr>
                <w:fldChar w:fldCharType="separate"/>
              </w:r>
              <w:r w:rsidR="00BE7EBF">
                <w:rPr>
                  <w:noProof/>
                  <w:webHidden/>
                </w:rPr>
                <w:t>1</w:t>
              </w:r>
              <w:r w:rsidR="00F6272B">
                <w:rPr>
                  <w:noProof/>
                  <w:webHidden/>
                </w:rPr>
                <w:fldChar w:fldCharType="end"/>
              </w:r>
            </w:hyperlink>
          </w:p>
          <w:p w:rsidR="00F6272B" w:rsidRDefault="00315A0D">
            <w:pPr>
              <w:pStyle w:val="TOC1"/>
              <w:rPr>
                <w:noProof/>
                <w:spacing w:val="0"/>
                <w:sz w:val="22"/>
                <w:szCs w:val="22"/>
              </w:rPr>
            </w:pPr>
            <w:hyperlink w:anchor="_Toc487727278" w:history="1">
              <w:r w:rsidR="00F6272B" w:rsidRPr="00AC16FB">
                <w:rPr>
                  <w:rStyle w:val="Hyperlink"/>
                  <w:noProof/>
                </w:rPr>
                <w:t>2016</w:t>
              </w:r>
              <w:r w:rsidR="00F6272B" w:rsidRPr="00AC16FB">
                <w:rPr>
                  <w:rStyle w:val="Hyperlink"/>
                  <w:noProof/>
                </w:rPr>
                <w:noBreakHyphen/>
                <w:t>17 reporting year</w:t>
              </w:r>
              <w:r w:rsidR="00F6272B">
                <w:rPr>
                  <w:noProof/>
                  <w:webHidden/>
                </w:rPr>
                <w:tab/>
              </w:r>
              <w:r w:rsidR="00F6272B">
                <w:rPr>
                  <w:noProof/>
                  <w:webHidden/>
                </w:rPr>
                <w:fldChar w:fldCharType="begin"/>
              </w:r>
              <w:r w:rsidR="00F6272B">
                <w:rPr>
                  <w:noProof/>
                  <w:webHidden/>
                </w:rPr>
                <w:instrText xml:space="preserve"> PAGEREF _Toc487727278 \h </w:instrText>
              </w:r>
              <w:r w:rsidR="00F6272B">
                <w:rPr>
                  <w:noProof/>
                  <w:webHidden/>
                </w:rPr>
              </w:r>
              <w:r w:rsidR="00F6272B">
                <w:rPr>
                  <w:noProof/>
                  <w:webHidden/>
                </w:rPr>
                <w:fldChar w:fldCharType="separate"/>
              </w:r>
              <w:r w:rsidR="00BE7EBF">
                <w:rPr>
                  <w:noProof/>
                  <w:webHidden/>
                </w:rPr>
                <w:t>2</w:t>
              </w:r>
              <w:r w:rsidR="00F6272B">
                <w:rPr>
                  <w:noProof/>
                  <w:webHidden/>
                </w:rPr>
                <w:fldChar w:fldCharType="end"/>
              </w:r>
            </w:hyperlink>
          </w:p>
          <w:p w:rsidR="00F6272B" w:rsidRDefault="00315A0D">
            <w:pPr>
              <w:pStyle w:val="TOC1"/>
              <w:rPr>
                <w:noProof/>
                <w:spacing w:val="0"/>
                <w:sz w:val="22"/>
                <w:szCs w:val="22"/>
              </w:rPr>
            </w:pPr>
            <w:hyperlink w:anchor="_Toc487727279" w:history="1">
              <w:r w:rsidR="00F6272B" w:rsidRPr="00AC16FB">
                <w:rPr>
                  <w:rStyle w:val="Hyperlink"/>
                  <w:noProof/>
                </w:rPr>
                <w:t>2016</w:t>
              </w:r>
              <w:r w:rsidR="00F6272B" w:rsidRPr="00AC16FB">
                <w:rPr>
                  <w:rStyle w:val="Hyperlink"/>
                  <w:noProof/>
                </w:rPr>
                <w:noBreakHyphen/>
                <w:t>17 financial reporting legislation</w:t>
              </w:r>
              <w:r w:rsidR="00F6272B">
                <w:rPr>
                  <w:noProof/>
                  <w:webHidden/>
                </w:rPr>
                <w:tab/>
              </w:r>
              <w:r w:rsidR="00F6272B">
                <w:rPr>
                  <w:noProof/>
                  <w:webHidden/>
                </w:rPr>
                <w:fldChar w:fldCharType="begin"/>
              </w:r>
              <w:r w:rsidR="00F6272B">
                <w:rPr>
                  <w:noProof/>
                  <w:webHidden/>
                </w:rPr>
                <w:instrText xml:space="preserve"> PAGEREF _Toc487727279 \h </w:instrText>
              </w:r>
              <w:r w:rsidR="00F6272B">
                <w:rPr>
                  <w:noProof/>
                  <w:webHidden/>
                </w:rPr>
              </w:r>
              <w:r w:rsidR="00F6272B">
                <w:rPr>
                  <w:noProof/>
                  <w:webHidden/>
                </w:rPr>
                <w:fldChar w:fldCharType="separate"/>
              </w:r>
              <w:r w:rsidR="00BE7EBF">
                <w:rPr>
                  <w:noProof/>
                  <w:webHidden/>
                </w:rPr>
                <w:t>4</w:t>
              </w:r>
              <w:r w:rsidR="00F6272B">
                <w:rPr>
                  <w:noProof/>
                  <w:webHidden/>
                </w:rPr>
                <w:fldChar w:fldCharType="end"/>
              </w:r>
            </w:hyperlink>
          </w:p>
          <w:p w:rsidR="00F6272B" w:rsidRDefault="00315A0D">
            <w:pPr>
              <w:pStyle w:val="TOC1"/>
              <w:rPr>
                <w:noProof/>
                <w:spacing w:val="0"/>
                <w:sz w:val="22"/>
                <w:szCs w:val="22"/>
              </w:rPr>
            </w:pPr>
            <w:hyperlink w:anchor="_Toc487727280" w:history="1">
              <w:r w:rsidR="00F6272B" w:rsidRPr="00AC16FB">
                <w:rPr>
                  <w:rStyle w:val="Hyperlink"/>
                  <w:noProof/>
                </w:rPr>
                <w:t>AASB update</w:t>
              </w:r>
              <w:r w:rsidR="00F6272B">
                <w:rPr>
                  <w:noProof/>
                  <w:webHidden/>
                </w:rPr>
                <w:tab/>
              </w:r>
              <w:r w:rsidR="00F6272B">
                <w:rPr>
                  <w:noProof/>
                  <w:webHidden/>
                </w:rPr>
                <w:fldChar w:fldCharType="begin"/>
              </w:r>
              <w:r w:rsidR="00F6272B">
                <w:rPr>
                  <w:noProof/>
                  <w:webHidden/>
                </w:rPr>
                <w:instrText xml:space="preserve"> PAGEREF _Toc487727280 \h </w:instrText>
              </w:r>
              <w:r w:rsidR="00F6272B">
                <w:rPr>
                  <w:noProof/>
                  <w:webHidden/>
                </w:rPr>
              </w:r>
              <w:r w:rsidR="00F6272B">
                <w:rPr>
                  <w:noProof/>
                  <w:webHidden/>
                </w:rPr>
                <w:fldChar w:fldCharType="separate"/>
              </w:r>
              <w:r w:rsidR="00BE7EBF">
                <w:rPr>
                  <w:noProof/>
                  <w:webHidden/>
                </w:rPr>
                <w:t>6</w:t>
              </w:r>
              <w:r w:rsidR="00F6272B">
                <w:rPr>
                  <w:noProof/>
                  <w:webHidden/>
                </w:rPr>
                <w:fldChar w:fldCharType="end"/>
              </w:r>
            </w:hyperlink>
          </w:p>
          <w:p w:rsidR="00F6272B" w:rsidRDefault="00315A0D">
            <w:pPr>
              <w:pStyle w:val="TOC1"/>
              <w:rPr>
                <w:noProof/>
                <w:spacing w:val="0"/>
                <w:sz w:val="22"/>
                <w:szCs w:val="22"/>
              </w:rPr>
            </w:pPr>
            <w:hyperlink w:anchor="_Toc487727281" w:history="1">
              <w:r w:rsidR="00F6272B" w:rsidRPr="00AC16FB">
                <w:rPr>
                  <w:rStyle w:val="Hyperlink"/>
                  <w:noProof/>
                </w:rPr>
                <w:t>VAGO communication</w:t>
              </w:r>
              <w:r w:rsidR="00F6272B">
                <w:rPr>
                  <w:noProof/>
                  <w:webHidden/>
                </w:rPr>
                <w:tab/>
              </w:r>
              <w:r w:rsidR="00F6272B">
                <w:rPr>
                  <w:noProof/>
                  <w:webHidden/>
                </w:rPr>
                <w:fldChar w:fldCharType="begin"/>
              </w:r>
              <w:r w:rsidR="00F6272B">
                <w:rPr>
                  <w:noProof/>
                  <w:webHidden/>
                </w:rPr>
                <w:instrText xml:space="preserve"> PAGEREF _Toc487727281 \h </w:instrText>
              </w:r>
              <w:r w:rsidR="00F6272B">
                <w:rPr>
                  <w:noProof/>
                  <w:webHidden/>
                </w:rPr>
              </w:r>
              <w:r w:rsidR="00F6272B">
                <w:rPr>
                  <w:noProof/>
                  <w:webHidden/>
                </w:rPr>
                <w:fldChar w:fldCharType="separate"/>
              </w:r>
              <w:r w:rsidR="00BE7EBF">
                <w:rPr>
                  <w:noProof/>
                  <w:webHidden/>
                </w:rPr>
                <w:t>9</w:t>
              </w:r>
              <w:r w:rsidR="00F6272B">
                <w:rPr>
                  <w:noProof/>
                  <w:webHidden/>
                </w:rPr>
                <w:fldChar w:fldCharType="end"/>
              </w:r>
            </w:hyperlink>
          </w:p>
          <w:p w:rsidR="00F6272B" w:rsidRDefault="00315A0D">
            <w:pPr>
              <w:pStyle w:val="TOC1"/>
              <w:rPr>
                <w:noProof/>
                <w:spacing w:val="0"/>
                <w:sz w:val="22"/>
                <w:szCs w:val="22"/>
              </w:rPr>
            </w:pPr>
            <w:hyperlink w:anchor="_Toc487727282" w:history="1">
              <w:r w:rsidR="00F6272B" w:rsidRPr="00AC16FB">
                <w:rPr>
                  <w:rStyle w:val="Hyperlink"/>
                  <w:noProof/>
                </w:rPr>
                <w:t>How to contact us</w:t>
              </w:r>
              <w:r w:rsidR="00F6272B">
                <w:rPr>
                  <w:noProof/>
                  <w:webHidden/>
                </w:rPr>
                <w:tab/>
              </w:r>
              <w:r w:rsidR="00F6272B">
                <w:rPr>
                  <w:noProof/>
                  <w:webHidden/>
                </w:rPr>
                <w:fldChar w:fldCharType="begin"/>
              </w:r>
              <w:r w:rsidR="00F6272B">
                <w:rPr>
                  <w:noProof/>
                  <w:webHidden/>
                </w:rPr>
                <w:instrText xml:space="preserve"> PAGEREF _Toc487727282 \h </w:instrText>
              </w:r>
              <w:r w:rsidR="00F6272B">
                <w:rPr>
                  <w:noProof/>
                  <w:webHidden/>
                </w:rPr>
              </w:r>
              <w:r w:rsidR="00F6272B">
                <w:rPr>
                  <w:noProof/>
                  <w:webHidden/>
                </w:rPr>
                <w:fldChar w:fldCharType="separate"/>
              </w:r>
              <w:r w:rsidR="00BE7EBF">
                <w:rPr>
                  <w:noProof/>
                  <w:webHidden/>
                </w:rPr>
                <w:t>11</w:t>
              </w:r>
              <w:r w:rsidR="00F6272B">
                <w:rPr>
                  <w:noProof/>
                  <w:webHidden/>
                </w:rPr>
                <w:fldChar w:fldCharType="end"/>
              </w:r>
            </w:hyperlink>
          </w:p>
          <w:p w:rsidR="000C21C3" w:rsidRDefault="000C21C3" w:rsidP="00A542BF">
            <w:pPr>
              <w:pStyle w:val="NewsletterNote"/>
            </w:pPr>
            <w:r w:rsidRPr="000F50A6">
              <w:fldChar w:fldCharType="end"/>
            </w:r>
          </w:p>
        </w:tc>
      </w:tr>
    </w:tbl>
    <w:p w:rsidR="000C21C3" w:rsidRDefault="000C21C3" w:rsidP="000C21C3"/>
    <w:p w:rsidR="000C21C3" w:rsidRDefault="000C21C3" w:rsidP="000C21C3"/>
    <w:p w:rsidR="000C21C3" w:rsidRDefault="000C21C3" w:rsidP="00491ABA">
      <w:pPr>
        <w:pStyle w:val="Heading1"/>
      </w:pPr>
      <w:r>
        <w:br w:type="column"/>
      </w:r>
      <w:bookmarkStart w:id="6" w:name="_Toc487727277"/>
      <w:r w:rsidRPr="000C21C3">
        <w:lastRenderedPageBreak/>
        <w:t>Overview</w:t>
      </w:r>
      <w:bookmarkEnd w:id="6"/>
    </w:p>
    <w:p w:rsidR="006C7924" w:rsidRDefault="00B12C3D" w:rsidP="00491ABA">
      <w:r w:rsidRPr="00617F1F">
        <w:t>As we head into the year</w:t>
      </w:r>
      <w:r w:rsidR="00AA2BF4">
        <w:noBreakHyphen/>
      </w:r>
      <w:r w:rsidRPr="00617F1F">
        <w:t>end reporting season for 2016</w:t>
      </w:r>
      <w:r w:rsidR="00AA2BF4">
        <w:noBreakHyphen/>
      </w:r>
      <w:r w:rsidRPr="00617F1F">
        <w:t xml:space="preserve">17, this newsletter </w:t>
      </w:r>
      <w:r w:rsidR="002D24A9">
        <w:t>outlines key</w:t>
      </w:r>
      <w:r w:rsidR="001A155C">
        <w:t xml:space="preserve"> updates and reminders </w:t>
      </w:r>
      <w:r w:rsidR="00D1055D">
        <w:t>to assist with your</w:t>
      </w:r>
      <w:r w:rsidR="003138DF">
        <w:t xml:space="preserve"> </w:t>
      </w:r>
      <w:r w:rsidRPr="00617F1F">
        <w:t>preparation</w:t>
      </w:r>
      <w:r w:rsidR="00D1055D">
        <w:t>s</w:t>
      </w:r>
      <w:r w:rsidR="003138DF">
        <w:t xml:space="preserve"> for this year</w:t>
      </w:r>
      <w:r w:rsidR="00AA2BF4">
        <w:noBreakHyphen/>
      </w:r>
      <w:r w:rsidR="003138DF">
        <w:t>end</w:t>
      </w:r>
      <w:r w:rsidRPr="00617F1F">
        <w:t>.</w:t>
      </w:r>
      <w:r w:rsidR="003138DF">
        <w:t xml:space="preserve"> </w:t>
      </w:r>
      <w:r w:rsidRPr="00617F1F">
        <w:t>The</w:t>
      </w:r>
      <w:r w:rsidR="00BD24E7" w:rsidRPr="00617F1F">
        <w:t xml:space="preserve"> </w:t>
      </w:r>
      <w:r w:rsidR="00BD24E7" w:rsidRPr="00617F1F">
        <w:rPr>
          <w:i/>
        </w:rPr>
        <w:t>2016</w:t>
      </w:r>
      <w:r w:rsidR="00AA2BF4">
        <w:rPr>
          <w:i/>
        </w:rPr>
        <w:noBreakHyphen/>
      </w:r>
      <w:r w:rsidR="00BD24E7" w:rsidRPr="00617F1F">
        <w:rPr>
          <w:i/>
        </w:rPr>
        <w:t>17</w:t>
      </w:r>
      <w:r w:rsidR="00BD24E7" w:rsidRPr="00617F1F">
        <w:t xml:space="preserve"> </w:t>
      </w:r>
      <w:r w:rsidR="00BD24E7" w:rsidRPr="00617F1F">
        <w:rPr>
          <w:i/>
        </w:rPr>
        <w:t>Model Report for Victorian Government Departments</w:t>
      </w:r>
      <w:r w:rsidRPr="00617F1F">
        <w:rPr>
          <w:i/>
        </w:rPr>
        <w:t xml:space="preserve"> </w:t>
      </w:r>
      <w:r w:rsidR="00781712" w:rsidRPr="00781712">
        <w:t xml:space="preserve">(the Model) </w:t>
      </w:r>
      <w:r w:rsidRPr="00617F1F">
        <w:t xml:space="preserve">has been released in a streamlined format, with </w:t>
      </w:r>
      <w:r w:rsidR="00781712">
        <w:t>amended</w:t>
      </w:r>
      <w:r w:rsidR="00E81815">
        <w:t xml:space="preserve"> related party disclosures based on the </w:t>
      </w:r>
      <w:r w:rsidR="00E81815" w:rsidRPr="001B0E08">
        <w:t>revised AASB 124</w:t>
      </w:r>
      <w:r w:rsidR="00E81815">
        <w:t xml:space="preserve"> </w:t>
      </w:r>
      <w:r w:rsidR="00E81815" w:rsidRPr="001B0E08">
        <w:rPr>
          <w:i/>
        </w:rPr>
        <w:t>Related Party Disclosures</w:t>
      </w:r>
      <w:r w:rsidR="00D1055D">
        <w:t>,</w:t>
      </w:r>
      <w:r w:rsidR="00E81815" w:rsidRPr="00E81815">
        <w:t xml:space="preserve"> </w:t>
      </w:r>
      <w:r w:rsidR="004937C4">
        <w:t>a</w:t>
      </w:r>
      <w:r w:rsidR="003138DF">
        <w:t>mong</w:t>
      </w:r>
      <w:r w:rsidR="00E81815">
        <w:t xml:space="preserve"> other updates</w:t>
      </w:r>
      <w:r w:rsidR="006C7924">
        <w:t>.</w:t>
      </w:r>
      <w:r w:rsidR="003138DF">
        <w:t xml:space="preserve"> The use of the Model is mandatory for departments and other </w:t>
      </w:r>
      <w:r w:rsidR="003138DF" w:rsidRPr="00617F1F">
        <w:t>Victori</w:t>
      </w:r>
      <w:r w:rsidR="003138DF">
        <w:t xml:space="preserve">an </w:t>
      </w:r>
      <w:r w:rsidR="00D1055D">
        <w:t>p</w:t>
      </w:r>
      <w:r w:rsidR="003138DF">
        <w:t xml:space="preserve">ublic </w:t>
      </w:r>
      <w:r w:rsidR="00D1055D">
        <w:t>s</w:t>
      </w:r>
      <w:r w:rsidR="003138DF">
        <w:t>ector (VPS) entities</w:t>
      </w:r>
      <w:r w:rsidR="0073527F">
        <w:t xml:space="preserve"> are encouraged to use the Model as a guide for preparing their financial reports</w:t>
      </w:r>
      <w:r w:rsidR="003138DF">
        <w:t>.</w:t>
      </w:r>
    </w:p>
    <w:p w:rsidR="00CB23CC" w:rsidRPr="00617F1F" w:rsidRDefault="002660B3" w:rsidP="003053A2">
      <w:r>
        <w:t>With 2016</w:t>
      </w:r>
      <w:r w:rsidR="00AA2BF4">
        <w:noBreakHyphen/>
      </w:r>
      <w:r>
        <w:t>17 being</w:t>
      </w:r>
      <w:r w:rsidR="006C7924">
        <w:t xml:space="preserve"> the first year </w:t>
      </w:r>
      <w:r w:rsidR="00D1055D">
        <w:t xml:space="preserve">for </w:t>
      </w:r>
      <w:r w:rsidR="006C7924">
        <w:t xml:space="preserve">implementing the revised </w:t>
      </w:r>
      <w:r w:rsidR="00491ABA">
        <w:t>AASB </w:t>
      </w:r>
      <w:r w:rsidR="006C7924">
        <w:t>124</w:t>
      </w:r>
      <w:r w:rsidR="00781712">
        <w:t xml:space="preserve"> disclosure requirements</w:t>
      </w:r>
      <w:r w:rsidR="00F1620B">
        <w:t xml:space="preserve"> for </w:t>
      </w:r>
      <w:r w:rsidR="007D10F9">
        <w:t>not</w:t>
      </w:r>
      <w:r w:rsidR="00AA2BF4">
        <w:noBreakHyphen/>
      </w:r>
      <w:r w:rsidR="007D10F9">
        <w:t>for</w:t>
      </w:r>
      <w:r w:rsidR="00AA2BF4">
        <w:noBreakHyphen/>
      </w:r>
      <w:r w:rsidR="007D10F9">
        <w:t xml:space="preserve">profit (NFP) </w:t>
      </w:r>
      <w:r w:rsidR="00F1620B">
        <w:t>30 June reporters</w:t>
      </w:r>
      <w:r w:rsidR="006C7924">
        <w:t>, relevant f</w:t>
      </w:r>
      <w:r w:rsidR="006C7924" w:rsidRPr="006C7924">
        <w:t>inancial reporting directions</w:t>
      </w:r>
      <w:r w:rsidR="006C7924">
        <w:t xml:space="preserve"> (FRDs) have been amended accordingly. </w:t>
      </w:r>
      <w:r w:rsidR="000F2995">
        <w:t>D</w:t>
      </w:r>
      <w:r w:rsidR="0073527F">
        <w:t>epartments and agencies are encouraged</w:t>
      </w:r>
      <w:r w:rsidR="00D20A40">
        <w:t xml:space="preserve"> to </w:t>
      </w:r>
      <w:r w:rsidR="004F7313">
        <w:t xml:space="preserve">engage and </w:t>
      </w:r>
      <w:r w:rsidR="0073527F">
        <w:t>consult</w:t>
      </w:r>
      <w:r w:rsidR="007D10F9">
        <w:t xml:space="preserve"> with</w:t>
      </w:r>
      <w:r w:rsidR="0073527F">
        <w:t xml:space="preserve"> the</w:t>
      </w:r>
      <w:r w:rsidR="007D10F9">
        <w:t xml:space="preserve"> </w:t>
      </w:r>
      <w:r w:rsidR="007D10F9" w:rsidRPr="00DA3364">
        <w:t>Victorian Auditor</w:t>
      </w:r>
      <w:r w:rsidR="00AA2BF4">
        <w:noBreakHyphen/>
      </w:r>
      <w:r w:rsidR="007D10F9" w:rsidRPr="00DA3364">
        <w:t>General’s Office (VAGO)</w:t>
      </w:r>
      <w:r w:rsidR="007D10F9">
        <w:t xml:space="preserve"> and </w:t>
      </w:r>
      <w:r w:rsidR="00D20A40">
        <w:t xml:space="preserve">undertake </w:t>
      </w:r>
      <w:r w:rsidR="007D10F9">
        <w:t xml:space="preserve">appropriate </w:t>
      </w:r>
      <w:r w:rsidR="00D20A40">
        <w:t>due diligence process</w:t>
      </w:r>
      <w:r w:rsidR="002D24A9">
        <w:t>es</w:t>
      </w:r>
      <w:r w:rsidR="00D20A40">
        <w:t xml:space="preserve"> to </w:t>
      </w:r>
      <w:r w:rsidR="00EB4020">
        <w:t xml:space="preserve">identify, collect and </w:t>
      </w:r>
      <w:r w:rsidR="002D24A9">
        <w:t xml:space="preserve">(where appropriate) </w:t>
      </w:r>
      <w:r w:rsidR="00EB4020">
        <w:t>disclose</w:t>
      </w:r>
      <w:r w:rsidR="00D20A40">
        <w:t xml:space="preserve"> related party information as required by AASB 124</w:t>
      </w:r>
      <w:r w:rsidR="00C554B6">
        <w:t xml:space="preserve"> from 2016</w:t>
      </w:r>
      <w:r w:rsidR="00AA2BF4">
        <w:noBreakHyphen/>
      </w:r>
      <w:r w:rsidR="00C554B6">
        <w:t>17</w:t>
      </w:r>
      <w:r w:rsidR="006C7924">
        <w:t xml:space="preserve"> onwards, with the assistance </w:t>
      </w:r>
      <w:r w:rsidR="00D1055D">
        <w:t xml:space="preserve">of </w:t>
      </w:r>
      <w:r w:rsidR="006C7924">
        <w:t>r</w:t>
      </w:r>
      <w:r w:rsidR="00D20A40">
        <w:t>ele</w:t>
      </w:r>
      <w:r w:rsidR="006C7924">
        <w:t xml:space="preserve">vant checklist and guidance </w:t>
      </w:r>
      <w:r w:rsidR="00D20A40">
        <w:t>available on DTF</w:t>
      </w:r>
      <w:r w:rsidR="00D1055D">
        <w:t>’s</w:t>
      </w:r>
      <w:r w:rsidR="00D20A40">
        <w:t xml:space="preserve"> website</w:t>
      </w:r>
      <w:r w:rsidR="00BA09ED">
        <w:t>.</w:t>
      </w:r>
      <w:r w:rsidR="00D20A40">
        <w:t xml:space="preserve"> </w:t>
      </w:r>
    </w:p>
    <w:p w:rsidR="000E7F4B" w:rsidRDefault="0073527F" w:rsidP="003053A2">
      <w:r>
        <w:t>Entities are also reminded there</w:t>
      </w:r>
      <w:r w:rsidR="001A155C">
        <w:t xml:space="preserve"> are a number of </w:t>
      </w:r>
      <w:r w:rsidR="00617F1F" w:rsidRPr="00AE4999">
        <w:t>new</w:t>
      </w:r>
      <w:r w:rsidR="00BD24E7" w:rsidRPr="00AE4999">
        <w:t xml:space="preserve"> Australian Accounting Standards </w:t>
      </w:r>
      <w:r w:rsidR="000136CE" w:rsidRPr="00AE4999">
        <w:t xml:space="preserve">(AAS) </w:t>
      </w:r>
      <w:r w:rsidR="001A155C">
        <w:t xml:space="preserve">on the horizon, </w:t>
      </w:r>
      <w:r w:rsidR="00AE4999" w:rsidRPr="00AE4999">
        <w:t xml:space="preserve">including AASB 9 </w:t>
      </w:r>
      <w:r w:rsidR="00AE4999" w:rsidRPr="00AE4999">
        <w:rPr>
          <w:i/>
        </w:rPr>
        <w:t>Financial Instruments</w:t>
      </w:r>
      <w:r w:rsidR="00AE4999" w:rsidRPr="00AE4999">
        <w:t>, AASB 15 </w:t>
      </w:r>
      <w:r w:rsidR="00AE4999" w:rsidRPr="00AE4999">
        <w:rPr>
          <w:i/>
        </w:rPr>
        <w:t>Revenue from Contracts with Customers</w:t>
      </w:r>
      <w:r w:rsidR="00AE4999" w:rsidRPr="00AE4999">
        <w:t xml:space="preserve">, AASB 1058 </w:t>
      </w:r>
      <w:r w:rsidR="00AE4999" w:rsidRPr="00AE4999">
        <w:rPr>
          <w:i/>
        </w:rPr>
        <w:t>Income for Not</w:t>
      </w:r>
      <w:r w:rsidR="00AA2BF4">
        <w:rPr>
          <w:i/>
        </w:rPr>
        <w:noBreakHyphen/>
      </w:r>
      <w:r w:rsidR="00AE4999" w:rsidRPr="00AE4999">
        <w:rPr>
          <w:i/>
        </w:rPr>
        <w:t>for</w:t>
      </w:r>
      <w:r w:rsidR="00AA2BF4">
        <w:rPr>
          <w:i/>
        </w:rPr>
        <w:noBreakHyphen/>
      </w:r>
      <w:r w:rsidR="00AE4999" w:rsidRPr="00AE4999">
        <w:rPr>
          <w:i/>
        </w:rPr>
        <w:t>Profit Entities</w:t>
      </w:r>
      <w:r w:rsidR="00AE4999" w:rsidRPr="00AE4999">
        <w:t xml:space="preserve">, AASB 16 </w:t>
      </w:r>
      <w:r w:rsidR="00AE4999" w:rsidRPr="00AE4999">
        <w:rPr>
          <w:i/>
        </w:rPr>
        <w:t>Leases</w:t>
      </w:r>
      <w:r w:rsidR="00AE4999" w:rsidRPr="00AE4999">
        <w:t xml:space="preserve"> and</w:t>
      </w:r>
      <w:r w:rsidR="004F7313">
        <w:t xml:space="preserve"> </w:t>
      </w:r>
      <w:r w:rsidR="00AE4999" w:rsidRPr="00AE4999">
        <w:t xml:space="preserve">AASB 10XY </w:t>
      </w:r>
      <w:r w:rsidR="00AE4999" w:rsidRPr="00AE4999">
        <w:rPr>
          <w:i/>
        </w:rPr>
        <w:t>Service Concession Arrangements</w:t>
      </w:r>
      <w:r w:rsidR="00781712">
        <w:t xml:space="preserve">. </w:t>
      </w:r>
      <w:r>
        <w:t>While t</w:t>
      </w:r>
      <w:r w:rsidR="00EB4020">
        <w:t>hese</w:t>
      </w:r>
      <w:r w:rsidR="00781712">
        <w:t xml:space="preserve"> new standards</w:t>
      </w:r>
      <w:r w:rsidR="00AE4999" w:rsidRPr="00AE4999">
        <w:t xml:space="preserve"> </w:t>
      </w:r>
      <w:r w:rsidR="001A155C">
        <w:t xml:space="preserve">will </w:t>
      </w:r>
      <w:r w:rsidR="002660B3">
        <w:t>come into effect from the 2018</w:t>
      </w:r>
      <w:r w:rsidR="00AA2BF4">
        <w:noBreakHyphen/>
      </w:r>
      <w:r w:rsidR="001A155C" w:rsidRPr="001A155C">
        <w:t>19 and 2019</w:t>
      </w:r>
      <w:r w:rsidR="00AA2BF4">
        <w:noBreakHyphen/>
      </w:r>
      <w:r w:rsidR="001A155C" w:rsidRPr="001A155C">
        <w:t>20 financial years</w:t>
      </w:r>
      <w:r w:rsidR="000F2995">
        <w:t xml:space="preserve">, </w:t>
      </w:r>
      <w:r w:rsidR="002660B3">
        <w:t>entities are strongly encouraged to commence assessing the impact of these new standards,</w:t>
      </w:r>
      <w:r w:rsidR="007D10F9">
        <w:t xml:space="preserve"> </w:t>
      </w:r>
      <w:r w:rsidR="002660B3">
        <w:t>as t</w:t>
      </w:r>
      <w:r w:rsidR="007D10F9">
        <w:t xml:space="preserve">hey </w:t>
      </w:r>
      <w:r w:rsidR="00216FBD">
        <w:t xml:space="preserve">will </w:t>
      </w:r>
      <w:r w:rsidR="000F2995">
        <w:t xml:space="preserve">potentially </w:t>
      </w:r>
      <w:r w:rsidR="00216FBD">
        <w:t xml:space="preserve">have </w:t>
      </w:r>
      <w:r w:rsidR="00E75560">
        <w:t xml:space="preserve">a </w:t>
      </w:r>
      <w:r w:rsidR="00216FBD">
        <w:t>significant</w:t>
      </w:r>
      <w:r w:rsidR="00E75560">
        <w:t xml:space="preserve"> impact</w:t>
      </w:r>
      <w:r w:rsidR="00EB4020">
        <w:t xml:space="preserve"> on financial statements, disclosures, data collection process and information system</w:t>
      </w:r>
      <w:r w:rsidR="002D24A9">
        <w:t>s</w:t>
      </w:r>
      <w:r w:rsidR="00EB4020">
        <w:t>.</w:t>
      </w:r>
      <w:r w:rsidR="00617F1F" w:rsidRPr="00AE4999">
        <w:t xml:space="preserve"> </w:t>
      </w:r>
      <w:r w:rsidR="001A155C">
        <w:t xml:space="preserve">The </w:t>
      </w:r>
      <w:r w:rsidR="00617F1F" w:rsidRPr="00AE4999">
        <w:t xml:space="preserve">Accounting Policy team has </w:t>
      </w:r>
      <w:r w:rsidR="001A155C">
        <w:t xml:space="preserve">commenced </w:t>
      </w:r>
      <w:r w:rsidR="002660B3">
        <w:t>consultation workshops to facilitate</w:t>
      </w:r>
      <w:r w:rsidR="00216FBD">
        <w:t xml:space="preserve"> departments/entities</w:t>
      </w:r>
      <w:r w:rsidR="002660B3">
        <w:t>’</w:t>
      </w:r>
      <w:r w:rsidR="00216FBD">
        <w:t xml:space="preserve"> </w:t>
      </w:r>
      <w:r w:rsidR="00EB4020">
        <w:t>impact assessment</w:t>
      </w:r>
      <w:r w:rsidR="002660B3">
        <w:t>s</w:t>
      </w:r>
      <w:r w:rsidR="00216FBD">
        <w:t>.</w:t>
      </w:r>
      <w:r w:rsidR="00617F1F">
        <w:t xml:space="preserve"> </w:t>
      </w:r>
      <w:r w:rsidR="003138DF">
        <w:t>VPS</w:t>
      </w:r>
      <w:r w:rsidR="007D10F9">
        <w:t xml:space="preserve"> entities are strongly encouraged to liaise with their portfolio departments to </w:t>
      </w:r>
      <w:r w:rsidR="002660B3">
        <w:t xml:space="preserve">develop a plan to </w:t>
      </w:r>
      <w:r w:rsidR="00617F1F">
        <w:t xml:space="preserve">assess the financial and operational implications </w:t>
      </w:r>
      <w:r w:rsidR="00AE4999">
        <w:t xml:space="preserve">and </w:t>
      </w:r>
      <w:r w:rsidR="002660B3">
        <w:t xml:space="preserve">provide timely advice to relevant stakeholders within the next </w:t>
      </w:r>
      <w:r w:rsidR="00D1055D">
        <w:t xml:space="preserve">six </w:t>
      </w:r>
      <w:r w:rsidR="002660B3">
        <w:t xml:space="preserve">to </w:t>
      </w:r>
      <w:r w:rsidR="00D1055D">
        <w:t xml:space="preserve">eight </w:t>
      </w:r>
      <w:r w:rsidR="002660B3">
        <w:t>months</w:t>
      </w:r>
      <w:r w:rsidR="00781712">
        <w:t>.</w:t>
      </w:r>
    </w:p>
    <w:p w:rsidR="000E7F4B" w:rsidRDefault="000E7F4B" w:rsidP="00BD24E7"/>
    <w:p w:rsidR="000E7F4B" w:rsidRPr="00BD24E7" w:rsidRDefault="000E7F4B" w:rsidP="00BD24E7">
      <w:pPr>
        <w:sectPr w:rsidR="000E7F4B" w:rsidRPr="00BD24E7" w:rsidSect="000C21C3">
          <w:type w:val="continuous"/>
          <w:pgSz w:w="11906" w:h="16838" w:code="9"/>
          <w:pgMar w:top="2160" w:right="1440" w:bottom="1350" w:left="1440" w:header="706" w:footer="461" w:gutter="0"/>
          <w:pgNumType w:start="1"/>
          <w:cols w:num="2" w:space="706" w:equalWidth="0">
            <w:col w:w="2973" w:space="533"/>
            <w:col w:w="5520"/>
          </w:cols>
          <w:docGrid w:linePitch="360"/>
        </w:sectPr>
      </w:pPr>
    </w:p>
    <w:p w:rsidR="00CB23CC" w:rsidRDefault="006F0F13" w:rsidP="00A91B6F">
      <w:pPr>
        <w:pStyle w:val="Heading1"/>
      </w:pPr>
      <w:bookmarkStart w:id="7" w:name="_Toc408567317"/>
      <w:bookmarkStart w:id="8" w:name="_Toc424822613"/>
      <w:bookmarkStart w:id="9" w:name="_Toc452724749"/>
      <w:bookmarkStart w:id="10" w:name="_Toc487727278"/>
      <w:r>
        <w:lastRenderedPageBreak/>
        <w:t>2016</w:t>
      </w:r>
      <w:r w:rsidR="00AA2BF4">
        <w:noBreakHyphen/>
      </w:r>
      <w:r>
        <w:t>17</w:t>
      </w:r>
      <w:r w:rsidR="00CB23CC" w:rsidRPr="008D6677">
        <w:t xml:space="preserve"> reporting year</w:t>
      </w:r>
      <w:bookmarkEnd w:id="7"/>
      <w:bookmarkEnd w:id="8"/>
      <w:bookmarkEnd w:id="9"/>
      <w:bookmarkEnd w:id="10"/>
    </w:p>
    <w:p w:rsidR="00CB23CC" w:rsidRPr="00CF46D0" w:rsidRDefault="00874F40" w:rsidP="00CF46D0">
      <w:pPr>
        <w:pStyle w:val="Heading2"/>
      </w:pPr>
      <w:r w:rsidRPr="00CF46D0">
        <w:t xml:space="preserve">Major </w:t>
      </w:r>
      <w:r w:rsidR="00CB23CC" w:rsidRPr="00CF46D0">
        <w:t>updates</w:t>
      </w:r>
      <w:r w:rsidR="003B0473" w:rsidRPr="00CF46D0">
        <w:t>/</w:t>
      </w:r>
      <w:r w:rsidR="001012CC" w:rsidRPr="00CF46D0">
        <w:t>reminders</w:t>
      </w:r>
    </w:p>
    <w:p w:rsidR="00215FBE" w:rsidRPr="00CF46D0" w:rsidRDefault="00215FBE" w:rsidP="007D03CC">
      <w:pPr>
        <w:pStyle w:val="Heading3"/>
      </w:pPr>
      <w:r w:rsidRPr="00CF46D0">
        <w:t>2016</w:t>
      </w:r>
      <w:r w:rsidR="00AA2BF4">
        <w:noBreakHyphen/>
      </w:r>
      <w:r w:rsidRPr="00CF46D0">
        <w:t xml:space="preserve">17 </w:t>
      </w:r>
      <w:r w:rsidRPr="000270D4">
        <w:rPr>
          <w:i/>
        </w:rPr>
        <w:t>Model Report for Victorian Government Departments</w:t>
      </w:r>
    </w:p>
    <w:p w:rsidR="001B0E08" w:rsidRDefault="002660B3" w:rsidP="008A70BF">
      <w:r>
        <w:t>T</w:t>
      </w:r>
      <w:r w:rsidR="008A70BF">
        <w:t>he 2016</w:t>
      </w:r>
      <w:r w:rsidR="00AA2BF4">
        <w:noBreakHyphen/>
      </w:r>
      <w:r w:rsidR="008A70BF">
        <w:t xml:space="preserve">17 </w:t>
      </w:r>
      <w:r w:rsidR="00A85489">
        <w:t>Model</w:t>
      </w:r>
      <w:r w:rsidR="008A70BF">
        <w:t xml:space="preserve"> has been </w:t>
      </w:r>
      <w:r>
        <w:t>released and is available</w:t>
      </w:r>
      <w:r w:rsidR="001B0E08">
        <w:t xml:space="preserve"> on DTF</w:t>
      </w:r>
      <w:r w:rsidR="00B10638">
        <w:t>’s</w:t>
      </w:r>
      <w:r w:rsidR="001B0E08">
        <w:t xml:space="preserve"> website. Compliance with the Model is mandatory for departments</w:t>
      </w:r>
      <w:r w:rsidR="002D24A9">
        <w:t>. O</w:t>
      </w:r>
      <w:r w:rsidR="001B0E08">
        <w:t>ther public sector agencies</w:t>
      </w:r>
      <w:r w:rsidR="00F05BC2">
        <w:t xml:space="preserve"> </w:t>
      </w:r>
      <w:r w:rsidR="001B0E08">
        <w:t xml:space="preserve">are strongly encouraged to use the Model </w:t>
      </w:r>
      <w:r w:rsidR="001B0E08" w:rsidRPr="00892DE3">
        <w:t>as the authoritative guide to assist them in preparation of their annual</w:t>
      </w:r>
      <w:r w:rsidR="004F0BA6">
        <w:t xml:space="preserve"> reports</w:t>
      </w:r>
      <w:r w:rsidR="001B0E08" w:rsidRPr="00892DE3">
        <w:t>.</w:t>
      </w:r>
    </w:p>
    <w:p w:rsidR="008A70BF" w:rsidRDefault="001B0E08" w:rsidP="008A70BF">
      <w:r>
        <w:t>The 2016</w:t>
      </w:r>
      <w:r w:rsidR="00AA2BF4">
        <w:noBreakHyphen/>
      </w:r>
      <w:r>
        <w:t xml:space="preserve">17 Model has been </w:t>
      </w:r>
      <w:r w:rsidR="008A70BF">
        <w:t>updated in a streamlined format, consistent with the new format adopted for the 2015</w:t>
      </w:r>
      <w:r w:rsidR="00AA2BF4">
        <w:noBreakHyphen/>
      </w:r>
      <w:r w:rsidR="008A70BF">
        <w:t xml:space="preserve">16 </w:t>
      </w:r>
      <w:r w:rsidR="008A70BF" w:rsidRPr="00DA3364">
        <w:rPr>
          <w:i/>
        </w:rPr>
        <w:t>State of Victoria’s Annual Financial Report</w:t>
      </w:r>
      <w:r w:rsidR="008A70BF">
        <w:t xml:space="preserve">. </w:t>
      </w:r>
      <w:r>
        <w:t>W</w:t>
      </w:r>
      <w:r w:rsidR="008A70BF" w:rsidRPr="00DA3364">
        <w:t xml:space="preserve">hile presented in a streamlined format, the financial statements </w:t>
      </w:r>
      <w:r w:rsidR="008A70BF">
        <w:t>still fully</w:t>
      </w:r>
      <w:r w:rsidR="008A70BF" w:rsidRPr="00DA3364">
        <w:t xml:space="preserve"> </w:t>
      </w:r>
      <w:r w:rsidR="008A70BF">
        <w:t xml:space="preserve">comply </w:t>
      </w:r>
      <w:r w:rsidR="008A70BF" w:rsidRPr="00DA3364">
        <w:t>with the relevant legislative requirements</w:t>
      </w:r>
      <w:r w:rsidR="000270D4">
        <w:t xml:space="preserve"> and take</w:t>
      </w:r>
      <w:r w:rsidR="008A70BF" w:rsidRPr="00DA3364">
        <w:t xml:space="preserve"> into account stakeholder expectations</w:t>
      </w:r>
      <w:r w:rsidR="00B10638">
        <w:t>,</w:t>
      </w:r>
      <w:r w:rsidR="008A70BF" w:rsidRPr="00DA3364">
        <w:t xml:space="preserve"> such as those of the</w:t>
      </w:r>
      <w:r w:rsidR="008A70BF">
        <w:t xml:space="preserve"> Public Accounts and Estimates Committee (PAEC),</w:t>
      </w:r>
      <w:r w:rsidR="008A70BF" w:rsidRPr="00DA3364">
        <w:t xml:space="preserve"> </w:t>
      </w:r>
      <w:r w:rsidR="007D10F9">
        <w:t>VAGO</w:t>
      </w:r>
      <w:r w:rsidR="008A70BF">
        <w:t xml:space="preserve"> and users of public sector financial reports. </w:t>
      </w:r>
    </w:p>
    <w:p w:rsidR="001E28CC" w:rsidRDefault="00360073" w:rsidP="003053A2">
      <w:r>
        <w:t xml:space="preserve">Further to streamlining </w:t>
      </w:r>
      <w:r w:rsidR="006E1A58">
        <w:t xml:space="preserve">the structure of the financial report, departments and agencies are </w:t>
      </w:r>
      <w:r w:rsidR="0073527F">
        <w:t xml:space="preserve">also </w:t>
      </w:r>
      <w:r w:rsidR="006E1A58">
        <w:t>encouraged to apply a materiality overlay in preparing their financial statements. G</w:t>
      </w:r>
      <w:r w:rsidR="001E28CC" w:rsidRPr="00DA3364">
        <w:t>uidance</w:t>
      </w:r>
      <w:r w:rsidR="001E28CC">
        <w:t xml:space="preserve"> materials have been </w:t>
      </w:r>
      <w:r w:rsidR="001E28CC" w:rsidRPr="00DA3364">
        <w:t>included</w:t>
      </w:r>
      <w:r w:rsidR="001E28CC">
        <w:t xml:space="preserve"> in the Model</w:t>
      </w:r>
      <w:r w:rsidR="001E28CC" w:rsidRPr="00DA3364">
        <w:t xml:space="preserve"> </w:t>
      </w:r>
      <w:r w:rsidR="001E28CC">
        <w:t xml:space="preserve">to facilitate </w:t>
      </w:r>
      <w:r w:rsidR="001E28CC" w:rsidRPr="00DA3364">
        <w:t xml:space="preserve">departments and agencies </w:t>
      </w:r>
      <w:r w:rsidR="001E28CC">
        <w:t xml:space="preserve">in streamlining </w:t>
      </w:r>
      <w:r w:rsidR="001E28CC" w:rsidRPr="00DA3364">
        <w:t>the</w:t>
      </w:r>
      <w:r w:rsidR="003177CA">
        <w:t xml:space="preserve">ir respective financial reports, including a </w:t>
      </w:r>
      <w:r w:rsidR="008532AF">
        <w:t>‘</w:t>
      </w:r>
      <w:r w:rsidR="004B3788">
        <w:t>H</w:t>
      </w:r>
      <w:r w:rsidR="003177CA">
        <w:t>ow to</w:t>
      </w:r>
      <w:r w:rsidR="008532AF">
        <w:t>’</w:t>
      </w:r>
      <w:r w:rsidR="003177CA">
        <w:t xml:space="preserve"> guide </w:t>
      </w:r>
      <w:r w:rsidR="006E1A58">
        <w:t>on</w:t>
      </w:r>
      <w:r w:rsidR="000F2995">
        <w:t xml:space="preserve"> the</w:t>
      </w:r>
      <w:r w:rsidR="003177CA">
        <w:t xml:space="preserve"> key aspects in financial statements preparation</w:t>
      </w:r>
      <w:r w:rsidR="006E1A58">
        <w:t xml:space="preserve"> in regards to materiality and </w:t>
      </w:r>
      <w:r>
        <w:t>a</w:t>
      </w:r>
      <w:r w:rsidR="006E1A58">
        <w:t>ggregation</w:t>
      </w:r>
      <w:r w:rsidR="003177CA">
        <w:t xml:space="preserve">. </w:t>
      </w:r>
      <w:r w:rsidR="001E28CC" w:rsidRPr="001E28CC">
        <w:t xml:space="preserve">For the streamlining process to be successful, </w:t>
      </w:r>
      <w:r w:rsidR="0073527F">
        <w:t xml:space="preserve">it </w:t>
      </w:r>
      <w:r w:rsidR="00B10638">
        <w:t>is</w:t>
      </w:r>
      <w:r w:rsidR="0073527F">
        <w:t xml:space="preserve"> important </w:t>
      </w:r>
      <w:r w:rsidR="001E28CC" w:rsidRPr="001E28CC">
        <w:t xml:space="preserve">to ensure all key stakeholders, such as executive </w:t>
      </w:r>
      <w:r w:rsidR="004B3788">
        <w:t>m</w:t>
      </w:r>
      <w:r w:rsidR="001E28CC" w:rsidRPr="001E28CC">
        <w:t>anagement, audit committees, preparers of the financial report</w:t>
      </w:r>
      <w:r w:rsidR="001E28CC">
        <w:t xml:space="preserve">, </w:t>
      </w:r>
      <w:r w:rsidR="0073527F">
        <w:t>have an appreciation of the principles</w:t>
      </w:r>
      <w:r w:rsidR="004D5B31">
        <w:t>, objectives and benefits</w:t>
      </w:r>
      <w:r w:rsidR="001E28CC">
        <w:t xml:space="preserve"> </w:t>
      </w:r>
      <w:r w:rsidR="00801390">
        <w:t xml:space="preserve">of </w:t>
      </w:r>
      <w:r w:rsidR="001E28CC">
        <w:t xml:space="preserve">streamlining. </w:t>
      </w:r>
      <w:r w:rsidR="001E28CC" w:rsidRPr="001E28CC">
        <w:t>VAGO should also be consulted on the proposed changes from the streamlining exercise</w:t>
      </w:r>
      <w:r w:rsidR="001E28CC">
        <w:t>.</w:t>
      </w:r>
    </w:p>
    <w:p w:rsidR="008A70BF" w:rsidRDefault="008A70BF" w:rsidP="008A70BF">
      <w:r>
        <w:t>The 2016</w:t>
      </w:r>
      <w:r w:rsidR="00AA2BF4">
        <w:noBreakHyphen/>
      </w:r>
      <w:r>
        <w:t>17 Model</w:t>
      </w:r>
      <w:r w:rsidR="001B0E08">
        <w:t xml:space="preserve"> has also incorporated</w:t>
      </w:r>
      <w:r>
        <w:t xml:space="preserve"> updates and revisions </w:t>
      </w:r>
      <w:r w:rsidR="00360073">
        <w:t>from</w:t>
      </w:r>
      <w:r>
        <w:t xml:space="preserve"> relevant </w:t>
      </w:r>
      <w:r w:rsidR="00A85489">
        <w:t>AAS</w:t>
      </w:r>
      <w:r>
        <w:t xml:space="preserve">s, </w:t>
      </w:r>
      <w:r w:rsidR="00A85489">
        <w:t>FRD</w:t>
      </w:r>
      <w:r>
        <w:t>s</w:t>
      </w:r>
      <w:r w:rsidR="006E1A58">
        <w:t>, PAEC and VAGO recommendations, including</w:t>
      </w:r>
      <w:r>
        <w:t xml:space="preserve">: </w:t>
      </w:r>
    </w:p>
    <w:p w:rsidR="008A70BF" w:rsidRDefault="00A85489" w:rsidP="003053A2">
      <w:pPr>
        <w:pStyle w:val="Bullet1"/>
      </w:pPr>
      <w:r>
        <w:t>amended</w:t>
      </w:r>
      <w:r w:rsidR="001B0E08">
        <w:t xml:space="preserve"> </w:t>
      </w:r>
      <w:r w:rsidR="008A70BF">
        <w:t>related party disclosures</w:t>
      </w:r>
      <w:r w:rsidR="001B0E08">
        <w:t xml:space="preserve"> based on the </w:t>
      </w:r>
      <w:r w:rsidR="001B0E08" w:rsidRPr="001B0E08">
        <w:t>revised AASB 124</w:t>
      </w:r>
      <w:r w:rsidR="001B0E08">
        <w:t xml:space="preserve"> </w:t>
      </w:r>
      <w:r w:rsidR="001B0E08" w:rsidRPr="001B0E08">
        <w:rPr>
          <w:i/>
        </w:rPr>
        <w:t>Related Party Disclosures</w:t>
      </w:r>
      <w:r w:rsidR="008A70BF">
        <w:t xml:space="preserve">; </w:t>
      </w:r>
    </w:p>
    <w:p w:rsidR="008A70BF" w:rsidRDefault="00325BB2" w:rsidP="003053A2">
      <w:pPr>
        <w:pStyle w:val="Bullet1"/>
      </w:pPr>
      <w:r>
        <w:t>new disclosure on e</w:t>
      </w:r>
      <w:r w:rsidR="008A70BF">
        <w:t>ntities consolidate</w:t>
      </w:r>
      <w:r w:rsidR="00DF5159">
        <w:t>d under S</w:t>
      </w:r>
      <w:r w:rsidR="008A70BF">
        <w:t xml:space="preserve">ection 53(1)(b) of the </w:t>
      </w:r>
      <w:r w:rsidR="008A70BF" w:rsidRPr="00492501">
        <w:rPr>
          <w:i/>
        </w:rPr>
        <w:t xml:space="preserve">Financial Management Act </w:t>
      </w:r>
      <w:r w:rsidR="008A70BF">
        <w:rPr>
          <w:i/>
        </w:rPr>
        <w:t>1994</w:t>
      </w:r>
      <w:r w:rsidR="008A70BF">
        <w:t xml:space="preserve"> (FMA);</w:t>
      </w:r>
    </w:p>
    <w:p w:rsidR="008A70BF" w:rsidRDefault="00325BB2" w:rsidP="003053A2">
      <w:pPr>
        <w:pStyle w:val="Bullet1"/>
      </w:pPr>
      <w:r>
        <w:t xml:space="preserve">new </w:t>
      </w:r>
      <w:r w:rsidR="008A70BF">
        <w:t xml:space="preserve">disclosure on the direct costs attributable to </w:t>
      </w:r>
      <w:r w:rsidR="00B10638">
        <w:t>m</w:t>
      </w:r>
      <w:r w:rsidR="008A70BF">
        <w:t xml:space="preserve">achinery of </w:t>
      </w:r>
      <w:r w:rsidR="00B10638">
        <w:t>g</w:t>
      </w:r>
      <w:r w:rsidR="008A70BF">
        <w:t xml:space="preserve">overnment changes; </w:t>
      </w:r>
    </w:p>
    <w:p w:rsidR="008A70BF" w:rsidRDefault="008A70BF" w:rsidP="003053A2">
      <w:pPr>
        <w:pStyle w:val="Bullet1"/>
      </w:pPr>
      <w:r>
        <w:t>revised disclosure re</w:t>
      </w:r>
      <w:r w:rsidR="001F290C">
        <w:t>quirements on executive officer</w:t>
      </w:r>
      <w:r w:rsidR="00B10638">
        <w:t>s</w:t>
      </w:r>
      <w:r w:rsidR="001F290C">
        <w:t xml:space="preserve">, responsible persons </w:t>
      </w:r>
      <w:r>
        <w:t>and other personnel; and</w:t>
      </w:r>
    </w:p>
    <w:p w:rsidR="008A70BF" w:rsidRDefault="00325BB2" w:rsidP="003053A2">
      <w:pPr>
        <w:pStyle w:val="Bullet1"/>
      </w:pPr>
      <w:r>
        <w:t xml:space="preserve">new </w:t>
      </w:r>
      <w:r w:rsidR="008A70BF">
        <w:t>disclosure of transfers</w:t>
      </w:r>
      <w:r w:rsidR="001F290C">
        <w:t xml:space="preserve"> between items of departmental appropriations </w:t>
      </w:r>
      <w:r w:rsidR="008A70BF">
        <w:t xml:space="preserve">greater than $10m under section 30 of the FMA. </w:t>
      </w:r>
    </w:p>
    <w:p w:rsidR="0086695D" w:rsidRDefault="008A70BF" w:rsidP="003053A2">
      <w:r w:rsidRPr="00DA3364">
        <w:t xml:space="preserve">More details regarding updates and changes for the </w:t>
      </w:r>
      <w:r w:rsidRPr="00730065">
        <w:t>2016</w:t>
      </w:r>
      <w:r w:rsidR="00AA2BF4">
        <w:noBreakHyphen/>
      </w:r>
      <w:r w:rsidRPr="00730065">
        <w:t>17 Model</w:t>
      </w:r>
      <w:r w:rsidR="00730065">
        <w:rPr>
          <w:i/>
        </w:rPr>
        <w:t xml:space="preserve"> </w:t>
      </w:r>
      <w:r w:rsidR="001F290C">
        <w:t xml:space="preserve">can be found in the </w:t>
      </w:r>
      <w:r w:rsidR="001F290C" w:rsidRPr="000270D4">
        <w:rPr>
          <w:i/>
        </w:rPr>
        <w:t>S</w:t>
      </w:r>
      <w:r w:rsidR="000270D4" w:rsidRPr="000270D4">
        <w:rPr>
          <w:i/>
        </w:rPr>
        <w:t>ummary of C</w:t>
      </w:r>
      <w:r w:rsidRPr="000270D4">
        <w:rPr>
          <w:i/>
        </w:rPr>
        <w:t>hanges</w:t>
      </w:r>
      <w:r w:rsidR="006E1A58">
        <w:rPr>
          <w:i/>
        </w:rPr>
        <w:t>,</w:t>
      </w:r>
      <w:r w:rsidR="006E1A58">
        <w:t xml:space="preserve"> </w:t>
      </w:r>
      <w:r>
        <w:t>accessible on DTF</w:t>
      </w:r>
      <w:r w:rsidR="00B10638">
        <w:t>’s</w:t>
      </w:r>
      <w:r>
        <w:t xml:space="preserve"> website at </w:t>
      </w:r>
      <w:hyperlink r:id="rId15" w:history="1">
        <w:r w:rsidR="004F7313">
          <w:rPr>
            <w:rStyle w:val="Hyperlink"/>
          </w:rPr>
          <w:t>www.dtf.vic.gov.au/Publications/Government</w:t>
        </w:r>
        <w:r w:rsidR="00AA2BF4">
          <w:rPr>
            <w:rStyle w:val="Hyperlink"/>
          </w:rPr>
          <w:noBreakHyphen/>
        </w:r>
        <w:r w:rsidR="004F7313">
          <w:rPr>
            <w:rStyle w:val="Hyperlink"/>
          </w:rPr>
          <w:t>Financial</w:t>
        </w:r>
        <w:r w:rsidR="00AA2BF4">
          <w:rPr>
            <w:rStyle w:val="Hyperlink"/>
          </w:rPr>
          <w:noBreakHyphen/>
        </w:r>
        <w:r w:rsidR="004F7313">
          <w:rPr>
            <w:rStyle w:val="Hyperlink"/>
          </w:rPr>
          <w:t>Management</w:t>
        </w:r>
        <w:r w:rsidR="00AA2BF4">
          <w:rPr>
            <w:rStyle w:val="Hyperlink"/>
          </w:rPr>
          <w:noBreakHyphen/>
        </w:r>
        <w:r w:rsidR="004F7313">
          <w:rPr>
            <w:rStyle w:val="Hyperlink"/>
          </w:rPr>
          <w:t>publications/Financial</w:t>
        </w:r>
        <w:r w:rsidR="00AA2BF4">
          <w:rPr>
            <w:rStyle w:val="Hyperlink"/>
          </w:rPr>
          <w:noBreakHyphen/>
        </w:r>
        <w:r w:rsidR="004F7313">
          <w:rPr>
            <w:rStyle w:val="Hyperlink"/>
          </w:rPr>
          <w:t>reporting</w:t>
        </w:r>
        <w:r w:rsidR="00AA2BF4">
          <w:rPr>
            <w:rStyle w:val="Hyperlink"/>
          </w:rPr>
          <w:noBreakHyphen/>
        </w:r>
        <w:r w:rsidR="004F7313">
          <w:rPr>
            <w:rStyle w:val="Hyperlink"/>
          </w:rPr>
          <w:t>policy/2016</w:t>
        </w:r>
        <w:r w:rsidR="00AA2BF4">
          <w:rPr>
            <w:rStyle w:val="Hyperlink"/>
          </w:rPr>
          <w:noBreakHyphen/>
        </w:r>
        <w:r w:rsidR="004F7313">
          <w:rPr>
            <w:rStyle w:val="Hyperlink"/>
          </w:rPr>
          <w:t>17</w:t>
        </w:r>
        <w:r w:rsidR="00AA2BF4">
          <w:rPr>
            <w:rStyle w:val="Hyperlink"/>
          </w:rPr>
          <w:noBreakHyphen/>
        </w:r>
        <w:r w:rsidR="004F7313">
          <w:rPr>
            <w:rStyle w:val="Hyperlink"/>
          </w:rPr>
          <w:t>Model</w:t>
        </w:r>
        <w:r w:rsidR="00AA2BF4">
          <w:rPr>
            <w:rStyle w:val="Hyperlink"/>
          </w:rPr>
          <w:noBreakHyphen/>
        </w:r>
        <w:r w:rsidR="004F7313">
          <w:rPr>
            <w:rStyle w:val="Hyperlink"/>
          </w:rPr>
          <w:t>Report</w:t>
        </w:r>
      </w:hyperlink>
      <w:r w:rsidRPr="005A24F3">
        <w:t>.</w:t>
      </w:r>
    </w:p>
    <w:p w:rsidR="00CB23CC" w:rsidRPr="002904C9" w:rsidRDefault="00CB23CC" w:rsidP="007D03CC">
      <w:pPr>
        <w:pStyle w:val="Heading3"/>
      </w:pPr>
      <w:r w:rsidRPr="00D20F7C">
        <w:t>AASB 124</w:t>
      </w:r>
      <w:r w:rsidR="00215FBE" w:rsidRPr="00D20F7C">
        <w:t xml:space="preserve"> </w:t>
      </w:r>
      <w:r w:rsidR="00215FBE" w:rsidRPr="006C7924">
        <w:rPr>
          <w:i/>
        </w:rPr>
        <w:t>R</w:t>
      </w:r>
      <w:r w:rsidR="007D03CC" w:rsidRPr="006C7924">
        <w:rPr>
          <w:i/>
        </w:rPr>
        <w:t>elated Party Disclosure</w:t>
      </w:r>
      <w:r w:rsidR="006C7924" w:rsidRPr="006C7924">
        <w:rPr>
          <w:i/>
        </w:rPr>
        <w:t>s</w:t>
      </w:r>
    </w:p>
    <w:p w:rsidR="002F5CAE" w:rsidRDefault="00240CF0" w:rsidP="003053A2">
      <w:r>
        <w:t>T</w:t>
      </w:r>
      <w:r w:rsidR="002F5CAE">
        <w:t xml:space="preserve">he </w:t>
      </w:r>
      <w:r w:rsidR="002F5CAE" w:rsidRPr="003B37E1">
        <w:t xml:space="preserve">scope of AASB 124 </w:t>
      </w:r>
      <w:r w:rsidR="002F5CAE">
        <w:t>has been extended to</w:t>
      </w:r>
      <w:r w:rsidR="002F5CAE" w:rsidRPr="003B37E1">
        <w:t xml:space="preserve"> include all </w:t>
      </w:r>
      <w:r w:rsidR="007D10F9">
        <w:t>NFP</w:t>
      </w:r>
      <w:r w:rsidR="002F5CAE" w:rsidRPr="003B37E1">
        <w:t xml:space="preserve"> entities, applic</w:t>
      </w:r>
      <w:r w:rsidR="003053A2">
        <w:t>able from 1 July 2016 (i.e. the </w:t>
      </w:r>
      <w:r w:rsidR="004579F9">
        <w:t>2016</w:t>
      </w:r>
      <w:r w:rsidR="00AA2BF4">
        <w:noBreakHyphen/>
      </w:r>
      <w:r w:rsidR="004579F9">
        <w:t>17 reporting period)</w:t>
      </w:r>
      <w:r w:rsidR="003050A2">
        <w:t>, with no comparatives required</w:t>
      </w:r>
      <w:r w:rsidR="002F5CAE" w:rsidRPr="003B37E1">
        <w:t xml:space="preserve">. </w:t>
      </w:r>
      <w:r w:rsidR="002F5CAE" w:rsidRPr="00786C3F">
        <w:t>December year</w:t>
      </w:r>
      <w:r w:rsidR="00AA2BF4">
        <w:noBreakHyphen/>
      </w:r>
      <w:r w:rsidR="002F5CAE" w:rsidRPr="00786C3F">
        <w:t xml:space="preserve">end </w:t>
      </w:r>
      <w:r w:rsidR="003053A2">
        <w:t>reporters will apply the </w:t>
      </w:r>
      <w:r w:rsidR="002F5CAE" w:rsidRPr="00786C3F">
        <w:t>accounting standard from 1 January 2017.</w:t>
      </w:r>
    </w:p>
    <w:p w:rsidR="002F5CAE" w:rsidRDefault="002F5CAE" w:rsidP="002F5CAE">
      <w:r>
        <w:t>G</w:t>
      </w:r>
      <w:r w:rsidRPr="006D6EC7">
        <w:t>uidance information to assist entities with the implementation of this standard is now available in the ‘Financial Reporting Pol</w:t>
      </w:r>
      <w:r w:rsidR="00240CF0">
        <w:t>icy’ section of DTF</w:t>
      </w:r>
      <w:r w:rsidR="00B10638">
        <w:t>’s</w:t>
      </w:r>
      <w:r w:rsidR="00240CF0">
        <w:t xml:space="preserve"> website at </w:t>
      </w:r>
      <w:hyperlink r:id="rId16" w:history="1">
        <w:r w:rsidR="00240CF0" w:rsidRPr="004F7313">
          <w:rPr>
            <w:rStyle w:val="Hyperlink"/>
          </w:rPr>
          <w:t>http://www.dtf.vic.gov.au/Publications/Government</w:t>
        </w:r>
        <w:r w:rsidR="00AA2BF4">
          <w:rPr>
            <w:rStyle w:val="Hyperlink"/>
          </w:rPr>
          <w:noBreakHyphen/>
        </w:r>
        <w:r w:rsidR="00240CF0" w:rsidRPr="004F7313">
          <w:rPr>
            <w:rStyle w:val="Hyperlink"/>
          </w:rPr>
          <w:t>Financial</w:t>
        </w:r>
        <w:r w:rsidR="00AA2BF4">
          <w:rPr>
            <w:rStyle w:val="Hyperlink"/>
          </w:rPr>
          <w:noBreakHyphen/>
        </w:r>
        <w:r w:rsidR="00240CF0" w:rsidRPr="004F7313">
          <w:rPr>
            <w:rStyle w:val="Hyperlink"/>
          </w:rPr>
          <w:t>Management</w:t>
        </w:r>
        <w:r w:rsidR="00AA2BF4">
          <w:rPr>
            <w:rStyle w:val="Hyperlink"/>
          </w:rPr>
          <w:noBreakHyphen/>
        </w:r>
        <w:r w:rsidR="00240CF0" w:rsidRPr="004F7313">
          <w:rPr>
            <w:rStyle w:val="Hyperlink"/>
          </w:rPr>
          <w:t>publications/Financial</w:t>
        </w:r>
        <w:r w:rsidR="00AA2BF4">
          <w:rPr>
            <w:rStyle w:val="Hyperlink"/>
          </w:rPr>
          <w:noBreakHyphen/>
        </w:r>
        <w:r w:rsidR="00240CF0" w:rsidRPr="004F7313">
          <w:rPr>
            <w:rStyle w:val="Hyperlink"/>
          </w:rPr>
          <w:t>reporting</w:t>
        </w:r>
        <w:r w:rsidR="00AA2BF4">
          <w:rPr>
            <w:rStyle w:val="Hyperlink"/>
          </w:rPr>
          <w:noBreakHyphen/>
        </w:r>
        <w:r w:rsidR="00240CF0" w:rsidRPr="004F7313">
          <w:rPr>
            <w:rStyle w:val="Hyperlink"/>
          </w:rPr>
          <w:t>policy/AASB</w:t>
        </w:r>
        <w:r w:rsidR="00AA2BF4">
          <w:rPr>
            <w:rStyle w:val="Hyperlink"/>
          </w:rPr>
          <w:noBreakHyphen/>
        </w:r>
        <w:r w:rsidR="00240CF0" w:rsidRPr="004F7313">
          <w:rPr>
            <w:rStyle w:val="Hyperlink"/>
          </w:rPr>
          <w:t>124</w:t>
        </w:r>
        <w:r w:rsidR="00AA2BF4">
          <w:rPr>
            <w:rStyle w:val="Hyperlink"/>
          </w:rPr>
          <w:noBreakHyphen/>
        </w:r>
        <w:r w:rsidR="00240CF0" w:rsidRPr="004F7313">
          <w:rPr>
            <w:rStyle w:val="Hyperlink"/>
          </w:rPr>
          <w:t>Related</w:t>
        </w:r>
        <w:r w:rsidR="00AA2BF4">
          <w:rPr>
            <w:rStyle w:val="Hyperlink"/>
          </w:rPr>
          <w:noBreakHyphen/>
        </w:r>
        <w:r w:rsidR="00240CF0" w:rsidRPr="004F7313">
          <w:rPr>
            <w:rStyle w:val="Hyperlink"/>
          </w:rPr>
          <w:t>Party</w:t>
        </w:r>
        <w:r w:rsidR="00AA2BF4">
          <w:rPr>
            <w:rStyle w:val="Hyperlink"/>
          </w:rPr>
          <w:noBreakHyphen/>
        </w:r>
        <w:r w:rsidR="00240CF0" w:rsidRPr="004F7313">
          <w:rPr>
            <w:rStyle w:val="Hyperlink"/>
          </w:rPr>
          <w:t>Disclosures</w:t>
        </w:r>
      </w:hyperlink>
      <w:r w:rsidR="00240CF0">
        <w:t>.</w:t>
      </w:r>
    </w:p>
    <w:p w:rsidR="002F5CAE" w:rsidRDefault="002F5CAE" w:rsidP="008532AF">
      <w:pPr>
        <w:pStyle w:val="Heading4"/>
      </w:pPr>
      <w:r>
        <w:t>Identifying</w:t>
      </w:r>
      <w:r w:rsidR="008532AF">
        <w:t xml:space="preserve"> key management personnel (KMP)</w:t>
      </w:r>
    </w:p>
    <w:p w:rsidR="002F5CAE" w:rsidRPr="00384871" w:rsidRDefault="002F5CAE" w:rsidP="002F5CAE">
      <w:r>
        <w:t>AASB 124.9</w:t>
      </w:r>
      <w:r w:rsidRPr="00384871">
        <w:t xml:space="preserve"> defines KMP as those people with the authority and responsibility for planning, directing and controlling the activities of the entity, directly or indirectly, i.e. those charged with strategic decision making responsibilities.</w:t>
      </w:r>
    </w:p>
    <w:p w:rsidR="002F5CAE" w:rsidRDefault="002F5CAE" w:rsidP="002F5CAE">
      <w:r w:rsidRPr="00031798">
        <w:lastRenderedPageBreak/>
        <w:t xml:space="preserve">As Cabinet is the principal decision making body of the government, all cabinet ministers are considered KMP of the State. Portfolio ministers are responsible for the oversight of their portfolio departments and entities, and </w:t>
      </w:r>
      <w:r>
        <w:t>are therefore considered KMP</w:t>
      </w:r>
      <w:r w:rsidRPr="00031798">
        <w:t xml:space="preserve"> of their </w:t>
      </w:r>
      <w:r>
        <w:t>respective</w:t>
      </w:r>
      <w:r w:rsidRPr="00031798">
        <w:t xml:space="preserve"> portfolio entities. </w:t>
      </w:r>
    </w:p>
    <w:p w:rsidR="002F5CAE" w:rsidRPr="00087CCC" w:rsidRDefault="002F5CAE" w:rsidP="002F5CAE">
      <w:r>
        <w:t>In addition, all departments and agencies need to determine which of their executives meet the</w:t>
      </w:r>
      <w:r w:rsidRPr="00031798">
        <w:t xml:space="preserve"> definition of a KMP </w:t>
      </w:r>
      <w:r>
        <w:t xml:space="preserve">under AASB 124. </w:t>
      </w:r>
      <w:r>
        <w:rPr>
          <w:rFonts w:hAnsi="Arial"/>
          <w:color w:val="000000" w:themeColor="text1"/>
          <w:kern w:val="24"/>
        </w:rPr>
        <w:t xml:space="preserve">As a rule of thumb, the number of KMPs will be driven by the entity's governance structure and how the entity makes decisions on its operations as a whole. </w:t>
      </w:r>
    </w:p>
    <w:p w:rsidR="002F5CAE" w:rsidRDefault="002F5CAE" w:rsidP="002F5CAE">
      <w:pPr>
        <w:rPr>
          <w:rFonts w:hAnsi="Arial"/>
          <w:color w:val="000000" w:themeColor="text1"/>
          <w:kern w:val="24"/>
        </w:rPr>
      </w:pPr>
      <w:r>
        <w:rPr>
          <w:rFonts w:hAnsi="Arial"/>
          <w:color w:val="000000" w:themeColor="text1"/>
          <w:kern w:val="24"/>
        </w:rPr>
        <w:t xml:space="preserve">Generally, the expectation is that executive KMP will include members of the Governance Board as they are the governing body responsible for the delivery of the entity’s service. Departments and agencies then need to assess whether </w:t>
      </w:r>
      <w:r w:rsidRPr="00003D66">
        <w:rPr>
          <w:rFonts w:hAnsi="Arial"/>
          <w:b/>
          <w:color w:val="000000" w:themeColor="text1"/>
          <w:kern w:val="24"/>
        </w:rPr>
        <w:t>some or all</w:t>
      </w:r>
      <w:r>
        <w:rPr>
          <w:rFonts w:hAnsi="Arial"/>
          <w:color w:val="000000" w:themeColor="text1"/>
          <w:kern w:val="24"/>
        </w:rPr>
        <w:t xml:space="preserve"> of the members of their leadership team meet the</w:t>
      </w:r>
      <w:r w:rsidR="008532AF">
        <w:rPr>
          <w:rFonts w:hAnsi="Arial"/>
          <w:color w:val="000000" w:themeColor="text1"/>
          <w:kern w:val="24"/>
        </w:rPr>
        <w:t xml:space="preserve"> definition of a KMP under AASB </w:t>
      </w:r>
      <w:r>
        <w:rPr>
          <w:rFonts w:hAnsi="Arial"/>
          <w:color w:val="000000" w:themeColor="text1"/>
          <w:kern w:val="24"/>
        </w:rPr>
        <w:t xml:space="preserve">124. </w:t>
      </w:r>
    </w:p>
    <w:p w:rsidR="002F5CAE" w:rsidRDefault="002F5CAE" w:rsidP="002F5CAE">
      <w:pPr>
        <w:rPr>
          <w:rFonts w:hAnsi="Arial"/>
          <w:color w:val="000000" w:themeColor="text1"/>
          <w:kern w:val="24"/>
        </w:rPr>
      </w:pPr>
      <w:r>
        <w:rPr>
          <w:rFonts w:hAnsi="Arial"/>
          <w:color w:val="000000" w:themeColor="text1"/>
          <w:kern w:val="24"/>
        </w:rPr>
        <w:t xml:space="preserve">For executives or senior managers </w:t>
      </w:r>
      <w:r w:rsidR="00B10638">
        <w:rPr>
          <w:rFonts w:hAnsi="Arial"/>
          <w:color w:val="000000" w:themeColor="text1"/>
          <w:kern w:val="24"/>
        </w:rPr>
        <w:t xml:space="preserve">who </w:t>
      </w:r>
      <w:r>
        <w:rPr>
          <w:rFonts w:hAnsi="Arial"/>
          <w:color w:val="000000" w:themeColor="text1"/>
          <w:kern w:val="24"/>
        </w:rPr>
        <w:t>have</w:t>
      </w:r>
      <w:r w:rsidR="004579F9">
        <w:rPr>
          <w:rFonts w:hAnsi="Arial"/>
          <w:color w:val="000000" w:themeColor="text1"/>
          <w:kern w:val="24"/>
        </w:rPr>
        <w:t xml:space="preserve"> only</w:t>
      </w:r>
      <w:r>
        <w:rPr>
          <w:rFonts w:hAnsi="Arial"/>
          <w:color w:val="000000" w:themeColor="text1"/>
          <w:kern w:val="24"/>
        </w:rPr>
        <w:t xml:space="preserve"> been</w:t>
      </w:r>
      <w:r>
        <w:rPr>
          <w:rFonts w:hAnsi="Arial"/>
          <w:b/>
          <w:bCs/>
          <w:color w:val="000000" w:themeColor="text1"/>
          <w:kern w:val="24"/>
        </w:rPr>
        <w:t xml:space="preserve"> </w:t>
      </w:r>
      <w:r w:rsidR="004579F9">
        <w:rPr>
          <w:rFonts w:hAnsi="Arial"/>
          <w:color w:val="000000" w:themeColor="text1"/>
          <w:kern w:val="24"/>
        </w:rPr>
        <w:t xml:space="preserve">delegated </w:t>
      </w:r>
      <w:r>
        <w:rPr>
          <w:rFonts w:hAnsi="Arial"/>
          <w:color w:val="000000" w:themeColor="text1"/>
          <w:kern w:val="24"/>
        </w:rPr>
        <w:t>operational authority for a discrete function of the entity</w:t>
      </w:r>
      <w:r w:rsidR="00540ED9">
        <w:rPr>
          <w:rFonts w:hAnsi="Arial"/>
          <w:color w:val="000000" w:themeColor="text1"/>
          <w:kern w:val="24"/>
        </w:rPr>
        <w:t xml:space="preserve"> and not responsibilities</w:t>
      </w:r>
      <w:r w:rsidR="004579F9">
        <w:rPr>
          <w:rFonts w:hAnsi="Arial"/>
          <w:color w:val="000000" w:themeColor="text1"/>
          <w:kern w:val="24"/>
        </w:rPr>
        <w:t xml:space="preserve"> for the activities of the entity as a whole</w:t>
      </w:r>
      <w:r>
        <w:rPr>
          <w:rFonts w:hAnsi="Arial"/>
          <w:color w:val="000000" w:themeColor="text1"/>
          <w:kern w:val="24"/>
        </w:rPr>
        <w:t xml:space="preserve">, they will not be considered KMP for the purposes of AASB 124. </w:t>
      </w:r>
    </w:p>
    <w:p w:rsidR="002F5CAE" w:rsidRPr="00155A63" w:rsidRDefault="002F5CAE" w:rsidP="002F5CAE">
      <w:pPr>
        <w:rPr>
          <w:rFonts w:hAnsi="Arial"/>
          <w:color w:val="000000" w:themeColor="text1"/>
          <w:kern w:val="24"/>
        </w:rPr>
      </w:pPr>
      <w:r w:rsidRPr="00155A63">
        <w:rPr>
          <w:rFonts w:hAnsi="Arial"/>
          <w:color w:val="000000" w:themeColor="text1"/>
          <w:kern w:val="24"/>
        </w:rPr>
        <w:t xml:space="preserve">Guidance </w:t>
      </w:r>
      <w:r>
        <w:rPr>
          <w:rFonts w:hAnsi="Arial"/>
          <w:color w:val="000000" w:themeColor="text1"/>
          <w:kern w:val="24"/>
        </w:rPr>
        <w:t>has been</w:t>
      </w:r>
      <w:r w:rsidRPr="00155A63">
        <w:rPr>
          <w:rFonts w:hAnsi="Arial"/>
          <w:color w:val="000000" w:themeColor="text1"/>
          <w:kern w:val="24"/>
        </w:rPr>
        <w:t xml:space="preserve"> included </w:t>
      </w:r>
      <w:r>
        <w:rPr>
          <w:rFonts w:hAnsi="Arial"/>
          <w:color w:val="000000" w:themeColor="text1"/>
          <w:kern w:val="24"/>
        </w:rPr>
        <w:t xml:space="preserve">on page 210 of </w:t>
      </w:r>
      <w:r w:rsidRPr="00155A63">
        <w:rPr>
          <w:rFonts w:hAnsi="Arial"/>
          <w:color w:val="000000" w:themeColor="text1"/>
          <w:kern w:val="24"/>
        </w:rPr>
        <w:t xml:space="preserve">the </w:t>
      </w:r>
      <w:r w:rsidRPr="007A3DAE">
        <w:t>2016</w:t>
      </w:r>
      <w:r w:rsidR="00AA2BF4">
        <w:noBreakHyphen/>
      </w:r>
      <w:r w:rsidRPr="007A3DAE">
        <w:t>17</w:t>
      </w:r>
      <w:r w:rsidRPr="00155A63">
        <w:rPr>
          <w:i/>
        </w:rPr>
        <w:t xml:space="preserve"> </w:t>
      </w:r>
      <w:r w:rsidR="007A3DAE">
        <w:t xml:space="preserve">Model </w:t>
      </w:r>
      <w:r>
        <w:t>of</w:t>
      </w:r>
      <w:r w:rsidRPr="00155A63">
        <w:t xml:space="preserve"> other considerations for departments</w:t>
      </w:r>
      <w:r>
        <w:t xml:space="preserve"> in their assessment of KMP</w:t>
      </w:r>
      <w:r w:rsidR="00DF5159">
        <w:t xml:space="preserve">, including </w:t>
      </w:r>
      <w:r w:rsidR="00B10638">
        <w:t>s</w:t>
      </w:r>
      <w:r w:rsidRPr="00155A63">
        <w:t xml:space="preserve">ection 53(1) entities, </w:t>
      </w:r>
      <w:r>
        <w:t>a</w:t>
      </w:r>
      <w:r w:rsidRPr="00155A63">
        <w:t xml:space="preserve">dministrative </w:t>
      </w:r>
      <w:r>
        <w:t>offices</w:t>
      </w:r>
      <w:r w:rsidRPr="00155A63">
        <w:t xml:space="preserve"> and statutory appointees</w:t>
      </w:r>
      <w:r>
        <w:t xml:space="preserve">. </w:t>
      </w:r>
    </w:p>
    <w:p w:rsidR="002F5CAE" w:rsidRPr="0008125A" w:rsidRDefault="002F5CAE" w:rsidP="0008125A">
      <w:pPr>
        <w:pStyle w:val="Heading4"/>
      </w:pPr>
      <w:r w:rsidRPr="0008125A">
        <w:t>Undertaking due diligence processes</w:t>
      </w:r>
    </w:p>
    <w:p w:rsidR="002F5CAE" w:rsidRPr="007F317B" w:rsidRDefault="002F5CAE" w:rsidP="002F5CAE">
      <w:r w:rsidRPr="007F317B">
        <w:t>The information collected from the KMP declaration certificates only forms part of the broader process for collect</w:t>
      </w:r>
      <w:r w:rsidR="004579F9">
        <w:t>ing</w:t>
      </w:r>
      <w:r w:rsidRPr="007F317B">
        <w:t xml:space="preserve"> data required for their AASB 124 disclosures. </w:t>
      </w:r>
      <w:r w:rsidR="004579F9">
        <w:t>E</w:t>
      </w:r>
      <w:r w:rsidRPr="007F317B">
        <w:t xml:space="preserve">ntities will </w:t>
      </w:r>
      <w:r w:rsidR="004579F9">
        <w:t xml:space="preserve">also </w:t>
      </w:r>
      <w:r w:rsidRPr="007F317B">
        <w:t>need to ensure they complete due</w:t>
      </w:r>
      <w:r w:rsidR="008F5E8E">
        <w:t xml:space="preserve"> diligence processes using the </w:t>
      </w:r>
      <w:r w:rsidR="008532AF">
        <w:t>‘</w:t>
      </w:r>
      <w:r w:rsidRPr="007F317B">
        <w:t>entity m</w:t>
      </w:r>
      <w:r w:rsidR="008F5E8E">
        <w:t>anagement checklist</w:t>
      </w:r>
      <w:r w:rsidR="008532AF">
        <w:t>’</w:t>
      </w:r>
      <w:r w:rsidRPr="007F317B">
        <w:t xml:space="preserve"> to validate and ensure completeness of the related party transactions declared</w:t>
      </w:r>
      <w:r>
        <w:t>, and</w:t>
      </w:r>
      <w:r w:rsidRPr="007F317B">
        <w:t xml:space="preserve"> ensure </w:t>
      </w:r>
      <w:r>
        <w:t xml:space="preserve">sufficient documentation is maintained </w:t>
      </w:r>
      <w:r w:rsidRPr="007F317B">
        <w:t>for audit</w:t>
      </w:r>
      <w:r>
        <w:t xml:space="preserve"> certification</w:t>
      </w:r>
      <w:r w:rsidRPr="007F317B">
        <w:t xml:space="preserve">. </w:t>
      </w:r>
    </w:p>
    <w:p w:rsidR="002F5CAE" w:rsidRDefault="002F5CAE" w:rsidP="002F5CAE">
      <w:r>
        <w:t xml:space="preserve">Departments and agencies should complete </w:t>
      </w:r>
      <w:r w:rsidRPr="007F317B">
        <w:t>their due diligence processes using available information</w:t>
      </w:r>
      <w:r>
        <w:t xml:space="preserve"> </w:t>
      </w:r>
      <w:r w:rsidRPr="007F317B">
        <w:t xml:space="preserve">including the </w:t>
      </w:r>
      <w:r w:rsidR="008532AF">
        <w:t>‘</w:t>
      </w:r>
      <w:r w:rsidR="008F5E8E">
        <w:t>Register of members interests</w:t>
      </w:r>
      <w:r w:rsidR="008532AF">
        <w:t>’</w:t>
      </w:r>
      <w:r w:rsidRPr="007F317B">
        <w:t xml:space="preserve"> for Ministers and </w:t>
      </w:r>
      <w:r w:rsidR="008532AF">
        <w:t>‘</w:t>
      </w:r>
      <w:r w:rsidRPr="007F317B">
        <w:t>Declaration and manag</w:t>
      </w:r>
      <w:r w:rsidR="008F5E8E">
        <w:t>ement of private interests form</w:t>
      </w:r>
      <w:r w:rsidR="008532AF">
        <w:t>’</w:t>
      </w:r>
      <w:r w:rsidRPr="007F317B">
        <w:t xml:space="preserve"> for executives.</w:t>
      </w:r>
      <w:r>
        <w:t xml:space="preserve"> Note that due diligence processes will need to be performed for </w:t>
      </w:r>
      <w:r w:rsidRPr="00B54B11">
        <w:rPr>
          <w:b/>
        </w:rPr>
        <w:t>all</w:t>
      </w:r>
      <w:r>
        <w:t xml:space="preserve"> Cabinet Ministers as they are considered related parties of all entities controlled by the State. </w:t>
      </w:r>
    </w:p>
    <w:p w:rsidR="002F5CAE" w:rsidRPr="006D6EC7" w:rsidRDefault="009A2FCB" w:rsidP="002F5CAE">
      <w:r>
        <w:t xml:space="preserve">A copy of the </w:t>
      </w:r>
      <w:r w:rsidR="008532AF">
        <w:t>‘</w:t>
      </w:r>
      <w:r>
        <w:t>E</w:t>
      </w:r>
      <w:r w:rsidR="008F5E8E">
        <w:t>ntity management checklist</w:t>
      </w:r>
      <w:r w:rsidR="008532AF">
        <w:t>’</w:t>
      </w:r>
      <w:r w:rsidR="008F5E8E">
        <w:t xml:space="preserve"> is included in </w:t>
      </w:r>
      <w:r w:rsidR="008F5E8E">
        <w:rPr>
          <w:caps/>
        </w:rPr>
        <w:t>A</w:t>
      </w:r>
      <w:r w:rsidR="002F5CAE">
        <w:t xml:space="preserve">ppendix 10 of </w:t>
      </w:r>
      <w:r w:rsidR="008F5E8E">
        <w:t xml:space="preserve">the </w:t>
      </w:r>
      <w:r w:rsidR="004579F9">
        <w:t>20</w:t>
      </w:r>
      <w:r>
        <w:t>16</w:t>
      </w:r>
      <w:r w:rsidR="00AA2BF4">
        <w:noBreakHyphen/>
      </w:r>
      <w:r>
        <w:t xml:space="preserve">17 </w:t>
      </w:r>
      <w:r w:rsidR="008F5E8E">
        <w:t>Model</w:t>
      </w:r>
      <w:r w:rsidR="002F5CAE">
        <w:t xml:space="preserve"> and can be downloaded from DTF</w:t>
      </w:r>
      <w:r w:rsidR="0037490A">
        <w:t>’s</w:t>
      </w:r>
      <w:r w:rsidR="002F5CAE">
        <w:t xml:space="preserve"> website. </w:t>
      </w:r>
    </w:p>
    <w:p w:rsidR="002F5CAE" w:rsidRDefault="008532AF" w:rsidP="0008125A">
      <w:pPr>
        <w:pStyle w:val="Heading4"/>
      </w:pPr>
      <w:r>
        <w:t>Disclosures</w:t>
      </w:r>
    </w:p>
    <w:p w:rsidR="002F5CAE" w:rsidRDefault="002F5CAE" w:rsidP="0008125A">
      <w:pPr>
        <w:pStyle w:val="Bullet1"/>
      </w:pPr>
      <w:r>
        <w:t>Related party transactions</w:t>
      </w:r>
    </w:p>
    <w:p w:rsidR="002F5CAE" w:rsidRPr="00CD2B7F" w:rsidRDefault="004D5B31" w:rsidP="002F5CAE">
      <w:r>
        <w:t>While</w:t>
      </w:r>
      <w:r w:rsidR="002F5CAE" w:rsidRPr="00CD2B7F">
        <w:t xml:space="preserve"> KMP have to </w:t>
      </w:r>
      <w:r w:rsidR="002F5CAE" w:rsidRPr="00361E9B">
        <w:rPr>
          <w:b/>
        </w:rPr>
        <w:t>declare</w:t>
      </w:r>
      <w:r w:rsidR="002F5CAE" w:rsidRPr="00CD2B7F">
        <w:t xml:space="preserve"> all related party transactions for the period, only material related party transactions and outstanding balances will be </w:t>
      </w:r>
      <w:r w:rsidR="002F5CAE" w:rsidRPr="00361E9B">
        <w:rPr>
          <w:b/>
        </w:rPr>
        <w:t>disclosed</w:t>
      </w:r>
      <w:r w:rsidR="002F5CAE" w:rsidRPr="00CD2B7F">
        <w:t xml:space="preserve"> in entities</w:t>
      </w:r>
      <w:r w:rsidR="008927E0">
        <w:t>’</w:t>
      </w:r>
      <w:r w:rsidR="002F5CAE" w:rsidRPr="00CD2B7F">
        <w:t xml:space="preserve"> financial statements. </w:t>
      </w:r>
    </w:p>
    <w:p w:rsidR="002F5CAE" w:rsidRDefault="004579F9" w:rsidP="004579F9">
      <w:r>
        <w:t>W</w:t>
      </w:r>
      <w:r w:rsidRPr="00B15A14">
        <w:t>hen assessing materiality</w:t>
      </w:r>
      <w:r w:rsidR="004D5B31">
        <w:t>, r</w:t>
      </w:r>
      <w:r w:rsidR="004D5B31" w:rsidRPr="00B15A14">
        <w:t xml:space="preserve">elated party transactions will need to be </w:t>
      </w:r>
      <w:r w:rsidR="004D5B31">
        <w:t>considered either separately or in aggregate. A</w:t>
      </w:r>
      <w:r w:rsidR="002F5CAE" w:rsidRPr="00B15A14">
        <w:t>s a rule of thumb, regard is given to a quantitative threshold of 10 per cent of the entity’s key line items such as net results from transactions, total revenue, total expenses, total assets and total liabilities, depending on the nature of the transaction</w:t>
      </w:r>
      <w:r w:rsidR="002F5CAE">
        <w:t xml:space="preserve">. </w:t>
      </w:r>
      <w:r w:rsidR="002F5CAE" w:rsidRPr="00B15A14">
        <w:t>Transactions in excess of 5</w:t>
      </w:r>
      <w:r w:rsidR="002F5CAE">
        <w:t xml:space="preserve"> per cent</w:t>
      </w:r>
      <w:r w:rsidR="002F5CAE" w:rsidRPr="00B15A14">
        <w:t xml:space="preserve"> of the relevant line items </w:t>
      </w:r>
      <w:r w:rsidR="002F5CAE">
        <w:t>should</w:t>
      </w:r>
      <w:r w:rsidR="002F5CAE" w:rsidRPr="00B15A14">
        <w:t xml:space="preserve"> also be cons</w:t>
      </w:r>
      <w:r w:rsidR="004D5B31">
        <w:t>idered for potential disclosure</w:t>
      </w:r>
      <w:r w:rsidR="002F5CAE">
        <w:t xml:space="preserve">. </w:t>
      </w:r>
      <w:r w:rsidR="002F5CAE" w:rsidRPr="00B15A14">
        <w:t xml:space="preserve">Items of a similar nature may be disclosed in aggregate except where separate disclosure is necessary for an understanding of the effects of related party transactions on the financial statements of the department or entity </w:t>
      </w:r>
      <w:r w:rsidR="002F5CAE">
        <w:t xml:space="preserve">(i.e. </w:t>
      </w:r>
      <w:r w:rsidR="002F5CAE" w:rsidRPr="00B15A14">
        <w:t>individual transactions that are unusual in nature or significantly material by amount</w:t>
      </w:r>
      <w:r w:rsidR="002F5CAE">
        <w:t>)</w:t>
      </w:r>
      <w:r w:rsidR="002F5CAE" w:rsidRPr="00B15A14">
        <w:t>.</w:t>
      </w:r>
    </w:p>
    <w:p w:rsidR="002F5CAE" w:rsidRPr="00CA5384" w:rsidRDefault="002F5CAE" w:rsidP="002F5CAE">
      <w:r>
        <w:t xml:space="preserve">Illustrative examples of a separate disclosure and an aggregate disclosure are included on page 209 of the </w:t>
      </w:r>
      <w:r w:rsidR="008927E0">
        <w:t>Model</w:t>
      </w:r>
      <w:r w:rsidRPr="00CA5384">
        <w:t xml:space="preserve">. </w:t>
      </w:r>
    </w:p>
    <w:p w:rsidR="002F5CAE" w:rsidRDefault="002F5CAE" w:rsidP="0008125A">
      <w:pPr>
        <w:pStyle w:val="Bullet1"/>
      </w:pPr>
      <w:r>
        <w:t>Remuneration of KMP</w:t>
      </w:r>
    </w:p>
    <w:p w:rsidR="002F5CAE" w:rsidRDefault="002F5CAE" w:rsidP="002F5CAE">
      <w:r>
        <w:t xml:space="preserve">Under AASB 124, the scope of remuneration is extended to include all employee benefits (as defined in AASB 119 </w:t>
      </w:r>
      <w:r w:rsidRPr="006935C1">
        <w:rPr>
          <w:i/>
        </w:rPr>
        <w:t>Employee Benefits</w:t>
      </w:r>
      <w:r>
        <w:t>), which includes all forms of consideration paid, payable or provided by the entity, or on behalf of the entity, in exchange for services rendered. It also includes amounts paid on behalf of a parent of the entity in respect of the entity.</w:t>
      </w:r>
    </w:p>
    <w:p w:rsidR="004D5B31" w:rsidRDefault="002F5CAE" w:rsidP="00577D9E">
      <w:pPr>
        <w:rPr>
          <w:szCs w:val="18"/>
        </w:rPr>
      </w:pPr>
      <w:r>
        <w:t xml:space="preserve">Remuneration will therefore include </w:t>
      </w:r>
      <w:r w:rsidRPr="008257D6">
        <w:rPr>
          <w:b/>
        </w:rPr>
        <w:t>non</w:t>
      </w:r>
      <w:r w:rsidR="00AA2BF4">
        <w:rPr>
          <w:b/>
        </w:rPr>
        <w:noBreakHyphen/>
      </w:r>
      <w:r w:rsidRPr="008257D6">
        <w:rPr>
          <w:b/>
        </w:rPr>
        <w:t>monetary benefits</w:t>
      </w:r>
      <w:r>
        <w:t xml:space="preserve"> such as a motor vehicle, private health insurance, accommodation/relocation allowances, stu</w:t>
      </w:r>
      <w:r w:rsidR="00D539CF">
        <w:t>dy and free or subsidised goods</w:t>
      </w:r>
      <w:r w:rsidR="00577D9E">
        <w:t>.</w:t>
      </w:r>
      <w:r>
        <w:t xml:space="preserve"> </w:t>
      </w:r>
      <w:r w:rsidR="004D5B31">
        <w:rPr>
          <w:szCs w:val="18"/>
        </w:rPr>
        <w:br w:type="page"/>
      </w:r>
    </w:p>
    <w:p w:rsidR="002F5CAE" w:rsidRPr="00A225CE" w:rsidRDefault="002F5CAE" w:rsidP="002F5CAE">
      <w:pPr>
        <w:rPr>
          <w:szCs w:val="18"/>
        </w:rPr>
      </w:pPr>
      <w:r w:rsidRPr="00A225CE">
        <w:rPr>
          <w:szCs w:val="18"/>
        </w:rPr>
        <w:lastRenderedPageBreak/>
        <w:t>In addition, the standard requires remuneration of KMP to be disaggregated between five specified categories according to the nature of the payment. The</w:t>
      </w:r>
      <w:r>
        <w:rPr>
          <w:szCs w:val="18"/>
        </w:rPr>
        <w:t>se</w:t>
      </w:r>
      <w:r w:rsidRPr="00A225CE">
        <w:rPr>
          <w:szCs w:val="18"/>
        </w:rPr>
        <w:t xml:space="preserve"> categories include: </w:t>
      </w:r>
    </w:p>
    <w:p w:rsidR="002F5CAE" w:rsidRDefault="002F5CAE" w:rsidP="003053A2">
      <w:pPr>
        <w:pStyle w:val="Bullet1"/>
      </w:pPr>
      <w:r>
        <w:t>short</w:t>
      </w:r>
      <w:r w:rsidR="00AA2BF4">
        <w:noBreakHyphen/>
      </w:r>
      <w:r>
        <w:t xml:space="preserve">term benefits; </w:t>
      </w:r>
    </w:p>
    <w:p w:rsidR="002F5CAE" w:rsidRDefault="002F5CAE" w:rsidP="003053A2">
      <w:pPr>
        <w:pStyle w:val="Bullet1"/>
      </w:pPr>
      <w:r>
        <w:t>post</w:t>
      </w:r>
      <w:r w:rsidR="00AA2BF4">
        <w:noBreakHyphen/>
      </w:r>
      <w:r>
        <w:t>employment benefits;</w:t>
      </w:r>
    </w:p>
    <w:p w:rsidR="002F5CAE" w:rsidRDefault="002F5CAE" w:rsidP="003053A2">
      <w:pPr>
        <w:pStyle w:val="Bullet1"/>
      </w:pPr>
      <w:r>
        <w:t>other long</w:t>
      </w:r>
      <w:r w:rsidR="00AA2BF4">
        <w:noBreakHyphen/>
      </w:r>
      <w:r>
        <w:t xml:space="preserve">term benefits; </w:t>
      </w:r>
    </w:p>
    <w:p w:rsidR="002F5CAE" w:rsidRDefault="002F5CAE" w:rsidP="003053A2">
      <w:pPr>
        <w:pStyle w:val="Bullet1"/>
      </w:pPr>
      <w:r>
        <w:t xml:space="preserve">termination benefits; and </w:t>
      </w:r>
    </w:p>
    <w:p w:rsidR="002F5CAE" w:rsidRPr="00144AEA" w:rsidRDefault="002F5CAE" w:rsidP="003053A2">
      <w:pPr>
        <w:pStyle w:val="Bullet1"/>
      </w:pPr>
      <w:r>
        <w:t>share</w:t>
      </w:r>
      <w:r w:rsidR="00AA2BF4">
        <w:noBreakHyphen/>
      </w:r>
      <w:r>
        <w:t xml:space="preserve">based payments. </w:t>
      </w:r>
    </w:p>
    <w:p w:rsidR="002F5CAE" w:rsidRDefault="002F5CAE" w:rsidP="002F5CAE">
      <w:r>
        <w:t>The changes to the definition of ‘remuneration’ and the disclosure table will require entities to:</w:t>
      </w:r>
    </w:p>
    <w:p w:rsidR="002F5CAE" w:rsidRDefault="005E34E1" w:rsidP="003053A2">
      <w:pPr>
        <w:pStyle w:val="Bullet1"/>
      </w:pPr>
      <w:r>
        <w:t xml:space="preserve">engage with their respective </w:t>
      </w:r>
      <w:r w:rsidR="002F5CAE">
        <w:t xml:space="preserve">payroll teams to </w:t>
      </w:r>
      <w:r w:rsidR="00371B15">
        <w:t xml:space="preserve">capture the relevant </w:t>
      </w:r>
      <w:r w:rsidR="002F5CAE">
        <w:t>monetary and non</w:t>
      </w:r>
      <w:r w:rsidR="00AA2BF4">
        <w:noBreakHyphen/>
      </w:r>
      <w:r w:rsidR="002F5CAE">
        <w:t>monetary payments, benefits and allowances (in addi</w:t>
      </w:r>
      <w:r w:rsidR="00371B15">
        <w:t xml:space="preserve">tion to wages and salaries) provided to </w:t>
      </w:r>
      <w:r w:rsidR="002F5CAE">
        <w:t xml:space="preserve">KMP; </w:t>
      </w:r>
    </w:p>
    <w:p w:rsidR="002F5CAE" w:rsidRDefault="002F5CAE" w:rsidP="003053A2">
      <w:pPr>
        <w:pStyle w:val="Bullet1"/>
      </w:pPr>
      <w:r>
        <w:t>implement data collection processes to capture the additional information on amounts paid, payable or provided by the entity during the reporting period for inclusion in the note disclosure; and</w:t>
      </w:r>
    </w:p>
    <w:p w:rsidR="002F5CAE" w:rsidRDefault="002F5CAE" w:rsidP="003053A2">
      <w:pPr>
        <w:pStyle w:val="Bullet1"/>
      </w:pPr>
      <w:r>
        <w:t>perform an assessment to determine how the data will be split into the remuneration categories in accordance with the reporting requirements in AASB 124.</w:t>
      </w:r>
    </w:p>
    <w:p w:rsidR="002F5CAE" w:rsidRDefault="002F5CAE" w:rsidP="002F5CAE">
      <w:r w:rsidRPr="00DC7032">
        <w:t xml:space="preserve">Revisions </w:t>
      </w:r>
      <w:r>
        <w:t xml:space="preserve">have been made to </w:t>
      </w:r>
      <w:r w:rsidRPr="00DC7032">
        <w:t xml:space="preserve">FRD </w:t>
      </w:r>
      <w:r>
        <w:t xml:space="preserve">21C </w:t>
      </w:r>
      <w:r>
        <w:rPr>
          <w:i/>
        </w:rPr>
        <w:t xml:space="preserve">Disclosure of responsible persons and executive officers in the financial report </w:t>
      </w:r>
      <w:r>
        <w:t xml:space="preserve">to </w:t>
      </w:r>
      <w:r w:rsidRPr="00DC7032">
        <w:t>align the definition of ‘remuneration’ and the disclosure table for executive officers with the requirements in AASB 124, and ensure consistency between the respective disclosures in the financial statements.</w:t>
      </w:r>
      <w:r>
        <w:t xml:space="preserve"> </w:t>
      </w:r>
    </w:p>
    <w:p w:rsidR="002F5CAE" w:rsidRDefault="002F5CAE" w:rsidP="002F5CAE">
      <w:r w:rsidRPr="003549CD">
        <w:t xml:space="preserve">Guidance on the remuneration disclosure is now available on </w:t>
      </w:r>
      <w:r w:rsidR="005E34E1">
        <w:t>DTF</w:t>
      </w:r>
      <w:r w:rsidR="001E1CA9">
        <w:t>’s</w:t>
      </w:r>
      <w:r w:rsidR="005E34E1">
        <w:t xml:space="preserve"> website, and includes a </w:t>
      </w:r>
      <w:r w:rsidR="008532AF">
        <w:t>‘</w:t>
      </w:r>
      <w:r w:rsidR="005E34E1">
        <w:t xml:space="preserve">Frequently </w:t>
      </w:r>
      <w:r w:rsidR="001E1CA9">
        <w:t>a</w:t>
      </w:r>
      <w:r w:rsidR="005E34E1">
        <w:t xml:space="preserve">sked </w:t>
      </w:r>
      <w:r w:rsidR="001E1CA9">
        <w:t>q</w:t>
      </w:r>
      <w:r w:rsidR="005E34E1">
        <w:t>uestions</w:t>
      </w:r>
      <w:r w:rsidR="008532AF">
        <w:t>’</w:t>
      </w:r>
      <w:r w:rsidRPr="003549CD">
        <w:t xml:space="preserve"> section to address </w:t>
      </w:r>
      <w:r>
        <w:t>disclosure of specific benefits and employment arrangements (i.e. non</w:t>
      </w:r>
      <w:r w:rsidR="00AA2BF4">
        <w:noBreakHyphen/>
      </w:r>
      <w:r>
        <w:t>monetary benefits, secondments and higher duties arrangements)</w:t>
      </w:r>
      <w:r w:rsidR="00AA2BF4">
        <w:t xml:space="preserve">. </w:t>
      </w:r>
    </w:p>
    <w:p w:rsidR="008B69EC" w:rsidRDefault="00D30DB3" w:rsidP="00CF46D0">
      <w:pPr>
        <w:pStyle w:val="Heading2"/>
      </w:pPr>
      <w:r>
        <w:t>Financial reporting d</w:t>
      </w:r>
      <w:r w:rsidR="001012CC">
        <w:t xml:space="preserve">irections </w:t>
      </w:r>
      <w:r w:rsidR="00CB23CC" w:rsidRPr="00E36F59">
        <w:t>and guidance notes</w:t>
      </w:r>
    </w:p>
    <w:p w:rsidR="00ED7D16" w:rsidRDefault="00371B15" w:rsidP="00ED7D16">
      <w:bookmarkStart w:id="11" w:name="_Toc424822614"/>
      <w:bookmarkStart w:id="12" w:name="_Toc452724750"/>
      <w:r>
        <w:t>S</w:t>
      </w:r>
      <w:r w:rsidR="00ED7D16" w:rsidRPr="003A7965">
        <w:t>everal</w:t>
      </w:r>
      <w:r w:rsidR="00ED7D16">
        <w:t xml:space="preserve"> FRDs have been amended and are applicable for the 2016</w:t>
      </w:r>
      <w:r w:rsidR="00AA2BF4">
        <w:noBreakHyphen/>
      </w:r>
      <w:r w:rsidR="00ED7D16">
        <w:t xml:space="preserve">17 reporting year. These FRDs include: </w:t>
      </w:r>
    </w:p>
    <w:p w:rsidR="00ED7D16" w:rsidRDefault="00ED7D16" w:rsidP="003053A2">
      <w:pPr>
        <w:pStyle w:val="Bullet1"/>
      </w:pPr>
      <w:r>
        <w:t xml:space="preserve">FRD 21C </w:t>
      </w:r>
      <w:r w:rsidR="008927E0" w:rsidRPr="008927E0">
        <w:t>to</w:t>
      </w:r>
      <w:r w:rsidR="008927E0">
        <w:rPr>
          <w:i/>
        </w:rPr>
        <w:t xml:space="preserve"> </w:t>
      </w:r>
      <w:r w:rsidR="009D38DC">
        <w:t>align</w:t>
      </w:r>
      <w:r>
        <w:t xml:space="preserve"> the reporting requirements for responsible persons and executive officers with </w:t>
      </w:r>
      <w:r w:rsidR="0008125A">
        <w:t>AASB </w:t>
      </w:r>
      <w:r>
        <w:t>124</w:t>
      </w:r>
      <w:r w:rsidR="008927E0">
        <w:t xml:space="preserve"> as described above</w:t>
      </w:r>
      <w:r>
        <w:rPr>
          <w:i/>
        </w:rPr>
        <w:t xml:space="preserve">; </w:t>
      </w:r>
    </w:p>
    <w:p w:rsidR="00ED7D16" w:rsidRPr="00207ABB" w:rsidRDefault="00ED7D16" w:rsidP="003053A2">
      <w:pPr>
        <w:pStyle w:val="Bullet1"/>
      </w:pPr>
      <w:r>
        <w:t xml:space="preserve">FRD 29B </w:t>
      </w:r>
      <w:r>
        <w:rPr>
          <w:i/>
        </w:rPr>
        <w:t>Workforce data disclosures in the Report of Operations</w:t>
      </w:r>
      <w:r>
        <w:t xml:space="preserve"> </w:t>
      </w:r>
      <w:r w:rsidR="008927E0">
        <w:t>to extend</w:t>
      </w:r>
      <w:r>
        <w:t xml:space="preserve"> the reporting requirements for senior staff to improve transparency, following a review by the Victorian Public Sector Commission on the </w:t>
      </w:r>
      <w:r w:rsidRPr="006E7287">
        <w:rPr>
          <w:i/>
        </w:rPr>
        <w:t>Executive Officer Employment and Remuneration Framework</w:t>
      </w:r>
      <w:r>
        <w:t xml:space="preserve">; </w:t>
      </w:r>
      <w:r w:rsidR="008927E0">
        <w:t>and</w:t>
      </w:r>
    </w:p>
    <w:p w:rsidR="00ED7D16" w:rsidRDefault="00ED7D16" w:rsidP="003053A2">
      <w:pPr>
        <w:pStyle w:val="Bullet1"/>
      </w:pPr>
      <w:r>
        <w:t xml:space="preserve">FRD 15D </w:t>
      </w:r>
      <w:r>
        <w:rPr>
          <w:i/>
        </w:rPr>
        <w:t>Executive officer disclosures in the Report of Operations</w:t>
      </w:r>
      <w:r>
        <w:t xml:space="preserve"> </w:t>
      </w:r>
      <w:r w:rsidR="008927E0">
        <w:t>to align</w:t>
      </w:r>
      <w:r>
        <w:t xml:space="preserve"> the reporting requirements for executive officers with the changes reflected in FR</w:t>
      </w:r>
      <w:r w:rsidR="008927E0">
        <w:t>D 21C and FRD 29B and simplify</w:t>
      </w:r>
      <w:r>
        <w:t xml:space="preserve"> the disclosures required. </w:t>
      </w:r>
    </w:p>
    <w:p w:rsidR="00ED7D16" w:rsidRDefault="00730065" w:rsidP="0008125A">
      <w:r>
        <w:t>In addition, t</w:t>
      </w:r>
      <w:r w:rsidR="00ED7D16">
        <w:t>he following FRDs have been updated for general improvements</w:t>
      </w:r>
      <w:r w:rsidR="001E1CA9">
        <w:t>,</w:t>
      </w:r>
      <w:r w:rsidR="00ED7D16">
        <w:t xml:space="preserve"> which are largely editorial in nature:</w:t>
      </w:r>
    </w:p>
    <w:p w:rsidR="00ED7D16" w:rsidRPr="00856552" w:rsidRDefault="00ED7D16" w:rsidP="003053A2">
      <w:pPr>
        <w:pStyle w:val="Bullet1"/>
      </w:pPr>
      <w:r>
        <w:t>FRD 108C Classification of entities as for</w:t>
      </w:r>
      <w:r w:rsidR="00AA2BF4">
        <w:noBreakHyphen/>
      </w:r>
      <w:r>
        <w:t>profit</w:t>
      </w:r>
      <w:r w:rsidR="008927E0">
        <w:t>;</w:t>
      </w:r>
    </w:p>
    <w:p w:rsidR="00ED7D16" w:rsidRPr="00856552" w:rsidRDefault="00ED7D16" w:rsidP="0008125A">
      <w:pPr>
        <w:pStyle w:val="Bullet1"/>
      </w:pPr>
      <w:r>
        <w:t>FRD 9B Departmental disclosure of administered assets and liabilities by activity</w:t>
      </w:r>
      <w:r w:rsidR="008927E0">
        <w:t>;</w:t>
      </w:r>
    </w:p>
    <w:p w:rsidR="00ED7D16" w:rsidRPr="00856552" w:rsidRDefault="00ED7D16" w:rsidP="0008125A">
      <w:pPr>
        <w:pStyle w:val="Bullet1"/>
      </w:pPr>
      <w:r>
        <w:t>FRD 26B Accounting for VicFleet motor vehicle lease arrangements</w:t>
      </w:r>
      <w:r w:rsidR="008927E0">
        <w:t xml:space="preserve">; </w:t>
      </w:r>
      <w:r w:rsidR="008927E0" w:rsidRPr="008927E0">
        <w:t>and</w:t>
      </w:r>
    </w:p>
    <w:p w:rsidR="00ED7D16" w:rsidRDefault="00ED7D16" w:rsidP="0008125A">
      <w:pPr>
        <w:pStyle w:val="Bullet1"/>
      </w:pPr>
      <w:r>
        <w:t xml:space="preserve">FRD 30D Standard requirements for the publication of </w:t>
      </w:r>
      <w:r w:rsidR="001E1CA9">
        <w:t>a</w:t>
      </w:r>
      <w:r>
        <w:t xml:space="preserve">nnual </w:t>
      </w:r>
      <w:r w:rsidR="001E1CA9">
        <w:t>r</w:t>
      </w:r>
      <w:r>
        <w:t>eports</w:t>
      </w:r>
      <w:r w:rsidR="008927E0">
        <w:t>.</w:t>
      </w:r>
      <w:r>
        <w:t xml:space="preserve"> </w:t>
      </w:r>
    </w:p>
    <w:p w:rsidR="00ED7D16" w:rsidRDefault="00ED7D16" w:rsidP="0008125A">
      <w:r>
        <w:t xml:space="preserve">FRD 120K </w:t>
      </w:r>
      <w:r w:rsidRPr="00856552">
        <w:rPr>
          <w:i/>
        </w:rPr>
        <w:t>Accounting and reporting pronouncements applicable to the 2016</w:t>
      </w:r>
      <w:r w:rsidR="00AA2BF4">
        <w:rPr>
          <w:i/>
        </w:rPr>
        <w:noBreakHyphen/>
      </w:r>
      <w:r w:rsidRPr="00856552">
        <w:rPr>
          <w:i/>
        </w:rPr>
        <w:t>17 reporting period</w:t>
      </w:r>
      <w:r>
        <w:t xml:space="preserve"> will be available on DTF</w:t>
      </w:r>
      <w:r w:rsidR="001E1CA9">
        <w:t>’s</w:t>
      </w:r>
      <w:r>
        <w:t xml:space="preserve"> website before the end of July 2017 and provides a summary of accounting standards that apply to the current reporting period and future reporting periods. </w:t>
      </w:r>
    </w:p>
    <w:p w:rsidR="00CB23CC" w:rsidRDefault="00CB23CC" w:rsidP="00CB23CC">
      <w:pPr>
        <w:pStyle w:val="Heading1"/>
      </w:pPr>
      <w:bookmarkStart w:id="13" w:name="_Toc487727279"/>
      <w:r w:rsidRPr="001725F4">
        <w:t>201</w:t>
      </w:r>
      <w:r w:rsidR="00393EBC" w:rsidRPr="001725F4">
        <w:t>6</w:t>
      </w:r>
      <w:r w:rsidR="00AA2BF4">
        <w:noBreakHyphen/>
      </w:r>
      <w:r w:rsidRPr="001725F4">
        <w:t>1</w:t>
      </w:r>
      <w:r w:rsidR="00393EBC" w:rsidRPr="001725F4">
        <w:t>7</w:t>
      </w:r>
      <w:r w:rsidRPr="001725F4">
        <w:t xml:space="preserve"> financial reporting legislation</w:t>
      </w:r>
      <w:bookmarkEnd w:id="11"/>
      <w:bookmarkEnd w:id="12"/>
      <w:bookmarkEnd w:id="13"/>
    </w:p>
    <w:p w:rsidR="00C11620" w:rsidRPr="00D20F7C" w:rsidRDefault="00C11620" w:rsidP="007D03CC">
      <w:pPr>
        <w:pStyle w:val="Heading3"/>
      </w:pPr>
      <w:r w:rsidRPr="00D20F7C">
        <w:t>Standing Directions</w:t>
      </w:r>
      <w:r w:rsidR="00AA2BF4">
        <w:t xml:space="preserve"> – </w:t>
      </w:r>
      <w:r w:rsidR="00310C31" w:rsidRPr="00310C31">
        <w:t>Transitional Arrangements</w:t>
      </w:r>
      <w:r w:rsidR="00310C31">
        <w:t xml:space="preserve"> for </w:t>
      </w:r>
      <w:r w:rsidR="00310C31" w:rsidRPr="00310C31">
        <w:t>Financial Management Compliance Attestation</w:t>
      </w:r>
    </w:p>
    <w:p w:rsidR="00382449" w:rsidRDefault="00382449" w:rsidP="0008125A">
      <w:r>
        <w:t xml:space="preserve">The </w:t>
      </w:r>
      <w:r w:rsidRPr="00310C31">
        <w:rPr>
          <w:i/>
        </w:rPr>
        <w:t>Standing Directions of the Minister for Finance 2016</w:t>
      </w:r>
      <w:r>
        <w:t xml:space="preserve"> (2016 Directions) and associated </w:t>
      </w:r>
      <w:r w:rsidRPr="00310C31">
        <w:rPr>
          <w:i/>
        </w:rPr>
        <w:t>Instructions</w:t>
      </w:r>
      <w:r>
        <w:t xml:space="preserve"> mandate financial management compliance attestation requirements in an </w:t>
      </w:r>
      <w:r w:rsidR="001E1CA9">
        <w:t>a</w:t>
      </w:r>
      <w:r>
        <w:t>gency</w:t>
      </w:r>
      <w:r w:rsidR="00310C31">
        <w:t>’s</w:t>
      </w:r>
      <w:r>
        <w:t xml:space="preserve"> annual report (see Direction</w:t>
      </w:r>
      <w:r w:rsidR="0008125A">
        <w:t> </w:t>
      </w:r>
      <w:r>
        <w:t>5.1.4 (subject to transitional arrangements) and Instruction 5.1).</w:t>
      </w:r>
    </w:p>
    <w:p w:rsidR="00382449" w:rsidRDefault="0031647A" w:rsidP="00382449">
      <w:r>
        <w:lastRenderedPageBreak/>
        <w:t xml:space="preserve">For 30 June balance date </w:t>
      </w:r>
      <w:r w:rsidR="001E1CA9">
        <w:t>a</w:t>
      </w:r>
      <w:r w:rsidR="00382449">
        <w:t>gencies, in relation to the 2016</w:t>
      </w:r>
      <w:r w:rsidR="00AA2BF4">
        <w:noBreakHyphen/>
      </w:r>
      <w:r w:rsidR="00382449">
        <w:t xml:space="preserve">17 financial year, the Responsible Body must include a statement of attestation in the </w:t>
      </w:r>
      <w:r w:rsidR="001E1CA9">
        <w:t>a</w:t>
      </w:r>
      <w:r w:rsidR="00382449">
        <w:t xml:space="preserve">gency’s annual report that the </w:t>
      </w:r>
      <w:r w:rsidR="001E1CA9">
        <w:t>a</w:t>
      </w:r>
      <w:r w:rsidR="00382449">
        <w:t xml:space="preserve">gency has complied with the mandatory requirements of the </w:t>
      </w:r>
      <w:r w:rsidR="00382449" w:rsidRPr="00382449">
        <w:rPr>
          <w:i/>
        </w:rPr>
        <w:t>Victorian Government Risk Management Framework</w:t>
      </w:r>
      <w:r w:rsidR="00AA2BF4">
        <w:t xml:space="preserve"> </w:t>
      </w:r>
      <w:r w:rsidR="0008125A">
        <w:t>(VGRMF) under Direction </w:t>
      </w:r>
      <w:r w:rsidR="00382449">
        <w:t>3.7.1 of the 2016 Directions</w:t>
      </w:r>
      <w:r w:rsidR="004F7313">
        <w:t xml:space="preserve"> (Instruction 5.1, Clause 5.4).</w:t>
      </w:r>
      <w:r w:rsidR="00382449">
        <w:t xml:space="preserve"> A template attestation is provided in the 2016</w:t>
      </w:r>
      <w:r w:rsidR="00AA2BF4">
        <w:noBreakHyphen/>
      </w:r>
      <w:r w:rsidR="00382449">
        <w:t xml:space="preserve">17 </w:t>
      </w:r>
      <w:r w:rsidR="00382449" w:rsidRPr="00310C31">
        <w:t>Model.</w:t>
      </w:r>
    </w:p>
    <w:p w:rsidR="00382449" w:rsidRDefault="00371B15" w:rsidP="00382449">
      <w:r>
        <w:t>F</w:t>
      </w:r>
      <w:r w:rsidR="00382449">
        <w:t>or the 2016</w:t>
      </w:r>
      <w:r w:rsidR="00AA2BF4">
        <w:noBreakHyphen/>
      </w:r>
      <w:r w:rsidR="00382449">
        <w:t>17 transitional year, the compliance report required to</w:t>
      </w:r>
      <w:r w:rsidR="005536B1">
        <w:t xml:space="preserve"> be provided annually by </w:t>
      </w:r>
      <w:r w:rsidR="003D4E4F">
        <w:t>p</w:t>
      </w:r>
      <w:r w:rsidR="005536B1">
        <w:t>ortfo</w:t>
      </w:r>
      <w:r w:rsidR="00382449">
        <w:t xml:space="preserve">lio </w:t>
      </w:r>
      <w:r w:rsidR="003D4E4F">
        <w:t>a</w:t>
      </w:r>
      <w:r w:rsidR="00382449">
        <w:t xml:space="preserve">gencies to their </w:t>
      </w:r>
      <w:r w:rsidR="003D4E4F">
        <w:t>p</w:t>
      </w:r>
      <w:r w:rsidR="00382449">
        <w:t xml:space="preserve">ortfolio </w:t>
      </w:r>
      <w:r w:rsidR="003D4E4F">
        <w:t>d</w:t>
      </w:r>
      <w:r w:rsidR="00382449">
        <w:t xml:space="preserve">epartment (Instruction 5.1, Clause 1) must also include a trial attestation in the form set out under Clause 2.2 of Instruction 5.1. The trial attestation covers compliance with all applicable 2016 Directions and Instructions (taking into account transitional arrangements under Direction 1.4). The trial attestation is designed to assist </w:t>
      </w:r>
      <w:r w:rsidR="00E32001">
        <w:t>a</w:t>
      </w:r>
      <w:r w:rsidR="00382449">
        <w:t>gencies to prepare for public attestation in future years. It will not be published in the 2016</w:t>
      </w:r>
      <w:r w:rsidR="00AA2BF4">
        <w:noBreakHyphen/>
      </w:r>
      <w:r w:rsidR="00382449">
        <w:t>1</w:t>
      </w:r>
      <w:r w:rsidR="00F35F7B">
        <w:t xml:space="preserve">7 </w:t>
      </w:r>
      <w:r w:rsidR="00382449">
        <w:t xml:space="preserve">annual report or elsewhere. </w:t>
      </w:r>
    </w:p>
    <w:p w:rsidR="00382449" w:rsidRDefault="00382449" w:rsidP="00382449">
      <w:r>
        <w:t>In relation to the 2017</w:t>
      </w:r>
      <w:r w:rsidR="00AA2BF4">
        <w:noBreakHyphen/>
      </w:r>
      <w:r>
        <w:t xml:space="preserve">18 financial year, an </w:t>
      </w:r>
      <w:r w:rsidR="00E32001">
        <w:t>a</w:t>
      </w:r>
      <w:r>
        <w:t>gency</w:t>
      </w:r>
      <w:r w:rsidR="00F35F7B">
        <w:t>’s</w:t>
      </w:r>
      <w:r>
        <w:t xml:space="preserve"> Responsible Body must complete a full public attestation in relation to all applicable 2016 Directions and Instructions in the </w:t>
      </w:r>
      <w:r w:rsidR="00E32001">
        <w:t>a</w:t>
      </w:r>
      <w:r>
        <w:t>gency</w:t>
      </w:r>
      <w:r w:rsidR="00F35F7B">
        <w:t>’s</w:t>
      </w:r>
      <w:r>
        <w:t xml:space="preserve"> annual report. The stand</w:t>
      </w:r>
      <w:r w:rsidR="00AA2BF4">
        <w:noBreakHyphen/>
      </w:r>
      <w:r>
        <w:t>alone risk management framework and processes attestation (Direction 3.7.1 and the VGRMF) will cease in 2018 and become part of the overarching public attestation with the Directions.</w:t>
      </w:r>
    </w:p>
    <w:p w:rsidR="00382449" w:rsidRDefault="00382449" w:rsidP="00382449">
      <w:r>
        <w:t>Further advice rega</w:t>
      </w:r>
      <w:r w:rsidR="0031647A">
        <w:t xml:space="preserve">rding 31 December balance date </w:t>
      </w:r>
      <w:r w:rsidR="00E32001">
        <w:t>a</w:t>
      </w:r>
      <w:r>
        <w:t>gencies</w:t>
      </w:r>
      <w:r w:rsidR="00F35F7B">
        <w:t>’</w:t>
      </w:r>
      <w:r>
        <w:t xml:space="preserve"> 2017 annual report financial management compliance attestation arrangements will be provided in the next newsletter.</w:t>
      </w:r>
    </w:p>
    <w:p w:rsidR="00C11620" w:rsidRPr="001A13DD" w:rsidRDefault="00382449" w:rsidP="00382449">
      <w:pPr>
        <w:rPr>
          <w:highlight w:val="yellow"/>
        </w:rPr>
      </w:pPr>
      <w:r>
        <w:t xml:space="preserve">If you have any further queries on the Standing Directions, please </w:t>
      </w:r>
      <w:r w:rsidR="00E32001">
        <w:t>contact</w:t>
      </w:r>
      <w:r>
        <w:t xml:space="preserve"> DTF</w:t>
      </w:r>
      <w:r w:rsidR="00E32001">
        <w:t>’s</w:t>
      </w:r>
      <w:r>
        <w:t xml:space="preserve"> Financial Frameworks team </w:t>
      </w:r>
      <w:r w:rsidR="00E32001">
        <w:t>at</w:t>
      </w:r>
      <w:r>
        <w:t xml:space="preserve"> </w:t>
      </w:r>
      <w:hyperlink r:id="rId17" w:history="1">
        <w:r w:rsidR="00E32001" w:rsidRPr="000A758F">
          <w:rPr>
            <w:rStyle w:val="Hyperlink"/>
          </w:rPr>
          <w:t>standing.directions@dtf.vic.gov.au</w:t>
        </w:r>
      </w:hyperlink>
      <w:r w:rsidR="00E32001">
        <w:t xml:space="preserve"> </w:t>
      </w:r>
    </w:p>
    <w:p w:rsidR="00F21F37" w:rsidRDefault="00F21F37" w:rsidP="00F21F37">
      <w:pPr>
        <w:pStyle w:val="Heading3"/>
      </w:pPr>
      <w:r w:rsidRPr="00390C29">
        <w:t>Financial Reporting Operations Framework</w:t>
      </w:r>
    </w:p>
    <w:p w:rsidR="00F21F37" w:rsidRPr="005729B6" w:rsidRDefault="00F21F37" w:rsidP="00F21F37">
      <w:r w:rsidRPr="005729B6">
        <w:t xml:space="preserve">The </w:t>
      </w:r>
      <w:r w:rsidRPr="005729B6">
        <w:rPr>
          <w:i/>
        </w:rPr>
        <w:t>Financial Reporting Operations Framework</w:t>
      </w:r>
      <w:r w:rsidRPr="005729B6">
        <w:t xml:space="preserve"> (FROF) is mandated through the </w:t>
      </w:r>
      <w:r>
        <w:t>2016 Directions</w:t>
      </w:r>
      <w:r w:rsidR="005536B1">
        <w:t xml:space="preserve"> (</w:t>
      </w:r>
      <w:r w:rsidR="00AD7B0B">
        <w:t>Direction </w:t>
      </w:r>
      <w:r w:rsidRPr="005729B6">
        <w:t>4.4). It has mandatory requirements for departments on matters</w:t>
      </w:r>
      <w:r w:rsidR="00E32001">
        <w:t>,</w:t>
      </w:r>
      <w:r w:rsidRPr="005729B6">
        <w:t xml:space="preserve"> including financial reporting requirements and specific technical accounting guidance.</w:t>
      </w:r>
    </w:p>
    <w:p w:rsidR="00D539CF" w:rsidRDefault="00F21F37" w:rsidP="00F21F37">
      <w:r w:rsidRPr="005729B6">
        <w:t>Currently</w:t>
      </w:r>
      <w:r w:rsidR="00E32001">
        <w:t>,</w:t>
      </w:r>
      <w:r w:rsidRPr="005729B6">
        <w:t xml:space="preserve"> there are two versions of FROF available on DTF</w:t>
      </w:r>
      <w:r w:rsidR="00E32001">
        <w:t>’s</w:t>
      </w:r>
      <w:r w:rsidRPr="005729B6">
        <w:t xml:space="preserve"> website, one released in March 2016 and one in March 2017. For the 2016</w:t>
      </w:r>
      <w:r w:rsidR="00AA2BF4">
        <w:noBreakHyphen/>
      </w:r>
      <w:r w:rsidRPr="005729B6">
        <w:t xml:space="preserve">17 financial year, departments are required to refer to the </w:t>
      </w:r>
      <w:r w:rsidR="00E32001">
        <w:t xml:space="preserve">March 2016 </w:t>
      </w:r>
      <w:r w:rsidRPr="005729B6">
        <w:t xml:space="preserve">version (the section </w:t>
      </w:r>
      <w:r w:rsidR="008532AF">
        <w:t>‘</w:t>
      </w:r>
      <w:r w:rsidRPr="005729B6">
        <w:rPr>
          <w:i/>
        </w:rPr>
        <w:t>Financial Reporting Operations Framework – released March 2016 and applicable to the 2016</w:t>
      </w:r>
      <w:r w:rsidR="00AA2BF4">
        <w:rPr>
          <w:i/>
        </w:rPr>
        <w:noBreakHyphen/>
      </w:r>
      <w:r w:rsidRPr="005729B6">
        <w:rPr>
          <w:i/>
        </w:rPr>
        <w:t>17 financial year</w:t>
      </w:r>
      <w:r w:rsidR="008532AF">
        <w:t>’</w:t>
      </w:r>
      <w:r w:rsidRPr="005729B6">
        <w:t xml:space="preserve"> on </w:t>
      </w:r>
      <w:r w:rsidR="00E32001">
        <w:t>DTF’s</w:t>
      </w:r>
      <w:r w:rsidR="00E32001" w:rsidRPr="005729B6">
        <w:t xml:space="preserve"> </w:t>
      </w:r>
      <w:r w:rsidRPr="005729B6">
        <w:t xml:space="preserve">website) for guidance and attestation requirements. </w:t>
      </w:r>
    </w:p>
    <w:p w:rsidR="00F21F37" w:rsidRPr="005729B6" w:rsidRDefault="00F21F37" w:rsidP="00F21F37">
      <w:r w:rsidRPr="005729B6">
        <w:t>For the 2017</w:t>
      </w:r>
      <w:r w:rsidR="00AA2BF4">
        <w:noBreakHyphen/>
      </w:r>
      <w:r w:rsidRPr="005729B6">
        <w:t>18 financial year and onwards, departments are required to refer to the</w:t>
      </w:r>
      <w:r w:rsidR="00E32001">
        <w:t xml:space="preserve"> March 2017</w:t>
      </w:r>
      <w:r w:rsidRPr="005729B6">
        <w:t xml:space="preserve"> version (the section </w:t>
      </w:r>
      <w:r w:rsidR="008532AF">
        <w:t>‘</w:t>
      </w:r>
      <w:r w:rsidRPr="005729B6">
        <w:rPr>
          <w:i/>
        </w:rPr>
        <w:t>Financial Reporting Operations Framework – released March 2017 and applicable to the</w:t>
      </w:r>
      <w:r>
        <w:rPr>
          <w:i/>
        </w:rPr>
        <w:t xml:space="preserve"> 2017</w:t>
      </w:r>
      <w:r w:rsidR="00AA2BF4">
        <w:rPr>
          <w:i/>
        </w:rPr>
        <w:noBreakHyphen/>
      </w:r>
      <w:r>
        <w:rPr>
          <w:i/>
        </w:rPr>
        <w:t>18 financial year onwards</w:t>
      </w:r>
      <w:r w:rsidR="008532AF">
        <w:rPr>
          <w:i/>
        </w:rPr>
        <w:t>’</w:t>
      </w:r>
      <w:r w:rsidRPr="005729B6">
        <w:rPr>
          <w:i/>
        </w:rPr>
        <w:t xml:space="preserve"> </w:t>
      </w:r>
      <w:r w:rsidRPr="005729B6">
        <w:t xml:space="preserve">on </w:t>
      </w:r>
      <w:r w:rsidR="00E32001">
        <w:t>DTF’s</w:t>
      </w:r>
      <w:r w:rsidR="00E32001" w:rsidRPr="005729B6">
        <w:t xml:space="preserve"> </w:t>
      </w:r>
      <w:r w:rsidRPr="005729B6">
        <w:t>website</w:t>
      </w:r>
      <w:r w:rsidRPr="005729B6">
        <w:rPr>
          <w:i/>
        </w:rPr>
        <w:t>)</w:t>
      </w:r>
      <w:r w:rsidRPr="005729B6">
        <w:t>.</w:t>
      </w:r>
    </w:p>
    <w:p w:rsidR="008D7333" w:rsidRPr="0096740D" w:rsidRDefault="00CD3526" w:rsidP="00CF46D0">
      <w:pPr>
        <w:pStyle w:val="Heading2"/>
      </w:pPr>
      <w:r>
        <w:t>Other guidance</w:t>
      </w:r>
    </w:p>
    <w:p w:rsidR="00CB23CC" w:rsidRPr="00D20F7C" w:rsidRDefault="00CB23CC" w:rsidP="007D03CC">
      <w:pPr>
        <w:pStyle w:val="Heading3"/>
      </w:pPr>
      <w:r w:rsidRPr="00D20F7C">
        <w:t>Wage inflation and discount rates</w:t>
      </w:r>
    </w:p>
    <w:p w:rsidR="00CB23CC" w:rsidRPr="00514E4A" w:rsidRDefault="00CB23CC" w:rsidP="00CB23CC">
      <w:r w:rsidRPr="00514E4A">
        <w:t>The wage inflation and discount rates are published quarterly (monthly in the last quarter of each financial year), to assist entities in ascertaining their financial position for the year</w:t>
      </w:r>
      <w:r w:rsidR="00AA2BF4">
        <w:noBreakHyphen/>
      </w:r>
      <w:r w:rsidRPr="00514E4A">
        <w:t>end.</w:t>
      </w:r>
    </w:p>
    <w:p w:rsidR="00CB23CC" w:rsidRPr="00514E4A" w:rsidRDefault="00CB23CC" w:rsidP="00CB23CC">
      <w:pPr>
        <w:rPr>
          <w:color w:val="000000" w:themeColor="text1"/>
          <w:lang w:val="en-US"/>
        </w:rPr>
      </w:pPr>
      <w:r w:rsidRPr="00514E4A">
        <w:rPr>
          <w:color w:val="000000" w:themeColor="text1"/>
          <w:lang w:val="en-US"/>
        </w:rPr>
        <w:t xml:space="preserve">Entities are reminded to </w:t>
      </w:r>
      <w:r w:rsidRPr="00514E4A">
        <w:rPr>
          <w:b/>
          <w:color w:val="000000" w:themeColor="text1"/>
          <w:lang w:val="en-US"/>
        </w:rPr>
        <w:t>remeasure the</w:t>
      </w:r>
      <w:r w:rsidR="00F96941">
        <w:rPr>
          <w:b/>
          <w:color w:val="000000" w:themeColor="text1"/>
          <w:lang w:val="en-US"/>
        </w:rPr>
        <w:t>ir</w:t>
      </w:r>
      <w:r w:rsidRPr="00514E4A">
        <w:rPr>
          <w:b/>
          <w:color w:val="000000" w:themeColor="text1"/>
          <w:lang w:val="en-US"/>
        </w:rPr>
        <w:t xml:space="preserve"> provisions</w:t>
      </w:r>
      <w:r w:rsidRPr="00514E4A">
        <w:rPr>
          <w:color w:val="000000" w:themeColor="text1"/>
          <w:lang w:val="en-US"/>
        </w:rPr>
        <w:t xml:space="preserve"> </w:t>
      </w:r>
      <w:r w:rsidR="00772E91">
        <w:rPr>
          <w:color w:val="000000" w:themeColor="text1"/>
          <w:lang w:val="en-US"/>
        </w:rPr>
        <w:t xml:space="preserve">for employee benefits </w:t>
      </w:r>
      <w:r w:rsidRPr="00514E4A">
        <w:rPr>
          <w:color w:val="000000" w:themeColor="text1"/>
          <w:lang w:val="en-US"/>
        </w:rPr>
        <w:t>to ensure any material movements arising from the wage inflation rate and discount rates are reflected during the current reporting period.</w:t>
      </w:r>
    </w:p>
    <w:p w:rsidR="00532754" w:rsidRPr="0025756F" w:rsidRDefault="00514E4A" w:rsidP="00EA6BBD">
      <w:r w:rsidRPr="0025756F">
        <w:t xml:space="preserve">The rates for </w:t>
      </w:r>
      <w:r w:rsidR="002D24A9">
        <w:t xml:space="preserve">30 June 2017 </w:t>
      </w:r>
      <w:r w:rsidR="000D59B0">
        <w:t>were</w:t>
      </w:r>
      <w:r w:rsidR="00CB23CC" w:rsidRPr="0025756F">
        <w:t xml:space="preserve"> distributed at the beginnin</w:t>
      </w:r>
      <w:r w:rsidR="00C45E55" w:rsidRPr="0025756F">
        <w:t>g of</w:t>
      </w:r>
      <w:r w:rsidR="0025756F" w:rsidRPr="0025756F">
        <w:t xml:space="preserve"> July</w:t>
      </w:r>
      <w:r w:rsidR="00C45E55" w:rsidRPr="0025756F">
        <w:t xml:space="preserve">. </w:t>
      </w:r>
      <w:r w:rsidR="0025756F" w:rsidRPr="0025756F">
        <w:t xml:space="preserve">While </w:t>
      </w:r>
      <w:r w:rsidR="00532754" w:rsidRPr="0025756F">
        <w:t xml:space="preserve">the wage inflation rate </w:t>
      </w:r>
      <w:r w:rsidR="0025756F" w:rsidRPr="0025756F">
        <w:t xml:space="preserve">has </w:t>
      </w:r>
      <w:r w:rsidR="009B7ACA">
        <w:t>marginally decreased since 30 June</w:t>
      </w:r>
      <w:r w:rsidR="00D539CF">
        <w:t xml:space="preserve"> 2016, the discount rates have</w:t>
      </w:r>
      <w:r w:rsidR="009B7ACA">
        <w:t xml:space="preserve"> significant</w:t>
      </w:r>
      <w:r w:rsidR="00D539CF">
        <w:t>ly</w:t>
      </w:r>
      <w:r w:rsidR="009B7ACA">
        <w:t xml:space="preserve"> increase</w:t>
      </w:r>
      <w:r w:rsidR="00D539CF">
        <w:t>d</w:t>
      </w:r>
      <w:r w:rsidR="009B7ACA">
        <w:t xml:space="preserve"> from 1.990</w:t>
      </w:r>
      <w:r w:rsidR="000D59B0">
        <w:t xml:space="preserve"> per cent</w:t>
      </w:r>
      <w:r w:rsidR="009B7ACA">
        <w:t xml:space="preserve"> </w:t>
      </w:r>
      <w:r w:rsidR="00AD7B0B">
        <w:t>for 30 </w:t>
      </w:r>
      <w:r w:rsidR="009B7ACA">
        <w:t>June 2016 to 2.6</w:t>
      </w:r>
      <w:r w:rsidR="00D539CF">
        <w:t>12</w:t>
      </w:r>
      <w:r w:rsidR="000D59B0">
        <w:t xml:space="preserve"> per cent</w:t>
      </w:r>
      <w:r w:rsidR="00D539CF">
        <w:t xml:space="preserve"> for 30 June 2017, which is expected to</w:t>
      </w:r>
      <w:r w:rsidR="009B7ACA">
        <w:t xml:space="preserve"> result in a decrease</w:t>
      </w:r>
      <w:r w:rsidR="0025756F" w:rsidRPr="0025756F">
        <w:t xml:space="preserve"> in the</w:t>
      </w:r>
      <w:r w:rsidR="00B53E2D">
        <w:t xml:space="preserve"> </w:t>
      </w:r>
      <w:r w:rsidR="00772E91">
        <w:t>provision</w:t>
      </w:r>
      <w:r w:rsidR="000D59B0">
        <w:t>,</w:t>
      </w:r>
      <w:r w:rsidR="009B7ACA">
        <w:t xml:space="preserve"> given all other factors equal</w:t>
      </w:r>
      <w:r w:rsidR="0025756F" w:rsidRPr="0025756F">
        <w:t>.</w:t>
      </w:r>
    </w:p>
    <w:p w:rsidR="00CB23CC" w:rsidRDefault="00F57D07" w:rsidP="00EA6BBD">
      <w:r w:rsidRPr="00DE7086">
        <w:t xml:space="preserve">DTF </w:t>
      </w:r>
      <w:r w:rsidR="007573A0" w:rsidRPr="00DE7086">
        <w:t xml:space="preserve">will </w:t>
      </w:r>
      <w:r w:rsidR="00AE417D" w:rsidRPr="00DE7086">
        <w:t>continu</w:t>
      </w:r>
      <w:r w:rsidR="007573A0" w:rsidRPr="00DE7086">
        <w:t>e</w:t>
      </w:r>
      <w:r w:rsidR="00AE417D" w:rsidRPr="00DE7086">
        <w:t xml:space="preserve"> to</w:t>
      </w:r>
      <w:r w:rsidR="00532754" w:rsidRPr="00DE7086">
        <w:t xml:space="preserve"> provide</w:t>
      </w:r>
      <w:r w:rsidRPr="00DE7086">
        <w:t xml:space="preserve"> wage inflation and discount rates </w:t>
      </w:r>
      <w:r w:rsidR="00587532" w:rsidRPr="00DE7086">
        <w:t xml:space="preserve">to be used </w:t>
      </w:r>
      <w:r w:rsidR="007573A0" w:rsidRPr="00DE7086">
        <w:t xml:space="preserve">with the 2008 Long Service Leave (LSL) Model </w:t>
      </w:r>
      <w:r w:rsidR="007B12D3" w:rsidRPr="00DE7086">
        <w:t>and the previously released</w:t>
      </w:r>
      <w:r w:rsidR="001A1C42" w:rsidRPr="00DE7086">
        <w:t xml:space="preserve"> </w:t>
      </w:r>
      <w:r w:rsidR="00532754" w:rsidRPr="00DE7086">
        <w:t xml:space="preserve">2004 </w:t>
      </w:r>
      <w:r w:rsidR="007573A0" w:rsidRPr="00DE7086">
        <w:t>LSL</w:t>
      </w:r>
      <w:r w:rsidR="00CB23CC" w:rsidRPr="00DE7086">
        <w:t xml:space="preserve"> Model</w:t>
      </w:r>
      <w:r w:rsidRPr="00DE7086">
        <w:t>. The discount</w:t>
      </w:r>
      <w:r w:rsidR="00AE417D" w:rsidRPr="00DE7086">
        <w:t xml:space="preserve"> rates </w:t>
      </w:r>
      <w:r w:rsidR="00AD7B0B">
        <w:t>applicable for the 2004 </w:t>
      </w:r>
      <w:r w:rsidRPr="00DE7086">
        <w:t xml:space="preserve">LSL Model are </w:t>
      </w:r>
      <w:r w:rsidR="00AE417D" w:rsidRPr="00DE7086">
        <w:t>based on bond rates with different maturity periods</w:t>
      </w:r>
      <w:r w:rsidRPr="00DE7086">
        <w:t xml:space="preserve">, </w:t>
      </w:r>
      <w:r w:rsidR="00257EC4" w:rsidRPr="00DE7086">
        <w:t>while the 2008 LSL Model applies</w:t>
      </w:r>
      <w:r w:rsidR="00122A60">
        <w:t xml:space="preserve"> a</w:t>
      </w:r>
      <w:r w:rsidR="00AE417D" w:rsidRPr="00DE7086">
        <w:t xml:space="preserve"> single 10</w:t>
      </w:r>
      <w:r w:rsidR="00AA2BF4">
        <w:noBreakHyphen/>
      </w:r>
      <w:r w:rsidR="00AE417D" w:rsidRPr="00DE7086">
        <w:t xml:space="preserve">year </w:t>
      </w:r>
      <w:r w:rsidR="00122A60">
        <w:t xml:space="preserve">effective </w:t>
      </w:r>
      <w:r w:rsidR="00AE417D" w:rsidRPr="00DE7086">
        <w:t>bond rate</w:t>
      </w:r>
      <w:r w:rsidR="00121837" w:rsidRPr="00DE7086">
        <w:t xml:space="preserve"> </w:t>
      </w:r>
      <w:r w:rsidR="004D5B31">
        <w:t>with an assumption that</w:t>
      </w:r>
      <w:r w:rsidR="00257EC4" w:rsidRPr="00DE7086">
        <w:t xml:space="preserve"> the average</w:t>
      </w:r>
      <w:r w:rsidR="004D5B31">
        <w:t xml:space="preserve"> long service</w:t>
      </w:r>
      <w:r w:rsidR="00257EC4" w:rsidRPr="00DE7086">
        <w:t xml:space="preserve"> leave settlement duration </w:t>
      </w:r>
      <w:r w:rsidR="00801390">
        <w:t>is</w:t>
      </w:r>
      <w:r w:rsidR="00AD7B0B">
        <w:t xml:space="preserve"> 10 </w:t>
      </w:r>
      <w:r w:rsidR="00257EC4" w:rsidRPr="00DE7086">
        <w:t>years</w:t>
      </w:r>
      <w:r w:rsidR="00CB23CC" w:rsidRPr="00DE7086">
        <w:t>.</w:t>
      </w:r>
    </w:p>
    <w:p w:rsidR="00CB23CC" w:rsidRPr="0096740D" w:rsidRDefault="00CB23CC" w:rsidP="00AD7B0B">
      <w:pPr>
        <w:pStyle w:val="Heading2"/>
      </w:pPr>
      <w:r w:rsidRPr="001725F4">
        <w:lastRenderedPageBreak/>
        <w:t xml:space="preserve">Key financial publication dates for the State of Victoria </w:t>
      </w:r>
      <w:r w:rsidR="001A13DD">
        <w:t>up to 2017</w:t>
      </w:r>
      <w:r w:rsidR="00AA2BF4">
        <w:noBreakHyphen/>
      </w:r>
      <w:r w:rsidR="001A13DD">
        <w:t>18</w:t>
      </w:r>
    </w:p>
    <w:p w:rsidR="00CB23CC" w:rsidRPr="0096740D" w:rsidRDefault="00CB23CC" w:rsidP="00E018C9">
      <w:pPr>
        <w:spacing w:before="120"/>
      </w:pPr>
      <w:r w:rsidRPr="0096740D">
        <w:t>The following table shows the indicative key publication tabling dates for some of the State’s upcoming financial publications.</w:t>
      </w:r>
    </w:p>
    <w:tbl>
      <w:tblPr>
        <w:tblStyle w:val="DTFtexttable"/>
        <w:tblW w:w="9118" w:type="dxa"/>
        <w:tblLook w:val="04A0" w:firstRow="1" w:lastRow="0" w:firstColumn="1" w:lastColumn="0" w:noHBand="0" w:noVBand="1"/>
      </w:tblPr>
      <w:tblGrid>
        <w:gridCol w:w="1587"/>
        <w:gridCol w:w="2700"/>
        <w:gridCol w:w="4831"/>
      </w:tblGrid>
      <w:tr w:rsidR="00CB23CC" w:rsidRPr="00DE7086" w:rsidTr="00AD7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7" w:type="dxa"/>
          </w:tcPr>
          <w:p w:rsidR="00CB23CC" w:rsidRPr="00DE7086" w:rsidRDefault="00CB23CC" w:rsidP="00CD3526">
            <w:pPr>
              <w:pStyle w:val="Tableheader"/>
            </w:pPr>
            <w:r w:rsidRPr="00DE7086">
              <w:t>Reporting year</w:t>
            </w:r>
          </w:p>
        </w:tc>
        <w:tc>
          <w:tcPr>
            <w:tcW w:w="2700" w:type="dxa"/>
          </w:tcPr>
          <w:p w:rsidR="00CB23CC" w:rsidRPr="00DE7086" w:rsidRDefault="00CB23CC" w:rsidP="00CD3526">
            <w:pPr>
              <w:pStyle w:val="Tableheader"/>
              <w:cnfStyle w:val="100000000000" w:firstRow="1" w:lastRow="0" w:firstColumn="0" w:lastColumn="0" w:oddVBand="0" w:evenVBand="0" w:oddHBand="0" w:evenHBand="0" w:firstRowFirstColumn="0" w:firstRowLastColumn="0" w:lastRowFirstColumn="0" w:lastRowLastColumn="0"/>
            </w:pPr>
            <w:r w:rsidRPr="00DE7086">
              <w:t>Publication</w:t>
            </w:r>
          </w:p>
        </w:tc>
        <w:tc>
          <w:tcPr>
            <w:tcW w:w="4831" w:type="dxa"/>
          </w:tcPr>
          <w:p w:rsidR="00CB23CC" w:rsidRPr="00DE7086" w:rsidRDefault="00CB23CC" w:rsidP="00CD3526">
            <w:pPr>
              <w:pStyle w:val="Tableheader"/>
              <w:cnfStyle w:val="100000000000" w:firstRow="1" w:lastRow="0" w:firstColumn="0" w:lastColumn="0" w:oddVBand="0" w:evenVBand="0" w:oddHBand="0" w:evenHBand="0" w:firstRowFirstColumn="0" w:firstRowLastColumn="0" w:lastRowFirstColumn="0" w:lastRowLastColumn="0"/>
            </w:pPr>
            <w:r w:rsidRPr="00DE7086">
              <w:t xml:space="preserve">Anticipated release dates – </w:t>
            </w:r>
            <w:r w:rsidRPr="00DE7086">
              <w:br/>
              <w:t>actual dates to be confirmed</w:t>
            </w:r>
          </w:p>
        </w:tc>
      </w:tr>
      <w:tr w:rsidR="00E0634B" w:rsidRPr="00DE7086" w:rsidTr="00AD7B0B">
        <w:tc>
          <w:tcPr>
            <w:cnfStyle w:val="001000000000" w:firstRow="0" w:lastRow="0" w:firstColumn="1" w:lastColumn="0" w:oddVBand="0" w:evenVBand="0" w:oddHBand="0" w:evenHBand="0" w:firstRowFirstColumn="0" w:firstRowLastColumn="0" w:lastRowFirstColumn="0" w:lastRowLastColumn="0"/>
            <w:tcW w:w="1587" w:type="dxa"/>
          </w:tcPr>
          <w:p w:rsidR="00E0634B" w:rsidRPr="00DE7086" w:rsidRDefault="00E0634B" w:rsidP="00DD4350">
            <w:pPr>
              <w:pStyle w:val="Tabletext"/>
              <w:spacing w:before="40" w:after="40"/>
              <w:rPr>
                <w:b/>
              </w:rPr>
            </w:pPr>
            <w:r w:rsidRPr="00DE7086">
              <w:rPr>
                <w:b/>
              </w:rPr>
              <w:t>2016</w:t>
            </w:r>
            <w:r w:rsidR="00AA2BF4">
              <w:rPr>
                <w:b/>
              </w:rPr>
              <w:noBreakHyphen/>
            </w:r>
            <w:r w:rsidRPr="00DE7086">
              <w:rPr>
                <w:b/>
              </w:rPr>
              <w:t>17</w:t>
            </w:r>
          </w:p>
        </w:tc>
        <w:tc>
          <w:tcPr>
            <w:tcW w:w="2700" w:type="dxa"/>
          </w:tcPr>
          <w:p w:rsidR="00E0634B" w:rsidRPr="00DE7086" w:rsidRDefault="00E0634B" w:rsidP="00DD4350">
            <w:pPr>
              <w:pStyle w:val="Tabletext"/>
              <w:spacing w:before="40" w:after="40"/>
              <w:cnfStyle w:val="000000000000" w:firstRow="0" w:lastRow="0" w:firstColumn="0" w:lastColumn="0" w:oddVBand="0" w:evenVBand="0" w:oddHBand="0" w:evenHBand="0" w:firstRowFirstColumn="0" w:firstRowLastColumn="0" w:lastRowFirstColumn="0" w:lastRowLastColumn="0"/>
            </w:pPr>
            <w:r w:rsidRPr="00DE7086">
              <w:t>The State’s Financial Report</w:t>
            </w:r>
          </w:p>
        </w:tc>
        <w:tc>
          <w:tcPr>
            <w:tcW w:w="4831" w:type="dxa"/>
          </w:tcPr>
          <w:p w:rsidR="00E0634B" w:rsidRPr="00DE7086" w:rsidRDefault="00B937A9" w:rsidP="00DD4350">
            <w:pPr>
              <w:pStyle w:val="Tabletext"/>
              <w:spacing w:before="40" w:after="40"/>
              <w:cnfStyle w:val="000000000000" w:firstRow="0" w:lastRow="0" w:firstColumn="0" w:lastColumn="0" w:oddVBand="0" w:evenVBand="0" w:oddHBand="0" w:evenHBand="0" w:firstRowFirstColumn="0" w:firstRowLastColumn="0" w:lastRowFirstColumn="0" w:lastRowLastColumn="0"/>
            </w:pPr>
            <w:r>
              <w:t>Legislative</w:t>
            </w:r>
            <w:r w:rsidR="00E0634B" w:rsidRPr="00DE7086">
              <w:t xml:space="preserve"> due date is 15 October 2017.</w:t>
            </w:r>
          </w:p>
        </w:tc>
      </w:tr>
      <w:tr w:rsidR="00E0634B" w:rsidRPr="00DE7086" w:rsidTr="00AD7B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E0634B" w:rsidRPr="00DE7086" w:rsidRDefault="00E0634B" w:rsidP="00DD4350">
            <w:pPr>
              <w:pStyle w:val="Tabletext"/>
              <w:spacing w:before="40" w:after="40"/>
              <w:rPr>
                <w:b/>
              </w:rPr>
            </w:pPr>
            <w:r w:rsidRPr="00DE7086">
              <w:rPr>
                <w:b/>
              </w:rPr>
              <w:t>2016</w:t>
            </w:r>
            <w:r w:rsidR="00AA2BF4">
              <w:rPr>
                <w:b/>
              </w:rPr>
              <w:noBreakHyphen/>
            </w:r>
            <w:r w:rsidRPr="00DE7086">
              <w:rPr>
                <w:b/>
              </w:rPr>
              <w:t>17</w:t>
            </w:r>
          </w:p>
        </w:tc>
        <w:tc>
          <w:tcPr>
            <w:tcW w:w="2700" w:type="dxa"/>
          </w:tcPr>
          <w:p w:rsidR="00E0634B" w:rsidRPr="00DE7086" w:rsidRDefault="00E0634B" w:rsidP="00DD4350">
            <w:pPr>
              <w:pStyle w:val="Tabletext"/>
              <w:spacing w:before="40" w:after="40"/>
              <w:cnfStyle w:val="000000010000" w:firstRow="0" w:lastRow="0" w:firstColumn="0" w:lastColumn="0" w:oddVBand="0" w:evenVBand="0" w:oddHBand="0" w:evenHBand="1" w:firstRowFirstColumn="0" w:firstRowLastColumn="0" w:lastRowFirstColumn="0" w:lastRowLastColumn="0"/>
            </w:pPr>
            <w:r w:rsidRPr="00DE7086">
              <w:t>Department and entity reporting</w:t>
            </w:r>
          </w:p>
        </w:tc>
        <w:tc>
          <w:tcPr>
            <w:tcW w:w="4831" w:type="dxa"/>
          </w:tcPr>
          <w:p w:rsidR="00E0634B" w:rsidRPr="00DE7086" w:rsidRDefault="006E12D0" w:rsidP="00AD7B0B">
            <w:pPr>
              <w:pStyle w:val="Tabletext"/>
              <w:spacing w:before="40" w:after="40"/>
              <w:cnfStyle w:val="000000010000" w:firstRow="0" w:lastRow="0" w:firstColumn="0" w:lastColumn="0" w:oddVBand="0" w:evenVBand="0" w:oddHBand="0" w:evenHBand="1" w:firstRowFirstColumn="0" w:firstRowLastColumn="0" w:lastRowFirstColumn="0" w:lastRowLastColumn="0"/>
            </w:pPr>
            <w:r>
              <w:t xml:space="preserve">Legislative due date is the last sitting day in October 2017 </w:t>
            </w:r>
            <w:r w:rsidR="00AD7B0B">
              <w:t>(31 </w:t>
            </w:r>
            <w:r>
              <w:t xml:space="preserve">Oct) or first sitting day in November 2017 (1 Nov). </w:t>
            </w:r>
          </w:p>
        </w:tc>
      </w:tr>
      <w:tr w:rsidR="00E0634B" w:rsidRPr="00DE7086" w:rsidTr="00AD7B0B">
        <w:tc>
          <w:tcPr>
            <w:cnfStyle w:val="001000000000" w:firstRow="0" w:lastRow="0" w:firstColumn="1" w:lastColumn="0" w:oddVBand="0" w:evenVBand="0" w:oddHBand="0" w:evenHBand="0" w:firstRowFirstColumn="0" w:firstRowLastColumn="0" w:lastRowFirstColumn="0" w:lastRowLastColumn="0"/>
            <w:tcW w:w="1587" w:type="dxa"/>
          </w:tcPr>
          <w:p w:rsidR="00E0634B" w:rsidRPr="00DE7086" w:rsidRDefault="00E0634B" w:rsidP="00DD4350">
            <w:pPr>
              <w:pStyle w:val="Tabletext"/>
              <w:rPr>
                <w:b/>
              </w:rPr>
            </w:pPr>
            <w:r w:rsidRPr="00DE7086">
              <w:rPr>
                <w:b/>
              </w:rPr>
              <w:t>2017</w:t>
            </w:r>
            <w:r w:rsidR="00AA2BF4">
              <w:rPr>
                <w:b/>
              </w:rPr>
              <w:noBreakHyphen/>
            </w:r>
            <w:r w:rsidRPr="00DE7086">
              <w:rPr>
                <w:b/>
              </w:rPr>
              <w:t>18</w:t>
            </w:r>
          </w:p>
        </w:tc>
        <w:tc>
          <w:tcPr>
            <w:tcW w:w="2700" w:type="dxa"/>
          </w:tcPr>
          <w:p w:rsidR="00E0634B" w:rsidRPr="00DE7086" w:rsidRDefault="00E0634B" w:rsidP="00DD4350">
            <w:pPr>
              <w:pStyle w:val="Tabletext"/>
              <w:cnfStyle w:val="000000000000" w:firstRow="0" w:lastRow="0" w:firstColumn="0" w:lastColumn="0" w:oddVBand="0" w:evenVBand="0" w:oddHBand="0" w:evenHBand="0" w:firstRowFirstColumn="0" w:firstRowLastColumn="0" w:lastRowFirstColumn="0" w:lastRowLastColumn="0"/>
            </w:pPr>
            <w:r w:rsidRPr="00DE7086">
              <w:t>September Quarterly Financial Report</w:t>
            </w:r>
          </w:p>
        </w:tc>
        <w:tc>
          <w:tcPr>
            <w:tcW w:w="4831" w:type="dxa"/>
          </w:tcPr>
          <w:p w:rsidR="00E0634B" w:rsidRPr="00DE7086" w:rsidRDefault="00E0634B" w:rsidP="00DD4350">
            <w:pPr>
              <w:pStyle w:val="Tabletext"/>
              <w:cnfStyle w:val="000000000000" w:firstRow="0" w:lastRow="0" w:firstColumn="0" w:lastColumn="0" w:oddVBand="0" w:evenVBand="0" w:oddHBand="0" w:evenHBand="0" w:firstRowFirstColumn="0" w:firstRowLastColumn="0" w:lastRowFirstColumn="0" w:lastRowLastColumn="0"/>
            </w:pPr>
            <w:r w:rsidRPr="00DE7086">
              <w:t>Legislative due date is 15 November 2017.</w:t>
            </w:r>
          </w:p>
        </w:tc>
      </w:tr>
      <w:tr w:rsidR="00E0634B" w:rsidRPr="00DE7086" w:rsidTr="00AD7B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E0634B" w:rsidRPr="00DE7086" w:rsidRDefault="00E0634B" w:rsidP="00DD4350">
            <w:pPr>
              <w:pStyle w:val="Tabletext"/>
              <w:rPr>
                <w:b/>
              </w:rPr>
            </w:pPr>
            <w:r w:rsidRPr="00DE7086">
              <w:rPr>
                <w:b/>
              </w:rPr>
              <w:t>2017</w:t>
            </w:r>
            <w:r w:rsidR="00AA2BF4">
              <w:rPr>
                <w:b/>
              </w:rPr>
              <w:noBreakHyphen/>
            </w:r>
            <w:r w:rsidRPr="00DE7086">
              <w:rPr>
                <w:b/>
              </w:rPr>
              <w:t>18</w:t>
            </w:r>
          </w:p>
        </w:tc>
        <w:tc>
          <w:tcPr>
            <w:tcW w:w="2700" w:type="dxa"/>
          </w:tcPr>
          <w:p w:rsidR="00E0634B" w:rsidRPr="00DE7086" w:rsidRDefault="00E0634B" w:rsidP="00DD4350">
            <w:pPr>
              <w:pStyle w:val="Tabletext"/>
              <w:cnfStyle w:val="000000010000" w:firstRow="0" w:lastRow="0" w:firstColumn="0" w:lastColumn="0" w:oddVBand="0" w:evenVBand="0" w:oddHBand="0" w:evenHBand="1" w:firstRowFirstColumn="0" w:firstRowLastColumn="0" w:lastRowFirstColumn="0" w:lastRowLastColumn="0"/>
            </w:pPr>
            <w:r w:rsidRPr="00DE7086">
              <w:t>Budget Update</w:t>
            </w:r>
          </w:p>
        </w:tc>
        <w:tc>
          <w:tcPr>
            <w:tcW w:w="4831" w:type="dxa"/>
          </w:tcPr>
          <w:p w:rsidR="00E0634B" w:rsidRPr="00DE7086" w:rsidRDefault="00E0634B" w:rsidP="00DD4350">
            <w:pPr>
              <w:pStyle w:val="Tabletext"/>
              <w:cnfStyle w:val="000000010000" w:firstRow="0" w:lastRow="0" w:firstColumn="0" w:lastColumn="0" w:oddVBand="0" w:evenVBand="0" w:oddHBand="0" w:evenHBand="1" w:firstRowFirstColumn="0" w:firstRowLastColumn="0" w:lastRowFirstColumn="0" w:lastRowLastColumn="0"/>
            </w:pPr>
            <w:r w:rsidRPr="00DE7086">
              <w:t>Legislative due date is 15 December 2017.</w:t>
            </w:r>
          </w:p>
        </w:tc>
      </w:tr>
      <w:tr w:rsidR="00E0634B" w:rsidRPr="00DE7086" w:rsidTr="00AD7B0B">
        <w:tc>
          <w:tcPr>
            <w:cnfStyle w:val="001000000000" w:firstRow="0" w:lastRow="0" w:firstColumn="1" w:lastColumn="0" w:oddVBand="0" w:evenVBand="0" w:oddHBand="0" w:evenHBand="0" w:firstRowFirstColumn="0" w:firstRowLastColumn="0" w:lastRowFirstColumn="0" w:lastRowLastColumn="0"/>
            <w:tcW w:w="1587" w:type="dxa"/>
          </w:tcPr>
          <w:p w:rsidR="00E0634B" w:rsidRPr="00DE7086" w:rsidRDefault="00E0634B" w:rsidP="00DD4350">
            <w:pPr>
              <w:pStyle w:val="Tabletext"/>
              <w:rPr>
                <w:b/>
              </w:rPr>
            </w:pPr>
            <w:r w:rsidRPr="00DE7086">
              <w:rPr>
                <w:b/>
              </w:rPr>
              <w:t>2017</w:t>
            </w:r>
            <w:r w:rsidR="00AA2BF4">
              <w:rPr>
                <w:b/>
              </w:rPr>
              <w:noBreakHyphen/>
            </w:r>
            <w:r w:rsidRPr="00DE7086">
              <w:rPr>
                <w:b/>
              </w:rPr>
              <w:t>18</w:t>
            </w:r>
          </w:p>
        </w:tc>
        <w:tc>
          <w:tcPr>
            <w:tcW w:w="2700" w:type="dxa"/>
          </w:tcPr>
          <w:p w:rsidR="00E0634B" w:rsidRPr="00DE7086" w:rsidRDefault="00E0634B" w:rsidP="00DD4350">
            <w:pPr>
              <w:pStyle w:val="Tabletext"/>
              <w:cnfStyle w:val="000000000000" w:firstRow="0" w:lastRow="0" w:firstColumn="0" w:lastColumn="0" w:oddVBand="0" w:evenVBand="0" w:oddHBand="0" w:evenHBand="0" w:firstRowFirstColumn="0" w:firstRowLastColumn="0" w:lastRowFirstColumn="0" w:lastRowLastColumn="0"/>
            </w:pPr>
            <w:r w:rsidRPr="00DE7086">
              <w:t>Mid</w:t>
            </w:r>
            <w:r w:rsidR="00AA2BF4">
              <w:noBreakHyphen/>
            </w:r>
            <w:r w:rsidRPr="00DE7086">
              <w:t>Year Financial Report</w:t>
            </w:r>
          </w:p>
        </w:tc>
        <w:tc>
          <w:tcPr>
            <w:tcW w:w="4831" w:type="dxa"/>
          </w:tcPr>
          <w:p w:rsidR="00E0634B" w:rsidRPr="00DE7086" w:rsidRDefault="00E0634B" w:rsidP="00DD4350">
            <w:pPr>
              <w:pStyle w:val="Tabletext"/>
              <w:cnfStyle w:val="000000000000" w:firstRow="0" w:lastRow="0" w:firstColumn="0" w:lastColumn="0" w:oddVBand="0" w:evenVBand="0" w:oddHBand="0" w:evenHBand="0" w:firstRowFirstColumn="0" w:firstRowLastColumn="0" w:lastRowFirstColumn="0" w:lastRowLastColumn="0"/>
            </w:pPr>
            <w:r w:rsidRPr="00DE7086">
              <w:t>Legislative due date is 15 March 2018.</w:t>
            </w:r>
          </w:p>
        </w:tc>
      </w:tr>
      <w:tr w:rsidR="00E0634B" w:rsidRPr="00DE7086" w:rsidTr="00AD7B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E0634B" w:rsidRPr="00DE7086" w:rsidRDefault="00E0634B" w:rsidP="00DD4350">
            <w:pPr>
              <w:pStyle w:val="Tabletext"/>
              <w:rPr>
                <w:b/>
              </w:rPr>
            </w:pPr>
            <w:r w:rsidRPr="00DE7086">
              <w:rPr>
                <w:b/>
              </w:rPr>
              <w:t>2018</w:t>
            </w:r>
            <w:r w:rsidR="00AA2BF4">
              <w:rPr>
                <w:b/>
              </w:rPr>
              <w:noBreakHyphen/>
            </w:r>
            <w:r w:rsidRPr="00DE7086">
              <w:rPr>
                <w:b/>
              </w:rPr>
              <w:t>19</w:t>
            </w:r>
          </w:p>
        </w:tc>
        <w:tc>
          <w:tcPr>
            <w:tcW w:w="2700" w:type="dxa"/>
          </w:tcPr>
          <w:p w:rsidR="00E0634B" w:rsidRPr="00DE7086" w:rsidRDefault="00E0634B" w:rsidP="00DD4350">
            <w:pPr>
              <w:pStyle w:val="Tabletext"/>
              <w:cnfStyle w:val="000000010000" w:firstRow="0" w:lastRow="0" w:firstColumn="0" w:lastColumn="0" w:oddVBand="0" w:evenVBand="0" w:oddHBand="0" w:evenHBand="1" w:firstRowFirstColumn="0" w:firstRowLastColumn="0" w:lastRowFirstColumn="0" w:lastRowLastColumn="0"/>
            </w:pPr>
            <w:r w:rsidRPr="00DE7086">
              <w:t>Budget papers</w:t>
            </w:r>
          </w:p>
        </w:tc>
        <w:tc>
          <w:tcPr>
            <w:tcW w:w="4831" w:type="dxa"/>
          </w:tcPr>
          <w:p w:rsidR="00E0634B" w:rsidRPr="00DE7086" w:rsidRDefault="00E0634B" w:rsidP="00E0634B">
            <w:pPr>
              <w:pStyle w:val="Tabletext"/>
              <w:cnfStyle w:val="000000010000" w:firstRow="0" w:lastRow="0" w:firstColumn="0" w:lastColumn="0" w:oddVBand="0" w:evenVBand="0" w:oddHBand="0" w:evenHBand="1" w:firstRowFirstColumn="0" w:firstRowLastColumn="0" w:lastRowFirstColumn="0" w:lastRowLastColumn="0"/>
            </w:pPr>
            <w:r w:rsidRPr="00DE7086">
              <w:t>Anticipated date is 1 May 2018.</w:t>
            </w:r>
          </w:p>
        </w:tc>
      </w:tr>
      <w:tr w:rsidR="00E0634B" w:rsidRPr="00DE7086" w:rsidTr="00AD7B0B">
        <w:tc>
          <w:tcPr>
            <w:cnfStyle w:val="001000000000" w:firstRow="0" w:lastRow="0" w:firstColumn="1" w:lastColumn="0" w:oddVBand="0" w:evenVBand="0" w:oddHBand="0" w:evenHBand="0" w:firstRowFirstColumn="0" w:firstRowLastColumn="0" w:lastRowFirstColumn="0" w:lastRowLastColumn="0"/>
            <w:tcW w:w="1587" w:type="dxa"/>
          </w:tcPr>
          <w:p w:rsidR="00E0634B" w:rsidRPr="00DE7086" w:rsidRDefault="00E0634B" w:rsidP="00DD4350">
            <w:pPr>
              <w:pStyle w:val="Tabletext"/>
              <w:rPr>
                <w:b/>
              </w:rPr>
            </w:pPr>
            <w:r w:rsidRPr="00DE7086">
              <w:rPr>
                <w:b/>
              </w:rPr>
              <w:t>2017</w:t>
            </w:r>
            <w:r w:rsidR="00AA2BF4">
              <w:rPr>
                <w:b/>
              </w:rPr>
              <w:noBreakHyphen/>
            </w:r>
            <w:r w:rsidRPr="00DE7086">
              <w:rPr>
                <w:b/>
              </w:rPr>
              <w:t>18</w:t>
            </w:r>
          </w:p>
        </w:tc>
        <w:tc>
          <w:tcPr>
            <w:tcW w:w="2700" w:type="dxa"/>
          </w:tcPr>
          <w:p w:rsidR="00E0634B" w:rsidRPr="00DE7086" w:rsidRDefault="00E0634B" w:rsidP="00DD4350">
            <w:pPr>
              <w:pStyle w:val="Tabletext"/>
              <w:cnfStyle w:val="000000000000" w:firstRow="0" w:lastRow="0" w:firstColumn="0" w:lastColumn="0" w:oddVBand="0" w:evenVBand="0" w:oddHBand="0" w:evenHBand="0" w:firstRowFirstColumn="0" w:firstRowLastColumn="0" w:lastRowFirstColumn="0" w:lastRowLastColumn="0"/>
            </w:pPr>
            <w:r w:rsidRPr="00DE7086">
              <w:t>Annual Financial Report</w:t>
            </w:r>
          </w:p>
        </w:tc>
        <w:tc>
          <w:tcPr>
            <w:tcW w:w="4831" w:type="dxa"/>
          </w:tcPr>
          <w:p w:rsidR="00E0634B" w:rsidRPr="00DE7086" w:rsidRDefault="00B937A9" w:rsidP="00DD4350">
            <w:pPr>
              <w:pStyle w:val="Tabletext"/>
              <w:cnfStyle w:val="000000000000" w:firstRow="0" w:lastRow="0" w:firstColumn="0" w:lastColumn="0" w:oddVBand="0" w:evenVBand="0" w:oddHBand="0" w:evenHBand="0" w:firstRowFirstColumn="0" w:firstRowLastColumn="0" w:lastRowFirstColumn="0" w:lastRowLastColumn="0"/>
            </w:pPr>
            <w:r>
              <w:t>Legislative</w:t>
            </w:r>
            <w:r w:rsidR="00E0634B" w:rsidRPr="00DE7086">
              <w:t xml:space="preserve"> due date is 15 October 2018.</w:t>
            </w:r>
          </w:p>
        </w:tc>
      </w:tr>
      <w:tr w:rsidR="00E0634B" w:rsidRPr="00393EBC" w:rsidTr="00AD7B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rsidR="00E0634B" w:rsidRPr="00DE7086" w:rsidRDefault="00E0634B" w:rsidP="00DD4350">
            <w:pPr>
              <w:pStyle w:val="Tabletext"/>
              <w:rPr>
                <w:b/>
              </w:rPr>
            </w:pPr>
            <w:r w:rsidRPr="00DE7086">
              <w:rPr>
                <w:b/>
              </w:rPr>
              <w:t>2017</w:t>
            </w:r>
            <w:r w:rsidR="00AA2BF4">
              <w:rPr>
                <w:b/>
              </w:rPr>
              <w:noBreakHyphen/>
            </w:r>
            <w:r w:rsidRPr="00DE7086">
              <w:rPr>
                <w:b/>
              </w:rPr>
              <w:t>18</w:t>
            </w:r>
          </w:p>
        </w:tc>
        <w:tc>
          <w:tcPr>
            <w:tcW w:w="2700" w:type="dxa"/>
          </w:tcPr>
          <w:p w:rsidR="00E0634B" w:rsidRPr="00DE7086" w:rsidRDefault="00E0634B" w:rsidP="00DD4350">
            <w:pPr>
              <w:pStyle w:val="Tabletext"/>
              <w:cnfStyle w:val="000000010000" w:firstRow="0" w:lastRow="0" w:firstColumn="0" w:lastColumn="0" w:oddVBand="0" w:evenVBand="0" w:oddHBand="0" w:evenHBand="1" w:firstRowFirstColumn="0" w:firstRowLastColumn="0" w:lastRowFirstColumn="0" w:lastRowLastColumn="0"/>
            </w:pPr>
            <w:r w:rsidRPr="00DE7086">
              <w:t>Department and entity reporting</w:t>
            </w:r>
          </w:p>
        </w:tc>
        <w:tc>
          <w:tcPr>
            <w:tcW w:w="4831" w:type="dxa"/>
          </w:tcPr>
          <w:p w:rsidR="00E0634B" w:rsidRPr="00CB23CC" w:rsidRDefault="00B937A9" w:rsidP="00AD7B0B">
            <w:pPr>
              <w:pStyle w:val="Tabletext"/>
              <w:cnfStyle w:val="000000010000" w:firstRow="0" w:lastRow="0" w:firstColumn="0" w:lastColumn="0" w:oddVBand="0" w:evenVBand="0" w:oddHBand="0" w:evenHBand="1" w:firstRowFirstColumn="0" w:firstRowLastColumn="0" w:lastRowFirstColumn="0" w:lastRowLastColumn="0"/>
            </w:pPr>
            <w:r w:rsidRPr="00BA09ED">
              <w:t>Legislative</w:t>
            </w:r>
            <w:r w:rsidR="00725BB6" w:rsidRPr="00BA09ED">
              <w:t xml:space="preserve"> due date is the last sitting day in</w:t>
            </w:r>
            <w:r w:rsidR="00E0634B" w:rsidRPr="00BA09ED">
              <w:t xml:space="preserve"> October 2018</w:t>
            </w:r>
            <w:r w:rsidR="00AD7B0B">
              <w:t xml:space="preserve"> or first </w:t>
            </w:r>
            <w:r w:rsidR="00725BB6" w:rsidRPr="00BA09ED">
              <w:t>sitting day in November</w:t>
            </w:r>
            <w:r w:rsidR="009539FC" w:rsidRPr="00BA09ED">
              <w:t xml:space="preserve"> 2018</w:t>
            </w:r>
            <w:r w:rsidR="00E0634B" w:rsidRPr="00BA09ED">
              <w:t xml:space="preserve">. </w:t>
            </w:r>
          </w:p>
        </w:tc>
      </w:tr>
    </w:tbl>
    <w:p w:rsidR="00AD7B0B" w:rsidRDefault="00AD7B0B" w:rsidP="008F6105">
      <w:pPr>
        <w:pStyle w:val="NoteNormal"/>
      </w:pPr>
      <w:bookmarkStart w:id="14" w:name="_Toc424822616"/>
      <w:bookmarkStart w:id="15" w:name="_Toc452724752"/>
    </w:p>
    <w:p w:rsidR="00CB23CC" w:rsidRDefault="00FB7089" w:rsidP="00AD7B0B">
      <w:pPr>
        <w:pStyle w:val="Heading1"/>
      </w:pPr>
      <w:bookmarkStart w:id="16" w:name="_Toc487727280"/>
      <w:r>
        <w:t>AASB update</w:t>
      </w:r>
      <w:bookmarkEnd w:id="14"/>
      <w:bookmarkEnd w:id="15"/>
      <w:bookmarkEnd w:id="16"/>
    </w:p>
    <w:p w:rsidR="00CB23CC" w:rsidRDefault="00E0634B" w:rsidP="00AD7B0B">
      <w:pPr>
        <w:pStyle w:val="Heading2"/>
      </w:pPr>
      <w:r>
        <w:t>Transitional projects for the upcoming AASB standards</w:t>
      </w:r>
    </w:p>
    <w:p w:rsidR="00453865" w:rsidRDefault="00800DAA" w:rsidP="00AD7B0B">
      <w:pPr>
        <w:rPr>
          <w:b/>
          <w:bCs/>
        </w:rPr>
      </w:pPr>
      <w:r w:rsidRPr="00B9600F">
        <w:t>The Australian Accounting Stand</w:t>
      </w:r>
      <w:r w:rsidR="004F7313">
        <w:t>ards Board (AASB) released a number of</w:t>
      </w:r>
      <w:r w:rsidRPr="00B9600F">
        <w:t xml:space="preserve"> new standards effective from </w:t>
      </w:r>
      <w:r w:rsidR="004F7313">
        <w:t>20</w:t>
      </w:r>
      <w:r w:rsidRPr="00B9600F">
        <w:t>18</w:t>
      </w:r>
      <w:r w:rsidR="00AA2BF4">
        <w:rPr>
          <w:b/>
          <w:bCs/>
        </w:rPr>
        <w:noBreakHyphen/>
      </w:r>
      <w:r w:rsidRPr="00B9600F">
        <w:t>19 an</w:t>
      </w:r>
      <w:r w:rsidR="00B9600F" w:rsidRPr="00B9600F">
        <w:t xml:space="preserve">d </w:t>
      </w:r>
      <w:r w:rsidR="004F7313">
        <w:t>20</w:t>
      </w:r>
      <w:r w:rsidR="00B9600F" w:rsidRPr="00B9600F">
        <w:t>19</w:t>
      </w:r>
      <w:r w:rsidR="00AA2BF4">
        <w:noBreakHyphen/>
      </w:r>
      <w:r w:rsidR="00B9600F" w:rsidRPr="00B9600F">
        <w:t>20 for the</w:t>
      </w:r>
      <w:r w:rsidR="003141ED">
        <w:t xml:space="preserve"> State</w:t>
      </w:r>
      <w:r w:rsidR="00122A60">
        <w:t>. A</w:t>
      </w:r>
      <w:r w:rsidR="00B9600F" w:rsidRPr="00B9600F">
        <w:t xml:space="preserve"> preliminary assessment indicates </w:t>
      </w:r>
      <w:r w:rsidR="00D76E4D">
        <w:t xml:space="preserve">these standards may have </w:t>
      </w:r>
      <w:r w:rsidR="00B9600F" w:rsidRPr="00B9600F">
        <w:t>significant impact</w:t>
      </w:r>
      <w:r w:rsidR="00D76E4D">
        <w:t>s</w:t>
      </w:r>
      <w:r w:rsidR="00B9600F" w:rsidRPr="00B9600F">
        <w:t xml:space="preserve"> on</w:t>
      </w:r>
      <w:r w:rsidR="0044099D">
        <w:t xml:space="preserve"> the financial statements and disclosures, </w:t>
      </w:r>
      <w:r w:rsidR="00181952">
        <w:t>and the transition will require</w:t>
      </w:r>
      <w:r w:rsidR="00B9600F" w:rsidRPr="00B9600F">
        <w:t xml:space="preserve"> changes to data collection procedures</w:t>
      </w:r>
      <w:r w:rsidR="00540ED9">
        <w:t>,</w:t>
      </w:r>
      <w:r w:rsidR="00B9600F" w:rsidRPr="00B9600F">
        <w:t xml:space="preserve"> and systems. </w:t>
      </w:r>
      <w:r w:rsidR="0073527F" w:rsidRPr="0073527F">
        <w:t xml:space="preserve">The Accounting Policy team has commenced consultation workshops to facilitate departments/entities’ impact assessments. VPS entities are strongly encouraged to liaise with their portfolio departments to develop a plan to assess the financial and operational implications and provide timely advice to relevant stakeholders within the next </w:t>
      </w:r>
      <w:r w:rsidR="0005370C">
        <w:t>six</w:t>
      </w:r>
      <w:r w:rsidR="0073527F" w:rsidRPr="0073527F">
        <w:t xml:space="preserve"> to </w:t>
      </w:r>
      <w:r w:rsidR="0005370C">
        <w:t>eight</w:t>
      </w:r>
      <w:r w:rsidR="0073527F" w:rsidRPr="0073527F">
        <w:t xml:space="preserve"> months.</w:t>
      </w:r>
    </w:p>
    <w:p w:rsidR="00D76E4D" w:rsidRPr="00D76E4D" w:rsidRDefault="00D76E4D" w:rsidP="00AD7B0B">
      <w:r>
        <w:t>For more details on the major changes introduced by the new standards, ple</w:t>
      </w:r>
      <w:r w:rsidR="004D5B31">
        <w:t>ase refer to previous editions of the</w:t>
      </w:r>
      <w:r>
        <w:t xml:space="preserve"> Accounting Policy newsletters, especially Edition No.</w:t>
      </w:r>
      <w:r w:rsidR="00AD7B0B">
        <w:t xml:space="preserve"> </w:t>
      </w:r>
      <w:r>
        <w:t>30 and Edition No.</w:t>
      </w:r>
      <w:r w:rsidR="00AD7B0B">
        <w:t xml:space="preserve"> </w:t>
      </w:r>
      <w:r>
        <w:t>31</w:t>
      </w:r>
      <w:r w:rsidR="004D5B31">
        <w:t>, which are</w:t>
      </w:r>
      <w:r>
        <w:t xml:space="preserve"> available on DTF</w:t>
      </w:r>
      <w:r w:rsidR="002A45A6">
        <w:t>’s</w:t>
      </w:r>
      <w:r>
        <w:t xml:space="preserve"> website </w:t>
      </w:r>
      <w:r w:rsidR="002A45A6">
        <w:t xml:space="preserve">at </w:t>
      </w:r>
      <w:hyperlink r:id="rId18" w:history="1">
        <w:r w:rsidRPr="00D76E4D">
          <w:rPr>
            <w:rStyle w:val="Hyperlink"/>
          </w:rPr>
          <w:t>http://www.dtf.vic.gov.au/Publications/Government</w:t>
        </w:r>
        <w:r w:rsidR="00AA2BF4">
          <w:rPr>
            <w:rStyle w:val="Hyperlink"/>
          </w:rPr>
          <w:noBreakHyphen/>
        </w:r>
        <w:r w:rsidRPr="00D76E4D">
          <w:rPr>
            <w:rStyle w:val="Hyperlink"/>
          </w:rPr>
          <w:t>Financial</w:t>
        </w:r>
        <w:r w:rsidR="00AA2BF4">
          <w:rPr>
            <w:rStyle w:val="Hyperlink"/>
          </w:rPr>
          <w:noBreakHyphen/>
        </w:r>
        <w:r w:rsidRPr="00D76E4D">
          <w:rPr>
            <w:rStyle w:val="Hyperlink"/>
          </w:rPr>
          <w:t>Management</w:t>
        </w:r>
        <w:r w:rsidR="00AA2BF4">
          <w:rPr>
            <w:rStyle w:val="Hyperlink"/>
          </w:rPr>
          <w:noBreakHyphen/>
        </w:r>
        <w:r w:rsidRPr="00D76E4D">
          <w:rPr>
            <w:rStyle w:val="Hyperlink"/>
          </w:rPr>
          <w:t>publications/Financial</w:t>
        </w:r>
        <w:r w:rsidR="00AA2BF4">
          <w:rPr>
            <w:rStyle w:val="Hyperlink"/>
          </w:rPr>
          <w:noBreakHyphen/>
        </w:r>
        <w:r w:rsidRPr="00D76E4D">
          <w:rPr>
            <w:rStyle w:val="Hyperlink"/>
          </w:rPr>
          <w:t>reporting</w:t>
        </w:r>
        <w:r w:rsidR="00AA2BF4">
          <w:rPr>
            <w:rStyle w:val="Hyperlink"/>
          </w:rPr>
          <w:noBreakHyphen/>
        </w:r>
        <w:r w:rsidRPr="00D76E4D">
          <w:rPr>
            <w:rStyle w:val="Hyperlink"/>
          </w:rPr>
          <w:t>policy/Accounting</w:t>
        </w:r>
        <w:r w:rsidR="00AA2BF4">
          <w:rPr>
            <w:rStyle w:val="Hyperlink"/>
          </w:rPr>
          <w:noBreakHyphen/>
        </w:r>
        <w:r w:rsidRPr="00D76E4D">
          <w:rPr>
            <w:rStyle w:val="Hyperlink"/>
          </w:rPr>
          <w:t>policy</w:t>
        </w:r>
        <w:r w:rsidR="00AA2BF4">
          <w:rPr>
            <w:rStyle w:val="Hyperlink"/>
          </w:rPr>
          <w:noBreakHyphen/>
        </w:r>
        <w:r w:rsidRPr="00D76E4D">
          <w:rPr>
            <w:rStyle w:val="Hyperlink"/>
          </w:rPr>
          <w:t>update</w:t>
        </w:r>
        <w:r w:rsidR="00AA2BF4">
          <w:rPr>
            <w:rStyle w:val="Hyperlink"/>
          </w:rPr>
          <w:noBreakHyphen/>
        </w:r>
        <w:r w:rsidRPr="00D76E4D">
          <w:rPr>
            <w:rStyle w:val="Hyperlink"/>
          </w:rPr>
          <w:t>Newsletters</w:t>
        </w:r>
      </w:hyperlink>
      <w:r>
        <w:t>.</w:t>
      </w:r>
    </w:p>
    <w:p w:rsidR="00FC045D" w:rsidRPr="00D20F7C" w:rsidRDefault="00FC045D" w:rsidP="007D03CC">
      <w:pPr>
        <w:pStyle w:val="Heading3"/>
      </w:pPr>
      <w:r w:rsidRPr="00D20F7C">
        <w:t xml:space="preserve">AASB 9 </w:t>
      </w:r>
      <w:r w:rsidRPr="00414B6E">
        <w:rPr>
          <w:i/>
        </w:rPr>
        <w:t>Financial Instruments</w:t>
      </w:r>
    </w:p>
    <w:p w:rsidR="009C5B37" w:rsidRDefault="009C5B37" w:rsidP="00FC045D">
      <w:r w:rsidRPr="008B3BA9">
        <w:t xml:space="preserve">AASB 9 </w:t>
      </w:r>
      <w:r w:rsidRPr="008B3BA9">
        <w:rPr>
          <w:i/>
        </w:rPr>
        <w:t>Financial Instruments</w:t>
      </w:r>
      <w:r w:rsidRPr="008B3BA9">
        <w:t xml:space="preserve"> will supersede previous versions of the standard </w:t>
      </w:r>
      <w:r w:rsidR="007C1CCE" w:rsidRPr="008B3BA9">
        <w:t xml:space="preserve">(AASB 9 (2014)) </w:t>
      </w:r>
      <w:r w:rsidR="00A2017C">
        <w:t xml:space="preserve">and </w:t>
      </w:r>
      <w:r w:rsidR="00CA1267">
        <w:t xml:space="preserve">certain parts of </w:t>
      </w:r>
      <w:r w:rsidR="00A2017C">
        <w:t xml:space="preserve">AASB 139 </w:t>
      </w:r>
      <w:r w:rsidR="00A2017C">
        <w:rPr>
          <w:i/>
        </w:rPr>
        <w:t xml:space="preserve">Financial Instruments: Recognition and Measurement. </w:t>
      </w:r>
      <w:r w:rsidR="00A2017C">
        <w:t>It will</w:t>
      </w:r>
      <w:r w:rsidR="008B3BA9" w:rsidRPr="008B3BA9">
        <w:t xml:space="preserve"> </w:t>
      </w:r>
      <w:r w:rsidRPr="008B3BA9">
        <w:t>apply to annual reporting periods beginning on or after 1 January</w:t>
      </w:r>
      <w:r w:rsidR="00996470" w:rsidRPr="008B3BA9">
        <w:t xml:space="preserve"> 2018, with retrospective application.</w:t>
      </w:r>
      <w:r w:rsidR="008869E4">
        <w:t xml:space="preserve"> The first applicable annual reporting period for the State will be 2018</w:t>
      </w:r>
      <w:r w:rsidR="00AA2BF4">
        <w:noBreakHyphen/>
      </w:r>
      <w:r w:rsidR="008869E4">
        <w:t xml:space="preserve">19, with </w:t>
      </w:r>
      <w:r w:rsidR="004501D4">
        <w:t xml:space="preserve">the </w:t>
      </w:r>
      <w:r w:rsidR="008869E4">
        <w:t>comparative figures of 2017</w:t>
      </w:r>
      <w:r w:rsidR="00AA2BF4">
        <w:noBreakHyphen/>
      </w:r>
      <w:r w:rsidR="008869E4">
        <w:t xml:space="preserve">18 </w:t>
      </w:r>
      <w:r w:rsidR="004F7313">
        <w:t xml:space="preserve">required to be </w:t>
      </w:r>
      <w:r w:rsidR="008869E4">
        <w:t>restated.</w:t>
      </w:r>
    </w:p>
    <w:p w:rsidR="002D6614" w:rsidRDefault="002D6614">
      <w:pPr>
        <w:spacing w:before="0" w:after="200"/>
        <w:rPr>
          <w:b/>
        </w:rPr>
      </w:pPr>
      <w:r>
        <w:rPr>
          <w:b/>
        </w:rPr>
        <w:br w:type="page"/>
      </w:r>
    </w:p>
    <w:p w:rsidR="008E5364" w:rsidRPr="008B3BA9" w:rsidRDefault="008E5364" w:rsidP="008F6105">
      <w:pPr>
        <w:pStyle w:val="Heading4"/>
      </w:pPr>
      <w:r>
        <w:lastRenderedPageBreak/>
        <w:t>Preliminary assessment</w:t>
      </w:r>
      <w:r w:rsidR="00710420">
        <w:t xml:space="preserve"> of the implications</w:t>
      </w:r>
    </w:p>
    <w:p w:rsidR="00710420" w:rsidRDefault="00710420" w:rsidP="00710420">
      <w:r>
        <w:t xml:space="preserve">The actions to be taken by VPS </w:t>
      </w:r>
      <w:r w:rsidR="006E007B">
        <w:t>departments/</w:t>
      </w:r>
      <w:r>
        <w:t>entities for transition</w:t>
      </w:r>
      <w:r w:rsidR="008869E4">
        <w:t xml:space="preserve">ing </w:t>
      </w:r>
      <w:r w:rsidR="006919AC">
        <w:t xml:space="preserve">to </w:t>
      </w:r>
      <w:r w:rsidR="008869E4">
        <w:t>AASB 9</w:t>
      </w:r>
      <w:r>
        <w:t xml:space="preserve"> include:</w:t>
      </w:r>
    </w:p>
    <w:p w:rsidR="00710420" w:rsidRDefault="00710420" w:rsidP="00AD7B0B">
      <w:pPr>
        <w:pStyle w:val="Bullet1"/>
      </w:pPr>
      <w:r>
        <w:t xml:space="preserve">assess the business model for managing the existing financial assets and determine the new categories of the financial assets and liabilities. </w:t>
      </w:r>
      <w:r w:rsidR="009813B8">
        <w:t xml:space="preserve">New categories of financial assets are defined under AASB 9, based on the entity’s business model of managing its financial assets, and </w:t>
      </w:r>
      <w:r w:rsidR="009813B8" w:rsidRPr="008B3BA9">
        <w:t>the contractual cash flow characteristics of the financial asset</w:t>
      </w:r>
      <w:r w:rsidR="009813B8">
        <w:t xml:space="preserve">. </w:t>
      </w:r>
      <w:r>
        <w:t xml:space="preserve">The new categorisation may result in </w:t>
      </w:r>
      <w:r w:rsidR="00C83743">
        <w:t xml:space="preserve">a </w:t>
      </w:r>
      <w:r>
        <w:t>different measuring approach for the assets and liabilities.</w:t>
      </w:r>
    </w:p>
    <w:p w:rsidR="00710420" w:rsidRDefault="00400479" w:rsidP="00AD7B0B">
      <w:pPr>
        <w:pStyle w:val="Bullet1"/>
      </w:pPr>
      <w:r>
        <w:t>re</w:t>
      </w:r>
      <w:r w:rsidR="00AA2BF4">
        <w:noBreakHyphen/>
      </w:r>
      <w:r>
        <w:t xml:space="preserve">assess the impairment using the new impairment model. </w:t>
      </w:r>
      <w:r w:rsidR="009813B8">
        <w:t>T</w:t>
      </w:r>
      <w:r w:rsidR="009813B8" w:rsidRPr="00A2017C">
        <w:t xml:space="preserve">he </w:t>
      </w:r>
      <w:r w:rsidR="008532AF">
        <w:t>‘</w:t>
      </w:r>
      <w:r w:rsidR="009813B8">
        <w:t>expected loss</w:t>
      </w:r>
      <w:r w:rsidR="008532AF">
        <w:t>’</w:t>
      </w:r>
      <w:r w:rsidR="009813B8">
        <w:t xml:space="preserve"> model</w:t>
      </w:r>
      <w:r w:rsidR="002D6614">
        <w:t xml:space="preserve"> under the new s</w:t>
      </w:r>
      <w:r w:rsidR="009813B8" w:rsidRPr="00A2017C">
        <w:t>tandard does not require a trigger event to happen before the recognition of impairment provision.</w:t>
      </w:r>
      <w:r w:rsidR="009813B8">
        <w:t xml:space="preserve"> Comparing with the existing </w:t>
      </w:r>
      <w:r w:rsidR="008532AF">
        <w:t>‘</w:t>
      </w:r>
      <w:r w:rsidR="009813B8">
        <w:t>incurred loss</w:t>
      </w:r>
      <w:r w:rsidR="008532AF">
        <w:t>’</w:t>
      </w:r>
      <w:r w:rsidR="009813B8">
        <w:t xml:space="preserve"> model under AASB 139, it</w:t>
      </w:r>
      <w:r>
        <w:t xml:space="preserve"> is expected to result in an </w:t>
      </w:r>
      <w:r w:rsidR="0026176D">
        <w:t xml:space="preserve">overall </w:t>
      </w:r>
      <w:r>
        <w:t>increase in the provision for impairment.</w:t>
      </w:r>
    </w:p>
    <w:p w:rsidR="00400479" w:rsidRDefault="00D14D2F" w:rsidP="00AD7B0B">
      <w:pPr>
        <w:pStyle w:val="Bullet1"/>
      </w:pPr>
      <w:r>
        <w:t>u</w:t>
      </w:r>
      <w:r w:rsidR="00400479">
        <w:t xml:space="preserve">nderstand the data </w:t>
      </w:r>
      <w:r>
        <w:t>needed</w:t>
      </w:r>
      <w:r w:rsidR="009813B8">
        <w:t xml:space="preserve"> to meet the enhanced disclosure requirements under AASB 9</w:t>
      </w:r>
      <w:r w:rsidR="008869E4">
        <w:t xml:space="preserve"> and make changes to the data collection procedures and systems.</w:t>
      </w:r>
    </w:p>
    <w:p w:rsidR="00A44E1E" w:rsidRPr="00A44E1E" w:rsidRDefault="00371B15" w:rsidP="008F6105">
      <w:pPr>
        <w:pStyle w:val="Heading4"/>
      </w:pPr>
      <w:r>
        <w:t>AccPol</w:t>
      </w:r>
      <w:r w:rsidR="00A44E1E">
        <w:t xml:space="preserve"> project for AASB 9</w:t>
      </w:r>
    </w:p>
    <w:p w:rsidR="00A44E1E" w:rsidRDefault="004D5B31" w:rsidP="00AD7B0B">
      <w:r>
        <w:t xml:space="preserve">The </w:t>
      </w:r>
      <w:r w:rsidR="008869E4">
        <w:t xml:space="preserve">Accounting Policy team has delivered </w:t>
      </w:r>
      <w:r w:rsidR="00A44E1E">
        <w:t xml:space="preserve">several </w:t>
      </w:r>
      <w:r w:rsidR="008869E4">
        <w:t>educational wor</w:t>
      </w:r>
      <w:r>
        <w:t>kshops on</w:t>
      </w:r>
      <w:r w:rsidR="006919AC">
        <w:t xml:space="preserve"> AASB 9 to departmental working groups</w:t>
      </w:r>
      <w:r w:rsidR="008869E4">
        <w:t xml:space="preserve"> and material entities. Based on</w:t>
      </w:r>
      <w:r w:rsidR="00A44E1E">
        <w:t xml:space="preserve"> </w:t>
      </w:r>
      <w:r w:rsidR="00B30747">
        <w:t xml:space="preserve">the </w:t>
      </w:r>
      <w:r w:rsidR="00A44E1E">
        <w:t>self</w:t>
      </w:r>
      <w:r w:rsidR="00AA2BF4">
        <w:noBreakHyphen/>
      </w:r>
      <w:r w:rsidR="00A44E1E">
        <w:t xml:space="preserve">assessment outcomes reported to DTF </w:t>
      </w:r>
      <w:r>
        <w:t>by departments and material entities</w:t>
      </w:r>
      <w:r w:rsidR="00156767">
        <w:t xml:space="preserve"> to date</w:t>
      </w:r>
      <w:r w:rsidR="008869E4">
        <w:t>, the initial application of AASB</w:t>
      </w:r>
      <w:r w:rsidR="0044667E">
        <w:t xml:space="preserve"> </w:t>
      </w:r>
      <w:r w:rsidR="008869E4">
        <w:t xml:space="preserve">9 is not expected to have a significant impact on the State’s financial position. </w:t>
      </w:r>
      <w:r w:rsidR="00594BA7">
        <w:t>The Accounting Policy team</w:t>
      </w:r>
      <w:r w:rsidR="00156767">
        <w:t>’s focus</w:t>
      </w:r>
      <w:r w:rsidR="00594BA7">
        <w:t xml:space="preserve"> for t</w:t>
      </w:r>
      <w:r w:rsidR="00A44E1E">
        <w:t xml:space="preserve">he next stage of </w:t>
      </w:r>
      <w:r w:rsidR="00156767">
        <w:t xml:space="preserve">the </w:t>
      </w:r>
      <w:r w:rsidR="00A44E1E">
        <w:t>AASB 9 transit</w:t>
      </w:r>
      <w:r w:rsidR="00166848">
        <w:t xml:space="preserve">ional project </w:t>
      </w:r>
      <w:r w:rsidR="00594BA7">
        <w:t xml:space="preserve">will </w:t>
      </w:r>
      <w:r w:rsidR="00A90B3C">
        <w:t xml:space="preserve">be </w:t>
      </w:r>
      <w:r w:rsidR="00156767">
        <w:t xml:space="preserve">to </w:t>
      </w:r>
      <w:r w:rsidR="00594BA7">
        <w:t>reflect</w:t>
      </w:r>
      <w:r w:rsidR="00166848">
        <w:t xml:space="preserve"> the new </w:t>
      </w:r>
      <w:r w:rsidR="00A44E1E">
        <w:t>disclosure requirements</w:t>
      </w:r>
      <w:r w:rsidR="00166848">
        <w:t xml:space="preserve"> in the system</w:t>
      </w:r>
      <w:r w:rsidR="00A44E1E">
        <w:t xml:space="preserve"> and re</w:t>
      </w:r>
      <w:r w:rsidR="00AA2BF4">
        <w:noBreakHyphen/>
      </w:r>
      <w:r w:rsidR="00A44E1E">
        <w:t>m</w:t>
      </w:r>
      <w:r>
        <w:t>ap</w:t>
      </w:r>
      <w:r w:rsidR="00156767">
        <w:t xml:space="preserve"> </w:t>
      </w:r>
      <w:r>
        <w:t>the existing accounts</w:t>
      </w:r>
      <w:r w:rsidR="00156767">
        <w:t xml:space="preserve">. </w:t>
      </w:r>
      <w:r w:rsidR="00594BA7">
        <w:t xml:space="preserve">DTF will inform departments </w:t>
      </w:r>
      <w:r w:rsidR="00156767">
        <w:t xml:space="preserve">of </w:t>
      </w:r>
      <w:r w:rsidR="00594BA7">
        <w:t>the new requirements in due course.</w:t>
      </w:r>
    </w:p>
    <w:p w:rsidR="00CB23CC" w:rsidRPr="00D20F7C" w:rsidRDefault="00CB23CC" w:rsidP="00AD7B0B">
      <w:pPr>
        <w:pStyle w:val="Heading3"/>
      </w:pPr>
      <w:r w:rsidRPr="00D20F7C">
        <w:t xml:space="preserve">AASB 15 </w:t>
      </w:r>
      <w:r w:rsidRPr="00AD7B0B">
        <w:rPr>
          <w:i/>
        </w:rPr>
        <w:t>Revenue from Contracts with Customers</w:t>
      </w:r>
    </w:p>
    <w:p w:rsidR="00A44E1E" w:rsidRDefault="00A44E1E" w:rsidP="00AD7B0B">
      <w:r w:rsidRPr="00A44E1E">
        <w:t xml:space="preserve">AASB 15 </w:t>
      </w:r>
      <w:r w:rsidRPr="00A44E1E">
        <w:rPr>
          <w:i/>
        </w:rPr>
        <w:t xml:space="preserve">Revenue from Contracts with Customers </w:t>
      </w:r>
      <w:r w:rsidRPr="00A44E1E">
        <w:t>will supersede the existing AASB 118</w:t>
      </w:r>
      <w:r w:rsidRPr="00A44E1E">
        <w:rPr>
          <w:i/>
        </w:rPr>
        <w:t xml:space="preserve"> Revenue </w:t>
      </w:r>
      <w:r w:rsidRPr="00A44E1E">
        <w:t xml:space="preserve">and </w:t>
      </w:r>
      <w:r w:rsidR="00C62C06">
        <w:br/>
      </w:r>
      <w:r w:rsidRPr="00A44E1E">
        <w:t>AASB</w:t>
      </w:r>
      <w:r w:rsidRPr="00A44E1E">
        <w:rPr>
          <w:i/>
        </w:rPr>
        <w:t xml:space="preserve"> </w:t>
      </w:r>
      <w:r w:rsidRPr="00A44E1E">
        <w:t>111</w:t>
      </w:r>
      <w:r w:rsidR="00C62C06">
        <w:rPr>
          <w:i/>
        </w:rPr>
        <w:t xml:space="preserve"> Construction C</w:t>
      </w:r>
      <w:r w:rsidRPr="00A44E1E">
        <w:rPr>
          <w:i/>
        </w:rPr>
        <w:t>ontracts</w:t>
      </w:r>
      <w:r>
        <w:rPr>
          <w:i/>
        </w:rPr>
        <w:t>.</w:t>
      </w:r>
      <w:r w:rsidR="001668A1">
        <w:rPr>
          <w:i/>
        </w:rPr>
        <w:t xml:space="preserve"> </w:t>
      </w:r>
      <w:r w:rsidR="001668A1" w:rsidRPr="00326E25">
        <w:t>The effective date i</w:t>
      </w:r>
      <w:r w:rsidR="006919AC">
        <w:t>s</w:t>
      </w:r>
      <w:r w:rsidR="001668A1" w:rsidRPr="00326E25">
        <w:t xml:space="preserve"> 1 January 2018</w:t>
      </w:r>
      <w:r w:rsidR="00326E25" w:rsidRPr="00326E25">
        <w:t xml:space="preserve"> (the 2018</w:t>
      </w:r>
      <w:r w:rsidR="00AA2BF4">
        <w:noBreakHyphen/>
      </w:r>
      <w:r w:rsidR="00326E25" w:rsidRPr="00326E25">
        <w:t>19 reporting period)</w:t>
      </w:r>
      <w:r w:rsidR="001668A1" w:rsidRPr="00326E25">
        <w:t xml:space="preserve"> for for</w:t>
      </w:r>
      <w:r w:rsidR="00AA2BF4">
        <w:noBreakHyphen/>
      </w:r>
      <w:r w:rsidR="001668A1" w:rsidRPr="00326E25">
        <w:t xml:space="preserve">profit entities and 1 January 2019 </w:t>
      </w:r>
      <w:r w:rsidR="00326E25" w:rsidRPr="00326E25">
        <w:t>(the 2019</w:t>
      </w:r>
      <w:r w:rsidR="00AA2BF4">
        <w:noBreakHyphen/>
      </w:r>
      <w:r w:rsidR="00326E25" w:rsidRPr="00326E25">
        <w:t xml:space="preserve">20 reporting period) </w:t>
      </w:r>
      <w:r w:rsidR="001668A1" w:rsidRPr="00326E25">
        <w:t xml:space="preserve">for </w:t>
      </w:r>
      <w:r w:rsidR="00191217">
        <w:t xml:space="preserve">NFP </w:t>
      </w:r>
      <w:r w:rsidR="001668A1" w:rsidRPr="00326E25">
        <w:t>entities.</w:t>
      </w:r>
      <w:r w:rsidR="008D70D3">
        <w:t xml:space="preserve"> </w:t>
      </w:r>
    </w:p>
    <w:p w:rsidR="006919AC" w:rsidRPr="008B3BA9" w:rsidRDefault="006919AC" w:rsidP="008F6105">
      <w:pPr>
        <w:pStyle w:val="Heading4"/>
      </w:pPr>
      <w:r>
        <w:t>Preliminary assessment of the implications</w:t>
      </w:r>
    </w:p>
    <w:p w:rsidR="006919AC" w:rsidRDefault="006919AC" w:rsidP="006919AC">
      <w:r>
        <w:t>The actions to be taken by VPS entities for transitioning to AASB 15 include:</w:t>
      </w:r>
    </w:p>
    <w:p w:rsidR="00BA14D0" w:rsidRPr="002C13A1" w:rsidRDefault="00683F4E" w:rsidP="00AD7B0B">
      <w:pPr>
        <w:pStyle w:val="Bullet1"/>
      </w:pPr>
      <w:r w:rsidRPr="002C13A1">
        <w:t>review</w:t>
      </w:r>
      <w:r w:rsidR="00897396" w:rsidRPr="002C13A1">
        <w:t xml:space="preserve"> t</w:t>
      </w:r>
      <w:r w:rsidR="002C13A1">
        <w:t>he terms and conditions of the existing</w:t>
      </w:r>
      <w:r w:rsidR="00897396" w:rsidRPr="002C13A1">
        <w:t xml:space="preserve"> contracts to identify </w:t>
      </w:r>
      <w:r w:rsidR="00C62C06">
        <w:t>distinct</w:t>
      </w:r>
      <w:r w:rsidR="00897396" w:rsidRPr="002C13A1">
        <w:t xml:space="preserve"> performance obligations</w:t>
      </w:r>
      <w:r w:rsidR="007C1CCE" w:rsidRPr="002C13A1">
        <w:t xml:space="preserve"> within the agreements</w:t>
      </w:r>
      <w:r w:rsidR="00897396" w:rsidRPr="002C13A1">
        <w:t xml:space="preserve">, as there may be different </w:t>
      </w:r>
      <w:r w:rsidR="006F05FF">
        <w:t xml:space="preserve">timing of </w:t>
      </w:r>
      <w:r w:rsidR="00897396" w:rsidRPr="002C13A1">
        <w:t>revenue recognition f</w:t>
      </w:r>
      <w:r w:rsidR="00932855">
        <w:t>or each performance obligation.</w:t>
      </w:r>
    </w:p>
    <w:p w:rsidR="00166848" w:rsidRDefault="002C13A1" w:rsidP="00AD7B0B">
      <w:pPr>
        <w:pStyle w:val="Bullet1"/>
      </w:pPr>
      <w:r>
        <w:t>r</w:t>
      </w:r>
      <w:r w:rsidRPr="002C13A1">
        <w:t>eview the existing revenue</w:t>
      </w:r>
      <w:r w:rsidR="00C62C06">
        <w:t xml:space="preserve"> recognition accounting policy</w:t>
      </w:r>
      <w:r w:rsidRPr="002C13A1">
        <w:t xml:space="preserve"> and r</w:t>
      </w:r>
      <w:r w:rsidR="006919AC" w:rsidRPr="002C13A1">
        <w:t>e</w:t>
      </w:r>
      <w:r w:rsidR="00AA2BF4">
        <w:noBreakHyphen/>
      </w:r>
      <w:r w:rsidR="006919AC" w:rsidRPr="002C13A1">
        <w:t>assess the timing of revenue recognition. Entities will need to apply the concept of perfo</w:t>
      </w:r>
      <w:r w:rsidRPr="002C13A1">
        <w:t>rmance obligation</w:t>
      </w:r>
      <w:r w:rsidR="007F7063">
        <w:t xml:space="preserve"> as defined by AASB 15</w:t>
      </w:r>
      <w:r w:rsidRPr="002C13A1">
        <w:t xml:space="preserve"> to revenue items to d</w:t>
      </w:r>
      <w:r w:rsidR="00C62C06">
        <w:t xml:space="preserve">etermine whether they should </w:t>
      </w:r>
      <w:r w:rsidRPr="002C13A1">
        <w:t xml:space="preserve">recognise the </w:t>
      </w:r>
      <w:r>
        <w:t>revenue over time or at a point in time</w:t>
      </w:r>
      <w:r w:rsidR="00772B45">
        <w:t>, dependent on the timing of fulfilment of the performance obligations</w:t>
      </w:r>
      <w:r>
        <w:t xml:space="preserve">. The revenue recognition </w:t>
      </w:r>
      <w:r w:rsidR="00DA0F9C">
        <w:t xml:space="preserve">policy </w:t>
      </w:r>
      <w:r>
        <w:t>may need to be revised about the timing and basis for revenue recognition.</w:t>
      </w:r>
      <w:r w:rsidR="00DA0F9C">
        <w:t xml:space="preserve"> </w:t>
      </w:r>
      <w:r w:rsidR="00EE184D">
        <w:t>For example, r</w:t>
      </w:r>
      <w:r w:rsidR="00DA0F9C">
        <w:t>evenue recognition for grants with a specific</w:t>
      </w:r>
      <w:r w:rsidR="003123FC">
        <w:t>, enforceable</w:t>
      </w:r>
      <w:r w:rsidR="00DA0F9C">
        <w:t xml:space="preserve"> performance obligation will be deferred</w:t>
      </w:r>
      <w:r w:rsidR="00C62C06">
        <w:t xml:space="preserve"> from upon cash receipt to fulfilment of the performance obligation</w:t>
      </w:r>
      <w:r w:rsidR="00DA0F9C">
        <w:t>.</w:t>
      </w:r>
    </w:p>
    <w:p w:rsidR="006919AC" w:rsidRDefault="00A90B3C" w:rsidP="00AD7B0B">
      <w:pPr>
        <w:pStyle w:val="Bullet1"/>
      </w:pPr>
      <w:r>
        <w:t xml:space="preserve">consider </w:t>
      </w:r>
      <w:r w:rsidR="00166848">
        <w:t>creating new accounts as a result of the new standard, e.g. contract asset and contract liability.</w:t>
      </w:r>
    </w:p>
    <w:p w:rsidR="00166848" w:rsidRPr="002C13A1" w:rsidRDefault="008D70D3" w:rsidP="00AD7B0B">
      <w:pPr>
        <w:pStyle w:val="Bullet1"/>
      </w:pPr>
      <w:r>
        <w:t>u</w:t>
      </w:r>
      <w:r w:rsidR="00166848">
        <w:t>nderstand the new disclosure requirements and consider how to collect</w:t>
      </w:r>
      <w:r w:rsidR="00AD7B0B">
        <w:t xml:space="preserve"> the relevant qualitative (e.g. </w:t>
      </w:r>
      <w:r w:rsidR="00166848">
        <w:t>descriptive information about performance obligations</w:t>
      </w:r>
      <w:r>
        <w:t xml:space="preserve"> and significant judgements applied)</w:t>
      </w:r>
      <w:r w:rsidR="00166848">
        <w:t xml:space="preserve"> and quantitative information</w:t>
      </w:r>
      <w:r>
        <w:t xml:space="preserve"> (e.g. disaggregation of revenue and reconciliation of contract balances)</w:t>
      </w:r>
      <w:r w:rsidR="00166848">
        <w:t>.</w:t>
      </w:r>
    </w:p>
    <w:p w:rsidR="008D70D3" w:rsidRPr="008D70D3" w:rsidRDefault="00371B15" w:rsidP="008F6105">
      <w:pPr>
        <w:pStyle w:val="Heading4"/>
      </w:pPr>
      <w:r>
        <w:t>AccPol</w:t>
      </w:r>
      <w:r w:rsidR="00DA0F9C">
        <w:t xml:space="preserve"> project for AASB 15</w:t>
      </w:r>
    </w:p>
    <w:p w:rsidR="00CB23CC" w:rsidRDefault="00A90B3C" w:rsidP="00AD7B0B">
      <w:r>
        <w:t xml:space="preserve">The </w:t>
      </w:r>
      <w:r w:rsidR="008D70D3" w:rsidRPr="008D70D3">
        <w:t>Accounting Policy team</w:t>
      </w:r>
      <w:r w:rsidR="00897396" w:rsidRPr="008D70D3">
        <w:t xml:space="preserve"> </w:t>
      </w:r>
      <w:r w:rsidR="008D70D3">
        <w:t xml:space="preserve">has performed </w:t>
      </w:r>
      <w:r w:rsidR="00371B15">
        <w:t xml:space="preserve">a </w:t>
      </w:r>
      <w:r w:rsidR="008D70D3">
        <w:t xml:space="preserve">preliminary analysis of the potential impact of AASB 15 on the financial statements and disclosures. </w:t>
      </w:r>
      <w:r w:rsidR="00371B15">
        <w:t>Given</w:t>
      </w:r>
      <w:r w:rsidR="007D2921">
        <w:t xml:space="preserve"> the earlier application </w:t>
      </w:r>
      <w:r w:rsidR="00371B15">
        <w:t>date of the new standard for</w:t>
      </w:r>
      <w:r w:rsidR="007D2921">
        <w:t xml:space="preserve"> for</w:t>
      </w:r>
      <w:r w:rsidR="00AA2BF4">
        <w:noBreakHyphen/>
      </w:r>
      <w:r w:rsidR="007D2921">
        <w:t>profit entities, t</w:t>
      </w:r>
      <w:r w:rsidR="008D70D3">
        <w:t xml:space="preserve">he </w:t>
      </w:r>
      <w:r w:rsidR="00371B15">
        <w:t>team will liaise</w:t>
      </w:r>
      <w:r w:rsidR="008D70D3">
        <w:t xml:space="preserve"> </w:t>
      </w:r>
      <w:r w:rsidR="007D2921">
        <w:t>with material for</w:t>
      </w:r>
      <w:r w:rsidR="00AA2BF4">
        <w:noBreakHyphen/>
      </w:r>
      <w:r w:rsidR="007D2921">
        <w:t xml:space="preserve">profit entities for their transition </w:t>
      </w:r>
      <w:r w:rsidR="00371B15">
        <w:t>and impact analysis</w:t>
      </w:r>
      <w:r w:rsidR="007D2921">
        <w:t xml:space="preserve">. </w:t>
      </w:r>
      <w:r w:rsidR="00BA2405">
        <w:t xml:space="preserve">The </w:t>
      </w:r>
      <w:r w:rsidR="007D2921" w:rsidRPr="008D70D3">
        <w:t xml:space="preserve">Accounting Policy team </w:t>
      </w:r>
      <w:r w:rsidR="00897396" w:rsidRPr="008D70D3">
        <w:t xml:space="preserve">will </w:t>
      </w:r>
      <w:r w:rsidR="00371B15">
        <w:t>also</w:t>
      </w:r>
      <w:r w:rsidR="007D2921">
        <w:t xml:space="preserve"> host</w:t>
      </w:r>
      <w:r w:rsidR="00897396" w:rsidRPr="008D70D3">
        <w:t xml:space="preserve"> working group consultation</w:t>
      </w:r>
      <w:r w:rsidR="007C1CCE" w:rsidRPr="008D70D3">
        <w:t>s</w:t>
      </w:r>
      <w:r>
        <w:t xml:space="preserve"> with portfolio</w:t>
      </w:r>
      <w:r w:rsidR="00897396" w:rsidRPr="008D70D3">
        <w:t xml:space="preserve"> department</w:t>
      </w:r>
      <w:r w:rsidR="007C1CCE" w:rsidRPr="008D70D3">
        <w:t>al</w:t>
      </w:r>
      <w:r w:rsidR="00897396" w:rsidRPr="008D70D3">
        <w:t xml:space="preserve"> rep</w:t>
      </w:r>
      <w:r w:rsidR="00AB0B1F" w:rsidRPr="008D70D3">
        <w:t>resentative</w:t>
      </w:r>
      <w:r w:rsidR="00897396" w:rsidRPr="008D70D3">
        <w:t xml:space="preserve">s to assist </w:t>
      </w:r>
      <w:r w:rsidR="00E45662">
        <w:t>NFP</w:t>
      </w:r>
      <w:r w:rsidR="007D2921">
        <w:t xml:space="preserve"> entities </w:t>
      </w:r>
      <w:r w:rsidR="00897396" w:rsidRPr="008D70D3">
        <w:t xml:space="preserve">with </w:t>
      </w:r>
      <w:r w:rsidR="007C1CCE" w:rsidRPr="008D70D3">
        <w:t xml:space="preserve">implementing the standard and to </w:t>
      </w:r>
      <w:r w:rsidR="00897396" w:rsidRPr="008D70D3">
        <w:t>quantify the financial impact of this new standard for the State.</w:t>
      </w:r>
    </w:p>
    <w:p w:rsidR="00CB23CC" w:rsidRPr="00D20F7C" w:rsidRDefault="007D2921" w:rsidP="007D03CC">
      <w:pPr>
        <w:pStyle w:val="Heading3"/>
      </w:pPr>
      <w:r>
        <w:t>AASB 1058</w:t>
      </w:r>
      <w:r w:rsidR="00CB23CC" w:rsidRPr="00D20F7C">
        <w:t xml:space="preserve"> </w:t>
      </w:r>
      <w:r w:rsidR="00CB23CC" w:rsidRPr="00D20F7C">
        <w:rPr>
          <w:i/>
        </w:rPr>
        <w:t>Income of Not</w:t>
      </w:r>
      <w:r w:rsidR="00AA2BF4">
        <w:rPr>
          <w:i/>
        </w:rPr>
        <w:noBreakHyphen/>
      </w:r>
      <w:r w:rsidR="00CB23CC" w:rsidRPr="00D20F7C">
        <w:rPr>
          <w:i/>
        </w:rPr>
        <w:t>for</w:t>
      </w:r>
      <w:r w:rsidR="00AA2BF4">
        <w:rPr>
          <w:i/>
        </w:rPr>
        <w:noBreakHyphen/>
      </w:r>
      <w:r w:rsidR="00633429" w:rsidRPr="00D20F7C">
        <w:rPr>
          <w:i/>
        </w:rPr>
        <w:t>P</w:t>
      </w:r>
      <w:r w:rsidR="00CB23CC" w:rsidRPr="00D20F7C">
        <w:rPr>
          <w:i/>
        </w:rPr>
        <w:t xml:space="preserve">rofit </w:t>
      </w:r>
      <w:r w:rsidR="00633429" w:rsidRPr="00D20F7C">
        <w:rPr>
          <w:i/>
        </w:rPr>
        <w:t>E</w:t>
      </w:r>
      <w:r w:rsidR="00CB23CC" w:rsidRPr="00D20F7C">
        <w:rPr>
          <w:i/>
        </w:rPr>
        <w:t>ntities</w:t>
      </w:r>
    </w:p>
    <w:p w:rsidR="001B7793" w:rsidRDefault="001B7793" w:rsidP="008F6105">
      <w:pPr>
        <w:rPr>
          <w:highlight w:val="yellow"/>
        </w:rPr>
      </w:pPr>
      <w:r w:rsidRPr="001B7793">
        <w:t xml:space="preserve">AASB 1058 </w:t>
      </w:r>
      <w:r w:rsidRPr="001B7793">
        <w:rPr>
          <w:i/>
        </w:rPr>
        <w:t>Income of Not for Profit Entities</w:t>
      </w:r>
      <w:r w:rsidRPr="001B7793">
        <w:t xml:space="preserve"> </w:t>
      </w:r>
      <w:r>
        <w:t>will supersede t</w:t>
      </w:r>
      <w:r w:rsidRPr="001B7793">
        <w:t xml:space="preserve">he majority of income recognition requirements (except for restructures of administrative arrangements) in AASB 1004 </w:t>
      </w:r>
      <w:r w:rsidRPr="001B7793">
        <w:rPr>
          <w:i/>
        </w:rPr>
        <w:t>Contributions</w:t>
      </w:r>
      <w:r>
        <w:t>. It will</w:t>
      </w:r>
      <w:r w:rsidRPr="008B3BA9">
        <w:t xml:space="preserve"> apply to annual reporting periods beginning on or after 1 January</w:t>
      </w:r>
      <w:r w:rsidR="007920D7">
        <w:t xml:space="preserve"> 2019</w:t>
      </w:r>
      <w:r>
        <w:t>.</w:t>
      </w:r>
    </w:p>
    <w:p w:rsidR="00DD4350" w:rsidRDefault="00085F85" w:rsidP="008F6105">
      <w:r>
        <w:lastRenderedPageBreak/>
        <w:t xml:space="preserve">AASB 1058 applies to </w:t>
      </w:r>
      <w:r w:rsidRPr="00085F85">
        <w:t xml:space="preserve">transactions where the consideration to acquire an asset is significantly less than the fair value, principally to enable a </w:t>
      </w:r>
      <w:r w:rsidR="00707AB5">
        <w:t>NFP</w:t>
      </w:r>
      <w:r w:rsidRPr="00085F85">
        <w:t xml:space="preserve"> entity to further its objectives</w:t>
      </w:r>
      <w:r w:rsidR="00BD57DF">
        <w:t>,</w:t>
      </w:r>
      <w:r>
        <w:t xml:space="preserve"> and the receipt of volunteer service. </w:t>
      </w:r>
      <w:r w:rsidR="00F77EDF">
        <w:t>NFP</w:t>
      </w:r>
      <w:r w:rsidR="00DD4350" w:rsidRPr="00DD4350">
        <w:t xml:space="preserve"> entit</w:t>
      </w:r>
      <w:r w:rsidR="00DD4350">
        <w:t>ies will need to assess and verify that the relevant contract does not meet the criteria of</w:t>
      </w:r>
      <w:r w:rsidR="00DD4350" w:rsidRPr="00DD4350">
        <w:t xml:space="preserve"> a contract with customers as defined by AASB 15</w:t>
      </w:r>
      <w:r w:rsidR="00DD4350">
        <w:t>, before they apply AASB 1058.</w:t>
      </w:r>
    </w:p>
    <w:p w:rsidR="002B3F9B" w:rsidRPr="002B3F9B" w:rsidRDefault="002B3F9B" w:rsidP="008F6105">
      <w:pPr>
        <w:pStyle w:val="Heading4"/>
      </w:pPr>
      <w:r w:rsidRPr="002B3F9B">
        <w:t>Preliminary assessment of the implications</w:t>
      </w:r>
    </w:p>
    <w:p w:rsidR="002B3F9B" w:rsidRDefault="002B3F9B" w:rsidP="002B3F9B">
      <w:r>
        <w:t>The actions to be taken by VPS entities for transitioning to AASB 1058 include:</w:t>
      </w:r>
    </w:p>
    <w:p w:rsidR="00230312" w:rsidRDefault="002B3F9B" w:rsidP="002B3F9B">
      <w:pPr>
        <w:pStyle w:val="ListParagraph"/>
        <w:numPr>
          <w:ilvl w:val="0"/>
          <w:numId w:val="42"/>
        </w:numPr>
      </w:pPr>
      <w:r>
        <w:t>r</w:t>
      </w:r>
      <w:r w:rsidRPr="002B3F9B">
        <w:t>eview the existing grant arrangements</w:t>
      </w:r>
      <w:r w:rsidR="006052EC">
        <w:t xml:space="preserve"> for identifiable performance obligations</w:t>
      </w:r>
      <w:r w:rsidR="00707AB5">
        <w:t xml:space="preserve"> and</w:t>
      </w:r>
      <w:r w:rsidR="00500997">
        <w:t xml:space="preserve"> re</w:t>
      </w:r>
      <w:r w:rsidR="00AA2BF4">
        <w:noBreakHyphen/>
      </w:r>
      <w:r w:rsidR="00500997">
        <w:t>assess the timing for revenue recognition</w:t>
      </w:r>
      <w:r w:rsidRPr="002B3F9B">
        <w:t>.</w:t>
      </w:r>
      <w:r>
        <w:t xml:space="preserve"> </w:t>
      </w:r>
      <w:r w:rsidR="002B287A">
        <w:t>AASB 1058 aligns</w:t>
      </w:r>
      <w:r w:rsidR="002B287A" w:rsidRPr="00E26D3A">
        <w:t xml:space="preserve"> with the income recognition principle of AASB 15 upon fulfilment of performance obligation</w:t>
      </w:r>
      <w:r w:rsidR="002B287A">
        <w:t>. Therefore, f</w:t>
      </w:r>
      <w:r>
        <w:t>or grants with enforceable specific performance obligations, revenue from the grant</w:t>
      </w:r>
      <w:r w:rsidR="006052EC">
        <w:t>s</w:t>
      </w:r>
      <w:r>
        <w:t xml:space="preserve"> will be deferred </w:t>
      </w:r>
      <w:r w:rsidR="00A84484">
        <w:t xml:space="preserve">until the performance </w:t>
      </w:r>
      <w:r w:rsidR="00500997">
        <w:t>obligations are satisfied (based on</w:t>
      </w:r>
      <w:r w:rsidR="00A84484">
        <w:t xml:space="preserve"> AASB 15 for contracts defined by AASB 15</w:t>
      </w:r>
      <w:r w:rsidR="006052EC">
        <w:t>,</w:t>
      </w:r>
      <w:r w:rsidR="00A84484">
        <w:t xml:space="preserve"> or AASB 1058 for other contracts).</w:t>
      </w:r>
    </w:p>
    <w:p w:rsidR="00A84484" w:rsidRDefault="00A84484" w:rsidP="002B3F9B">
      <w:pPr>
        <w:pStyle w:val="ListParagraph"/>
        <w:numPr>
          <w:ilvl w:val="0"/>
          <w:numId w:val="42"/>
        </w:numPr>
      </w:pPr>
      <w:r>
        <w:t xml:space="preserve">identify </w:t>
      </w:r>
      <w:r w:rsidR="007A0621">
        <w:t xml:space="preserve">existing </w:t>
      </w:r>
      <w:r w:rsidR="009A0C13">
        <w:t>pepp</w:t>
      </w:r>
      <w:r w:rsidR="007920D7">
        <w:t>ercorn lease arrangements to</w:t>
      </w:r>
      <w:r w:rsidR="009A0C13">
        <w:t xml:space="preserve"> which the entity is</w:t>
      </w:r>
      <w:r>
        <w:t xml:space="preserve"> a lesse</w:t>
      </w:r>
      <w:r w:rsidR="009A0C13">
        <w:t>e</w:t>
      </w:r>
      <w:r>
        <w:t>.</w:t>
      </w:r>
      <w:r w:rsidR="009A0C13">
        <w:t xml:space="preserve"> </w:t>
      </w:r>
      <w:r w:rsidR="002B287A">
        <w:t>T</w:t>
      </w:r>
      <w:r w:rsidR="003123FC">
        <w:t>he release of AASB</w:t>
      </w:r>
      <w:r w:rsidR="007920D7">
        <w:t> </w:t>
      </w:r>
      <w:r w:rsidR="003123FC">
        <w:t>1058</w:t>
      </w:r>
      <w:r w:rsidR="00AA2BF4">
        <w:t xml:space="preserve"> </w:t>
      </w:r>
      <w:r w:rsidR="003123FC">
        <w:t>has resulted in</w:t>
      </w:r>
      <w:r w:rsidR="002B287A">
        <w:t xml:space="preserve"> consequential amendment</w:t>
      </w:r>
      <w:r w:rsidR="00C14A24">
        <w:t>s</w:t>
      </w:r>
      <w:r w:rsidR="002B287A">
        <w:t xml:space="preserve"> to the lessee’s accounting treatment for peppercorn leases. Under the amended approach, the initial recognition of the right</w:t>
      </w:r>
      <w:r w:rsidR="00AA2BF4">
        <w:noBreakHyphen/>
      </w:r>
      <w:r w:rsidR="002B287A">
        <w:t>of</w:t>
      </w:r>
      <w:r w:rsidR="00AA2BF4">
        <w:noBreakHyphen/>
      </w:r>
      <w:r w:rsidR="002B287A">
        <w:t xml:space="preserve">use asset acquired by the lessee will be made at its fair value, with the difference with the amount of lease liability recognised in the operating statement. </w:t>
      </w:r>
      <w:r w:rsidR="00FE1F3B">
        <w:t xml:space="preserve">Entities will need to collect the </w:t>
      </w:r>
      <w:r w:rsidR="007A0621">
        <w:t>data on the fair value of right</w:t>
      </w:r>
      <w:r w:rsidR="00AA2BF4">
        <w:noBreakHyphen/>
      </w:r>
      <w:r w:rsidR="007A0621">
        <w:t>of</w:t>
      </w:r>
      <w:r w:rsidR="00AA2BF4">
        <w:noBreakHyphen/>
      </w:r>
      <w:r w:rsidR="007A0621">
        <w:t>use assets from these arrangements upon transition to the new standard.</w:t>
      </w:r>
    </w:p>
    <w:p w:rsidR="00BE7989" w:rsidRDefault="00BE7989" w:rsidP="00BE7989">
      <w:pPr>
        <w:pStyle w:val="ListParagraph"/>
        <w:numPr>
          <w:ilvl w:val="0"/>
          <w:numId w:val="42"/>
        </w:numPr>
      </w:pPr>
      <w:r>
        <w:t>consider the necessity of creating new accounts as a result of the new standard, e.g. the unearned income associated with capital grants with a specific performance obligation.</w:t>
      </w:r>
    </w:p>
    <w:p w:rsidR="00BE7989" w:rsidRPr="00BE7989" w:rsidRDefault="00371B15" w:rsidP="008F6105">
      <w:pPr>
        <w:pStyle w:val="Heading4"/>
      </w:pPr>
      <w:r>
        <w:t>AccPol</w:t>
      </w:r>
      <w:r w:rsidR="00BE7989" w:rsidRPr="00BE7989">
        <w:t xml:space="preserve"> project for AASB </w:t>
      </w:r>
      <w:r w:rsidR="009B14C3">
        <w:t>1058</w:t>
      </w:r>
    </w:p>
    <w:p w:rsidR="00BE7989" w:rsidRDefault="00BD57DF" w:rsidP="00BE7989">
      <w:r>
        <w:t xml:space="preserve">The </w:t>
      </w:r>
      <w:r w:rsidR="00BE7989" w:rsidRPr="008D70D3">
        <w:t xml:space="preserve">Accounting Policy team </w:t>
      </w:r>
      <w:r w:rsidR="00BE7989">
        <w:t xml:space="preserve">has </w:t>
      </w:r>
      <w:r w:rsidR="007920D7">
        <w:t xml:space="preserve">commenced </w:t>
      </w:r>
      <w:r w:rsidR="00BE7989">
        <w:t>preliminary analysis of the potential impact of AASB 1058 on the financial statements and disclosures. W</w:t>
      </w:r>
      <w:r w:rsidR="00707AB5">
        <w:t>orking group consultations with</w:t>
      </w:r>
      <w:r w:rsidR="00BE7989" w:rsidRPr="008D70D3">
        <w:t xml:space="preserve"> departmental representatives</w:t>
      </w:r>
      <w:r w:rsidR="00BE7989">
        <w:t xml:space="preserve"> will be conducted in conjunction with those for AASB 15</w:t>
      </w:r>
      <w:r w:rsidR="007920D7">
        <w:t xml:space="preserve"> </w:t>
      </w:r>
      <w:r w:rsidR="007920D7" w:rsidRPr="008D70D3">
        <w:t xml:space="preserve">to assist </w:t>
      </w:r>
      <w:r w:rsidR="007920D7">
        <w:t xml:space="preserve">NFP entities </w:t>
      </w:r>
      <w:r w:rsidR="007920D7" w:rsidRPr="008D70D3">
        <w:t>with implementing the standard and to quantify the financial impact of this new standard for the State.</w:t>
      </w:r>
    </w:p>
    <w:p w:rsidR="009C5B37" w:rsidRPr="00D20F7C" w:rsidRDefault="000238D7" w:rsidP="007D03CC">
      <w:pPr>
        <w:pStyle w:val="Heading3"/>
      </w:pPr>
      <w:r w:rsidRPr="00D20F7C">
        <w:t>AASB 1</w:t>
      </w:r>
      <w:r w:rsidR="002128F8" w:rsidRPr="00D20F7C">
        <w:t>6</w:t>
      </w:r>
      <w:r w:rsidRPr="00D20F7C">
        <w:t xml:space="preserve"> </w:t>
      </w:r>
      <w:r w:rsidR="009C5B37" w:rsidRPr="00D20F7C">
        <w:rPr>
          <w:i/>
        </w:rPr>
        <w:t>Leases</w:t>
      </w:r>
    </w:p>
    <w:p w:rsidR="009B14C3" w:rsidRDefault="009C5B37" w:rsidP="008F6105">
      <w:r w:rsidRPr="00DF1D02">
        <w:t xml:space="preserve">AASB 16 </w:t>
      </w:r>
      <w:r w:rsidRPr="00DF1D02">
        <w:rPr>
          <w:i/>
        </w:rPr>
        <w:t>Leases</w:t>
      </w:r>
      <w:r w:rsidRPr="00DF1D02">
        <w:t xml:space="preserve"> </w:t>
      </w:r>
      <w:r w:rsidR="009B14C3" w:rsidRPr="00DF1D02">
        <w:t xml:space="preserve">will </w:t>
      </w:r>
      <w:r w:rsidRPr="00DF1D02">
        <w:t xml:space="preserve">supersede the existing standard AASB 117 </w:t>
      </w:r>
      <w:r w:rsidRPr="00DF1D02">
        <w:rPr>
          <w:i/>
        </w:rPr>
        <w:t>Leases</w:t>
      </w:r>
      <w:r w:rsidR="007920D7">
        <w:t xml:space="preserve"> </w:t>
      </w:r>
      <w:r w:rsidR="000717DA" w:rsidRPr="00DF1D02">
        <w:rPr>
          <w:lang w:val="en-US"/>
        </w:rPr>
        <w:t>for annual reporting periods beginning on or after 1 January 2019.</w:t>
      </w:r>
      <w:r w:rsidR="009B14C3" w:rsidRPr="00DF1D02">
        <w:rPr>
          <w:lang w:val="en-US"/>
        </w:rPr>
        <w:t xml:space="preserve"> </w:t>
      </w:r>
      <w:r w:rsidR="007920D7">
        <w:t>T</w:t>
      </w:r>
      <w:r w:rsidR="009B14C3">
        <w:t>he transitional option</w:t>
      </w:r>
      <w:r w:rsidR="007920D7">
        <w:t xml:space="preserve">s </w:t>
      </w:r>
      <w:r w:rsidR="005530BB">
        <w:t xml:space="preserve">are </w:t>
      </w:r>
      <w:r w:rsidR="007920D7">
        <w:t>yet to be determined and a final decision will be</w:t>
      </w:r>
      <w:r w:rsidR="009B14C3">
        <w:t xml:space="preserve"> based on consultations with departments, </w:t>
      </w:r>
      <w:r w:rsidR="007920D7">
        <w:t xml:space="preserve">and analysis of the </w:t>
      </w:r>
      <w:r w:rsidR="00CD0B47">
        <w:t>cost and benefit</w:t>
      </w:r>
      <w:r w:rsidR="007920D7">
        <w:t xml:space="preserve">, </w:t>
      </w:r>
      <w:r w:rsidR="00E95B26">
        <w:t xml:space="preserve">practicability </w:t>
      </w:r>
      <w:r w:rsidR="007920D7">
        <w:t xml:space="preserve">and impact </w:t>
      </w:r>
      <w:r w:rsidR="00E95B26">
        <w:t>of each option.</w:t>
      </w:r>
    </w:p>
    <w:p w:rsidR="00B374DE" w:rsidRPr="00B374DE" w:rsidRDefault="00B374DE" w:rsidP="008F6105">
      <w:pPr>
        <w:pStyle w:val="Heading4"/>
      </w:pPr>
      <w:r w:rsidRPr="00B374DE">
        <w:t>Preliminary assessment of the implications</w:t>
      </w:r>
    </w:p>
    <w:p w:rsidR="00B374DE" w:rsidRDefault="00B374DE" w:rsidP="008F6105">
      <w:r>
        <w:t>The actions to be taken by VPS entities for transitioning to AASB 16 include:</w:t>
      </w:r>
    </w:p>
    <w:p w:rsidR="00B374DE" w:rsidRDefault="00B374DE" w:rsidP="008F6105">
      <w:pPr>
        <w:pStyle w:val="Bullet1"/>
      </w:pPr>
      <w:r w:rsidRPr="00B374DE">
        <w:t>review the terms and conditions of all existing lease and service contracts</w:t>
      </w:r>
      <w:r w:rsidR="008C1FC4">
        <w:t xml:space="preserve"> to identify the lease component(s)</w:t>
      </w:r>
      <w:r w:rsidRPr="00B374DE">
        <w:t>. Some service contracts may contain a lease in substance</w:t>
      </w:r>
      <w:r w:rsidR="00594E80">
        <w:t>,</w:t>
      </w:r>
      <w:r w:rsidRPr="00B374DE">
        <w:t xml:space="preserve"> which conveys the entity the right to control the use of an identified asset, which should be accounted for under AASB 16</w:t>
      </w:r>
      <w:r w:rsidR="009A7962">
        <w:t>; s</w:t>
      </w:r>
      <w:r w:rsidRPr="00B374DE">
        <w:t>ome lease contracts may contain non</w:t>
      </w:r>
      <w:r w:rsidR="00AA2BF4">
        <w:noBreakHyphen/>
      </w:r>
      <w:r w:rsidRPr="00B374DE">
        <w:t>lease components, which should be accounted for under other applicable standards.</w:t>
      </w:r>
    </w:p>
    <w:p w:rsidR="009A7962" w:rsidRPr="008732F4" w:rsidRDefault="00B374DE" w:rsidP="008F6105">
      <w:pPr>
        <w:pStyle w:val="Bullet1"/>
      </w:pPr>
      <w:r w:rsidRPr="008732F4">
        <w:t>develop a leas</w:t>
      </w:r>
      <w:r w:rsidR="00414B43">
        <w:t xml:space="preserve">e register to capture all leases’ </w:t>
      </w:r>
      <w:r w:rsidRPr="008732F4">
        <w:t>relevant data</w:t>
      </w:r>
      <w:r w:rsidR="009A7962" w:rsidRPr="008732F4">
        <w:t xml:space="preserve"> necessary for financial reporting purpose</w:t>
      </w:r>
      <w:r w:rsidRPr="008732F4">
        <w:t xml:space="preserve">, including implicit interest rate, payment schedule, extension/termination options, etc. </w:t>
      </w:r>
      <w:r w:rsidR="002B287A">
        <w:t>Under AASB 16, l</w:t>
      </w:r>
      <w:r w:rsidR="002B287A" w:rsidRPr="00DF1D02">
        <w:t xml:space="preserve">essees will </w:t>
      </w:r>
      <w:r w:rsidR="00C14A24">
        <w:t xml:space="preserve">need to </w:t>
      </w:r>
      <w:r w:rsidR="002B287A" w:rsidRPr="00DF1D02">
        <w:t>recognise a right</w:t>
      </w:r>
      <w:r w:rsidR="00AA2BF4">
        <w:noBreakHyphen/>
      </w:r>
      <w:r w:rsidR="002B287A" w:rsidRPr="00DF1D02">
        <w:t>of</w:t>
      </w:r>
      <w:r w:rsidR="00AA2BF4">
        <w:noBreakHyphen/>
      </w:r>
      <w:r w:rsidR="002B287A" w:rsidRPr="00DF1D02">
        <w:t>use asset and a lease liability at the lease commencement date</w:t>
      </w:r>
      <w:r w:rsidR="002B287A">
        <w:t xml:space="preserve"> using these data</w:t>
      </w:r>
      <w:r w:rsidR="002B287A" w:rsidRPr="00DF1D02">
        <w:t>, and depreciate the asset and amortise the liability over the lease period.</w:t>
      </w:r>
      <w:r w:rsidR="002B287A">
        <w:t xml:space="preserve"> This applies to all leases except for </w:t>
      </w:r>
      <w:r w:rsidR="002B287A" w:rsidRPr="00DF1D02">
        <w:t>short term leases less than 12 months and low value leases</w:t>
      </w:r>
      <w:r w:rsidR="002B287A">
        <w:t>.</w:t>
      </w:r>
    </w:p>
    <w:p w:rsidR="00F24364" w:rsidRPr="008732F4" w:rsidRDefault="009A7962" w:rsidP="008F6105">
      <w:pPr>
        <w:pStyle w:val="Bullet1"/>
      </w:pPr>
      <w:r w:rsidRPr="008732F4">
        <w:t xml:space="preserve">develop a system to perform the lessee accounting. </w:t>
      </w:r>
      <w:r w:rsidR="001D73E5" w:rsidRPr="008732F4">
        <w:t xml:space="preserve">The recognition of all lease assets and liabilities on balance sheet will increase the net debt of lessees. The net impact on their operating surplus is expected to be marginal. </w:t>
      </w:r>
    </w:p>
    <w:p w:rsidR="008732F4" w:rsidRPr="008732F4" w:rsidRDefault="00371B15" w:rsidP="008F6105">
      <w:pPr>
        <w:pStyle w:val="Heading4"/>
      </w:pPr>
      <w:r>
        <w:t>AccPol</w:t>
      </w:r>
      <w:r w:rsidR="008732F4" w:rsidRPr="008732F4">
        <w:t xml:space="preserve"> project for AASB 1</w:t>
      </w:r>
      <w:r w:rsidR="008732F4">
        <w:t>6</w:t>
      </w:r>
    </w:p>
    <w:p w:rsidR="009A7962" w:rsidRPr="00487F76" w:rsidRDefault="00CA1267" w:rsidP="00D20F7C">
      <w:r>
        <w:t xml:space="preserve">The </w:t>
      </w:r>
      <w:r w:rsidR="008732F4" w:rsidRPr="00487F76">
        <w:t xml:space="preserve">Accounting Policy </w:t>
      </w:r>
      <w:r w:rsidR="00C41E4B">
        <w:t xml:space="preserve">team </w:t>
      </w:r>
      <w:r w:rsidR="008732F4" w:rsidRPr="00487F76">
        <w:t xml:space="preserve">has hosted </w:t>
      </w:r>
      <w:r w:rsidR="007920D7">
        <w:t>a number of</w:t>
      </w:r>
      <w:r w:rsidR="008732F4" w:rsidRPr="00487F76">
        <w:t xml:space="preserve"> working group consultation</w:t>
      </w:r>
      <w:r w:rsidR="007920D7">
        <w:t>s</w:t>
      </w:r>
      <w:r w:rsidR="008732F4" w:rsidRPr="00487F76">
        <w:t xml:space="preserve"> with departmental representatives to deliver high</w:t>
      </w:r>
      <w:r w:rsidR="00AA2BF4">
        <w:noBreakHyphen/>
      </w:r>
      <w:r w:rsidR="008732F4" w:rsidRPr="00487F76">
        <w:t>level educationa</w:t>
      </w:r>
      <w:r w:rsidR="007920D7">
        <w:t>l notes and seek feedback on a</w:t>
      </w:r>
      <w:r w:rsidR="008732F4" w:rsidRPr="00487F76">
        <w:t xml:space="preserve"> proposed lease register. </w:t>
      </w:r>
      <w:r w:rsidR="007920D7">
        <w:t xml:space="preserve">Department and </w:t>
      </w:r>
      <w:r w:rsidR="00414B43">
        <w:t xml:space="preserve">entities are strongly encouraged to </w:t>
      </w:r>
      <w:r w:rsidR="007920D7">
        <w:t xml:space="preserve">commence assessing the impact of the new standard and </w:t>
      </w:r>
      <w:r w:rsidR="00414B43">
        <w:t>provide feedback on any challenges or questions</w:t>
      </w:r>
      <w:r w:rsidR="007920D7">
        <w:t xml:space="preserve"> to DTF and/or </w:t>
      </w:r>
      <w:r w:rsidR="00314A2E">
        <w:t xml:space="preserve">the </w:t>
      </w:r>
      <w:r w:rsidR="007920D7">
        <w:t>relevant portfolio department</w:t>
      </w:r>
      <w:r w:rsidR="00414B43">
        <w:t xml:space="preserve"> as soon as possible. </w:t>
      </w:r>
    </w:p>
    <w:p w:rsidR="009C5B37" w:rsidRDefault="005F1737" w:rsidP="008F6105">
      <w:r w:rsidRPr="00487F76">
        <w:lastRenderedPageBreak/>
        <w:t xml:space="preserve">To assist entities with the implementation </w:t>
      </w:r>
      <w:r w:rsidR="00773872" w:rsidRPr="00487F76">
        <w:t>of this new standard</w:t>
      </w:r>
      <w:r w:rsidR="009F25CB" w:rsidRPr="00487F76">
        <w:t xml:space="preserve">, </w:t>
      </w:r>
      <w:r w:rsidR="00314A2E">
        <w:t xml:space="preserve">the </w:t>
      </w:r>
      <w:r w:rsidR="008732F4" w:rsidRPr="00487F76">
        <w:t>Accounting Policy</w:t>
      </w:r>
      <w:r w:rsidR="00C41E4B">
        <w:t xml:space="preserve"> team</w:t>
      </w:r>
      <w:r w:rsidR="008732F4" w:rsidRPr="00487F76">
        <w:t xml:space="preserve"> will continue to</w:t>
      </w:r>
      <w:r w:rsidR="00C41E4B">
        <w:t xml:space="preserve"> </w:t>
      </w:r>
      <w:r w:rsidR="00961EEA">
        <w:t xml:space="preserve">work with portfolio departments to </w:t>
      </w:r>
      <w:r w:rsidR="00C41E4B">
        <w:t>develop further guidance and</w:t>
      </w:r>
      <w:r w:rsidR="008732F4" w:rsidRPr="00487F76">
        <w:t xml:space="preserve"> host</w:t>
      </w:r>
      <w:r w:rsidR="0054475A" w:rsidRPr="00487F76">
        <w:t xml:space="preserve"> working group </w:t>
      </w:r>
      <w:r w:rsidR="00000304" w:rsidRPr="00487F76">
        <w:t>c</w:t>
      </w:r>
      <w:r w:rsidR="0054475A" w:rsidRPr="00487F76">
        <w:t>onsultations</w:t>
      </w:r>
      <w:r w:rsidR="008732F4" w:rsidRPr="00487F76">
        <w:t>, f</w:t>
      </w:r>
      <w:r w:rsidR="00BB37F8">
        <w:t>or</w:t>
      </w:r>
      <w:r w:rsidR="008732F4" w:rsidRPr="00487F76">
        <w:t xml:space="preserve"> data</w:t>
      </w:r>
      <w:r w:rsidR="00BB37F8">
        <w:t xml:space="preserve"> collection</w:t>
      </w:r>
      <w:r w:rsidR="008732F4" w:rsidRPr="00487F76">
        <w:t xml:space="preserve">, </w:t>
      </w:r>
      <w:r w:rsidR="00961EEA">
        <w:t xml:space="preserve">and on the </w:t>
      </w:r>
      <w:r w:rsidR="008732F4" w:rsidRPr="00487F76">
        <w:t xml:space="preserve">selection of elective options </w:t>
      </w:r>
      <w:r w:rsidR="00961EEA">
        <w:t>on transition</w:t>
      </w:r>
      <w:r w:rsidR="00996470" w:rsidRPr="00487F76">
        <w:t>.</w:t>
      </w:r>
    </w:p>
    <w:p w:rsidR="00E0634B" w:rsidRDefault="00A01975" w:rsidP="008F6105">
      <w:pPr>
        <w:pStyle w:val="Heading2"/>
      </w:pPr>
      <w:r>
        <w:t>Other upcoming AASB standard</w:t>
      </w:r>
      <w:r w:rsidR="00D33668">
        <w:t>s</w:t>
      </w:r>
    </w:p>
    <w:p w:rsidR="00C36FA4" w:rsidRPr="00405535" w:rsidRDefault="00A00728" w:rsidP="007D03CC">
      <w:pPr>
        <w:pStyle w:val="Heading3"/>
      </w:pPr>
      <w:r>
        <w:t>AASB 10XY</w:t>
      </w:r>
      <w:r w:rsidR="000238D7" w:rsidRPr="00D20F7C">
        <w:t xml:space="preserve"> </w:t>
      </w:r>
      <w:r w:rsidR="00C36FA4" w:rsidRPr="00713FB5">
        <w:rPr>
          <w:i/>
        </w:rPr>
        <w:t>Service Concession Arrangements</w:t>
      </w:r>
    </w:p>
    <w:p w:rsidR="008E34B2" w:rsidRPr="0061231C" w:rsidRDefault="00371B15" w:rsidP="008F6105">
      <w:r>
        <w:t>A draft</w:t>
      </w:r>
      <w:r w:rsidR="00A00728" w:rsidRPr="0061231C">
        <w:t xml:space="preserve"> fatal flaw review version of AASB 10XY</w:t>
      </w:r>
      <w:r w:rsidR="008E34B2" w:rsidRPr="0061231C">
        <w:t xml:space="preserve"> </w:t>
      </w:r>
      <w:r w:rsidR="008E34B2" w:rsidRPr="0061231C">
        <w:rPr>
          <w:i/>
        </w:rPr>
        <w:t>Service Concession Arrangements</w:t>
      </w:r>
      <w:r w:rsidR="008E34B2" w:rsidRPr="0061231C">
        <w:t xml:space="preserve"> </w:t>
      </w:r>
      <w:r w:rsidR="00115A52" w:rsidRPr="0061231C">
        <w:t>was</w:t>
      </w:r>
      <w:r w:rsidR="008E34B2" w:rsidRPr="0061231C">
        <w:t xml:space="preserve"> issued </w:t>
      </w:r>
      <w:r>
        <w:t xml:space="preserve">for consultation </w:t>
      </w:r>
      <w:r w:rsidR="008E34B2" w:rsidRPr="0061231C">
        <w:t xml:space="preserve">by the AASB </w:t>
      </w:r>
      <w:r w:rsidR="00ED0DD3" w:rsidRPr="0061231C">
        <w:t>with</w:t>
      </w:r>
      <w:r w:rsidR="008E34B2" w:rsidRPr="0061231C">
        <w:t xml:space="preserve"> a potential application date from 1 January 2019</w:t>
      </w:r>
      <w:r w:rsidR="00115A52" w:rsidRPr="0061231C">
        <w:t xml:space="preserve"> (the 2019</w:t>
      </w:r>
      <w:r w:rsidR="00AA2BF4">
        <w:noBreakHyphen/>
      </w:r>
      <w:r w:rsidR="00115A52" w:rsidRPr="0061231C">
        <w:t>20 reporting period)</w:t>
      </w:r>
      <w:r w:rsidR="00CB66E1" w:rsidRPr="0061231C">
        <w:t>.</w:t>
      </w:r>
      <w:r w:rsidR="000066FF" w:rsidRPr="0061231C">
        <w:t xml:space="preserve"> It addresses grantor accounting for service concession arrangements and applies to arrangements that involve a private sector operator providing a public service related to a service concession asset on behalf of a public sector grantor. </w:t>
      </w:r>
    </w:p>
    <w:p w:rsidR="00D470CE" w:rsidRPr="00D470CE" w:rsidRDefault="00127A4E" w:rsidP="008F6105">
      <w:r w:rsidRPr="0061231C">
        <w:t xml:space="preserve">The new standard would require the recognition of the service concession asset </w:t>
      </w:r>
      <w:r w:rsidR="00BB37F8">
        <w:t>at its</w:t>
      </w:r>
      <w:r w:rsidR="00D470CE" w:rsidRPr="0061231C">
        <w:t xml:space="preserve"> fair value </w:t>
      </w:r>
      <w:r w:rsidR="008B58F7" w:rsidRPr="0061231C">
        <w:t>by the grantor when</w:t>
      </w:r>
      <w:r w:rsidRPr="0061231C">
        <w:t xml:space="preserve"> the grantor controls the asset</w:t>
      </w:r>
      <w:r w:rsidR="008B58F7" w:rsidRPr="0061231C">
        <w:t>, a</w:t>
      </w:r>
      <w:r w:rsidR="008B6E60">
        <w:t xml:space="preserve">nd </w:t>
      </w:r>
      <w:r w:rsidR="008B58F7" w:rsidRPr="0061231C">
        <w:t>recognition</w:t>
      </w:r>
      <w:r w:rsidR="00E123AC">
        <w:t xml:space="preserve"> of the corresponding liability, the nature of which</w:t>
      </w:r>
      <w:r w:rsidR="008B6E60">
        <w:t xml:space="preserve"> </w:t>
      </w:r>
      <w:r w:rsidR="008B58F7" w:rsidRPr="0061231C">
        <w:t xml:space="preserve">is dependent on the </w:t>
      </w:r>
      <w:r w:rsidR="00DE4013" w:rsidRPr="0061231C">
        <w:t>consideration</w:t>
      </w:r>
      <w:r w:rsidR="008B58F7" w:rsidRPr="0061231C">
        <w:t xml:space="preserve"> model. </w:t>
      </w:r>
    </w:p>
    <w:p w:rsidR="000D7F8F" w:rsidRDefault="00256F2A" w:rsidP="00DF6166">
      <w:r w:rsidRPr="00256F2A">
        <w:t>The major update</w:t>
      </w:r>
      <w:r w:rsidR="00D33668">
        <w:t xml:space="preserve">s related to the draft standard since the last newsletter </w:t>
      </w:r>
      <w:r w:rsidRPr="00256F2A">
        <w:t>include:</w:t>
      </w:r>
    </w:p>
    <w:p w:rsidR="00256F2A" w:rsidRDefault="00B02271" w:rsidP="008F6105">
      <w:pPr>
        <w:pStyle w:val="Bullet1"/>
      </w:pPr>
      <w:r>
        <w:t>c</w:t>
      </w:r>
      <w:r w:rsidR="00256F2A">
        <w:t xml:space="preserve">larification of </w:t>
      </w:r>
      <w:r w:rsidR="00CC5FC9">
        <w:t xml:space="preserve">the treatment for the use of </w:t>
      </w:r>
      <w:r w:rsidR="00256F2A">
        <w:t xml:space="preserve">existing intangible assets </w:t>
      </w:r>
      <w:r w:rsidR="00CC5FC9">
        <w:t>i</w:t>
      </w:r>
      <w:r w:rsidR="00256F2A">
        <w:t xml:space="preserve">n a service concession arrangement. This clarification is specific to those existing intangible assets but not previously recognised as an intangible asset as they don’t meet the recognition criteria of AASB 138 </w:t>
      </w:r>
      <w:r w:rsidR="00256F2A" w:rsidRPr="00256F2A">
        <w:rPr>
          <w:i/>
        </w:rPr>
        <w:t>Intangible Assets</w:t>
      </w:r>
      <w:r w:rsidR="00256F2A">
        <w:t xml:space="preserve">. AASB 10XY would override AASB 138 </w:t>
      </w:r>
      <w:r w:rsidR="00CC5FC9">
        <w:t>if these intangible asset</w:t>
      </w:r>
      <w:r w:rsidR="000E6B93">
        <w:t>s</w:t>
      </w:r>
      <w:r w:rsidR="00CC5FC9">
        <w:t xml:space="preserve"> are used in service concession arrangements so that AASB 138 recognition criteria does not apply. The</w:t>
      </w:r>
      <w:r w:rsidR="00256F2A">
        <w:t xml:space="preserve"> assets would be recognised as </w:t>
      </w:r>
      <w:r w:rsidR="007661F9">
        <w:t xml:space="preserve">a </w:t>
      </w:r>
      <w:r w:rsidR="00256F2A">
        <w:t>service concession asset at current replacement cost</w:t>
      </w:r>
      <w:r w:rsidR="00CC5FC9">
        <w:t xml:space="preserve"> and t</w:t>
      </w:r>
      <w:r w:rsidR="00256F2A">
        <w:t>heir subs</w:t>
      </w:r>
      <w:r w:rsidR="007661F9">
        <w:t>equent measurement would be accounted for</w:t>
      </w:r>
      <w:r w:rsidR="00256F2A">
        <w:t xml:space="preserve"> according to AASB 138 until they cease to be a service concession asset.</w:t>
      </w:r>
    </w:p>
    <w:p w:rsidR="00CC5FC9" w:rsidRDefault="00B02271" w:rsidP="008F6105">
      <w:pPr>
        <w:pStyle w:val="Bullet1"/>
      </w:pPr>
      <w:r>
        <w:t>c</w:t>
      </w:r>
      <w:r w:rsidR="00CC5FC9">
        <w:t>larification of the treatme</w:t>
      </w:r>
      <w:r w:rsidR="007661F9">
        <w:t>nt for variable payments made to</w:t>
      </w:r>
      <w:r w:rsidR="00CC5FC9">
        <w:t xml:space="preserve"> an operator in a service concession arrangement. The Board agreed the accounting for variable payments forming part of the financial liability are accounted for using AASB 9 (i.e. to be recognised as a financial liability)</w:t>
      </w:r>
      <w:r w:rsidR="008A5D3E">
        <w:t xml:space="preserve"> instead of </w:t>
      </w:r>
      <w:r w:rsidR="007661F9">
        <w:br/>
      </w:r>
      <w:r w:rsidR="008A5D3E">
        <w:t>AASB 16 (where most variable lease payments are not recognised as a liability</w:t>
      </w:r>
      <w:r w:rsidR="00BB37F8">
        <w:t xml:space="preserve"> but recognised as expenses as incurred</w:t>
      </w:r>
      <w:r w:rsidR="008A5D3E">
        <w:t>). This is because service concession arrangements involve the acquisition of an asset, not a lease.</w:t>
      </w:r>
    </w:p>
    <w:p w:rsidR="00371B15" w:rsidRDefault="00371B15" w:rsidP="008F6105">
      <w:r>
        <w:t xml:space="preserve">A </w:t>
      </w:r>
      <w:r w:rsidR="002D24A9">
        <w:t xml:space="preserve">final </w:t>
      </w:r>
      <w:r>
        <w:t>standard is expected to be issued shortly.</w:t>
      </w:r>
    </w:p>
    <w:p w:rsidR="009973ED" w:rsidRPr="00405535" w:rsidRDefault="009973ED" w:rsidP="008F6105">
      <w:pPr>
        <w:pStyle w:val="Heading3"/>
      </w:pPr>
      <w:r>
        <w:t>Public sector licences</w:t>
      </w:r>
    </w:p>
    <w:p w:rsidR="009973ED" w:rsidRPr="00396EFE" w:rsidRDefault="006579D2" w:rsidP="008F6105">
      <w:r w:rsidRPr="00396EFE">
        <w:t>Public sector licenses are currently scoped out of AASB 15 and AASB 1058. Typical public sector licences include regulatory licences (e.g. gambling, liquor, taxi licences) and licences for the use of non</w:t>
      </w:r>
      <w:r w:rsidR="00AA2BF4">
        <w:noBreakHyphen/>
      </w:r>
      <w:r w:rsidRPr="00396EFE">
        <w:t>produced assets (e.g. mineral and water rights, fishing licences).</w:t>
      </w:r>
    </w:p>
    <w:p w:rsidR="006579D2" w:rsidRPr="00396EFE" w:rsidRDefault="00BB37F8" w:rsidP="008F6105">
      <w:r>
        <w:t xml:space="preserve">The </w:t>
      </w:r>
      <w:r w:rsidR="00396EFE" w:rsidRPr="00396EFE">
        <w:t xml:space="preserve">AASB is </w:t>
      </w:r>
      <w:r w:rsidR="00371B15">
        <w:t xml:space="preserve">reviewing </w:t>
      </w:r>
      <w:r w:rsidR="00B02271">
        <w:t>the accounting for</w:t>
      </w:r>
      <w:r w:rsidR="00396EFE" w:rsidRPr="00396EFE">
        <w:t xml:space="preserve"> </w:t>
      </w:r>
      <w:r w:rsidR="006B33B0">
        <w:t>non</w:t>
      </w:r>
      <w:r w:rsidR="00AA2BF4">
        <w:noBreakHyphen/>
      </w:r>
      <w:r w:rsidR="006B33B0">
        <w:t xml:space="preserve">intellectual property </w:t>
      </w:r>
      <w:r w:rsidR="00396EFE" w:rsidRPr="00396EFE">
        <w:t>licenses</w:t>
      </w:r>
      <w:r w:rsidR="006B33B0">
        <w:t xml:space="preserve"> granted by public sector </w:t>
      </w:r>
      <w:r w:rsidR="007661F9">
        <w:t>NFP</w:t>
      </w:r>
      <w:r w:rsidR="006B33B0">
        <w:t xml:space="preserve"> entities</w:t>
      </w:r>
      <w:r w:rsidR="00396EFE" w:rsidRPr="00396EFE">
        <w:t xml:space="preserve">, including </w:t>
      </w:r>
      <w:r w:rsidR="00371B15">
        <w:t xml:space="preserve">the nature of the right created by the licence (i.e. </w:t>
      </w:r>
      <w:r w:rsidR="005A3B06">
        <w:t xml:space="preserve">the right to use or access an asset, or a right to perform an activity) </w:t>
      </w:r>
      <w:r w:rsidR="00371B15">
        <w:t xml:space="preserve">and </w:t>
      </w:r>
      <w:r w:rsidR="00396EFE" w:rsidRPr="00396EFE">
        <w:t>whether they should be within the scope of AASB 15, and if not, whether there is a need to develop specific accounting requirements.</w:t>
      </w:r>
      <w:r w:rsidR="00396EFE">
        <w:t xml:space="preserve"> </w:t>
      </w:r>
    </w:p>
    <w:p w:rsidR="001C1192" w:rsidRDefault="00FB7089" w:rsidP="008F6105">
      <w:pPr>
        <w:pStyle w:val="Heading1"/>
      </w:pPr>
      <w:bookmarkStart w:id="17" w:name="_Toc487727281"/>
      <w:r>
        <w:t>VAGO communication</w:t>
      </w:r>
      <w:bookmarkEnd w:id="17"/>
    </w:p>
    <w:p w:rsidR="00ED7D16" w:rsidRPr="00AD5807" w:rsidRDefault="00ED7D16" w:rsidP="00ED7D16">
      <w:pPr>
        <w:pStyle w:val="Heading3"/>
      </w:pPr>
      <w:r>
        <w:t>2016</w:t>
      </w:r>
      <w:r w:rsidR="00AA2BF4">
        <w:noBreakHyphen/>
      </w:r>
      <w:r>
        <w:t>17 sector specific aud</w:t>
      </w:r>
      <w:r w:rsidRPr="008F6105">
        <w:t>i</w:t>
      </w:r>
      <w:r>
        <w:t xml:space="preserve">t focus areas </w:t>
      </w:r>
    </w:p>
    <w:p w:rsidR="00ED7D16" w:rsidRDefault="002F5CAE" w:rsidP="008F6105">
      <w:r w:rsidRPr="002F5CAE">
        <w:t>As part of VAGO’s annual financial audi</w:t>
      </w:r>
      <w:r w:rsidRPr="008F6105">
        <w:t>t</w:t>
      </w:r>
      <w:r w:rsidRPr="002F5CAE">
        <w:t xml:space="preserve">s, </w:t>
      </w:r>
      <w:r w:rsidR="007431E8">
        <w:t>it</w:t>
      </w:r>
      <w:r w:rsidR="007431E8" w:rsidRPr="002F5CAE">
        <w:t xml:space="preserve"> </w:t>
      </w:r>
      <w:r w:rsidRPr="002F5CAE">
        <w:t>identif</w:t>
      </w:r>
      <w:r w:rsidR="007431E8">
        <w:t>ies</w:t>
      </w:r>
      <w:r w:rsidRPr="002F5CAE">
        <w:t xml:space="preserve"> key areas of focus for </w:t>
      </w:r>
      <w:r w:rsidR="007431E8">
        <w:t>its</w:t>
      </w:r>
      <w:r w:rsidR="007431E8" w:rsidRPr="002F5CAE">
        <w:t xml:space="preserve"> </w:t>
      </w:r>
      <w:r w:rsidRPr="002F5CAE">
        <w:t>parliamentary reporting program</w:t>
      </w:r>
      <w:r w:rsidR="007431E8">
        <w:t xml:space="preserve">, </w:t>
      </w:r>
      <w:r w:rsidRPr="002F5CAE">
        <w:t xml:space="preserve"> target</w:t>
      </w:r>
      <w:r w:rsidR="007431E8">
        <w:t>ing</w:t>
      </w:r>
      <w:r w:rsidRPr="002F5CAE">
        <w:t xml:space="preserve"> matters that provide the greatest value to Parliament and the citizens of Victoria. In 2016</w:t>
      </w:r>
      <w:r w:rsidR="00AA2BF4">
        <w:noBreakHyphen/>
      </w:r>
      <w:r w:rsidRPr="002F5CAE">
        <w:t>17, VAGO plan</w:t>
      </w:r>
      <w:r w:rsidR="007431E8">
        <w:t>s</w:t>
      </w:r>
      <w:r w:rsidRPr="002F5CAE">
        <w:t xml:space="preserve"> to table seven reports in Parliament arising from the conduct of </w:t>
      </w:r>
      <w:r w:rsidR="007431E8">
        <w:t>its</w:t>
      </w:r>
      <w:r w:rsidR="007431E8" w:rsidRPr="002F5CAE">
        <w:t xml:space="preserve"> </w:t>
      </w:r>
      <w:r w:rsidRPr="002F5CAE">
        <w:t>annual financial audits.</w:t>
      </w:r>
    </w:p>
    <w:p w:rsidR="004D673A" w:rsidRDefault="004D673A">
      <w:pPr>
        <w:spacing w:before="0" w:after="200"/>
      </w:pPr>
      <w:r>
        <w:br w:type="page"/>
      </w:r>
    </w:p>
    <w:p w:rsidR="00ED7D16" w:rsidRDefault="002F5CAE" w:rsidP="008F6105">
      <w:r>
        <w:lastRenderedPageBreak/>
        <w:t xml:space="preserve">The following table </w:t>
      </w:r>
      <w:r w:rsidR="007431E8">
        <w:t xml:space="preserve">lists </w:t>
      </w:r>
      <w:r>
        <w:t>the reports to Parliament and areas of focus for the current reporting period</w:t>
      </w:r>
      <w:r w:rsidR="00ED7D16">
        <w:t>.</w:t>
      </w:r>
    </w:p>
    <w:tbl>
      <w:tblPr>
        <w:tblStyle w:val="DTFtexttable"/>
        <w:tblW w:w="0" w:type="auto"/>
        <w:tblLook w:val="0620" w:firstRow="1" w:lastRow="0" w:firstColumn="0" w:lastColumn="0" w:noHBand="1" w:noVBand="1"/>
      </w:tblPr>
      <w:tblGrid>
        <w:gridCol w:w="4917"/>
        <w:gridCol w:w="4071"/>
      </w:tblGrid>
      <w:tr w:rsidR="00ED7D16" w:rsidTr="00A430A8">
        <w:trPr>
          <w:cnfStyle w:val="100000000000" w:firstRow="1" w:lastRow="0" w:firstColumn="0" w:lastColumn="0" w:oddVBand="0" w:evenVBand="0" w:oddHBand="0" w:evenHBand="0" w:firstRowFirstColumn="0" w:firstRowLastColumn="0" w:lastRowFirstColumn="0" w:lastRowLastColumn="0"/>
        </w:trPr>
        <w:tc>
          <w:tcPr>
            <w:tcW w:w="4917" w:type="dxa"/>
          </w:tcPr>
          <w:p w:rsidR="00ED7D16" w:rsidRDefault="00ED7D16" w:rsidP="00A430A8">
            <w:pPr>
              <w:pStyle w:val="Tableheader"/>
            </w:pPr>
            <w:r>
              <w:t>Reports to Parliament</w:t>
            </w:r>
          </w:p>
        </w:tc>
        <w:tc>
          <w:tcPr>
            <w:tcW w:w="4071" w:type="dxa"/>
          </w:tcPr>
          <w:p w:rsidR="00ED7D16" w:rsidRDefault="00ED7D16" w:rsidP="00A430A8">
            <w:pPr>
              <w:pStyle w:val="Tableheader"/>
            </w:pPr>
            <w:r>
              <w:t>Area of focus for 2016</w:t>
            </w:r>
            <w:r w:rsidR="00AA2BF4">
              <w:noBreakHyphen/>
            </w:r>
            <w:r>
              <w:t>17</w:t>
            </w:r>
          </w:p>
        </w:tc>
      </w:tr>
      <w:tr w:rsidR="00ED7D16" w:rsidRPr="00A430A8" w:rsidTr="00A430A8">
        <w:tc>
          <w:tcPr>
            <w:tcW w:w="8988" w:type="dxa"/>
            <w:gridSpan w:val="2"/>
            <w:shd w:val="clear" w:color="auto" w:fill="E3EBF4" w:themeFill="accent3" w:themeFillTint="33"/>
          </w:tcPr>
          <w:p w:rsidR="00ED7D16" w:rsidRPr="00A430A8" w:rsidRDefault="00ED7D16" w:rsidP="00A430A8">
            <w:pPr>
              <w:pStyle w:val="Tabletext"/>
              <w:rPr>
                <w:b/>
              </w:rPr>
            </w:pPr>
            <w:r w:rsidRPr="00A430A8">
              <w:rPr>
                <w:b/>
              </w:rPr>
              <w:t>Sector</w:t>
            </w:r>
            <w:r w:rsidR="00AA2BF4">
              <w:rPr>
                <w:b/>
              </w:rPr>
              <w:noBreakHyphen/>
            </w:r>
            <w:r w:rsidRPr="00A430A8">
              <w:rPr>
                <w:b/>
              </w:rPr>
              <w:t>wide</w:t>
            </w:r>
          </w:p>
        </w:tc>
      </w:tr>
      <w:tr w:rsidR="00ED7D16" w:rsidRPr="00A430A8" w:rsidTr="00A430A8">
        <w:tc>
          <w:tcPr>
            <w:tcW w:w="4917" w:type="dxa"/>
            <w:shd w:val="clear" w:color="auto" w:fill="E3EBF4" w:themeFill="accent3" w:themeFillTint="33"/>
          </w:tcPr>
          <w:p w:rsidR="00ED7D16" w:rsidRPr="00A430A8" w:rsidRDefault="00ED7D16" w:rsidP="00A430A8">
            <w:pPr>
              <w:pStyle w:val="Tabletext"/>
            </w:pPr>
            <w:r w:rsidRPr="00A430A8">
              <w:t>Auditor</w:t>
            </w:r>
            <w:r w:rsidR="00AA2BF4">
              <w:noBreakHyphen/>
            </w:r>
            <w:r w:rsidRPr="00A430A8">
              <w:t>General’s Report on the Annual Financial Report (AFR) of the State of Vi</w:t>
            </w:r>
            <w:r w:rsidR="00884125">
              <w:t>c</w:t>
            </w:r>
            <w:r w:rsidRPr="00A430A8">
              <w:t xml:space="preserve">toria </w:t>
            </w:r>
          </w:p>
        </w:tc>
        <w:tc>
          <w:tcPr>
            <w:tcW w:w="4071" w:type="dxa"/>
            <w:shd w:val="clear" w:color="auto" w:fill="E3EBF4" w:themeFill="accent3" w:themeFillTint="33"/>
          </w:tcPr>
          <w:p w:rsidR="00ED7D16" w:rsidRPr="00A430A8" w:rsidRDefault="00ED7D16" w:rsidP="00A430A8">
            <w:pPr>
              <w:pStyle w:val="Tabletext"/>
            </w:pPr>
            <w:r w:rsidRPr="00A430A8">
              <w:t xml:space="preserve">Report on the outcomes and issues arising from the financial audit of the AFR of the State of Victoria </w:t>
            </w:r>
          </w:p>
        </w:tc>
      </w:tr>
      <w:tr w:rsidR="00ED7D16" w:rsidRPr="00A430A8" w:rsidTr="00A430A8">
        <w:tc>
          <w:tcPr>
            <w:tcW w:w="8988" w:type="dxa"/>
            <w:gridSpan w:val="2"/>
            <w:shd w:val="clear" w:color="auto" w:fill="auto"/>
          </w:tcPr>
          <w:p w:rsidR="00ED7D16" w:rsidRPr="00A430A8" w:rsidRDefault="00ED7D16" w:rsidP="00A430A8">
            <w:pPr>
              <w:pStyle w:val="Tabletext"/>
              <w:rPr>
                <w:b/>
              </w:rPr>
            </w:pPr>
            <w:r w:rsidRPr="00A430A8">
              <w:rPr>
                <w:b/>
              </w:rPr>
              <w:t>Education</w:t>
            </w:r>
          </w:p>
        </w:tc>
      </w:tr>
      <w:tr w:rsidR="00ED7D16" w:rsidRPr="00A430A8" w:rsidTr="00A430A8">
        <w:tc>
          <w:tcPr>
            <w:tcW w:w="4917" w:type="dxa"/>
            <w:shd w:val="clear" w:color="auto" w:fill="auto"/>
          </w:tcPr>
          <w:p w:rsidR="00ED7D16" w:rsidRPr="00A430A8" w:rsidRDefault="00ED7D16" w:rsidP="00A430A8">
            <w:pPr>
              <w:pStyle w:val="Tabletext"/>
            </w:pPr>
            <w:r w:rsidRPr="00A430A8">
              <w:t>Technical and further education institutes: Audit snapshot</w:t>
            </w:r>
            <w:r w:rsidR="00AA2BF4">
              <w:t xml:space="preserve"> </w:t>
            </w:r>
          </w:p>
        </w:tc>
        <w:tc>
          <w:tcPr>
            <w:tcW w:w="4071" w:type="dxa"/>
            <w:shd w:val="clear" w:color="auto" w:fill="auto"/>
          </w:tcPr>
          <w:p w:rsidR="00ED7D16" w:rsidRPr="00A430A8" w:rsidRDefault="00ED7D16" w:rsidP="00A430A8">
            <w:pPr>
              <w:pStyle w:val="Tabletext"/>
            </w:pPr>
            <w:r w:rsidRPr="00A430A8">
              <w:t>Asset maintenance</w:t>
            </w:r>
            <w:r w:rsidR="00AA2BF4">
              <w:t xml:space="preserve"> </w:t>
            </w:r>
          </w:p>
        </w:tc>
      </w:tr>
      <w:tr w:rsidR="00ED7D16" w:rsidRPr="00A430A8" w:rsidTr="00A430A8">
        <w:tc>
          <w:tcPr>
            <w:tcW w:w="4917" w:type="dxa"/>
            <w:shd w:val="clear" w:color="auto" w:fill="auto"/>
          </w:tcPr>
          <w:p w:rsidR="00ED7D16" w:rsidRPr="00A430A8" w:rsidRDefault="00ED7D16" w:rsidP="00A430A8">
            <w:pPr>
              <w:pStyle w:val="Tabletext"/>
            </w:pPr>
            <w:r w:rsidRPr="00A430A8">
              <w:t>Universities: Audit snapshot</w:t>
            </w:r>
          </w:p>
        </w:tc>
        <w:tc>
          <w:tcPr>
            <w:tcW w:w="4071" w:type="dxa"/>
            <w:shd w:val="clear" w:color="auto" w:fill="auto"/>
          </w:tcPr>
          <w:p w:rsidR="00ED7D16" w:rsidRPr="00A430A8" w:rsidRDefault="00ED7D16" w:rsidP="00A430A8">
            <w:pPr>
              <w:pStyle w:val="Tabletext"/>
            </w:pPr>
            <w:r w:rsidRPr="00A430A8">
              <w:t xml:space="preserve">International students </w:t>
            </w:r>
          </w:p>
        </w:tc>
      </w:tr>
      <w:tr w:rsidR="00ED7D16" w:rsidRPr="00A430A8" w:rsidTr="00A430A8">
        <w:tc>
          <w:tcPr>
            <w:tcW w:w="8988" w:type="dxa"/>
            <w:gridSpan w:val="2"/>
            <w:shd w:val="clear" w:color="auto" w:fill="E3EBF4" w:themeFill="accent3" w:themeFillTint="33"/>
          </w:tcPr>
          <w:p w:rsidR="00ED7D16" w:rsidRPr="00A430A8" w:rsidRDefault="00ED7D16" w:rsidP="00A430A8">
            <w:pPr>
              <w:pStyle w:val="Tabletext"/>
              <w:rPr>
                <w:b/>
              </w:rPr>
            </w:pPr>
            <w:r w:rsidRPr="00A430A8">
              <w:rPr>
                <w:b/>
              </w:rPr>
              <w:t>Environment</w:t>
            </w:r>
          </w:p>
        </w:tc>
      </w:tr>
      <w:tr w:rsidR="00ED7D16" w:rsidRPr="00A430A8" w:rsidTr="00A430A8">
        <w:tc>
          <w:tcPr>
            <w:tcW w:w="4917" w:type="dxa"/>
            <w:shd w:val="clear" w:color="auto" w:fill="E3EBF4" w:themeFill="accent3" w:themeFillTint="33"/>
          </w:tcPr>
          <w:p w:rsidR="00ED7D16" w:rsidRPr="00A430A8" w:rsidRDefault="00ED7D16" w:rsidP="00A430A8">
            <w:pPr>
              <w:pStyle w:val="Tabletext"/>
            </w:pPr>
            <w:r w:rsidRPr="00A430A8">
              <w:t>Water entities: Audit snapshot</w:t>
            </w:r>
          </w:p>
        </w:tc>
        <w:tc>
          <w:tcPr>
            <w:tcW w:w="4071" w:type="dxa"/>
            <w:shd w:val="clear" w:color="auto" w:fill="E3EBF4" w:themeFill="accent3" w:themeFillTint="33"/>
          </w:tcPr>
          <w:p w:rsidR="00ED7D16" w:rsidRPr="00A430A8" w:rsidRDefault="00ED7D16" w:rsidP="00A430A8">
            <w:pPr>
              <w:pStyle w:val="Tabletext"/>
            </w:pPr>
            <w:r w:rsidRPr="00A430A8">
              <w:t xml:space="preserve">Asset valuations </w:t>
            </w:r>
          </w:p>
        </w:tc>
      </w:tr>
      <w:tr w:rsidR="00ED7D16" w:rsidRPr="00A430A8" w:rsidTr="00A430A8">
        <w:tc>
          <w:tcPr>
            <w:tcW w:w="8988" w:type="dxa"/>
            <w:gridSpan w:val="2"/>
            <w:shd w:val="clear" w:color="auto" w:fill="auto"/>
          </w:tcPr>
          <w:p w:rsidR="00ED7D16" w:rsidRPr="00A430A8" w:rsidRDefault="00ED7D16" w:rsidP="00A430A8">
            <w:pPr>
              <w:pStyle w:val="Tabletext"/>
              <w:rPr>
                <w:b/>
              </w:rPr>
            </w:pPr>
            <w:r w:rsidRPr="00A430A8">
              <w:rPr>
                <w:b/>
              </w:rPr>
              <w:t>Health</w:t>
            </w:r>
          </w:p>
        </w:tc>
      </w:tr>
      <w:tr w:rsidR="00ED7D16" w:rsidRPr="00A430A8" w:rsidTr="00A430A8">
        <w:tc>
          <w:tcPr>
            <w:tcW w:w="4917" w:type="dxa"/>
            <w:shd w:val="clear" w:color="auto" w:fill="auto"/>
          </w:tcPr>
          <w:p w:rsidR="00ED7D16" w:rsidRPr="00A430A8" w:rsidRDefault="00ED7D16" w:rsidP="00A430A8">
            <w:pPr>
              <w:pStyle w:val="Tabletext"/>
            </w:pPr>
            <w:r w:rsidRPr="00A430A8">
              <w:t>Public hospitals: Audit snapshot</w:t>
            </w:r>
          </w:p>
        </w:tc>
        <w:tc>
          <w:tcPr>
            <w:tcW w:w="4071" w:type="dxa"/>
            <w:shd w:val="clear" w:color="auto" w:fill="auto"/>
          </w:tcPr>
          <w:p w:rsidR="00ED7D16" w:rsidRPr="00A430A8" w:rsidRDefault="00ED7D16" w:rsidP="00A430A8">
            <w:pPr>
              <w:pStyle w:val="Tabletext"/>
            </w:pPr>
            <w:r w:rsidRPr="00A430A8">
              <w:t xml:space="preserve">Capital funding </w:t>
            </w:r>
          </w:p>
        </w:tc>
      </w:tr>
      <w:tr w:rsidR="00ED7D16" w:rsidRPr="00A430A8" w:rsidTr="00A430A8">
        <w:tc>
          <w:tcPr>
            <w:tcW w:w="4917" w:type="dxa"/>
            <w:shd w:val="clear" w:color="auto" w:fill="E3EBF4" w:themeFill="accent3" w:themeFillTint="33"/>
          </w:tcPr>
          <w:p w:rsidR="00ED7D16" w:rsidRPr="00A430A8" w:rsidRDefault="00ED7D16" w:rsidP="00A430A8">
            <w:pPr>
              <w:pStyle w:val="Tabletext"/>
              <w:rPr>
                <w:b/>
              </w:rPr>
            </w:pPr>
            <w:r w:rsidRPr="00A430A8">
              <w:rPr>
                <w:b/>
              </w:rPr>
              <w:t>Local Government</w:t>
            </w:r>
          </w:p>
        </w:tc>
        <w:tc>
          <w:tcPr>
            <w:tcW w:w="4071" w:type="dxa"/>
            <w:shd w:val="clear" w:color="auto" w:fill="E3EBF4" w:themeFill="accent3" w:themeFillTint="33"/>
          </w:tcPr>
          <w:p w:rsidR="00ED7D16" w:rsidRPr="00A430A8" w:rsidRDefault="00ED7D16" w:rsidP="00A430A8">
            <w:pPr>
              <w:pStyle w:val="Tabletext"/>
              <w:rPr>
                <w:b/>
              </w:rPr>
            </w:pPr>
          </w:p>
        </w:tc>
      </w:tr>
      <w:tr w:rsidR="00ED7D16" w:rsidRPr="00A430A8" w:rsidTr="00A430A8">
        <w:tc>
          <w:tcPr>
            <w:tcW w:w="4917" w:type="dxa"/>
            <w:shd w:val="clear" w:color="auto" w:fill="E3EBF4" w:themeFill="accent3" w:themeFillTint="33"/>
          </w:tcPr>
          <w:p w:rsidR="00ED7D16" w:rsidRPr="00A430A8" w:rsidRDefault="00ED7D16" w:rsidP="00A430A8">
            <w:pPr>
              <w:pStyle w:val="Tabletext"/>
            </w:pPr>
            <w:r w:rsidRPr="00A430A8">
              <w:t>Local Government: Audit snapshot</w:t>
            </w:r>
          </w:p>
        </w:tc>
        <w:tc>
          <w:tcPr>
            <w:tcW w:w="4071" w:type="dxa"/>
            <w:shd w:val="clear" w:color="auto" w:fill="E3EBF4" w:themeFill="accent3" w:themeFillTint="33"/>
          </w:tcPr>
          <w:p w:rsidR="00ED7D16" w:rsidRPr="00A430A8" w:rsidRDefault="00ED7D16" w:rsidP="00A430A8">
            <w:pPr>
              <w:pStyle w:val="Tabletext"/>
            </w:pPr>
            <w:r w:rsidRPr="00A430A8">
              <w:t xml:space="preserve">Asset valuations </w:t>
            </w:r>
          </w:p>
        </w:tc>
      </w:tr>
    </w:tbl>
    <w:p w:rsidR="008F6105" w:rsidRDefault="008F6105" w:rsidP="008F6105">
      <w:pPr>
        <w:pStyle w:val="NoteNormal"/>
      </w:pPr>
    </w:p>
    <w:p w:rsidR="00ED7D16" w:rsidRPr="00AD5807" w:rsidRDefault="00ED7D16" w:rsidP="008F6105">
      <w:pPr>
        <w:pStyle w:val="Heading3"/>
      </w:pPr>
      <w:r w:rsidRPr="00AD5807">
        <w:t>Changes to auditor’s reports</w:t>
      </w:r>
    </w:p>
    <w:p w:rsidR="002F5CAE" w:rsidRPr="00D170B5" w:rsidRDefault="002F5CAE" w:rsidP="002F5CAE">
      <w:r w:rsidRPr="00D170B5">
        <w:t>VAGO ha</w:t>
      </w:r>
      <w:r w:rsidR="00884125">
        <w:t>s</w:t>
      </w:r>
      <w:r w:rsidRPr="00D170B5">
        <w:t xml:space="preserve"> advised there will be changes to the layout and content of auditor's reports for the 2016</w:t>
      </w:r>
      <w:r w:rsidR="00AA2BF4">
        <w:noBreakHyphen/>
      </w:r>
      <w:r w:rsidRPr="00D170B5">
        <w:t xml:space="preserve">17 reporting period and periods going forward. The changes reflect an update to the relevant </w:t>
      </w:r>
      <w:r w:rsidR="007661F9">
        <w:t>AAS</w:t>
      </w:r>
      <w:r w:rsidRPr="00D170B5">
        <w:t>s.</w:t>
      </w:r>
    </w:p>
    <w:p w:rsidR="002F5CAE" w:rsidRPr="00D170B5" w:rsidRDefault="002F5CAE" w:rsidP="002F5CAE">
      <w:r w:rsidRPr="00D170B5">
        <w:t xml:space="preserve">All entities will receive an auditor's report with the following key changes: </w:t>
      </w:r>
    </w:p>
    <w:p w:rsidR="002F5CAE" w:rsidRPr="00D170B5" w:rsidRDefault="002F5CAE" w:rsidP="003053A2">
      <w:pPr>
        <w:pStyle w:val="Bullet1"/>
      </w:pPr>
      <w:r w:rsidRPr="00D170B5">
        <w:t xml:space="preserve">the opinion paragraph will now be presented at the start of the auditor’s report; </w:t>
      </w:r>
    </w:p>
    <w:p w:rsidR="002F5CAE" w:rsidRPr="008F6105" w:rsidRDefault="002F5CAE" w:rsidP="008F6105">
      <w:pPr>
        <w:pStyle w:val="Bullet1"/>
      </w:pPr>
      <w:r w:rsidRPr="008F6105">
        <w:t xml:space="preserve">increased detail of auditor’s responsibilities; </w:t>
      </w:r>
    </w:p>
    <w:p w:rsidR="002F5CAE" w:rsidRPr="008F6105" w:rsidRDefault="002F5CAE" w:rsidP="008F6105">
      <w:pPr>
        <w:pStyle w:val="Bullet1"/>
      </w:pPr>
      <w:r w:rsidRPr="008F6105">
        <w:t xml:space="preserve">explicit commentary on management’s responsibilities in relation to going concern; </w:t>
      </w:r>
    </w:p>
    <w:p w:rsidR="002F5CAE" w:rsidRPr="008F6105" w:rsidRDefault="002F5CAE" w:rsidP="008F6105">
      <w:pPr>
        <w:pStyle w:val="Bullet1"/>
      </w:pPr>
      <w:r w:rsidRPr="008F6105">
        <w:t xml:space="preserve">potential for an increased number of pages; and </w:t>
      </w:r>
    </w:p>
    <w:p w:rsidR="00ED7D16" w:rsidRDefault="002F5CAE" w:rsidP="008F6105">
      <w:pPr>
        <w:pStyle w:val="Bullet1"/>
      </w:pPr>
      <w:r w:rsidRPr="008F6105">
        <w:t>additi</w:t>
      </w:r>
      <w:r>
        <w:t xml:space="preserve">onal design changes will be made to improve </w:t>
      </w:r>
      <w:r w:rsidR="00884125">
        <w:t xml:space="preserve">the report’s </w:t>
      </w:r>
      <w:r>
        <w:t>readability</w:t>
      </w:r>
      <w:r w:rsidR="00AA2BF4">
        <w:t xml:space="preserve">. </w:t>
      </w:r>
    </w:p>
    <w:p w:rsidR="00ED7D16" w:rsidRPr="00112F4A" w:rsidRDefault="00ED7D16" w:rsidP="008F6105">
      <w:pPr>
        <w:rPr>
          <w:i/>
          <w:lang w:val="en-US"/>
        </w:rPr>
      </w:pPr>
      <w:r>
        <w:t xml:space="preserve">A </w:t>
      </w:r>
      <w:r w:rsidRPr="00112F4A">
        <w:rPr>
          <w:lang w:val="en-US"/>
        </w:rPr>
        <w:t>sample auditor’s report</w:t>
      </w:r>
      <w:r>
        <w:rPr>
          <w:lang w:val="en-US"/>
        </w:rPr>
        <w:t xml:space="preserve"> is included in the 2016</w:t>
      </w:r>
      <w:r w:rsidR="00AA2BF4">
        <w:rPr>
          <w:lang w:val="en-US"/>
        </w:rPr>
        <w:noBreakHyphen/>
      </w:r>
      <w:r>
        <w:rPr>
          <w:lang w:val="en-US"/>
        </w:rPr>
        <w:t xml:space="preserve">17 </w:t>
      </w:r>
      <w:r w:rsidRPr="00E35463">
        <w:rPr>
          <w:lang w:val="en-US"/>
        </w:rPr>
        <w:t>Model</w:t>
      </w:r>
      <w:r>
        <w:rPr>
          <w:i/>
          <w:lang w:val="en-US"/>
        </w:rPr>
        <w:t xml:space="preserve"> </w:t>
      </w:r>
      <w:r>
        <w:rPr>
          <w:lang w:val="en-US"/>
        </w:rPr>
        <w:t>and a guide for understanding the independent a</w:t>
      </w:r>
      <w:r w:rsidR="00E35463">
        <w:rPr>
          <w:lang w:val="en-US"/>
        </w:rPr>
        <w:t>uditor’s report is included in A</w:t>
      </w:r>
      <w:r>
        <w:rPr>
          <w:lang w:val="en-US"/>
        </w:rPr>
        <w:t>ppendix 3</w:t>
      </w:r>
      <w:r w:rsidR="00AA2BF4">
        <w:rPr>
          <w:lang w:val="en-US"/>
        </w:rPr>
        <w:t xml:space="preserve">. </w:t>
      </w:r>
    </w:p>
    <w:p w:rsidR="00ED7D16" w:rsidRPr="00AD5807" w:rsidRDefault="00ED7D16" w:rsidP="008F6105">
      <w:pPr>
        <w:pStyle w:val="Heading3"/>
      </w:pPr>
      <w:r w:rsidRPr="00AD5807">
        <w:t xml:space="preserve">Key </w:t>
      </w:r>
      <w:r>
        <w:t>A</w:t>
      </w:r>
      <w:r w:rsidRPr="00AD5807">
        <w:t xml:space="preserve">udit </w:t>
      </w:r>
      <w:r>
        <w:t>M</w:t>
      </w:r>
      <w:r w:rsidRPr="00AD5807">
        <w:t>atters</w:t>
      </w:r>
      <w:r>
        <w:t xml:space="preserve"> </w:t>
      </w:r>
    </w:p>
    <w:p w:rsidR="002F5CAE" w:rsidRPr="002134B1" w:rsidRDefault="002F5CAE" w:rsidP="008F6105">
      <w:pPr>
        <w:rPr>
          <w:i/>
          <w:iCs/>
        </w:rPr>
      </w:pPr>
      <w:r w:rsidRPr="002134B1">
        <w:t xml:space="preserve">VAGO is taking a staged approach to the </w:t>
      </w:r>
      <w:r w:rsidR="00556E44">
        <w:t>voluntary adoption</w:t>
      </w:r>
      <w:r w:rsidRPr="002134B1">
        <w:t xml:space="preserve"> of the new auditing standard, ASA 701 </w:t>
      </w:r>
      <w:r w:rsidRPr="002134B1">
        <w:rPr>
          <w:i/>
          <w:iCs/>
        </w:rPr>
        <w:t>Communicating Key Audit Matters in the Independent Auditor's Report</w:t>
      </w:r>
      <w:r w:rsidRPr="002134B1">
        <w:t xml:space="preserve">, starting with </w:t>
      </w:r>
      <w:r w:rsidR="00556E44">
        <w:t xml:space="preserve">departments and a selection of </w:t>
      </w:r>
      <w:r w:rsidRPr="002134B1">
        <w:t xml:space="preserve">material entities. </w:t>
      </w:r>
    </w:p>
    <w:p w:rsidR="002F5CAE" w:rsidRPr="002134B1" w:rsidRDefault="002F5CAE" w:rsidP="008F6105">
      <w:r w:rsidRPr="002134B1">
        <w:t>The 2016</w:t>
      </w:r>
      <w:r w:rsidR="00AA2BF4">
        <w:noBreakHyphen/>
      </w:r>
      <w:r w:rsidRPr="002134B1">
        <w:t xml:space="preserve">17 </w:t>
      </w:r>
      <w:r w:rsidR="00556E44">
        <w:t xml:space="preserve">Closing Reports of selected entities </w:t>
      </w:r>
      <w:r w:rsidRPr="002134B1">
        <w:t xml:space="preserve">will include a section on key audit matters (KAMs). KAMs are matters </w:t>
      </w:r>
      <w:r w:rsidR="00BB37F8">
        <w:t>the auditor determines are</w:t>
      </w:r>
      <w:r w:rsidRPr="002134B1">
        <w:t xml:space="preserve"> of most significance </w:t>
      </w:r>
      <w:r w:rsidR="00556E44">
        <w:t>in the audit of the financial statements of the current period</w:t>
      </w:r>
      <w:r w:rsidRPr="002134B1">
        <w:t xml:space="preserve">, and are selected by taking into account areas of higher </w:t>
      </w:r>
      <w:r w:rsidR="00556E44">
        <w:t xml:space="preserve">assessed </w:t>
      </w:r>
      <w:r w:rsidRPr="002134B1">
        <w:t xml:space="preserve">risk, </w:t>
      </w:r>
      <w:r w:rsidR="00E61ED7">
        <w:t xml:space="preserve">involved </w:t>
      </w:r>
      <w:r w:rsidRPr="002134B1">
        <w:t>significant auditor judgements, and the effect on the audit of significant events or transactions</w:t>
      </w:r>
      <w:r w:rsidR="00E61ED7">
        <w:t xml:space="preserve"> that occurred during the period</w:t>
      </w:r>
      <w:r w:rsidRPr="002134B1">
        <w:t>.</w:t>
      </w:r>
    </w:p>
    <w:p w:rsidR="002F5CAE" w:rsidRPr="002134B1" w:rsidRDefault="00E61ED7" w:rsidP="002F5CAE">
      <w:r>
        <w:t xml:space="preserve">The KAM section of the </w:t>
      </w:r>
      <w:r w:rsidR="002F5CAE" w:rsidRPr="002134B1">
        <w:t>report will include:</w:t>
      </w:r>
    </w:p>
    <w:p w:rsidR="002F5CAE" w:rsidRPr="008F6105" w:rsidRDefault="002F5CAE" w:rsidP="008F6105">
      <w:pPr>
        <w:pStyle w:val="Bullet1"/>
      </w:pPr>
      <w:r w:rsidRPr="002134B1">
        <w:t>a brief desc</w:t>
      </w:r>
      <w:r w:rsidRPr="008F6105">
        <w:t xml:space="preserve">ription of the key audit matters; </w:t>
      </w:r>
    </w:p>
    <w:p w:rsidR="002F5CAE" w:rsidRPr="008F6105" w:rsidRDefault="002F5CAE" w:rsidP="008F6105">
      <w:pPr>
        <w:pStyle w:val="Bullet1"/>
      </w:pPr>
      <w:r w:rsidRPr="008F6105">
        <w:t xml:space="preserve">why VAGO considered them to be </w:t>
      </w:r>
      <w:r w:rsidR="00E61ED7" w:rsidRPr="008F6105">
        <w:t>a key</w:t>
      </w:r>
      <w:r w:rsidRPr="008F6105">
        <w:t xml:space="preserve"> audit</w:t>
      </w:r>
      <w:r w:rsidR="00E61ED7" w:rsidRPr="008F6105">
        <w:t xml:space="preserve"> matter</w:t>
      </w:r>
      <w:r w:rsidRPr="008F6105">
        <w:t xml:space="preserve">; and </w:t>
      </w:r>
    </w:p>
    <w:p w:rsidR="002F5CAE" w:rsidRPr="002134B1" w:rsidRDefault="00897754" w:rsidP="008F6105">
      <w:pPr>
        <w:pStyle w:val="Bullet1"/>
      </w:pPr>
      <w:r w:rsidRPr="008F6105">
        <w:t xml:space="preserve">what </w:t>
      </w:r>
      <w:r w:rsidR="00E61ED7" w:rsidRPr="008F6105">
        <w:t xml:space="preserve">key </w:t>
      </w:r>
      <w:r w:rsidRPr="008F6105">
        <w:t>pr</w:t>
      </w:r>
      <w:r>
        <w:t>ocedures have been</w:t>
      </w:r>
      <w:r w:rsidR="002F5CAE" w:rsidRPr="002134B1">
        <w:t xml:space="preserve"> performed to address the matter. </w:t>
      </w:r>
    </w:p>
    <w:p w:rsidR="009F6007" w:rsidRDefault="002F5CAE" w:rsidP="008F6105">
      <w:r w:rsidRPr="002134B1">
        <w:t xml:space="preserve">In future years, VAGO plans to include KAMs in </w:t>
      </w:r>
      <w:r w:rsidR="00E61ED7">
        <w:t>the auditor’s reports of selected material</w:t>
      </w:r>
      <w:r w:rsidRPr="002134B1">
        <w:t xml:space="preserve"> entities </w:t>
      </w:r>
      <w:r w:rsidR="009820B2">
        <w:t>to</w:t>
      </w:r>
      <w:r w:rsidRPr="002134B1">
        <w:t xml:space="preserve"> improve transparency of the audit process. VAGO will discuss this further with the relevant departments and agencies during </w:t>
      </w:r>
      <w:r w:rsidR="009820B2">
        <w:t>its</w:t>
      </w:r>
      <w:r w:rsidR="009820B2" w:rsidRPr="002134B1">
        <w:t xml:space="preserve"> </w:t>
      </w:r>
      <w:r w:rsidRPr="002134B1">
        <w:t>individual audit engagements</w:t>
      </w:r>
      <w:r w:rsidR="00AA2BF4">
        <w:t xml:space="preserve">. </w:t>
      </w:r>
    </w:p>
    <w:p w:rsidR="008F6105" w:rsidRPr="008F6105" w:rsidRDefault="008F6105" w:rsidP="008F6105">
      <w:pPr>
        <w:rPr>
          <w:highlight w:val="yellow"/>
        </w:rPr>
        <w:sectPr w:rsidR="008F6105" w:rsidRPr="008F6105" w:rsidSect="00A91B6F">
          <w:footerReference w:type="default" r:id="rId19"/>
          <w:pgSz w:w="11906" w:h="16838" w:code="9"/>
          <w:pgMar w:top="1985" w:right="1440" w:bottom="993" w:left="1440" w:header="706" w:footer="461" w:gutter="0"/>
          <w:cols w:space="533"/>
          <w:docGrid w:linePitch="360"/>
        </w:sectPr>
      </w:pPr>
    </w:p>
    <w:p w:rsidR="000C21C3" w:rsidRDefault="000C21C3" w:rsidP="000C21C3">
      <w:pPr>
        <w:pStyle w:val="Heading1"/>
      </w:pPr>
      <w:bookmarkStart w:id="18" w:name="_Toc487727282"/>
      <w:r>
        <w:lastRenderedPageBreak/>
        <w:t xml:space="preserve">How </w:t>
      </w:r>
      <w:r w:rsidRPr="00C30359">
        <w:t>to</w:t>
      </w:r>
      <w:r>
        <w:t xml:space="preserve"> </w:t>
      </w:r>
      <w:r w:rsidRPr="00794745">
        <w:t>contact</w:t>
      </w:r>
      <w:r>
        <w:t xml:space="preserve"> us</w:t>
      </w:r>
      <w:bookmarkEnd w:id="18"/>
    </w:p>
    <w:p w:rsidR="008B69EC" w:rsidRDefault="008B69EC" w:rsidP="001A13DD">
      <w:pPr>
        <w:pStyle w:val="Heading1"/>
        <w:sectPr w:rsidR="008B69EC" w:rsidSect="008B69EC">
          <w:pgSz w:w="11906" w:h="16838" w:code="9"/>
          <w:pgMar w:top="2160" w:right="1440" w:bottom="1354" w:left="1440" w:header="706" w:footer="461" w:gutter="0"/>
          <w:cols w:num="2" w:space="533"/>
          <w:docGrid w:linePitch="360"/>
        </w:sectPr>
      </w:pPr>
    </w:p>
    <w:p w:rsidR="000C21C3" w:rsidRDefault="000C21C3" w:rsidP="00CF46D0">
      <w:pPr>
        <w:pStyle w:val="Heading2"/>
      </w:pPr>
      <w:r w:rsidRPr="000C21C3">
        <w:lastRenderedPageBreak/>
        <w:t>AccPol mail box</w:t>
      </w:r>
    </w:p>
    <w:p w:rsidR="001A13DD" w:rsidRDefault="001A13DD" w:rsidP="001A13DD">
      <w:pPr>
        <w:rPr>
          <w:rFonts w:eastAsiaTheme="minorHAnsi"/>
          <w:lang w:eastAsia="en-US"/>
        </w:rPr>
      </w:pPr>
      <w:r>
        <w:rPr>
          <w:rFonts w:eastAsiaTheme="minorHAnsi"/>
          <w:lang w:eastAsia="en-US"/>
        </w:rPr>
        <w:t xml:space="preserve">When </w:t>
      </w:r>
      <w:r w:rsidRPr="00280E59">
        <w:t xml:space="preserve">directing accounting policy enquiries to DTF at </w:t>
      </w:r>
      <w:hyperlink r:id="rId20" w:history="1">
        <w:r w:rsidRPr="005A7B78">
          <w:rPr>
            <w:rStyle w:val="Hyperlink"/>
          </w:rPr>
          <w:t>accpol@dtf.vic.gov.au</w:t>
        </w:r>
      </w:hyperlink>
      <w:r w:rsidRPr="00280E59">
        <w:t>,</w:t>
      </w:r>
      <w:r>
        <w:rPr>
          <w:rFonts w:eastAsiaTheme="minorHAnsi"/>
          <w:lang w:eastAsia="en-US"/>
        </w:rPr>
        <w:t xml:space="preserve"> </w:t>
      </w:r>
      <w:r>
        <w:rPr>
          <w:rFonts w:eastAsiaTheme="minorHAnsi"/>
          <w:b/>
          <w:bCs/>
          <w:lang w:eastAsia="en-US"/>
        </w:rPr>
        <w:t>Departments</w:t>
      </w:r>
      <w:r>
        <w:rPr>
          <w:rFonts w:eastAsiaTheme="minorHAnsi"/>
          <w:lang w:eastAsia="en-US"/>
        </w:rPr>
        <w:t xml:space="preserve"> are requested to support their questions with the facts and with clear referencing to Accounting Standards, FRDs and </w:t>
      </w:r>
      <w:r w:rsidRPr="00280E59">
        <w:t>other</w:t>
      </w:r>
      <w:r>
        <w:rPr>
          <w:rFonts w:eastAsiaTheme="minorHAnsi"/>
          <w:lang w:eastAsia="en-US"/>
        </w:rPr>
        <w:t xml:space="preserve"> authoritative pronouncements related to their queries.</w:t>
      </w:r>
    </w:p>
    <w:p w:rsidR="001A13DD" w:rsidRDefault="001A13DD" w:rsidP="001A13DD">
      <w:pPr>
        <w:rPr>
          <w:rFonts w:eastAsiaTheme="minorHAnsi"/>
          <w:lang w:eastAsia="en-US"/>
        </w:rPr>
      </w:pPr>
      <w:r>
        <w:rPr>
          <w:rFonts w:eastAsiaTheme="minorHAnsi"/>
          <w:b/>
          <w:bCs/>
          <w:lang w:eastAsia="en-US"/>
        </w:rPr>
        <w:t>Other entities</w:t>
      </w:r>
      <w:r>
        <w:rPr>
          <w:rFonts w:eastAsiaTheme="minorHAnsi"/>
          <w:lang w:eastAsia="en-US"/>
        </w:rPr>
        <w:t xml:space="preserve"> are requested to contact their portfolio department in the first instance to resolve any accounting policy issues.</w:t>
      </w:r>
    </w:p>
    <w:p w:rsidR="001A13DD" w:rsidRDefault="001A13DD" w:rsidP="001A13DD">
      <w:pPr>
        <w:pStyle w:val="Heading2"/>
      </w:pPr>
      <w:r>
        <w:t>Useful websites</w:t>
      </w:r>
    </w:p>
    <w:p w:rsidR="001A13DD" w:rsidRDefault="001A13DD" w:rsidP="001A13DD">
      <w:r w:rsidRPr="000C7C38">
        <w:rPr>
          <w:b/>
        </w:rPr>
        <w:t>AASB</w:t>
      </w:r>
      <w:r>
        <w:t xml:space="preserve"> – </w:t>
      </w:r>
      <w:hyperlink r:id="rId21" w:history="1">
        <w:r w:rsidRPr="00342D61">
          <w:rPr>
            <w:rStyle w:val="Hyperlink"/>
          </w:rPr>
          <w:t>www.aasb.com.au</w:t>
        </w:r>
      </w:hyperlink>
      <w:r>
        <w:t xml:space="preserve"> for information on AASB pronouncements, discussion papers and ED publications.</w:t>
      </w:r>
    </w:p>
    <w:p w:rsidR="000C21C3" w:rsidRDefault="001A13DD" w:rsidP="001A13DD">
      <w:r w:rsidRPr="000C7C38">
        <w:rPr>
          <w:b/>
        </w:rPr>
        <w:t>International Public Sector Accounting Standards Board</w:t>
      </w:r>
      <w:r>
        <w:t xml:space="preserve"> (IPSASB) – </w:t>
      </w:r>
      <w:hyperlink r:id="rId22" w:history="1">
        <w:r w:rsidRPr="00342D61">
          <w:rPr>
            <w:rStyle w:val="Hyperlink"/>
          </w:rPr>
          <w:t>www.ifac.org/PublicSector/</w:t>
        </w:r>
      </w:hyperlink>
      <w:r>
        <w:t xml:space="preserve"> for information on IPSASB and IPSASB </w:t>
      </w:r>
      <w:r w:rsidRPr="000C7C38">
        <w:t>pronouncements</w:t>
      </w:r>
      <w:r>
        <w:t>.</w:t>
      </w:r>
    </w:p>
    <w:p w:rsidR="000C21C3" w:rsidRDefault="00711BEF" w:rsidP="00CF46D0">
      <w:pPr>
        <w:pStyle w:val="Heading2"/>
      </w:pPr>
      <w:r>
        <w:br w:type="column"/>
      </w:r>
      <w:r w:rsidR="000C21C3">
        <w:lastRenderedPageBreak/>
        <w:t>DTF website</w:t>
      </w:r>
    </w:p>
    <w:p w:rsidR="001A13DD" w:rsidRDefault="001A13DD" w:rsidP="001A13DD">
      <w:r w:rsidRPr="00867F04">
        <w:rPr>
          <w:b/>
        </w:rPr>
        <w:t>DTF</w:t>
      </w:r>
      <w:r w:rsidR="00723634">
        <w:rPr>
          <w:b/>
        </w:rPr>
        <w:t>’s</w:t>
      </w:r>
      <w:r w:rsidRPr="00867F04">
        <w:rPr>
          <w:b/>
        </w:rPr>
        <w:t xml:space="preserve"> </w:t>
      </w:r>
      <w:r>
        <w:rPr>
          <w:b/>
        </w:rPr>
        <w:t xml:space="preserve">website </w:t>
      </w:r>
      <w:r w:rsidRPr="00867F04">
        <w:rPr>
          <w:b/>
        </w:rPr>
        <w:t>(for all internet users)</w:t>
      </w:r>
      <w:r>
        <w:t xml:space="preserve"> – </w:t>
      </w:r>
      <w:hyperlink r:id="rId23" w:history="1">
        <w:r w:rsidRPr="005A7B78">
          <w:rPr>
            <w:rStyle w:val="Hyperlink"/>
          </w:rPr>
          <w:t>http://www.dtf.vic.gov.au</w:t>
        </w:r>
      </w:hyperlink>
      <w:r>
        <w:t>, covers FRDs and guidance, the Model Report, accounting policy updates, long service leave discount rates. From the menu on the top of the home page, users should select Government Financial Management, then Financial Reporting Policy.</w:t>
      </w:r>
    </w:p>
    <w:p w:rsidR="001A13DD" w:rsidRDefault="001A13DD" w:rsidP="001A13DD">
      <w:r w:rsidRPr="00867F04">
        <w:rPr>
          <w:b/>
        </w:rPr>
        <w:t>VPS users</w:t>
      </w:r>
      <w:r>
        <w:t xml:space="preserve"> should contact their portfolio department in the first instance for login details to access the information relating to the 2008 LSL Model, the Valuer</w:t>
      </w:r>
      <w:r w:rsidR="00AA2BF4">
        <w:noBreakHyphen/>
      </w:r>
      <w:r>
        <w:t>General Building and Land Indices.</w:t>
      </w:r>
    </w:p>
    <w:p w:rsidR="001A13DD" w:rsidRDefault="001A13DD" w:rsidP="001A13DD">
      <w:pPr>
        <w:rPr>
          <w:rStyle w:val="Hyperlink"/>
        </w:rPr>
      </w:pPr>
      <w:r>
        <w:t>For assistance with technical difficulties using DTF</w:t>
      </w:r>
      <w:r w:rsidR="00723634">
        <w:t>’s</w:t>
      </w:r>
      <w:r>
        <w:t xml:space="preserve"> website, e.g. broken links, please contact </w:t>
      </w:r>
      <w:hyperlink r:id="rId24" w:history="1">
        <w:r w:rsidRPr="005A7B78">
          <w:rPr>
            <w:rStyle w:val="Hyperlink"/>
          </w:rPr>
          <w:t>dtfweb@dtf.vic.gov.au</w:t>
        </w:r>
      </w:hyperlink>
    </w:p>
    <w:p w:rsidR="001A13DD" w:rsidRDefault="001A13DD" w:rsidP="001A13DD">
      <w:pPr>
        <w:pStyle w:val="Heading2"/>
      </w:pPr>
      <w:r>
        <w:t>About the Accounting Policy Update</w:t>
      </w:r>
    </w:p>
    <w:p w:rsidR="001A13DD" w:rsidRDefault="001A13DD" w:rsidP="001A13DD">
      <w:r w:rsidRPr="00823E75">
        <w:t>Accou</w:t>
      </w:r>
      <w:r>
        <w:t>nting Policy Update is published</w:t>
      </w:r>
      <w:r w:rsidRPr="00823E75">
        <w:t xml:space="preserve"> by </w:t>
      </w:r>
      <w:r w:rsidR="002D5F25">
        <w:t>DTF’s</w:t>
      </w:r>
      <w:r w:rsidR="002D5F25" w:rsidRPr="00823E75">
        <w:t xml:space="preserve"> </w:t>
      </w:r>
      <w:r w:rsidRPr="00823E75">
        <w:t xml:space="preserve">Accounting Policy team </w:t>
      </w:r>
      <w:r>
        <w:t>twice a year. The n</w:t>
      </w:r>
      <w:r w:rsidRPr="00594EA2">
        <w:t>ewsletter</w:t>
      </w:r>
      <w:r w:rsidR="002D5F25">
        <w:t>’s aim</w:t>
      </w:r>
      <w:r w:rsidRPr="00594EA2">
        <w:t xml:space="preserve"> is to highlight changes in financial reporting requirements affecting public sector entities, outlining any financial reporting related policy decisions reached by</w:t>
      </w:r>
      <w:r>
        <w:t xml:space="preserve"> </w:t>
      </w:r>
      <w:r w:rsidRPr="00781F3D">
        <w:t>DTF and to inform readers of other developments that are under consideration by the AASB.</w:t>
      </w:r>
    </w:p>
    <w:p w:rsidR="000C21C3" w:rsidRDefault="000C21C3" w:rsidP="000C21C3"/>
    <w:p w:rsidR="000C21C3" w:rsidRDefault="000C21C3" w:rsidP="000C21C3">
      <w:pPr>
        <w:sectPr w:rsidR="000C21C3" w:rsidSect="008B69EC">
          <w:type w:val="continuous"/>
          <w:pgSz w:w="11906" w:h="16838" w:code="9"/>
          <w:pgMar w:top="2160" w:right="1440" w:bottom="1350" w:left="1440" w:header="706" w:footer="461" w:gutter="0"/>
          <w:pgNumType w:start="1"/>
          <w:cols w:num="2" w:space="533"/>
          <w:docGrid w:linePitch="360"/>
        </w:sectPr>
      </w:pPr>
    </w:p>
    <w:p w:rsidR="000C21C3" w:rsidRPr="000C21C3" w:rsidRDefault="000C21C3" w:rsidP="000C21C3">
      <w:pPr>
        <w:pStyle w:val="Disclaimertext"/>
      </w:pPr>
      <w:r w:rsidRPr="000C21C3">
        <w:rPr>
          <w:b/>
        </w:rPr>
        <w:lastRenderedPageBreak/>
        <w:t>Disclaimer:</w:t>
      </w:r>
      <w:r w:rsidRPr="000C21C3">
        <w:t xml:space="preserve"> No responsibility is taken for any action(s) taken on the basis of information contained in this Newsletter nor for any errors or omissions in that information.</w:t>
      </w:r>
    </w:p>
    <w:p w:rsidR="001A13DD" w:rsidRPr="000C21C3" w:rsidRDefault="001A13DD" w:rsidP="001A13DD">
      <w:pPr>
        <w:keepNext/>
        <w:keepLines/>
        <w:rPr>
          <w:rFonts w:cstheme="minorHAnsi"/>
          <w:sz w:val="16"/>
          <w:szCs w:val="16"/>
        </w:rPr>
      </w:pPr>
      <w:r>
        <w:rPr>
          <w:rFonts w:cstheme="minorHAnsi"/>
          <w:sz w:val="16"/>
          <w:szCs w:val="16"/>
        </w:rPr>
        <w:t>© State of Victoria 2017</w:t>
      </w:r>
    </w:p>
    <w:p w:rsidR="000C21C3" w:rsidRPr="000C21C3" w:rsidRDefault="000C21C3" w:rsidP="000C21C3">
      <w:pPr>
        <w:keepNext/>
        <w:keepLines/>
        <w:rPr>
          <w:rFonts w:cstheme="minorHAnsi"/>
          <w:sz w:val="16"/>
          <w:szCs w:val="16"/>
        </w:rPr>
      </w:pPr>
      <w:r w:rsidRPr="000C21C3">
        <w:rPr>
          <w:rFonts w:cstheme="minorHAnsi"/>
          <w:noProof/>
          <w:sz w:val="16"/>
          <w:szCs w:val="16"/>
        </w:rPr>
        <w:drawing>
          <wp:inline distT="0" distB="0" distL="0" distR="0" wp14:anchorId="784B1166" wp14:editId="72E77E6C">
            <wp:extent cx="1117460" cy="393651"/>
            <wp:effectExtent l="0" t="0" r="6985" b="6985"/>
            <wp:docPr id="2" name="Picture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bookmarkEnd w:id="0"/>
    <w:bookmarkEnd w:id="5"/>
    <w:p w:rsidR="001A13DD" w:rsidRPr="000C21C3" w:rsidRDefault="001A13DD" w:rsidP="001A13DD">
      <w:pPr>
        <w:keepNext/>
        <w:keepLines/>
        <w:rPr>
          <w:rFonts w:cstheme="minorHAnsi"/>
          <w:sz w:val="16"/>
          <w:szCs w:val="16"/>
        </w:rPr>
      </w:pPr>
      <w:r w:rsidRPr="000C21C3">
        <w:rPr>
          <w:rFonts w:cstheme="minorHAnsi"/>
          <w:sz w:val="16"/>
          <w:szCs w:val="16"/>
        </w:rPr>
        <w:t>You are free to re</w:t>
      </w:r>
      <w:r w:rsidR="00AA2BF4">
        <w:rPr>
          <w:rFonts w:cstheme="minorHAnsi"/>
          <w:sz w:val="16"/>
          <w:szCs w:val="16"/>
        </w:rPr>
        <w:noBreakHyphen/>
      </w:r>
      <w:r w:rsidRPr="000C21C3">
        <w:rPr>
          <w:rFonts w:cstheme="minorHAnsi"/>
          <w:sz w:val="16"/>
          <w:szCs w:val="16"/>
        </w:rPr>
        <w:t xml:space="preserve">use this work under a </w:t>
      </w:r>
      <w:hyperlink r:id="rId27" w:history="1">
        <w:r w:rsidRPr="000C21C3">
          <w:rPr>
            <w:rStyle w:val="Hyperlink"/>
            <w:rFonts w:cstheme="minorHAnsi"/>
            <w:sz w:val="16"/>
            <w:szCs w:val="16"/>
          </w:rPr>
          <w:t>Creative Commons Attribution 4.0 licence</w:t>
        </w:r>
      </w:hyperlink>
      <w:r w:rsidRPr="000C21C3">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rsidR="001A13DD" w:rsidRPr="000C21C3" w:rsidRDefault="001A13DD" w:rsidP="001A13DD">
      <w:pPr>
        <w:keepNext/>
        <w:keepLines/>
        <w:rPr>
          <w:rFonts w:cstheme="minorHAnsi"/>
          <w:sz w:val="16"/>
          <w:szCs w:val="16"/>
        </w:rPr>
      </w:pPr>
      <w:r w:rsidRPr="000C21C3">
        <w:rPr>
          <w:rFonts w:cstheme="minorHAnsi"/>
          <w:sz w:val="16"/>
          <w:szCs w:val="16"/>
        </w:rPr>
        <w:t xml:space="preserve">Copyright queries may be directed to IPpolicy@dtf.vic.gov.au. </w:t>
      </w:r>
    </w:p>
    <w:p w:rsidR="000C21C3" w:rsidRPr="000C21C3" w:rsidRDefault="000C21C3" w:rsidP="001A13DD">
      <w:pPr>
        <w:keepNext/>
        <w:keepLines/>
        <w:rPr>
          <w:rFonts w:cstheme="minorHAnsi"/>
          <w:sz w:val="16"/>
          <w:szCs w:val="16"/>
        </w:rPr>
      </w:pPr>
    </w:p>
    <w:sectPr w:rsidR="000C21C3" w:rsidRPr="000C21C3" w:rsidSect="000C21C3">
      <w:type w:val="continuous"/>
      <w:pgSz w:w="11906" w:h="16838" w:code="9"/>
      <w:pgMar w:top="2160" w:right="1440" w:bottom="1350" w:left="1440" w:header="706" w:footer="461" w:gutter="0"/>
      <w:pgNumType w:start="1"/>
      <w:cols w:space="5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AE3" w:rsidRDefault="00F21AE3" w:rsidP="002D711A">
      <w:pPr>
        <w:spacing w:after="0" w:line="240" w:lineRule="auto"/>
      </w:pPr>
      <w:r>
        <w:separator/>
      </w:r>
    </w:p>
  </w:endnote>
  <w:endnote w:type="continuationSeparator" w:id="0">
    <w:p w:rsidR="00F21AE3" w:rsidRDefault="00F21AE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4" w:rsidRDefault="00723634">
    <w:pPr>
      <w:pStyle w:val="Footer"/>
      <w:spacing w:before="0"/>
      <w:rPr>
        <w:rFonts w:ascii="Arial" w:hAnsi="Arial" w:cs="Arial"/>
        <w:b/>
        <w:color w:val="3F3F3F"/>
        <w:sz w:val="20"/>
      </w:rPr>
    </w:pPr>
    <w:bookmarkStart w:id="2" w:name="aliashNonProtectiveMarki1FooterEvenPages"/>
  </w:p>
  <w:p w:rsidR="00723634" w:rsidRDefault="00723634">
    <w:pPr>
      <w:pStyle w:val="Footer"/>
      <w:spacing w:before="0"/>
      <w:rPr>
        <w:rFonts w:ascii="Arial" w:hAnsi="Arial" w:cs="Arial"/>
        <w:b/>
        <w:color w:val="3F3F3F"/>
        <w:sz w:val="20"/>
      </w:rPr>
    </w:pPr>
  </w:p>
  <w:bookmarkEnd w:id="2"/>
  <w:p w:rsidR="00723634" w:rsidRPr="00014213" w:rsidRDefault="00723634" w:rsidP="00C022F9">
    <w:pPr>
      <w:pStyle w:val="Footer"/>
    </w:pPr>
    <w:r>
      <w:drawing>
        <wp:anchor distT="0" distB="0" distL="114300" distR="114300" simplePos="0" relativeHeight="251667456" behindDoc="0" locked="0" layoutInCell="1" allowOverlap="1" wp14:anchorId="23C8F2F9" wp14:editId="6F1DEDB5">
          <wp:simplePos x="0" y="0"/>
          <wp:positionH relativeFrom="column">
            <wp:posOffset>4240861</wp:posOffset>
          </wp:positionH>
          <wp:positionV relativeFrom="page">
            <wp:posOffset>9493250</wp:posOffset>
          </wp:positionV>
          <wp:extent cx="1956435" cy="582930"/>
          <wp:effectExtent l="0" t="0" r="5715" b="762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4" w:rsidRDefault="00723634" w:rsidP="00AA2BF4">
    <w:pPr>
      <w:pStyle w:val="Footer"/>
    </w:pPr>
    <w:bookmarkStart w:id="3" w:name="aliashNonProtectiveMarking1FooterPrimary"/>
  </w:p>
  <w:bookmarkEnd w:id="3"/>
  <w:p w:rsidR="00723634" w:rsidRPr="00C022F9" w:rsidRDefault="00723634"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315A0D">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315A0D">
      <w:t>Newsletter – Edition No. 32, July 2017</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315A0D">
      <w:rPr>
        <w:rStyle w:val="PageNumber"/>
      </w:rPr>
      <w:t>1</w:t>
    </w:r>
    <w:r w:rsidRPr="008B69E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4" w:rsidRDefault="00723634">
    <w:pPr>
      <w:pStyle w:val="Footer"/>
      <w:spacing w:before="0"/>
      <w:rPr>
        <w:rFonts w:ascii="Arial" w:hAnsi="Arial" w:cs="Arial"/>
        <w:b/>
        <w:color w:val="3F3F3F"/>
        <w:sz w:val="20"/>
      </w:rPr>
    </w:pPr>
    <w:bookmarkStart w:id="4" w:name="aliashNonProtectiveMarki1FooterFirstPage"/>
  </w:p>
  <w:p w:rsidR="00723634" w:rsidRDefault="00723634">
    <w:pPr>
      <w:pStyle w:val="Footer"/>
      <w:spacing w:before="0"/>
      <w:rPr>
        <w:rFonts w:ascii="Arial" w:hAnsi="Arial" w:cs="Arial"/>
        <w:b/>
        <w:color w:val="3F3F3F"/>
        <w:sz w:val="20"/>
      </w:rPr>
    </w:pPr>
  </w:p>
  <w:bookmarkEnd w:id="4"/>
  <w:p w:rsidR="00723634" w:rsidRDefault="007236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4" w:rsidRDefault="00723634" w:rsidP="00AA2BF4">
    <w:pPr>
      <w:pStyle w:val="Footer"/>
    </w:pPr>
  </w:p>
  <w:p w:rsidR="00723634" w:rsidRPr="00C022F9" w:rsidRDefault="00723634"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315A0D">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315A0D">
      <w:t>Newsletter – Edition No. 32, July 2017</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315A0D">
      <w:rPr>
        <w:rStyle w:val="PageNumber"/>
      </w:rPr>
      <w:t>11</w:t>
    </w:r>
    <w:r w:rsidRPr="008B69E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AE3" w:rsidRDefault="00F21AE3" w:rsidP="002D711A">
      <w:pPr>
        <w:spacing w:after="0" w:line="240" w:lineRule="auto"/>
      </w:pPr>
      <w:r>
        <w:separator/>
      </w:r>
    </w:p>
  </w:footnote>
  <w:footnote w:type="continuationSeparator" w:id="0">
    <w:p w:rsidR="00F21AE3" w:rsidRDefault="00F21AE3"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4" w:rsidRDefault="00723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4" w:rsidRPr="0041689E" w:rsidRDefault="00723634">
    <w:pPr>
      <w:pStyle w:val="Header"/>
    </w:pPr>
    <w:r>
      <w:rPr>
        <w:noProof/>
      </w:rPr>
      <w:drawing>
        <wp:anchor distT="0" distB="0" distL="114300" distR="114300" simplePos="0" relativeHeight="251670528" behindDoc="0" locked="0" layoutInCell="1" allowOverlap="1" wp14:anchorId="66787411" wp14:editId="360991E2">
          <wp:simplePos x="0" y="0"/>
          <wp:positionH relativeFrom="column">
            <wp:posOffset>-309880</wp:posOffset>
          </wp:positionH>
          <wp:positionV relativeFrom="page">
            <wp:posOffset>299085</wp:posOffset>
          </wp:positionV>
          <wp:extent cx="1380490" cy="411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82E5F8C" wp14:editId="16144C89">
          <wp:simplePos x="0" y="0"/>
          <wp:positionH relativeFrom="column">
            <wp:posOffset>-914400</wp:posOffset>
          </wp:positionH>
          <wp:positionV relativeFrom="page">
            <wp:posOffset>125095</wp:posOffset>
          </wp:positionV>
          <wp:extent cx="7589520" cy="740410"/>
          <wp:effectExtent l="0" t="0" r="0" b="2540"/>
          <wp:wrapNone/>
          <wp:docPr id="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34" w:rsidRDefault="00723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C2821E"/>
    <w:lvl w:ilvl="0">
      <w:numFmt w:val="bullet"/>
      <w:lvlText w:val="*"/>
      <w:lvlJc w:val="left"/>
    </w:lvl>
  </w:abstractNum>
  <w:abstractNum w:abstractNumId="1">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2">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78B2ACB"/>
    <w:multiLevelType w:val="hybridMultilevel"/>
    <w:tmpl w:val="B2D28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7E9443A"/>
    <w:multiLevelType w:val="hybridMultilevel"/>
    <w:tmpl w:val="3958493A"/>
    <w:lvl w:ilvl="0" w:tplc="CE3EB29A">
      <w:start w:val="1"/>
      <w:numFmt w:val="decimal"/>
      <w:lvlText w:val="%1."/>
      <w:lvlJc w:val="left"/>
      <w:pPr>
        <w:ind w:left="10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553F94"/>
    <w:multiLevelType w:val="hybridMultilevel"/>
    <w:tmpl w:val="84145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BC27E0"/>
    <w:multiLevelType w:val="hybridMultilevel"/>
    <w:tmpl w:val="E226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8110F3"/>
    <w:multiLevelType w:val="hybridMultilevel"/>
    <w:tmpl w:val="BDCA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901726"/>
    <w:multiLevelType w:val="multilevel"/>
    <w:tmpl w:val="A63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6D3A6A"/>
    <w:multiLevelType w:val="multilevel"/>
    <w:tmpl w:val="FAECCFAE"/>
    <w:lvl w:ilvl="0">
      <w:start w:val="1"/>
      <w:numFmt w:val="bullet"/>
      <w:pStyle w:val="Bullet1"/>
      <w:lvlText w:val=""/>
      <w:lvlJc w:val="left"/>
      <w:pPr>
        <w:tabs>
          <w:tab w:val="num" w:pos="504"/>
        </w:tabs>
        <w:ind w:left="504" w:hanging="504"/>
      </w:pPr>
      <w:rPr>
        <w:rFonts w:ascii="Symbol" w:hAnsi="Symbol" w:hint="default"/>
        <w:b w:val="0"/>
        <w:i w:val="0"/>
        <w:vanish w:val="0"/>
        <w:color w:val="auto"/>
        <w:sz w:val="22"/>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nsid w:val="44AD6509"/>
    <w:multiLevelType w:val="hybridMultilevel"/>
    <w:tmpl w:val="76065622"/>
    <w:lvl w:ilvl="0" w:tplc="0C090005">
      <w:start w:val="1"/>
      <w:numFmt w:val="bullet"/>
      <w:lvlText w:val=""/>
      <w:lvlJc w:val="left"/>
      <w:pPr>
        <w:ind w:left="360" w:hanging="360"/>
      </w:pPr>
      <w:rPr>
        <w:rFonts w:ascii="Wingdings" w:hAnsi="Wingdings" w:hint="default"/>
        <w:color w:val="595959"/>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4615627F"/>
    <w:multiLevelType w:val="hybridMultilevel"/>
    <w:tmpl w:val="C0680F0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52F840C3"/>
    <w:multiLevelType w:val="hybridMultilevel"/>
    <w:tmpl w:val="619AD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481A60"/>
    <w:multiLevelType w:val="hybridMultilevel"/>
    <w:tmpl w:val="067E8DE0"/>
    <w:lvl w:ilvl="0" w:tplc="2E26B5E2">
      <w:start w:val="1"/>
      <w:numFmt w:val="bullet"/>
      <w:lvlText w:val="•"/>
      <w:lvlJc w:val="left"/>
      <w:pPr>
        <w:tabs>
          <w:tab w:val="num" w:pos="720"/>
        </w:tabs>
        <w:ind w:left="720" w:hanging="360"/>
      </w:pPr>
      <w:rPr>
        <w:rFonts w:ascii="Arial" w:hAnsi="Arial" w:hint="default"/>
      </w:rPr>
    </w:lvl>
    <w:lvl w:ilvl="1" w:tplc="2B1ADF0C">
      <w:start w:val="509"/>
      <w:numFmt w:val="bullet"/>
      <w:lvlText w:val=""/>
      <w:lvlJc w:val="left"/>
      <w:pPr>
        <w:tabs>
          <w:tab w:val="num" w:pos="1440"/>
        </w:tabs>
        <w:ind w:left="1440" w:hanging="360"/>
      </w:pPr>
      <w:rPr>
        <w:rFonts w:ascii="Wingdings" w:hAnsi="Wingdings" w:hint="default"/>
      </w:rPr>
    </w:lvl>
    <w:lvl w:ilvl="2" w:tplc="767A9D46" w:tentative="1">
      <w:start w:val="1"/>
      <w:numFmt w:val="bullet"/>
      <w:lvlText w:val="•"/>
      <w:lvlJc w:val="left"/>
      <w:pPr>
        <w:tabs>
          <w:tab w:val="num" w:pos="2160"/>
        </w:tabs>
        <w:ind w:left="2160" w:hanging="360"/>
      </w:pPr>
      <w:rPr>
        <w:rFonts w:ascii="Arial" w:hAnsi="Arial" w:hint="default"/>
      </w:rPr>
    </w:lvl>
    <w:lvl w:ilvl="3" w:tplc="EEDAB6B4" w:tentative="1">
      <w:start w:val="1"/>
      <w:numFmt w:val="bullet"/>
      <w:lvlText w:val="•"/>
      <w:lvlJc w:val="left"/>
      <w:pPr>
        <w:tabs>
          <w:tab w:val="num" w:pos="2880"/>
        </w:tabs>
        <w:ind w:left="2880" w:hanging="360"/>
      </w:pPr>
      <w:rPr>
        <w:rFonts w:ascii="Arial" w:hAnsi="Arial" w:hint="default"/>
      </w:rPr>
    </w:lvl>
    <w:lvl w:ilvl="4" w:tplc="A9FEDF58" w:tentative="1">
      <w:start w:val="1"/>
      <w:numFmt w:val="bullet"/>
      <w:lvlText w:val="•"/>
      <w:lvlJc w:val="left"/>
      <w:pPr>
        <w:tabs>
          <w:tab w:val="num" w:pos="3600"/>
        </w:tabs>
        <w:ind w:left="3600" w:hanging="360"/>
      </w:pPr>
      <w:rPr>
        <w:rFonts w:ascii="Arial" w:hAnsi="Arial" w:hint="default"/>
      </w:rPr>
    </w:lvl>
    <w:lvl w:ilvl="5" w:tplc="C1FED00C" w:tentative="1">
      <w:start w:val="1"/>
      <w:numFmt w:val="bullet"/>
      <w:lvlText w:val="•"/>
      <w:lvlJc w:val="left"/>
      <w:pPr>
        <w:tabs>
          <w:tab w:val="num" w:pos="4320"/>
        </w:tabs>
        <w:ind w:left="4320" w:hanging="360"/>
      </w:pPr>
      <w:rPr>
        <w:rFonts w:ascii="Arial" w:hAnsi="Arial" w:hint="default"/>
      </w:rPr>
    </w:lvl>
    <w:lvl w:ilvl="6" w:tplc="E9E4901A" w:tentative="1">
      <w:start w:val="1"/>
      <w:numFmt w:val="bullet"/>
      <w:lvlText w:val="•"/>
      <w:lvlJc w:val="left"/>
      <w:pPr>
        <w:tabs>
          <w:tab w:val="num" w:pos="5040"/>
        </w:tabs>
        <w:ind w:left="5040" w:hanging="360"/>
      </w:pPr>
      <w:rPr>
        <w:rFonts w:ascii="Arial" w:hAnsi="Arial" w:hint="default"/>
      </w:rPr>
    </w:lvl>
    <w:lvl w:ilvl="7" w:tplc="CCAA16AC" w:tentative="1">
      <w:start w:val="1"/>
      <w:numFmt w:val="bullet"/>
      <w:lvlText w:val="•"/>
      <w:lvlJc w:val="left"/>
      <w:pPr>
        <w:tabs>
          <w:tab w:val="num" w:pos="5760"/>
        </w:tabs>
        <w:ind w:left="5760" w:hanging="360"/>
      </w:pPr>
      <w:rPr>
        <w:rFonts w:ascii="Arial" w:hAnsi="Arial" w:hint="default"/>
      </w:rPr>
    </w:lvl>
    <w:lvl w:ilvl="8" w:tplc="4D985566" w:tentative="1">
      <w:start w:val="1"/>
      <w:numFmt w:val="bullet"/>
      <w:lvlText w:val="•"/>
      <w:lvlJc w:val="left"/>
      <w:pPr>
        <w:tabs>
          <w:tab w:val="num" w:pos="6480"/>
        </w:tabs>
        <w:ind w:left="6480" w:hanging="360"/>
      </w:pPr>
      <w:rPr>
        <w:rFonts w:ascii="Arial" w:hAnsi="Arial" w:hint="default"/>
      </w:rPr>
    </w:lvl>
  </w:abstractNum>
  <w:abstractNum w:abstractNumId="14">
    <w:nsid w:val="66E416C6"/>
    <w:multiLevelType w:val="hybridMultilevel"/>
    <w:tmpl w:val="4D3E9A54"/>
    <w:lvl w:ilvl="0" w:tplc="52C4AD90">
      <w:start w:val="1"/>
      <w:numFmt w:val="bullet"/>
      <w:lvlText w:val=""/>
      <w:lvlJc w:val="left"/>
      <w:pPr>
        <w:ind w:left="360" w:hanging="360"/>
      </w:pPr>
      <w:rPr>
        <w:rFonts w:ascii="Wingdings" w:hAnsi="Wingdings" w:hint="default"/>
        <w:color w:val="595959"/>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6B73599F"/>
    <w:multiLevelType w:val="hybridMultilevel"/>
    <w:tmpl w:val="D4184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22D92"/>
    <w:multiLevelType w:val="hybridMultilevel"/>
    <w:tmpl w:val="329852F0"/>
    <w:lvl w:ilvl="0" w:tplc="CE3EB29A">
      <w:start w:val="1"/>
      <w:numFmt w:val="decimal"/>
      <w:lvlText w:val="%1."/>
      <w:lvlJc w:val="left"/>
      <w:pPr>
        <w:ind w:left="1088" w:hanging="360"/>
      </w:pPr>
      <w:rPr>
        <w:rFonts w:hint="default"/>
      </w:rPr>
    </w:lvl>
    <w:lvl w:ilvl="1" w:tplc="0C090019" w:tentative="1">
      <w:start w:val="1"/>
      <w:numFmt w:val="lowerLetter"/>
      <w:lvlText w:val="%2."/>
      <w:lvlJc w:val="left"/>
      <w:pPr>
        <w:ind w:left="1808" w:hanging="360"/>
      </w:pPr>
    </w:lvl>
    <w:lvl w:ilvl="2" w:tplc="0C09001B" w:tentative="1">
      <w:start w:val="1"/>
      <w:numFmt w:val="lowerRoman"/>
      <w:lvlText w:val="%3."/>
      <w:lvlJc w:val="right"/>
      <w:pPr>
        <w:ind w:left="2528" w:hanging="180"/>
      </w:pPr>
    </w:lvl>
    <w:lvl w:ilvl="3" w:tplc="0C09000F" w:tentative="1">
      <w:start w:val="1"/>
      <w:numFmt w:val="decimal"/>
      <w:lvlText w:val="%4."/>
      <w:lvlJc w:val="left"/>
      <w:pPr>
        <w:ind w:left="3248" w:hanging="360"/>
      </w:pPr>
    </w:lvl>
    <w:lvl w:ilvl="4" w:tplc="0C090019" w:tentative="1">
      <w:start w:val="1"/>
      <w:numFmt w:val="lowerLetter"/>
      <w:lvlText w:val="%5."/>
      <w:lvlJc w:val="left"/>
      <w:pPr>
        <w:ind w:left="3968" w:hanging="360"/>
      </w:pPr>
    </w:lvl>
    <w:lvl w:ilvl="5" w:tplc="0C09001B" w:tentative="1">
      <w:start w:val="1"/>
      <w:numFmt w:val="lowerRoman"/>
      <w:lvlText w:val="%6."/>
      <w:lvlJc w:val="right"/>
      <w:pPr>
        <w:ind w:left="4688" w:hanging="180"/>
      </w:pPr>
    </w:lvl>
    <w:lvl w:ilvl="6" w:tplc="0C09000F" w:tentative="1">
      <w:start w:val="1"/>
      <w:numFmt w:val="decimal"/>
      <w:lvlText w:val="%7."/>
      <w:lvlJc w:val="left"/>
      <w:pPr>
        <w:ind w:left="5408" w:hanging="360"/>
      </w:pPr>
    </w:lvl>
    <w:lvl w:ilvl="7" w:tplc="0C090019" w:tentative="1">
      <w:start w:val="1"/>
      <w:numFmt w:val="lowerLetter"/>
      <w:lvlText w:val="%8."/>
      <w:lvlJc w:val="left"/>
      <w:pPr>
        <w:ind w:left="6128" w:hanging="360"/>
      </w:pPr>
    </w:lvl>
    <w:lvl w:ilvl="8" w:tplc="0C09001B" w:tentative="1">
      <w:start w:val="1"/>
      <w:numFmt w:val="lowerRoman"/>
      <w:lvlText w:val="%9."/>
      <w:lvlJc w:val="right"/>
      <w:pPr>
        <w:ind w:left="6848" w:hanging="180"/>
      </w:pPr>
    </w:lvl>
  </w:abstractNum>
  <w:abstractNum w:abstractNumId="17">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9"/>
  </w:num>
  <w:num w:numId="2">
    <w:abstractNumId w:val="9"/>
  </w:num>
  <w:num w:numId="3">
    <w:abstractNumId w:val="9"/>
  </w:num>
  <w:num w:numId="4">
    <w:abstractNumId w:val="17"/>
  </w:num>
  <w:num w:numId="5">
    <w:abstractNumId w:val="9"/>
  </w:num>
  <w:num w:numId="6">
    <w:abstractNumId w:val="9"/>
  </w:num>
  <w:num w:numId="7">
    <w:abstractNumId w:val="9"/>
  </w:num>
  <w:num w:numId="8">
    <w:abstractNumId w:val="9"/>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2"/>
  </w:num>
  <w:num w:numId="18">
    <w:abstractNumId w:val="2"/>
  </w:num>
  <w:num w:numId="19">
    <w:abstractNumId w:val="8"/>
  </w:num>
  <w:num w:numId="20">
    <w:abstractNumId w:val="1"/>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6"/>
  </w:num>
  <w:num w:numId="29">
    <w:abstractNumId w:val="12"/>
  </w:num>
  <w:num w:numId="30">
    <w:abstractNumId w:val="15"/>
  </w:num>
  <w:num w:numId="31">
    <w:abstractNumId w:val="3"/>
  </w:num>
  <w:num w:numId="32">
    <w:abstractNumId w:val="7"/>
  </w:num>
  <w:num w:numId="33">
    <w:abstractNumId w:val="9"/>
  </w:num>
  <w:num w:numId="34">
    <w:abstractNumId w:val="13"/>
  </w:num>
  <w:num w:numId="35">
    <w:abstractNumId w:val="14"/>
  </w:num>
  <w:num w:numId="36">
    <w:abstractNumId w:val="10"/>
  </w:num>
  <w:num w:numId="37">
    <w:abstractNumId w:val="0"/>
    <w:lvlOverride w:ilvl="0">
      <w:lvl w:ilvl="0">
        <w:numFmt w:val="bullet"/>
        <w:lvlText w:val=""/>
        <w:legacy w:legacy="1" w:legacySpace="0" w:legacyIndent="0"/>
        <w:lvlJc w:val="left"/>
        <w:rPr>
          <w:rFonts w:ascii="Symbol" w:hAnsi="Symbol" w:hint="default"/>
          <w:sz w:val="22"/>
        </w:rPr>
      </w:lvl>
    </w:lvlOverride>
  </w:num>
  <w:num w:numId="38">
    <w:abstractNumId w:val="9"/>
  </w:num>
  <w:num w:numId="39">
    <w:abstractNumId w:val="9"/>
  </w:num>
  <w:num w:numId="40">
    <w:abstractNumId w:val="16"/>
  </w:num>
  <w:num w:numId="41">
    <w:abstractNumId w:val="4"/>
  </w:num>
  <w:num w:numId="42">
    <w:abstractNumId w:val="5"/>
  </w:num>
  <w:num w:numId="43">
    <w:abstractNumId w:val="1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CC"/>
    <w:rsid w:val="00000304"/>
    <w:rsid w:val="00001008"/>
    <w:rsid w:val="000029D8"/>
    <w:rsid w:val="0000577E"/>
    <w:rsid w:val="000066FF"/>
    <w:rsid w:val="0001126C"/>
    <w:rsid w:val="00011DCA"/>
    <w:rsid w:val="00012F6F"/>
    <w:rsid w:val="000136CE"/>
    <w:rsid w:val="00014213"/>
    <w:rsid w:val="00014B55"/>
    <w:rsid w:val="0001655D"/>
    <w:rsid w:val="00016FD9"/>
    <w:rsid w:val="00017BF7"/>
    <w:rsid w:val="00017F92"/>
    <w:rsid w:val="00020E3E"/>
    <w:rsid w:val="000238D7"/>
    <w:rsid w:val="00023BF3"/>
    <w:rsid w:val="00026811"/>
    <w:rsid w:val="000270D4"/>
    <w:rsid w:val="00027F53"/>
    <w:rsid w:val="0003222E"/>
    <w:rsid w:val="0004085F"/>
    <w:rsid w:val="0004356D"/>
    <w:rsid w:val="00045296"/>
    <w:rsid w:val="0005370C"/>
    <w:rsid w:val="00071360"/>
    <w:rsid w:val="000717DA"/>
    <w:rsid w:val="000748BB"/>
    <w:rsid w:val="00075E6C"/>
    <w:rsid w:val="0008125A"/>
    <w:rsid w:val="00081517"/>
    <w:rsid w:val="0008405C"/>
    <w:rsid w:val="00085F85"/>
    <w:rsid w:val="000B286B"/>
    <w:rsid w:val="000B29AD"/>
    <w:rsid w:val="000B67CD"/>
    <w:rsid w:val="000C21C3"/>
    <w:rsid w:val="000C6372"/>
    <w:rsid w:val="000D0DD1"/>
    <w:rsid w:val="000D1022"/>
    <w:rsid w:val="000D3A5A"/>
    <w:rsid w:val="000D3A9C"/>
    <w:rsid w:val="000D59B0"/>
    <w:rsid w:val="000D72EA"/>
    <w:rsid w:val="000D7F8F"/>
    <w:rsid w:val="000E0178"/>
    <w:rsid w:val="000E1475"/>
    <w:rsid w:val="000E392D"/>
    <w:rsid w:val="000E3994"/>
    <w:rsid w:val="000E6B93"/>
    <w:rsid w:val="000E7F4B"/>
    <w:rsid w:val="000F2995"/>
    <w:rsid w:val="000F4288"/>
    <w:rsid w:val="000F50A6"/>
    <w:rsid w:val="000F7165"/>
    <w:rsid w:val="001012CC"/>
    <w:rsid w:val="00102379"/>
    <w:rsid w:val="00102CEF"/>
    <w:rsid w:val="001065D6"/>
    <w:rsid w:val="00112BCF"/>
    <w:rsid w:val="001132A7"/>
    <w:rsid w:val="0011571C"/>
    <w:rsid w:val="00115A52"/>
    <w:rsid w:val="00121252"/>
    <w:rsid w:val="00121837"/>
    <w:rsid w:val="00122A60"/>
    <w:rsid w:val="0012325C"/>
    <w:rsid w:val="00124609"/>
    <w:rsid w:val="001254CE"/>
    <w:rsid w:val="00127A4E"/>
    <w:rsid w:val="00133603"/>
    <w:rsid w:val="00134CEA"/>
    <w:rsid w:val="0013502C"/>
    <w:rsid w:val="00141B1B"/>
    <w:rsid w:val="001422CC"/>
    <w:rsid w:val="0014266D"/>
    <w:rsid w:val="0014305C"/>
    <w:rsid w:val="00156767"/>
    <w:rsid w:val="00157028"/>
    <w:rsid w:val="00157700"/>
    <w:rsid w:val="001617B6"/>
    <w:rsid w:val="00165E66"/>
    <w:rsid w:val="001661C8"/>
    <w:rsid w:val="0016657D"/>
    <w:rsid w:val="00166848"/>
    <w:rsid w:val="001668A1"/>
    <w:rsid w:val="00166F1A"/>
    <w:rsid w:val="00170E9A"/>
    <w:rsid w:val="001725F4"/>
    <w:rsid w:val="001752FA"/>
    <w:rsid w:val="00175AB2"/>
    <w:rsid w:val="00180BDD"/>
    <w:rsid w:val="00181952"/>
    <w:rsid w:val="00182513"/>
    <w:rsid w:val="00191217"/>
    <w:rsid w:val="00191A3F"/>
    <w:rsid w:val="0019300D"/>
    <w:rsid w:val="00194B88"/>
    <w:rsid w:val="001A0420"/>
    <w:rsid w:val="001A13DD"/>
    <w:rsid w:val="001A155C"/>
    <w:rsid w:val="001A1C42"/>
    <w:rsid w:val="001A21F2"/>
    <w:rsid w:val="001A6257"/>
    <w:rsid w:val="001A6878"/>
    <w:rsid w:val="001B0E08"/>
    <w:rsid w:val="001B27D2"/>
    <w:rsid w:val="001B2853"/>
    <w:rsid w:val="001B43FF"/>
    <w:rsid w:val="001B7793"/>
    <w:rsid w:val="001C1192"/>
    <w:rsid w:val="001C1BA6"/>
    <w:rsid w:val="001C325F"/>
    <w:rsid w:val="001C4802"/>
    <w:rsid w:val="001C7BAE"/>
    <w:rsid w:val="001D2C64"/>
    <w:rsid w:val="001D73E5"/>
    <w:rsid w:val="001E0196"/>
    <w:rsid w:val="001E1CA9"/>
    <w:rsid w:val="001E2604"/>
    <w:rsid w:val="001E28CC"/>
    <w:rsid w:val="001E31FA"/>
    <w:rsid w:val="001E5DD1"/>
    <w:rsid w:val="001E64F6"/>
    <w:rsid w:val="001F13BA"/>
    <w:rsid w:val="001F25D1"/>
    <w:rsid w:val="001F290C"/>
    <w:rsid w:val="001F64AC"/>
    <w:rsid w:val="001F6776"/>
    <w:rsid w:val="00204B52"/>
    <w:rsid w:val="002128F8"/>
    <w:rsid w:val="00215FBE"/>
    <w:rsid w:val="00216FBD"/>
    <w:rsid w:val="00222BEB"/>
    <w:rsid w:val="00225E60"/>
    <w:rsid w:val="00230312"/>
    <w:rsid w:val="0023202C"/>
    <w:rsid w:val="00236203"/>
    <w:rsid w:val="00240CF0"/>
    <w:rsid w:val="00242252"/>
    <w:rsid w:val="00244F1E"/>
    <w:rsid w:val="00245043"/>
    <w:rsid w:val="0024557E"/>
    <w:rsid w:val="0025351A"/>
    <w:rsid w:val="00253C77"/>
    <w:rsid w:val="00254BE3"/>
    <w:rsid w:val="0025617A"/>
    <w:rsid w:val="00256627"/>
    <w:rsid w:val="00256E96"/>
    <w:rsid w:val="00256F2A"/>
    <w:rsid w:val="0025749A"/>
    <w:rsid w:val="0025756F"/>
    <w:rsid w:val="00257760"/>
    <w:rsid w:val="00257EC4"/>
    <w:rsid w:val="0026176D"/>
    <w:rsid w:val="002638EB"/>
    <w:rsid w:val="002642A0"/>
    <w:rsid w:val="00264CFF"/>
    <w:rsid w:val="00265489"/>
    <w:rsid w:val="002660B3"/>
    <w:rsid w:val="00272742"/>
    <w:rsid w:val="002858C4"/>
    <w:rsid w:val="002904C9"/>
    <w:rsid w:val="00292D36"/>
    <w:rsid w:val="00297281"/>
    <w:rsid w:val="002A02FA"/>
    <w:rsid w:val="002A45A6"/>
    <w:rsid w:val="002B0133"/>
    <w:rsid w:val="002B287A"/>
    <w:rsid w:val="002B3221"/>
    <w:rsid w:val="002B36A4"/>
    <w:rsid w:val="002B3F9B"/>
    <w:rsid w:val="002B6C30"/>
    <w:rsid w:val="002C13A1"/>
    <w:rsid w:val="002C38A4"/>
    <w:rsid w:val="002C4783"/>
    <w:rsid w:val="002C54E0"/>
    <w:rsid w:val="002C5531"/>
    <w:rsid w:val="002D1A17"/>
    <w:rsid w:val="002D24A9"/>
    <w:rsid w:val="002D320E"/>
    <w:rsid w:val="002D5F25"/>
    <w:rsid w:val="002D6614"/>
    <w:rsid w:val="002D711A"/>
    <w:rsid w:val="002D7336"/>
    <w:rsid w:val="002E0F67"/>
    <w:rsid w:val="002E12F7"/>
    <w:rsid w:val="002E3396"/>
    <w:rsid w:val="002E402C"/>
    <w:rsid w:val="002E50FD"/>
    <w:rsid w:val="002E7475"/>
    <w:rsid w:val="002F2339"/>
    <w:rsid w:val="002F288E"/>
    <w:rsid w:val="002F5CAE"/>
    <w:rsid w:val="00302838"/>
    <w:rsid w:val="003050A2"/>
    <w:rsid w:val="003053A2"/>
    <w:rsid w:val="00310C31"/>
    <w:rsid w:val="0031149C"/>
    <w:rsid w:val="003123FC"/>
    <w:rsid w:val="003138DF"/>
    <w:rsid w:val="003141ED"/>
    <w:rsid w:val="00314A2E"/>
    <w:rsid w:val="00315A0D"/>
    <w:rsid w:val="0031647A"/>
    <w:rsid w:val="00316800"/>
    <w:rsid w:val="003177CA"/>
    <w:rsid w:val="00323444"/>
    <w:rsid w:val="00325BB2"/>
    <w:rsid w:val="00326E25"/>
    <w:rsid w:val="003336C0"/>
    <w:rsid w:val="00336FD2"/>
    <w:rsid w:val="00337262"/>
    <w:rsid w:val="00337BDA"/>
    <w:rsid w:val="0034008B"/>
    <w:rsid w:val="00345C0D"/>
    <w:rsid w:val="0035528A"/>
    <w:rsid w:val="00360073"/>
    <w:rsid w:val="0036477A"/>
    <w:rsid w:val="00366862"/>
    <w:rsid w:val="0036757E"/>
    <w:rsid w:val="00367CB3"/>
    <w:rsid w:val="00371B15"/>
    <w:rsid w:val="0037490A"/>
    <w:rsid w:val="0038124B"/>
    <w:rsid w:val="00381438"/>
    <w:rsid w:val="00382449"/>
    <w:rsid w:val="00386AA8"/>
    <w:rsid w:val="003871E1"/>
    <w:rsid w:val="0038771C"/>
    <w:rsid w:val="00390C29"/>
    <w:rsid w:val="003912D2"/>
    <w:rsid w:val="00393EBC"/>
    <w:rsid w:val="0039405B"/>
    <w:rsid w:val="003941C9"/>
    <w:rsid w:val="00395322"/>
    <w:rsid w:val="00396E36"/>
    <w:rsid w:val="00396EFE"/>
    <w:rsid w:val="003A1C19"/>
    <w:rsid w:val="003A1C92"/>
    <w:rsid w:val="003A48E8"/>
    <w:rsid w:val="003A541A"/>
    <w:rsid w:val="003A6923"/>
    <w:rsid w:val="003B0473"/>
    <w:rsid w:val="003B60CB"/>
    <w:rsid w:val="003B614B"/>
    <w:rsid w:val="003B7EFE"/>
    <w:rsid w:val="003C26E2"/>
    <w:rsid w:val="003C2C67"/>
    <w:rsid w:val="003C5BA4"/>
    <w:rsid w:val="003C6F2B"/>
    <w:rsid w:val="003C7BBD"/>
    <w:rsid w:val="003D028E"/>
    <w:rsid w:val="003D4E4F"/>
    <w:rsid w:val="003E3E26"/>
    <w:rsid w:val="003E3F8D"/>
    <w:rsid w:val="003F0BB7"/>
    <w:rsid w:val="003F0F41"/>
    <w:rsid w:val="003F1295"/>
    <w:rsid w:val="003F2B80"/>
    <w:rsid w:val="003F76FC"/>
    <w:rsid w:val="004002EB"/>
    <w:rsid w:val="00400479"/>
    <w:rsid w:val="004036EB"/>
    <w:rsid w:val="00405535"/>
    <w:rsid w:val="00414B43"/>
    <w:rsid w:val="00414B6E"/>
    <w:rsid w:val="0041689E"/>
    <w:rsid w:val="00417E72"/>
    <w:rsid w:val="004236C8"/>
    <w:rsid w:val="00427681"/>
    <w:rsid w:val="00427C82"/>
    <w:rsid w:val="004302C5"/>
    <w:rsid w:val="00432BB3"/>
    <w:rsid w:val="00433DB7"/>
    <w:rsid w:val="00437EE8"/>
    <w:rsid w:val="0044099D"/>
    <w:rsid w:val="004442DD"/>
    <w:rsid w:val="0044667E"/>
    <w:rsid w:val="004501D4"/>
    <w:rsid w:val="00453750"/>
    <w:rsid w:val="00453865"/>
    <w:rsid w:val="00453C6A"/>
    <w:rsid w:val="00456941"/>
    <w:rsid w:val="00456EF5"/>
    <w:rsid w:val="004579F9"/>
    <w:rsid w:val="00464B13"/>
    <w:rsid w:val="00466E26"/>
    <w:rsid w:val="004702EA"/>
    <w:rsid w:val="00477612"/>
    <w:rsid w:val="00482243"/>
    <w:rsid w:val="00482D02"/>
    <w:rsid w:val="00482D96"/>
    <w:rsid w:val="00482FCC"/>
    <w:rsid w:val="004834E8"/>
    <w:rsid w:val="00487F76"/>
    <w:rsid w:val="00487F9D"/>
    <w:rsid w:val="0049095F"/>
    <w:rsid w:val="00491ABA"/>
    <w:rsid w:val="004937C4"/>
    <w:rsid w:val="004951E0"/>
    <w:rsid w:val="004A0E15"/>
    <w:rsid w:val="004A2742"/>
    <w:rsid w:val="004A7519"/>
    <w:rsid w:val="004B31E2"/>
    <w:rsid w:val="004B3788"/>
    <w:rsid w:val="004B4A4E"/>
    <w:rsid w:val="004C062A"/>
    <w:rsid w:val="004C6806"/>
    <w:rsid w:val="004C6C14"/>
    <w:rsid w:val="004C7E70"/>
    <w:rsid w:val="004D2ECD"/>
    <w:rsid w:val="004D3518"/>
    <w:rsid w:val="004D3C82"/>
    <w:rsid w:val="004D5B31"/>
    <w:rsid w:val="004D62D6"/>
    <w:rsid w:val="004D673A"/>
    <w:rsid w:val="004E31E5"/>
    <w:rsid w:val="004E39FF"/>
    <w:rsid w:val="004E558A"/>
    <w:rsid w:val="004E5F87"/>
    <w:rsid w:val="004E75AE"/>
    <w:rsid w:val="004F0BA6"/>
    <w:rsid w:val="004F7313"/>
    <w:rsid w:val="00500997"/>
    <w:rsid w:val="005025A6"/>
    <w:rsid w:val="005027C8"/>
    <w:rsid w:val="00504BD9"/>
    <w:rsid w:val="00506A37"/>
    <w:rsid w:val="00510C2B"/>
    <w:rsid w:val="00514E4A"/>
    <w:rsid w:val="00515E2D"/>
    <w:rsid w:val="00523E4D"/>
    <w:rsid w:val="005242F9"/>
    <w:rsid w:val="00531EAD"/>
    <w:rsid w:val="00532754"/>
    <w:rsid w:val="0053416C"/>
    <w:rsid w:val="00534B39"/>
    <w:rsid w:val="00537CB4"/>
    <w:rsid w:val="00540ED9"/>
    <w:rsid w:val="00540F7B"/>
    <w:rsid w:val="00541C2F"/>
    <w:rsid w:val="0054475A"/>
    <w:rsid w:val="00545348"/>
    <w:rsid w:val="00546E00"/>
    <w:rsid w:val="005472A1"/>
    <w:rsid w:val="00550A0E"/>
    <w:rsid w:val="005530BB"/>
    <w:rsid w:val="005536B1"/>
    <w:rsid w:val="00555723"/>
    <w:rsid w:val="00555EA1"/>
    <w:rsid w:val="00556E44"/>
    <w:rsid w:val="00560720"/>
    <w:rsid w:val="00563527"/>
    <w:rsid w:val="00565EB2"/>
    <w:rsid w:val="0056706D"/>
    <w:rsid w:val="005743E1"/>
    <w:rsid w:val="00574CA9"/>
    <w:rsid w:val="0057585B"/>
    <w:rsid w:val="00577D9E"/>
    <w:rsid w:val="00580BA3"/>
    <w:rsid w:val="0058124E"/>
    <w:rsid w:val="00587532"/>
    <w:rsid w:val="005875A3"/>
    <w:rsid w:val="0058775C"/>
    <w:rsid w:val="00592174"/>
    <w:rsid w:val="00593D50"/>
    <w:rsid w:val="00594BA7"/>
    <w:rsid w:val="00594E80"/>
    <w:rsid w:val="005A24F3"/>
    <w:rsid w:val="005A3416"/>
    <w:rsid w:val="005A3B06"/>
    <w:rsid w:val="005B1679"/>
    <w:rsid w:val="005B27FE"/>
    <w:rsid w:val="005B442B"/>
    <w:rsid w:val="005B6BBD"/>
    <w:rsid w:val="005C3E6D"/>
    <w:rsid w:val="005C50EC"/>
    <w:rsid w:val="005C7A39"/>
    <w:rsid w:val="005D0029"/>
    <w:rsid w:val="005D186E"/>
    <w:rsid w:val="005D2483"/>
    <w:rsid w:val="005D60BC"/>
    <w:rsid w:val="005E0B8B"/>
    <w:rsid w:val="005E2514"/>
    <w:rsid w:val="005E34E1"/>
    <w:rsid w:val="005E6029"/>
    <w:rsid w:val="005E6FC1"/>
    <w:rsid w:val="005E76CF"/>
    <w:rsid w:val="005F1737"/>
    <w:rsid w:val="005F5B0A"/>
    <w:rsid w:val="005F61DF"/>
    <w:rsid w:val="006023F9"/>
    <w:rsid w:val="00603A3B"/>
    <w:rsid w:val="006052EC"/>
    <w:rsid w:val="006077D8"/>
    <w:rsid w:val="00610559"/>
    <w:rsid w:val="0061231C"/>
    <w:rsid w:val="00617A43"/>
    <w:rsid w:val="00617F1F"/>
    <w:rsid w:val="006226B4"/>
    <w:rsid w:val="00625C2F"/>
    <w:rsid w:val="006273BA"/>
    <w:rsid w:val="00627832"/>
    <w:rsid w:val="006310AA"/>
    <w:rsid w:val="006332F6"/>
    <w:rsid w:val="00633429"/>
    <w:rsid w:val="006375DA"/>
    <w:rsid w:val="00637AA9"/>
    <w:rsid w:val="006468C8"/>
    <w:rsid w:val="00652625"/>
    <w:rsid w:val="006534B2"/>
    <w:rsid w:val="00654722"/>
    <w:rsid w:val="0065615D"/>
    <w:rsid w:val="00657011"/>
    <w:rsid w:val="006579D2"/>
    <w:rsid w:val="006650B5"/>
    <w:rsid w:val="006651B1"/>
    <w:rsid w:val="00665778"/>
    <w:rsid w:val="006703E8"/>
    <w:rsid w:val="00670D5B"/>
    <w:rsid w:val="00671FC5"/>
    <w:rsid w:val="0067682E"/>
    <w:rsid w:val="00677FF4"/>
    <w:rsid w:val="006802F6"/>
    <w:rsid w:val="00683566"/>
    <w:rsid w:val="00683F4E"/>
    <w:rsid w:val="006919AC"/>
    <w:rsid w:val="00691C69"/>
    <w:rsid w:val="00692E7F"/>
    <w:rsid w:val="00693339"/>
    <w:rsid w:val="006A0212"/>
    <w:rsid w:val="006A09D1"/>
    <w:rsid w:val="006A16D3"/>
    <w:rsid w:val="006A25DD"/>
    <w:rsid w:val="006A5639"/>
    <w:rsid w:val="006A5B34"/>
    <w:rsid w:val="006A5F5B"/>
    <w:rsid w:val="006A72F2"/>
    <w:rsid w:val="006A7865"/>
    <w:rsid w:val="006B33B0"/>
    <w:rsid w:val="006B56C3"/>
    <w:rsid w:val="006B5EDA"/>
    <w:rsid w:val="006C09F6"/>
    <w:rsid w:val="006C1530"/>
    <w:rsid w:val="006C54B6"/>
    <w:rsid w:val="006C77A9"/>
    <w:rsid w:val="006C7924"/>
    <w:rsid w:val="006E007B"/>
    <w:rsid w:val="006E12D0"/>
    <w:rsid w:val="006E1454"/>
    <w:rsid w:val="006E1A58"/>
    <w:rsid w:val="006E1D3A"/>
    <w:rsid w:val="006E1F18"/>
    <w:rsid w:val="006E4666"/>
    <w:rsid w:val="006E5531"/>
    <w:rsid w:val="006E57A8"/>
    <w:rsid w:val="006F05FF"/>
    <w:rsid w:val="006F0F13"/>
    <w:rsid w:val="006F393D"/>
    <w:rsid w:val="006F3B8D"/>
    <w:rsid w:val="006F412C"/>
    <w:rsid w:val="006F6693"/>
    <w:rsid w:val="00700D18"/>
    <w:rsid w:val="0070125F"/>
    <w:rsid w:val="00706CE9"/>
    <w:rsid w:val="00707AB5"/>
    <w:rsid w:val="00707FE8"/>
    <w:rsid w:val="00710420"/>
    <w:rsid w:val="00711BEF"/>
    <w:rsid w:val="00713FB5"/>
    <w:rsid w:val="00714A38"/>
    <w:rsid w:val="007176CF"/>
    <w:rsid w:val="00720AD4"/>
    <w:rsid w:val="00723634"/>
    <w:rsid w:val="00723D18"/>
    <w:rsid w:val="00724523"/>
    <w:rsid w:val="00724962"/>
    <w:rsid w:val="00724A0F"/>
    <w:rsid w:val="00725098"/>
    <w:rsid w:val="00725BB6"/>
    <w:rsid w:val="00730065"/>
    <w:rsid w:val="00732162"/>
    <w:rsid w:val="00733B41"/>
    <w:rsid w:val="00733E51"/>
    <w:rsid w:val="00734F7F"/>
    <w:rsid w:val="0073527F"/>
    <w:rsid w:val="00736732"/>
    <w:rsid w:val="00740231"/>
    <w:rsid w:val="007431E8"/>
    <w:rsid w:val="00744F85"/>
    <w:rsid w:val="00750CBE"/>
    <w:rsid w:val="00750D7B"/>
    <w:rsid w:val="007527F6"/>
    <w:rsid w:val="00755403"/>
    <w:rsid w:val="00755676"/>
    <w:rsid w:val="00755879"/>
    <w:rsid w:val="007564E5"/>
    <w:rsid w:val="007573A0"/>
    <w:rsid w:val="007576F8"/>
    <w:rsid w:val="007606F7"/>
    <w:rsid w:val="007661F9"/>
    <w:rsid w:val="00766B5A"/>
    <w:rsid w:val="007709AF"/>
    <w:rsid w:val="00772B45"/>
    <w:rsid w:val="00772E91"/>
    <w:rsid w:val="00773872"/>
    <w:rsid w:val="007766C1"/>
    <w:rsid w:val="00781712"/>
    <w:rsid w:val="007834F2"/>
    <w:rsid w:val="00786B9A"/>
    <w:rsid w:val="0079011F"/>
    <w:rsid w:val="00791020"/>
    <w:rsid w:val="00791970"/>
    <w:rsid w:val="007920D7"/>
    <w:rsid w:val="00793D44"/>
    <w:rsid w:val="007A0621"/>
    <w:rsid w:val="007A0924"/>
    <w:rsid w:val="007A14E7"/>
    <w:rsid w:val="007A3DAE"/>
    <w:rsid w:val="007A4644"/>
    <w:rsid w:val="007A5F82"/>
    <w:rsid w:val="007A7C89"/>
    <w:rsid w:val="007B12D3"/>
    <w:rsid w:val="007B38D3"/>
    <w:rsid w:val="007B588B"/>
    <w:rsid w:val="007B7A19"/>
    <w:rsid w:val="007B7C1C"/>
    <w:rsid w:val="007C1CCE"/>
    <w:rsid w:val="007C4172"/>
    <w:rsid w:val="007C50C2"/>
    <w:rsid w:val="007C6E38"/>
    <w:rsid w:val="007D03CC"/>
    <w:rsid w:val="007D0C34"/>
    <w:rsid w:val="007D10F9"/>
    <w:rsid w:val="007D2921"/>
    <w:rsid w:val="007E0770"/>
    <w:rsid w:val="007E19BE"/>
    <w:rsid w:val="007E27AE"/>
    <w:rsid w:val="007E6207"/>
    <w:rsid w:val="007E77C8"/>
    <w:rsid w:val="007F00DD"/>
    <w:rsid w:val="007F05FC"/>
    <w:rsid w:val="007F1A4C"/>
    <w:rsid w:val="007F2339"/>
    <w:rsid w:val="007F3C89"/>
    <w:rsid w:val="007F4EE9"/>
    <w:rsid w:val="007F7063"/>
    <w:rsid w:val="007F729F"/>
    <w:rsid w:val="00800DAA"/>
    <w:rsid w:val="00801390"/>
    <w:rsid w:val="008015B2"/>
    <w:rsid w:val="00801B6D"/>
    <w:rsid w:val="008022C3"/>
    <w:rsid w:val="008041E6"/>
    <w:rsid w:val="008065D2"/>
    <w:rsid w:val="00811F18"/>
    <w:rsid w:val="0082194C"/>
    <w:rsid w:val="008220C4"/>
    <w:rsid w:val="008222FF"/>
    <w:rsid w:val="008241FF"/>
    <w:rsid w:val="008245AD"/>
    <w:rsid w:val="00833B52"/>
    <w:rsid w:val="008372D2"/>
    <w:rsid w:val="008411E9"/>
    <w:rsid w:val="0084200F"/>
    <w:rsid w:val="008428B0"/>
    <w:rsid w:val="00843B2C"/>
    <w:rsid w:val="008518B0"/>
    <w:rsid w:val="0085257B"/>
    <w:rsid w:val="008532AF"/>
    <w:rsid w:val="00855889"/>
    <w:rsid w:val="00855C7B"/>
    <w:rsid w:val="008632DA"/>
    <w:rsid w:val="0086695D"/>
    <w:rsid w:val="00871976"/>
    <w:rsid w:val="008732F4"/>
    <w:rsid w:val="008740B3"/>
    <w:rsid w:val="00874F40"/>
    <w:rsid w:val="00877721"/>
    <w:rsid w:val="00881358"/>
    <w:rsid w:val="00881675"/>
    <w:rsid w:val="00884125"/>
    <w:rsid w:val="00885327"/>
    <w:rsid w:val="008869E4"/>
    <w:rsid w:val="008927E0"/>
    <w:rsid w:val="00897396"/>
    <w:rsid w:val="00897754"/>
    <w:rsid w:val="00897BA6"/>
    <w:rsid w:val="00897CF2"/>
    <w:rsid w:val="008A00E6"/>
    <w:rsid w:val="008A0551"/>
    <w:rsid w:val="008A3882"/>
    <w:rsid w:val="008A4900"/>
    <w:rsid w:val="008A5D3E"/>
    <w:rsid w:val="008A6C31"/>
    <w:rsid w:val="008A70BF"/>
    <w:rsid w:val="008A7EDB"/>
    <w:rsid w:val="008B23D6"/>
    <w:rsid w:val="008B34C2"/>
    <w:rsid w:val="008B3BA9"/>
    <w:rsid w:val="008B58F7"/>
    <w:rsid w:val="008B69EC"/>
    <w:rsid w:val="008B6E60"/>
    <w:rsid w:val="008C1FC4"/>
    <w:rsid w:val="008D0281"/>
    <w:rsid w:val="008D70D3"/>
    <w:rsid w:val="008D7333"/>
    <w:rsid w:val="008E34B2"/>
    <w:rsid w:val="008E3C4E"/>
    <w:rsid w:val="008E5364"/>
    <w:rsid w:val="008F024D"/>
    <w:rsid w:val="008F1B26"/>
    <w:rsid w:val="008F5E8E"/>
    <w:rsid w:val="008F6105"/>
    <w:rsid w:val="008F6D45"/>
    <w:rsid w:val="009000AA"/>
    <w:rsid w:val="00900D19"/>
    <w:rsid w:val="00901A08"/>
    <w:rsid w:val="0090245C"/>
    <w:rsid w:val="00910AE2"/>
    <w:rsid w:val="009145B1"/>
    <w:rsid w:val="00916BFF"/>
    <w:rsid w:val="00920193"/>
    <w:rsid w:val="00920C1E"/>
    <w:rsid w:val="00932855"/>
    <w:rsid w:val="00936599"/>
    <w:rsid w:val="009376EB"/>
    <w:rsid w:val="009416A9"/>
    <w:rsid w:val="00944015"/>
    <w:rsid w:val="0094447F"/>
    <w:rsid w:val="00944F19"/>
    <w:rsid w:val="00945E8C"/>
    <w:rsid w:val="009539FC"/>
    <w:rsid w:val="009567FE"/>
    <w:rsid w:val="00961EEA"/>
    <w:rsid w:val="00965A3E"/>
    <w:rsid w:val="0096613D"/>
    <w:rsid w:val="0096740D"/>
    <w:rsid w:val="009813B8"/>
    <w:rsid w:val="009820B2"/>
    <w:rsid w:val="009834C0"/>
    <w:rsid w:val="00984DE0"/>
    <w:rsid w:val="00986AAC"/>
    <w:rsid w:val="00987E37"/>
    <w:rsid w:val="00990F8A"/>
    <w:rsid w:val="009910E8"/>
    <w:rsid w:val="00991739"/>
    <w:rsid w:val="009917AB"/>
    <w:rsid w:val="009933F6"/>
    <w:rsid w:val="00994A49"/>
    <w:rsid w:val="00996470"/>
    <w:rsid w:val="009973ED"/>
    <w:rsid w:val="00997740"/>
    <w:rsid w:val="00997F29"/>
    <w:rsid w:val="009A0C13"/>
    <w:rsid w:val="009A1DA2"/>
    <w:rsid w:val="009A2FCB"/>
    <w:rsid w:val="009A3704"/>
    <w:rsid w:val="009A4739"/>
    <w:rsid w:val="009A5458"/>
    <w:rsid w:val="009A674F"/>
    <w:rsid w:val="009A7962"/>
    <w:rsid w:val="009B14C3"/>
    <w:rsid w:val="009B199C"/>
    <w:rsid w:val="009B54C8"/>
    <w:rsid w:val="009B61F1"/>
    <w:rsid w:val="009B62E0"/>
    <w:rsid w:val="009B7ACA"/>
    <w:rsid w:val="009C1943"/>
    <w:rsid w:val="009C2711"/>
    <w:rsid w:val="009C3D88"/>
    <w:rsid w:val="009C43A1"/>
    <w:rsid w:val="009C5B37"/>
    <w:rsid w:val="009C5CF6"/>
    <w:rsid w:val="009D1895"/>
    <w:rsid w:val="009D38DC"/>
    <w:rsid w:val="009D5750"/>
    <w:rsid w:val="009E3858"/>
    <w:rsid w:val="009E70DD"/>
    <w:rsid w:val="009F25CB"/>
    <w:rsid w:val="009F2ED9"/>
    <w:rsid w:val="009F3231"/>
    <w:rsid w:val="009F5C58"/>
    <w:rsid w:val="009F6007"/>
    <w:rsid w:val="00A00728"/>
    <w:rsid w:val="00A01975"/>
    <w:rsid w:val="00A023A0"/>
    <w:rsid w:val="00A0385E"/>
    <w:rsid w:val="00A07C30"/>
    <w:rsid w:val="00A11C6C"/>
    <w:rsid w:val="00A14464"/>
    <w:rsid w:val="00A14A9C"/>
    <w:rsid w:val="00A1562B"/>
    <w:rsid w:val="00A170F4"/>
    <w:rsid w:val="00A2017C"/>
    <w:rsid w:val="00A21D23"/>
    <w:rsid w:val="00A23EBF"/>
    <w:rsid w:val="00A2559E"/>
    <w:rsid w:val="00A25FD9"/>
    <w:rsid w:val="00A26145"/>
    <w:rsid w:val="00A261D2"/>
    <w:rsid w:val="00A3484B"/>
    <w:rsid w:val="00A414CA"/>
    <w:rsid w:val="00A430A8"/>
    <w:rsid w:val="00A44E1E"/>
    <w:rsid w:val="00A46BA8"/>
    <w:rsid w:val="00A47208"/>
    <w:rsid w:val="00A47634"/>
    <w:rsid w:val="00A52879"/>
    <w:rsid w:val="00A542BF"/>
    <w:rsid w:val="00A60032"/>
    <w:rsid w:val="00A612FE"/>
    <w:rsid w:val="00A6235A"/>
    <w:rsid w:val="00A63C98"/>
    <w:rsid w:val="00A66CD1"/>
    <w:rsid w:val="00A74E46"/>
    <w:rsid w:val="00A81D9D"/>
    <w:rsid w:val="00A831F0"/>
    <w:rsid w:val="00A84484"/>
    <w:rsid w:val="00A85489"/>
    <w:rsid w:val="00A86C77"/>
    <w:rsid w:val="00A90A4F"/>
    <w:rsid w:val="00A90B3C"/>
    <w:rsid w:val="00A91295"/>
    <w:rsid w:val="00A91B6F"/>
    <w:rsid w:val="00AA10AD"/>
    <w:rsid w:val="00AA26B8"/>
    <w:rsid w:val="00AA2BF4"/>
    <w:rsid w:val="00AA39DE"/>
    <w:rsid w:val="00AA45BA"/>
    <w:rsid w:val="00AA5F39"/>
    <w:rsid w:val="00AA72BF"/>
    <w:rsid w:val="00AB0B1F"/>
    <w:rsid w:val="00AB337D"/>
    <w:rsid w:val="00AB3B7D"/>
    <w:rsid w:val="00AB3FE2"/>
    <w:rsid w:val="00AB62B9"/>
    <w:rsid w:val="00AB78D9"/>
    <w:rsid w:val="00AC0711"/>
    <w:rsid w:val="00AC0DE7"/>
    <w:rsid w:val="00AC2674"/>
    <w:rsid w:val="00AC3171"/>
    <w:rsid w:val="00AC77A8"/>
    <w:rsid w:val="00AD08A5"/>
    <w:rsid w:val="00AD256A"/>
    <w:rsid w:val="00AD3322"/>
    <w:rsid w:val="00AD5807"/>
    <w:rsid w:val="00AD7B0B"/>
    <w:rsid w:val="00AD7CE5"/>
    <w:rsid w:val="00AD7E4E"/>
    <w:rsid w:val="00AE3C98"/>
    <w:rsid w:val="00AE417D"/>
    <w:rsid w:val="00AE4999"/>
    <w:rsid w:val="00AF0273"/>
    <w:rsid w:val="00AF1B58"/>
    <w:rsid w:val="00AF27D3"/>
    <w:rsid w:val="00AF4D58"/>
    <w:rsid w:val="00AF6666"/>
    <w:rsid w:val="00B02271"/>
    <w:rsid w:val="00B05C5D"/>
    <w:rsid w:val="00B061D9"/>
    <w:rsid w:val="00B10154"/>
    <w:rsid w:val="00B10545"/>
    <w:rsid w:val="00B10638"/>
    <w:rsid w:val="00B12C3D"/>
    <w:rsid w:val="00B16912"/>
    <w:rsid w:val="00B22E99"/>
    <w:rsid w:val="00B25123"/>
    <w:rsid w:val="00B26573"/>
    <w:rsid w:val="00B30747"/>
    <w:rsid w:val="00B374DE"/>
    <w:rsid w:val="00B52A8C"/>
    <w:rsid w:val="00B53E2D"/>
    <w:rsid w:val="00B600DC"/>
    <w:rsid w:val="00B603DC"/>
    <w:rsid w:val="00B62ECA"/>
    <w:rsid w:val="00B67B87"/>
    <w:rsid w:val="00B81B44"/>
    <w:rsid w:val="00B83CF6"/>
    <w:rsid w:val="00B9053B"/>
    <w:rsid w:val="00B937A9"/>
    <w:rsid w:val="00B956A1"/>
    <w:rsid w:val="00B9600F"/>
    <w:rsid w:val="00BA09ED"/>
    <w:rsid w:val="00BA0B17"/>
    <w:rsid w:val="00BA14D0"/>
    <w:rsid w:val="00BA2405"/>
    <w:rsid w:val="00BA3107"/>
    <w:rsid w:val="00BA5E2A"/>
    <w:rsid w:val="00BA6129"/>
    <w:rsid w:val="00BA7208"/>
    <w:rsid w:val="00BB0153"/>
    <w:rsid w:val="00BB2CB9"/>
    <w:rsid w:val="00BB37F8"/>
    <w:rsid w:val="00BB4A15"/>
    <w:rsid w:val="00BB522E"/>
    <w:rsid w:val="00BC003D"/>
    <w:rsid w:val="00BC17AD"/>
    <w:rsid w:val="00BC23B4"/>
    <w:rsid w:val="00BC3422"/>
    <w:rsid w:val="00BD0E3F"/>
    <w:rsid w:val="00BD24E7"/>
    <w:rsid w:val="00BD3682"/>
    <w:rsid w:val="00BD57DF"/>
    <w:rsid w:val="00BD5F0F"/>
    <w:rsid w:val="00BE1362"/>
    <w:rsid w:val="00BE68BD"/>
    <w:rsid w:val="00BE7989"/>
    <w:rsid w:val="00BE7EBF"/>
    <w:rsid w:val="00BF0266"/>
    <w:rsid w:val="00BF04C2"/>
    <w:rsid w:val="00BF412D"/>
    <w:rsid w:val="00BF69F3"/>
    <w:rsid w:val="00BF6C17"/>
    <w:rsid w:val="00BF7702"/>
    <w:rsid w:val="00C015B9"/>
    <w:rsid w:val="00C022F9"/>
    <w:rsid w:val="00C0260A"/>
    <w:rsid w:val="00C032EA"/>
    <w:rsid w:val="00C06EB5"/>
    <w:rsid w:val="00C10DF0"/>
    <w:rsid w:val="00C1145F"/>
    <w:rsid w:val="00C11620"/>
    <w:rsid w:val="00C14A24"/>
    <w:rsid w:val="00C21A0B"/>
    <w:rsid w:val="00C24A9C"/>
    <w:rsid w:val="00C24DA0"/>
    <w:rsid w:val="00C2643F"/>
    <w:rsid w:val="00C33AD1"/>
    <w:rsid w:val="00C34A9C"/>
    <w:rsid w:val="00C3686C"/>
    <w:rsid w:val="00C36FA4"/>
    <w:rsid w:val="00C40FC5"/>
    <w:rsid w:val="00C41E4B"/>
    <w:rsid w:val="00C45B33"/>
    <w:rsid w:val="00C45E55"/>
    <w:rsid w:val="00C46455"/>
    <w:rsid w:val="00C47380"/>
    <w:rsid w:val="00C50524"/>
    <w:rsid w:val="00C5083F"/>
    <w:rsid w:val="00C53BA6"/>
    <w:rsid w:val="00C55194"/>
    <w:rsid w:val="00C554B6"/>
    <w:rsid w:val="00C56F9B"/>
    <w:rsid w:val="00C615DD"/>
    <w:rsid w:val="00C61CA0"/>
    <w:rsid w:val="00C62C06"/>
    <w:rsid w:val="00C637E1"/>
    <w:rsid w:val="00C65BE7"/>
    <w:rsid w:val="00C70D50"/>
    <w:rsid w:val="00C74692"/>
    <w:rsid w:val="00C75B40"/>
    <w:rsid w:val="00C76071"/>
    <w:rsid w:val="00C83743"/>
    <w:rsid w:val="00C84D69"/>
    <w:rsid w:val="00C85E2A"/>
    <w:rsid w:val="00C90293"/>
    <w:rsid w:val="00C907D7"/>
    <w:rsid w:val="00C92338"/>
    <w:rsid w:val="00C96F5F"/>
    <w:rsid w:val="00CA1267"/>
    <w:rsid w:val="00CA3FD4"/>
    <w:rsid w:val="00CA48C5"/>
    <w:rsid w:val="00CA7C3A"/>
    <w:rsid w:val="00CB01C2"/>
    <w:rsid w:val="00CB0777"/>
    <w:rsid w:val="00CB0E7A"/>
    <w:rsid w:val="00CB23CC"/>
    <w:rsid w:val="00CB38E6"/>
    <w:rsid w:val="00CB66E1"/>
    <w:rsid w:val="00CC2DB2"/>
    <w:rsid w:val="00CC5D53"/>
    <w:rsid w:val="00CC5F1C"/>
    <w:rsid w:val="00CC5FC9"/>
    <w:rsid w:val="00CC77E8"/>
    <w:rsid w:val="00CD0307"/>
    <w:rsid w:val="00CD0B47"/>
    <w:rsid w:val="00CD1E80"/>
    <w:rsid w:val="00CD280B"/>
    <w:rsid w:val="00CD3526"/>
    <w:rsid w:val="00CD3B07"/>
    <w:rsid w:val="00CD3D1B"/>
    <w:rsid w:val="00CE135A"/>
    <w:rsid w:val="00CE3834"/>
    <w:rsid w:val="00CF127E"/>
    <w:rsid w:val="00CF46D0"/>
    <w:rsid w:val="00CF7DCA"/>
    <w:rsid w:val="00D002AE"/>
    <w:rsid w:val="00D0153A"/>
    <w:rsid w:val="00D1055D"/>
    <w:rsid w:val="00D13E9F"/>
    <w:rsid w:val="00D14D2F"/>
    <w:rsid w:val="00D206CE"/>
    <w:rsid w:val="00D20A40"/>
    <w:rsid w:val="00D20F7C"/>
    <w:rsid w:val="00D211E9"/>
    <w:rsid w:val="00D2312F"/>
    <w:rsid w:val="00D269C1"/>
    <w:rsid w:val="00D3027B"/>
    <w:rsid w:val="00D302E8"/>
    <w:rsid w:val="00D30DB3"/>
    <w:rsid w:val="00D33668"/>
    <w:rsid w:val="00D36463"/>
    <w:rsid w:val="00D44953"/>
    <w:rsid w:val="00D44B1E"/>
    <w:rsid w:val="00D45509"/>
    <w:rsid w:val="00D45C31"/>
    <w:rsid w:val="00D470CE"/>
    <w:rsid w:val="00D4720C"/>
    <w:rsid w:val="00D539CF"/>
    <w:rsid w:val="00D542F3"/>
    <w:rsid w:val="00D54CE7"/>
    <w:rsid w:val="00D559AA"/>
    <w:rsid w:val="00D5644B"/>
    <w:rsid w:val="00D56E25"/>
    <w:rsid w:val="00D63A6A"/>
    <w:rsid w:val="00D6631D"/>
    <w:rsid w:val="00D70446"/>
    <w:rsid w:val="00D718D7"/>
    <w:rsid w:val="00D71CBB"/>
    <w:rsid w:val="00D76E4D"/>
    <w:rsid w:val="00D7775C"/>
    <w:rsid w:val="00D814B7"/>
    <w:rsid w:val="00D84BCC"/>
    <w:rsid w:val="00D90688"/>
    <w:rsid w:val="00D91282"/>
    <w:rsid w:val="00D945A3"/>
    <w:rsid w:val="00DA0F9C"/>
    <w:rsid w:val="00DA1E3D"/>
    <w:rsid w:val="00DA310F"/>
    <w:rsid w:val="00DA3AAD"/>
    <w:rsid w:val="00DA46EF"/>
    <w:rsid w:val="00DA5BE1"/>
    <w:rsid w:val="00DB2ED7"/>
    <w:rsid w:val="00DB312B"/>
    <w:rsid w:val="00DB7C7C"/>
    <w:rsid w:val="00DC07AE"/>
    <w:rsid w:val="00DC2036"/>
    <w:rsid w:val="00DC5654"/>
    <w:rsid w:val="00DC658F"/>
    <w:rsid w:val="00DD0492"/>
    <w:rsid w:val="00DD4350"/>
    <w:rsid w:val="00DE155B"/>
    <w:rsid w:val="00DE3E44"/>
    <w:rsid w:val="00DE4013"/>
    <w:rsid w:val="00DE40D6"/>
    <w:rsid w:val="00DE60CC"/>
    <w:rsid w:val="00DE7086"/>
    <w:rsid w:val="00DF1D02"/>
    <w:rsid w:val="00DF5159"/>
    <w:rsid w:val="00DF6166"/>
    <w:rsid w:val="00DF694B"/>
    <w:rsid w:val="00DF7A5F"/>
    <w:rsid w:val="00E018C9"/>
    <w:rsid w:val="00E04E2E"/>
    <w:rsid w:val="00E0634B"/>
    <w:rsid w:val="00E108DB"/>
    <w:rsid w:val="00E123AC"/>
    <w:rsid w:val="00E17D08"/>
    <w:rsid w:val="00E24D2F"/>
    <w:rsid w:val="00E24D30"/>
    <w:rsid w:val="00E26B32"/>
    <w:rsid w:val="00E26D3A"/>
    <w:rsid w:val="00E30C66"/>
    <w:rsid w:val="00E32001"/>
    <w:rsid w:val="00E3467B"/>
    <w:rsid w:val="00E34CC8"/>
    <w:rsid w:val="00E35463"/>
    <w:rsid w:val="00E407B6"/>
    <w:rsid w:val="00E41EF1"/>
    <w:rsid w:val="00E42942"/>
    <w:rsid w:val="00E43DE4"/>
    <w:rsid w:val="00E45662"/>
    <w:rsid w:val="00E468A6"/>
    <w:rsid w:val="00E61ED7"/>
    <w:rsid w:val="00E64CF8"/>
    <w:rsid w:val="00E7114E"/>
    <w:rsid w:val="00E71BDF"/>
    <w:rsid w:val="00E75560"/>
    <w:rsid w:val="00E81815"/>
    <w:rsid w:val="00E81BDC"/>
    <w:rsid w:val="00E83CA7"/>
    <w:rsid w:val="00E90CCC"/>
    <w:rsid w:val="00E93062"/>
    <w:rsid w:val="00E93960"/>
    <w:rsid w:val="00E95B26"/>
    <w:rsid w:val="00E95BD9"/>
    <w:rsid w:val="00E97E85"/>
    <w:rsid w:val="00EA6BBD"/>
    <w:rsid w:val="00EB4020"/>
    <w:rsid w:val="00EB5453"/>
    <w:rsid w:val="00EB60CA"/>
    <w:rsid w:val="00EB6DF4"/>
    <w:rsid w:val="00EB770D"/>
    <w:rsid w:val="00EC171D"/>
    <w:rsid w:val="00EC3508"/>
    <w:rsid w:val="00EC57AA"/>
    <w:rsid w:val="00EC7349"/>
    <w:rsid w:val="00ED0DD3"/>
    <w:rsid w:val="00ED487E"/>
    <w:rsid w:val="00ED4AB9"/>
    <w:rsid w:val="00ED7D16"/>
    <w:rsid w:val="00EE184D"/>
    <w:rsid w:val="00EE22EB"/>
    <w:rsid w:val="00EE4DDF"/>
    <w:rsid w:val="00EE7A0D"/>
    <w:rsid w:val="00EF0016"/>
    <w:rsid w:val="00EF073A"/>
    <w:rsid w:val="00F00304"/>
    <w:rsid w:val="00F023E5"/>
    <w:rsid w:val="00F029C2"/>
    <w:rsid w:val="00F04686"/>
    <w:rsid w:val="00F04E0C"/>
    <w:rsid w:val="00F05BC2"/>
    <w:rsid w:val="00F07B1C"/>
    <w:rsid w:val="00F1257E"/>
    <w:rsid w:val="00F1620B"/>
    <w:rsid w:val="00F17CE1"/>
    <w:rsid w:val="00F2115C"/>
    <w:rsid w:val="00F21AE3"/>
    <w:rsid w:val="00F21F37"/>
    <w:rsid w:val="00F22ABA"/>
    <w:rsid w:val="00F24364"/>
    <w:rsid w:val="00F25DD9"/>
    <w:rsid w:val="00F31533"/>
    <w:rsid w:val="00F335B3"/>
    <w:rsid w:val="00F337FC"/>
    <w:rsid w:val="00F35F7B"/>
    <w:rsid w:val="00F36B12"/>
    <w:rsid w:val="00F41F70"/>
    <w:rsid w:val="00F420DD"/>
    <w:rsid w:val="00F462A9"/>
    <w:rsid w:val="00F57D07"/>
    <w:rsid w:val="00F60AF5"/>
    <w:rsid w:val="00F60F9F"/>
    <w:rsid w:val="00F6272B"/>
    <w:rsid w:val="00F64F08"/>
    <w:rsid w:val="00F6507B"/>
    <w:rsid w:val="00F66391"/>
    <w:rsid w:val="00F734F5"/>
    <w:rsid w:val="00F77888"/>
    <w:rsid w:val="00F77EDF"/>
    <w:rsid w:val="00F80774"/>
    <w:rsid w:val="00F807C0"/>
    <w:rsid w:val="00F91E41"/>
    <w:rsid w:val="00F92110"/>
    <w:rsid w:val="00F92B68"/>
    <w:rsid w:val="00F94E40"/>
    <w:rsid w:val="00F95B0A"/>
    <w:rsid w:val="00F966B1"/>
    <w:rsid w:val="00F96941"/>
    <w:rsid w:val="00F96C2A"/>
    <w:rsid w:val="00F97D48"/>
    <w:rsid w:val="00FA02E0"/>
    <w:rsid w:val="00FA0311"/>
    <w:rsid w:val="00FA2B0F"/>
    <w:rsid w:val="00FA2B51"/>
    <w:rsid w:val="00FA36FF"/>
    <w:rsid w:val="00FA62A1"/>
    <w:rsid w:val="00FB0008"/>
    <w:rsid w:val="00FB47E7"/>
    <w:rsid w:val="00FB6821"/>
    <w:rsid w:val="00FB7089"/>
    <w:rsid w:val="00FC045D"/>
    <w:rsid w:val="00FC1BA3"/>
    <w:rsid w:val="00FC1D24"/>
    <w:rsid w:val="00FC42E5"/>
    <w:rsid w:val="00FC4CF8"/>
    <w:rsid w:val="00FD0D96"/>
    <w:rsid w:val="00FD34E2"/>
    <w:rsid w:val="00FD640F"/>
    <w:rsid w:val="00FD6B4C"/>
    <w:rsid w:val="00FE0B84"/>
    <w:rsid w:val="00FE1F3B"/>
    <w:rsid w:val="00FE4E20"/>
    <w:rsid w:val="00FE55C0"/>
    <w:rsid w:val="00FF159C"/>
    <w:rsid w:val="00FF2F8B"/>
    <w:rsid w:val="00FF367C"/>
    <w:rsid w:val="00FF4E99"/>
    <w:rsid w:val="00FF5BC2"/>
    <w:rsid w:val="00FF7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F46D0"/>
    <w:pPr>
      <w:spacing w:before="160" w:after="100"/>
    </w:pPr>
    <w:rPr>
      <w:spacing w:val="2"/>
      <w:sz w:val="18"/>
    </w:rPr>
  </w:style>
  <w:style w:type="paragraph" w:styleId="Heading1">
    <w:name w:val="heading 1"/>
    <w:next w:val="Normal"/>
    <w:link w:val="Heading1Char"/>
    <w:qFormat/>
    <w:rsid w:val="00CF46D0"/>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CF46D0"/>
    <w:pPr>
      <w:keepNext/>
      <w:keepLines/>
      <w:spacing w:before="240" w:after="120"/>
      <w:outlineLvl w:val="1"/>
    </w:pPr>
    <w:rPr>
      <w:rFonts w:asciiTheme="majorHAnsi" w:eastAsiaTheme="majorEastAsia" w:hAnsiTheme="majorHAnsi" w:cstheme="majorBidi"/>
      <w:b/>
      <w:bCs/>
      <w:color w:val="0063A6" w:themeColor="accent1"/>
      <w:sz w:val="24"/>
      <w:szCs w:val="24"/>
    </w:rPr>
  </w:style>
  <w:style w:type="paragraph" w:styleId="Heading3">
    <w:name w:val="heading 3"/>
    <w:basedOn w:val="Normal"/>
    <w:next w:val="Normal"/>
    <w:link w:val="Heading3Char"/>
    <w:qFormat/>
    <w:rsid w:val="007D03CC"/>
    <w:pPr>
      <w:keepNext/>
      <w:keepLines/>
      <w:spacing w:before="180" w:after="0"/>
      <w:outlineLvl w:val="2"/>
    </w:pPr>
    <w:rPr>
      <w:rFonts w:asciiTheme="majorHAnsi" w:eastAsiaTheme="majorEastAsia" w:hAnsiTheme="majorHAnsi" w:cstheme="majorBidi"/>
      <w:b/>
      <w:bCs/>
      <w:color w:val="009CDE" w:themeColor="accent5"/>
      <w:sz w:val="21"/>
      <w:szCs w:val="21"/>
    </w:rPr>
  </w:style>
  <w:style w:type="paragraph" w:styleId="Heading4">
    <w:name w:val="heading 4"/>
    <w:basedOn w:val="Normal"/>
    <w:next w:val="Normal"/>
    <w:link w:val="Heading4Char"/>
    <w:qFormat/>
    <w:rsid w:val="00CF46D0"/>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F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F46D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F46D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F46D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F46D0"/>
    <w:pPr>
      <w:tabs>
        <w:tab w:val="right" w:leader="dot" w:pos="2520"/>
      </w:tabs>
      <w:spacing w:before="0" w:after="0"/>
      <w:ind w:right="432"/>
    </w:pPr>
    <w:rPr>
      <w:sz w:val="16"/>
      <w:szCs w:val="24"/>
    </w:rPr>
  </w:style>
  <w:style w:type="paragraph" w:styleId="TOC2">
    <w:name w:val="toc 2"/>
    <w:next w:val="Normal"/>
    <w:uiPriority w:val="39"/>
    <w:rsid w:val="00CF46D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F46D0"/>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F46D0"/>
    <w:pPr>
      <w:spacing w:after="60" w:line="240" w:lineRule="auto"/>
    </w:pPr>
    <w:rPr>
      <w:sz w:val="16"/>
    </w:rPr>
  </w:style>
  <w:style w:type="paragraph" w:styleId="Index2">
    <w:name w:val="index 2"/>
    <w:basedOn w:val="Normal"/>
    <w:next w:val="Normal"/>
    <w:uiPriority w:val="99"/>
    <w:semiHidden/>
    <w:rsid w:val="00CF46D0"/>
    <w:pPr>
      <w:spacing w:after="0" w:line="240" w:lineRule="auto"/>
      <w:ind w:left="216"/>
    </w:pPr>
    <w:rPr>
      <w:sz w:val="16"/>
      <w:szCs w:val="16"/>
    </w:rPr>
  </w:style>
  <w:style w:type="character" w:styleId="Hyperlink">
    <w:name w:val="Hyperlink"/>
    <w:basedOn w:val="DefaultParagraphFont"/>
    <w:uiPriority w:val="99"/>
    <w:rsid w:val="00CF46D0"/>
    <w:rPr>
      <w:color w:val="53565A" w:themeColor="hyperlink"/>
      <w:u w:val="none"/>
    </w:rPr>
  </w:style>
  <w:style w:type="character" w:customStyle="1" w:styleId="Heading1Char">
    <w:name w:val="Heading 1 Char"/>
    <w:basedOn w:val="DefaultParagraphFont"/>
    <w:link w:val="Heading1"/>
    <w:rsid w:val="00CF46D0"/>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CF46D0"/>
    <w:rPr>
      <w:rFonts w:asciiTheme="majorHAnsi" w:eastAsiaTheme="majorEastAsia" w:hAnsiTheme="majorHAnsi" w:cstheme="majorBidi"/>
      <w:b/>
      <w:bCs/>
      <w:color w:val="0063A6" w:themeColor="accent1"/>
      <w:spacing w:val="2"/>
      <w:sz w:val="24"/>
      <w:szCs w:val="24"/>
    </w:rPr>
  </w:style>
  <w:style w:type="paragraph" w:customStyle="1" w:styleId="Bullet1">
    <w:name w:val="Bullet 1"/>
    <w:uiPriority w:val="11"/>
    <w:qFormat/>
    <w:rsid w:val="003053A2"/>
    <w:pPr>
      <w:numPr>
        <w:numId w:val="1"/>
      </w:numPr>
      <w:spacing w:before="100" w:after="100" w:line="240" w:lineRule="auto"/>
      <w:ind w:left="360" w:hanging="360"/>
      <w:contextualSpacing/>
    </w:pPr>
    <w:rPr>
      <w:rFonts w:eastAsia="Times New Roman" w:cs="Calibri"/>
      <w:spacing w:val="2"/>
      <w:sz w:val="18"/>
    </w:rPr>
  </w:style>
  <w:style w:type="paragraph" w:customStyle="1" w:styleId="Bullet2">
    <w:name w:val="Bullet 2"/>
    <w:basedOn w:val="Bullet1"/>
    <w:uiPriority w:val="11"/>
    <w:qFormat/>
    <w:rsid w:val="003053A2"/>
    <w:pPr>
      <w:numPr>
        <w:ilvl w:val="1"/>
      </w:numPr>
      <w:tabs>
        <w:tab w:val="clear" w:pos="864"/>
        <w:tab w:val="num" w:pos="720"/>
      </w:tabs>
      <w:ind w:left="720"/>
    </w:pPr>
  </w:style>
  <w:style w:type="paragraph" w:customStyle="1" w:styleId="Bulletindent">
    <w:name w:val="Bullet indent"/>
    <w:basedOn w:val="Bullet2"/>
    <w:uiPriority w:val="9"/>
    <w:qFormat/>
    <w:rsid w:val="00CF46D0"/>
    <w:pPr>
      <w:numPr>
        <w:ilvl w:val="2"/>
      </w:numPr>
    </w:pPr>
  </w:style>
  <w:style w:type="paragraph" w:customStyle="1" w:styleId="Heading1numbered">
    <w:name w:val="Heading 1 numbered"/>
    <w:basedOn w:val="Heading1"/>
    <w:next w:val="NormalIndent"/>
    <w:uiPriority w:val="4"/>
    <w:semiHidden/>
    <w:qFormat/>
    <w:rsid w:val="00CF46D0"/>
    <w:pPr>
      <w:numPr>
        <w:ilvl w:val="2"/>
        <w:numId w:val="4"/>
      </w:numPr>
    </w:pPr>
  </w:style>
  <w:style w:type="paragraph" w:customStyle="1" w:styleId="Heading2numbered">
    <w:name w:val="Heading 2 numbered"/>
    <w:basedOn w:val="Heading2"/>
    <w:next w:val="NormalIndent"/>
    <w:uiPriority w:val="4"/>
    <w:semiHidden/>
    <w:qFormat/>
    <w:rsid w:val="00CF46D0"/>
    <w:pPr>
      <w:numPr>
        <w:ilvl w:val="3"/>
        <w:numId w:val="4"/>
      </w:numPr>
    </w:pPr>
  </w:style>
  <w:style w:type="paragraph" w:customStyle="1" w:styleId="Heading3numbered">
    <w:name w:val="Heading 3 numbered"/>
    <w:basedOn w:val="Heading3"/>
    <w:next w:val="NormalIndent"/>
    <w:uiPriority w:val="4"/>
    <w:semiHidden/>
    <w:qFormat/>
    <w:rsid w:val="00CF46D0"/>
    <w:pPr>
      <w:numPr>
        <w:ilvl w:val="4"/>
        <w:numId w:val="4"/>
      </w:numPr>
    </w:pPr>
  </w:style>
  <w:style w:type="character" w:customStyle="1" w:styleId="Heading3Char">
    <w:name w:val="Heading 3 Char"/>
    <w:basedOn w:val="DefaultParagraphFont"/>
    <w:link w:val="Heading3"/>
    <w:rsid w:val="007D03CC"/>
    <w:rPr>
      <w:rFonts w:asciiTheme="majorHAnsi" w:eastAsiaTheme="majorEastAsia" w:hAnsiTheme="majorHAnsi" w:cstheme="majorBidi"/>
      <w:b/>
      <w:bCs/>
      <w:color w:val="009CDE" w:themeColor="accent5"/>
      <w:spacing w:val="2"/>
      <w:sz w:val="21"/>
      <w:szCs w:val="21"/>
    </w:rPr>
  </w:style>
  <w:style w:type="paragraph" w:customStyle="1" w:styleId="Heading4numbered">
    <w:name w:val="Heading 4 numbered"/>
    <w:basedOn w:val="Heading4"/>
    <w:next w:val="NormalIndent"/>
    <w:uiPriority w:val="4"/>
    <w:semiHidden/>
    <w:qFormat/>
    <w:rsid w:val="00CF46D0"/>
    <w:pPr>
      <w:numPr>
        <w:ilvl w:val="5"/>
        <w:numId w:val="4"/>
      </w:numPr>
    </w:pPr>
  </w:style>
  <w:style w:type="character" w:customStyle="1" w:styleId="Heading4Char">
    <w:name w:val="Heading 4 Char"/>
    <w:basedOn w:val="DefaultParagraphFont"/>
    <w:link w:val="Heading4"/>
    <w:rsid w:val="00CF46D0"/>
    <w:rPr>
      <w:rFonts w:asciiTheme="majorHAnsi" w:eastAsiaTheme="majorEastAsia" w:hAnsiTheme="majorHAnsi" w:cstheme="majorBidi"/>
      <w:b/>
      <w:bCs/>
      <w:iCs/>
      <w:color w:val="53565A"/>
      <w:spacing w:val="2"/>
      <w:sz w:val="18"/>
    </w:rPr>
  </w:style>
  <w:style w:type="paragraph" w:styleId="NormalIndent">
    <w:name w:val="Normal Indent"/>
    <w:basedOn w:val="Normal"/>
    <w:uiPriority w:val="4"/>
    <w:qFormat/>
    <w:rsid w:val="007D03CC"/>
    <w:pPr>
      <w:spacing w:line="252" w:lineRule="auto"/>
      <w:ind w:left="504"/>
    </w:pPr>
  </w:style>
  <w:style w:type="paragraph" w:customStyle="1" w:styleId="NoteNormal">
    <w:name w:val="Note Normal"/>
    <w:basedOn w:val="Normal"/>
    <w:uiPriority w:val="11"/>
    <w:rsid w:val="00CF46D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F46D0"/>
    <w:pPr>
      <w:spacing w:before="0" w:after="0" w:line="120" w:lineRule="atLeast"/>
    </w:pPr>
    <w:rPr>
      <w:rFonts w:eastAsia="Times New Roman" w:cs="Calibri"/>
      <w:spacing w:val="0"/>
      <w:sz w:val="10"/>
      <w:szCs w:val="22"/>
    </w:rPr>
  </w:style>
  <w:style w:type="paragraph" w:styleId="Subtitle">
    <w:name w:val="Subtitle"/>
    <w:link w:val="SubtitleChar"/>
    <w:uiPriority w:val="99"/>
    <w:rsid w:val="00CF46D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F46D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F46D0"/>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F46D0"/>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F46D0"/>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D0"/>
    <w:rPr>
      <w:rFonts w:ascii="Tahoma" w:hAnsi="Tahoma" w:cs="Tahoma"/>
      <w:spacing w:val="2"/>
      <w:sz w:val="16"/>
      <w:szCs w:val="16"/>
    </w:rPr>
  </w:style>
  <w:style w:type="paragraph" w:customStyle="1" w:styleId="Bulletindent2">
    <w:name w:val="Bullet indent 2"/>
    <w:basedOn w:val="Normal"/>
    <w:uiPriority w:val="9"/>
    <w:qFormat/>
    <w:rsid w:val="00CF46D0"/>
    <w:pPr>
      <w:numPr>
        <w:ilvl w:val="3"/>
        <w:numId w:val="1"/>
      </w:numPr>
      <w:spacing w:before="100"/>
      <w:contextualSpacing/>
    </w:pPr>
  </w:style>
  <w:style w:type="paragraph" w:styleId="IndexHeading">
    <w:name w:val="index heading"/>
    <w:basedOn w:val="Normal"/>
    <w:next w:val="Index1"/>
    <w:uiPriority w:val="99"/>
    <w:semiHidden/>
    <w:rsid w:val="00CF46D0"/>
    <w:rPr>
      <w:rFonts w:asciiTheme="majorHAnsi" w:eastAsiaTheme="majorEastAsia" w:hAnsiTheme="majorHAnsi" w:cstheme="majorBidi"/>
      <w:b/>
      <w:bCs/>
    </w:rPr>
  </w:style>
  <w:style w:type="paragraph" w:styleId="Header">
    <w:name w:val="header"/>
    <w:basedOn w:val="Normal"/>
    <w:link w:val="HeaderChar"/>
    <w:uiPriority w:val="99"/>
    <w:semiHidden/>
    <w:rsid w:val="00CF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6D0"/>
    <w:rPr>
      <w:spacing w:val="2"/>
      <w:sz w:val="18"/>
    </w:rPr>
  </w:style>
  <w:style w:type="paragraph" w:styleId="Footer">
    <w:name w:val="footer"/>
    <w:basedOn w:val="Normal"/>
    <w:link w:val="FooterChar"/>
    <w:uiPriority w:val="24"/>
    <w:semiHidden/>
    <w:rsid w:val="00CF46D0"/>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F46D0"/>
    <w:rPr>
      <w:noProof/>
      <w:spacing w:val="2"/>
      <w:sz w:val="18"/>
      <w:szCs w:val="18"/>
    </w:rPr>
  </w:style>
  <w:style w:type="character" w:styleId="PageNumber">
    <w:name w:val="page number"/>
    <w:uiPriority w:val="49"/>
    <w:semiHidden/>
    <w:rsid w:val="00CF46D0"/>
  </w:style>
  <w:style w:type="paragraph" w:styleId="TOCHeading">
    <w:name w:val="TOC Heading"/>
    <w:basedOn w:val="Heading1"/>
    <w:next w:val="Normal"/>
    <w:uiPriority w:val="39"/>
    <w:rsid w:val="00CF46D0"/>
    <w:pPr>
      <w:spacing w:before="480" w:after="720"/>
      <w:outlineLvl w:val="9"/>
    </w:pPr>
    <w:rPr>
      <w:spacing w:val="2"/>
    </w:rPr>
  </w:style>
  <w:style w:type="paragraph" w:customStyle="1" w:styleId="NormalTight">
    <w:name w:val="Normal Tight"/>
    <w:uiPriority w:val="99"/>
    <w:semiHidden/>
    <w:rsid w:val="00CF46D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F46D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F46D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F46D0"/>
    <w:pPr>
      <w:spacing w:before="5800"/>
      <w:ind w:right="1382"/>
    </w:pPr>
  </w:style>
  <w:style w:type="paragraph" w:styleId="TOC4">
    <w:name w:val="toc 4"/>
    <w:basedOn w:val="TOC1"/>
    <w:next w:val="Normal"/>
    <w:uiPriority w:val="39"/>
    <w:semiHidden/>
    <w:rsid w:val="00CF46D0"/>
    <w:pPr>
      <w:ind w:left="450" w:hanging="450"/>
    </w:pPr>
    <w:rPr>
      <w:noProof/>
      <w:lang w:eastAsia="en-US"/>
    </w:rPr>
  </w:style>
  <w:style w:type="paragraph" w:styleId="TOC5">
    <w:name w:val="toc 5"/>
    <w:basedOn w:val="TOC2"/>
    <w:next w:val="Normal"/>
    <w:uiPriority w:val="39"/>
    <w:semiHidden/>
    <w:rsid w:val="00CF46D0"/>
    <w:pPr>
      <w:ind w:left="1080" w:hanging="634"/>
    </w:pPr>
    <w:rPr>
      <w:lang w:eastAsia="en-US"/>
    </w:rPr>
  </w:style>
  <w:style w:type="paragraph" w:styleId="TOC6">
    <w:name w:val="toc 6"/>
    <w:basedOn w:val="TOC3"/>
    <w:next w:val="Normal"/>
    <w:uiPriority w:val="39"/>
    <w:semiHidden/>
    <w:rsid w:val="00CF46D0"/>
    <w:pPr>
      <w:ind w:left="1800" w:hanging="720"/>
    </w:pPr>
    <w:rPr>
      <w:lang w:eastAsia="en-US"/>
    </w:rPr>
  </w:style>
  <w:style w:type="table" w:customStyle="1" w:styleId="DTFtexttable">
    <w:name w:val="DTF text table"/>
    <w:basedOn w:val="TableGrid"/>
    <w:uiPriority w:val="99"/>
    <w:rsid w:val="00CF46D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F46D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F46D0"/>
    <w:pPr>
      <w:spacing w:before="60" w:after="60" w:line="264" w:lineRule="auto"/>
    </w:pPr>
    <w:rPr>
      <w:sz w:val="17"/>
    </w:rPr>
  </w:style>
  <w:style w:type="paragraph" w:customStyle="1" w:styleId="Tabletextright">
    <w:name w:val="Table text right"/>
    <w:basedOn w:val="Tabletext"/>
    <w:uiPriority w:val="6"/>
    <w:qFormat/>
    <w:rsid w:val="00CF46D0"/>
    <w:pPr>
      <w:jc w:val="right"/>
    </w:pPr>
  </w:style>
  <w:style w:type="paragraph" w:customStyle="1" w:styleId="Listnumindent2">
    <w:name w:val="List num indent 2"/>
    <w:basedOn w:val="Normal"/>
    <w:uiPriority w:val="5"/>
    <w:semiHidden/>
    <w:qFormat/>
    <w:rsid w:val="00CF46D0"/>
    <w:pPr>
      <w:numPr>
        <w:ilvl w:val="7"/>
        <w:numId w:val="4"/>
      </w:numPr>
      <w:spacing w:before="100"/>
      <w:contextualSpacing/>
    </w:pPr>
  </w:style>
  <w:style w:type="paragraph" w:customStyle="1" w:styleId="Listnumindent">
    <w:name w:val="List num indent"/>
    <w:basedOn w:val="Normal"/>
    <w:uiPriority w:val="5"/>
    <w:semiHidden/>
    <w:qFormat/>
    <w:rsid w:val="00CF46D0"/>
    <w:pPr>
      <w:numPr>
        <w:ilvl w:val="6"/>
        <w:numId w:val="4"/>
      </w:numPr>
      <w:spacing w:before="100"/>
    </w:pPr>
  </w:style>
  <w:style w:type="paragraph" w:customStyle="1" w:styleId="Listnum">
    <w:name w:val="List num"/>
    <w:basedOn w:val="Normal"/>
    <w:uiPriority w:val="1"/>
    <w:qFormat/>
    <w:rsid w:val="00CF46D0"/>
    <w:pPr>
      <w:numPr>
        <w:numId w:val="4"/>
      </w:numPr>
    </w:pPr>
  </w:style>
  <w:style w:type="paragraph" w:customStyle="1" w:styleId="Listnum2">
    <w:name w:val="List num 2"/>
    <w:basedOn w:val="Normal"/>
    <w:uiPriority w:val="1"/>
    <w:qFormat/>
    <w:rsid w:val="00CF46D0"/>
    <w:pPr>
      <w:numPr>
        <w:ilvl w:val="1"/>
        <w:numId w:val="4"/>
      </w:numPr>
    </w:pPr>
  </w:style>
  <w:style w:type="paragraph" w:customStyle="1" w:styleId="Tabletextcentred">
    <w:name w:val="Table text centred"/>
    <w:basedOn w:val="Tabletext"/>
    <w:uiPriority w:val="6"/>
    <w:qFormat/>
    <w:rsid w:val="00CF46D0"/>
    <w:pPr>
      <w:jc w:val="center"/>
    </w:pPr>
  </w:style>
  <w:style w:type="paragraph" w:customStyle="1" w:styleId="Tableheader">
    <w:name w:val="Table header"/>
    <w:basedOn w:val="Tabletext"/>
    <w:uiPriority w:val="6"/>
    <w:qFormat/>
    <w:rsid w:val="00E018C9"/>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7"/>
    <w:rsid w:val="00CF46D0"/>
    <w:pPr>
      <w:numPr>
        <w:numId w:val="17"/>
      </w:numPr>
    </w:pPr>
  </w:style>
  <w:style w:type="paragraph" w:customStyle="1" w:styleId="Tabledash">
    <w:name w:val="Table dash"/>
    <w:basedOn w:val="Tablebullet"/>
    <w:uiPriority w:val="7"/>
    <w:rsid w:val="00CF46D0"/>
    <w:pPr>
      <w:numPr>
        <w:ilvl w:val="1"/>
      </w:numPr>
    </w:pPr>
  </w:style>
  <w:style w:type="paragraph" w:customStyle="1" w:styleId="Tabletextindent">
    <w:name w:val="Table text indent"/>
    <w:basedOn w:val="Tabletext"/>
    <w:uiPriority w:val="6"/>
    <w:qFormat/>
    <w:rsid w:val="00CF46D0"/>
    <w:pPr>
      <w:ind w:left="288"/>
    </w:pPr>
  </w:style>
  <w:style w:type="paragraph" w:customStyle="1" w:styleId="Disclaimertext">
    <w:name w:val="Disclaimer text"/>
    <w:basedOn w:val="Normal"/>
    <w:uiPriority w:val="12"/>
    <w:qFormat/>
    <w:rsid w:val="00CF46D0"/>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20"/>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semiHidden/>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F46D0"/>
    <w:pPr>
      <w:spacing w:before="160" w:after="100"/>
    </w:pPr>
    <w:rPr>
      <w:spacing w:val="2"/>
      <w:sz w:val="18"/>
    </w:rPr>
  </w:style>
  <w:style w:type="paragraph" w:styleId="Heading1">
    <w:name w:val="heading 1"/>
    <w:next w:val="Normal"/>
    <w:link w:val="Heading1Char"/>
    <w:qFormat/>
    <w:rsid w:val="00CF46D0"/>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CF46D0"/>
    <w:pPr>
      <w:keepNext/>
      <w:keepLines/>
      <w:spacing w:before="240" w:after="120"/>
      <w:outlineLvl w:val="1"/>
    </w:pPr>
    <w:rPr>
      <w:rFonts w:asciiTheme="majorHAnsi" w:eastAsiaTheme="majorEastAsia" w:hAnsiTheme="majorHAnsi" w:cstheme="majorBidi"/>
      <w:b/>
      <w:bCs/>
      <w:color w:val="0063A6" w:themeColor="accent1"/>
      <w:sz w:val="24"/>
      <w:szCs w:val="24"/>
    </w:rPr>
  </w:style>
  <w:style w:type="paragraph" w:styleId="Heading3">
    <w:name w:val="heading 3"/>
    <w:basedOn w:val="Normal"/>
    <w:next w:val="Normal"/>
    <w:link w:val="Heading3Char"/>
    <w:qFormat/>
    <w:rsid w:val="007D03CC"/>
    <w:pPr>
      <w:keepNext/>
      <w:keepLines/>
      <w:spacing w:before="180" w:after="0"/>
      <w:outlineLvl w:val="2"/>
    </w:pPr>
    <w:rPr>
      <w:rFonts w:asciiTheme="majorHAnsi" w:eastAsiaTheme="majorEastAsia" w:hAnsiTheme="majorHAnsi" w:cstheme="majorBidi"/>
      <w:b/>
      <w:bCs/>
      <w:color w:val="009CDE" w:themeColor="accent5"/>
      <w:sz w:val="21"/>
      <w:szCs w:val="21"/>
    </w:rPr>
  </w:style>
  <w:style w:type="paragraph" w:styleId="Heading4">
    <w:name w:val="heading 4"/>
    <w:basedOn w:val="Normal"/>
    <w:next w:val="Normal"/>
    <w:link w:val="Heading4Char"/>
    <w:qFormat/>
    <w:rsid w:val="00CF46D0"/>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F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F46D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F46D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F46D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F46D0"/>
    <w:pPr>
      <w:tabs>
        <w:tab w:val="right" w:leader="dot" w:pos="2520"/>
      </w:tabs>
      <w:spacing w:before="0" w:after="0"/>
      <w:ind w:right="432"/>
    </w:pPr>
    <w:rPr>
      <w:sz w:val="16"/>
      <w:szCs w:val="24"/>
    </w:rPr>
  </w:style>
  <w:style w:type="paragraph" w:styleId="TOC2">
    <w:name w:val="toc 2"/>
    <w:next w:val="Normal"/>
    <w:uiPriority w:val="39"/>
    <w:rsid w:val="00CF46D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F46D0"/>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F46D0"/>
    <w:pPr>
      <w:spacing w:after="60" w:line="240" w:lineRule="auto"/>
    </w:pPr>
    <w:rPr>
      <w:sz w:val="16"/>
    </w:rPr>
  </w:style>
  <w:style w:type="paragraph" w:styleId="Index2">
    <w:name w:val="index 2"/>
    <w:basedOn w:val="Normal"/>
    <w:next w:val="Normal"/>
    <w:uiPriority w:val="99"/>
    <w:semiHidden/>
    <w:rsid w:val="00CF46D0"/>
    <w:pPr>
      <w:spacing w:after="0" w:line="240" w:lineRule="auto"/>
      <w:ind w:left="216"/>
    </w:pPr>
    <w:rPr>
      <w:sz w:val="16"/>
      <w:szCs w:val="16"/>
    </w:rPr>
  </w:style>
  <w:style w:type="character" w:styleId="Hyperlink">
    <w:name w:val="Hyperlink"/>
    <w:basedOn w:val="DefaultParagraphFont"/>
    <w:uiPriority w:val="99"/>
    <w:rsid w:val="00CF46D0"/>
    <w:rPr>
      <w:color w:val="53565A" w:themeColor="hyperlink"/>
      <w:u w:val="none"/>
    </w:rPr>
  </w:style>
  <w:style w:type="character" w:customStyle="1" w:styleId="Heading1Char">
    <w:name w:val="Heading 1 Char"/>
    <w:basedOn w:val="DefaultParagraphFont"/>
    <w:link w:val="Heading1"/>
    <w:rsid w:val="00CF46D0"/>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CF46D0"/>
    <w:rPr>
      <w:rFonts w:asciiTheme="majorHAnsi" w:eastAsiaTheme="majorEastAsia" w:hAnsiTheme="majorHAnsi" w:cstheme="majorBidi"/>
      <w:b/>
      <w:bCs/>
      <w:color w:val="0063A6" w:themeColor="accent1"/>
      <w:spacing w:val="2"/>
      <w:sz w:val="24"/>
      <w:szCs w:val="24"/>
    </w:rPr>
  </w:style>
  <w:style w:type="paragraph" w:customStyle="1" w:styleId="Bullet1">
    <w:name w:val="Bullet 1"/>
    <w:uiPriority w:val="11"/>
    <w:qFormat/>
    <w:rsid w:val="003053A2"/>
    <w:pPr>
      <w:numPr>
        <w:numId w:val="1"/>
      </w:numPr>
      <w:spacing w:before="100" w:after="100" w:line="240" w:lineRule="auto"/>
      <w:ind w:left="360" w:hanging="360"/>
      <w:contextualSpacing/>
    </w:pPr>
    <w:rPr>
      <w:rFonts w:eastAsia="Times New Roman" w:cs="Calibri"/>
      <w:spacing w:val="2"/>
      <w:sz w:val="18"/>
    </w:rPr>
  </w:style>
  <w:style w:type="paragraph" w:customStyle="1" w:styleId="Bullet2">
    <w:name w:val="Bullet 2"/>
    <w:basedOn w:val="Bullet1"/>
    <w:uiPriority w:val="11"/>
    <w:qFormat/>
    <w:rsid w:val="003053A2"/>
    <w:pPr>
      <w:numPr>
        <w:ilvl w:val="1"/>
      </w:numPr>
      <w:tabs>
        <w:tab w:val="clear" w:pos="864"/>
        <w:tab w:val="num" w:pos="720"/>
      </w:tabs>
      <w:ind w:left="720"/>
    </w:pPr>
  </w:style>
  <w:style w:type="paragraph" w:customStyle="1" w:styleId="Bulletindent">
    <w:name w:val="Bullet indent"/>
    <w:basedOn w:val="Bullet2"/>
    <w:uiPriority w:val="9"/>
    <w:qFormat/>
    <w:rsid w:val="00CF46D0"/>
    <w:pPr>
      <w:numPr>
        <w:ilvl w:val="2"/>
      </w:numPr>
    </w:pPr>
  </w:style>
  <w:style w:type="paragraph" w:customStyle="1" w:styleId="Heading1numbered">
    <w:name w:val="Heading 1 numbered"/>
    <w:basedOn w:val="Heading1"/>
    <w:next w:val="NormalIndent"/>
    <w:uiPriority w:val="4"/>
    <w:semiHidden/>
    <w:qFormat/>
    <w:rsid w:val="00CF46D0"/>
    <w:pPr>
      <w:numPr>
        <w:ilvl w:val="2"/>
        <w:numId w:val="4"/>
      </w:numPr>
    </w:pPr>
  </w:style>
  <w:style w:type="paragraph" w:customStyle="1" w:styleId="Heading2numbered">
    <w:name w:val="Heading 2 numbered"/>
    <w:basedOn w:val="Heading2"/>
    <w:next w:val="NormalIndent"/>
    <w:uiPriority w:val="4"/>
    <w:semiHidden/>
    <w:qFormat/>
    <w:rsid w:val="00CF46D0"/>
    <w:pPr>
      <w:numPr>
        <w:ilvl w:val="3"/>
        <w:numId w:val="4"/>
      </w:numPr>
    </w:pPr>
  </w:style>
  <w:style w:type="paragraph" w:customStyle="1" w:styleId="Heading3numbered">
    <w:name w:val="Heading 3 numbered"/>
    <w:basedOn w:val="Heading3"/>
    <w:next w:val="NormalIndent"/>
    <w:uiPriority w:val="4"/>
    <w:semiHidden/>
    <w:qFormat/>
    <w:rsid w:val="00CF46D0"/>
    <w:pPr>
      <w:numPr>
        <w:ilvl w:val="4"/>
        <w:numId w:val="4"/>
      </w:numPr>
    </w:pPr>
  </w:style>
  <w:style w:type="character" w:customStyle="1" w:styleId="Heading3Char">
    <w:name w:val="Heading 3 Char"/>
    <w:basedOn w:val="DefaultParagraphFont"/>
    <w:link w:val="Heading3"/>
    <w:rsid w:val="007D03CC"/>
    <w:rPr>
      <w:rFonts w:asciiTheme="majorHAnsi" w:eastAsiaTheme="majorEastAsia" w:hAnsiTheme="majorHAnsi" w:cstheme="majorBidi"/>
      <w:b/>
      <w:bCs/>
      <w:color w:val="009CDE" w:themeColor="accent5"/>
      <w:spacing w:val="2"/>
      <w:sz w:val="21"/>
      <w:szCs w:val="21"/>
    </w:rPr>
  </w:style>
  <w:style w:type="paragraph" w:customStyle="1" w:styleId="Heading4numbered">
    <w:name w:val="Heading 4 numbered"/>
    <w:basedOn w:val="Heading4"/>
    <w:next w:val="NormalIndent"/>
    <w:uiPriority w:val="4"/>
    <w:semiHidden/>
    <w:qFormat/>
    <w:rsid w:val="00CF46D0"/>
    <w:pPr>
      <w:numPr>
        <w:ilvl w:val="5"/>
        <w:numId w:val="4"/>
      </w:numPr>
    </w:pPr>
  </w:style>
  <w:style w:type="character" w:customStyle="1" w:styleId="Heading4Char">
    <w:name w:val="Heading 4 Char"/>
    <w:basedOn w:val="DefaultParagraphFont"/>
    <w:link w:val="Heading4"/>
    <w:rsid w:val="00CF46D0"/>
    <w:rPr>
      <w:rFonts w:asciiTheme="majorHAnsi" w:eastAsiaTheme="majorEastAsia" w:hAnsiTheme="majorHAnsi" w:cstheme="majorBidi"/>
      <w:b/>
      <w:bCs/>
      <w:iCs/>
      <w:color w:val="53565A"/>
      <w:spacing w:val="2"/>
      <w:sz w:val="18"/>
    </w:rPr>
  </w:style>
  <w:style w:type="paragraph" w:styleId="NormalIndent">
    <w:name w:val="Normal Indent"/>
    <w:basedOn w:val="Normal"/>
    <w:uiPriority w:val="4"/>
    <w:qFormat/>
    <w:rsid w:val="007D03CC"/>
    <w:pPr>
      <w:spacing w:line="252" w:lineRule="auto"/>
      <w:ind w:left="504"/>
    </w:pPr>
  </w:style>
  <w:style w:type="paragraph" w:customStyle="1" w:styleId="NoteNormal">
    <w:name w:val="Note Normal"/>
    <w:basedOn w:val="Normal"/>
    <w:uiPriority w:val="11"/>
    <w:rsid w:val="00CF46D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F46D0"/>
    <w:pPr>
      <w:spacing w:before="0" w:after="0" w:line="120" w:lineRule="atLeast"/>
    </w:pPr>
    <w:rPr>
      <w:rFonts w:eastAsia="Times New Roman" w:cs="Calibri"/>
      <w:spacing w:val="0"/>
      <w:sz w:val="10"/>
      <w:szCs w:val="22"/>
    </w:rPr>
  </w:style>
  <w:style w:type="paragraph" w:styleId="Subtitle">
    <w:name w:val="Subtitle"/>
    <w:link w:val="SubtitleChar"/>
    <w:uiPriority w:val="99"/>
    <w:rsid w:val="00CF46D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F46D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F46D0"/>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F46D0"/>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F46D0"/>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D0"/>
    <w:rPr>
      <w:rFonts w:ascii="Tahoma" w:hAnsi="Tahoma" w:cs="Tahoma"/>
      <w:spacing w:val="2"/>
      <w:sz w:val="16"/>
      <w:szCs w:val="16"/>
    </w:rPr>
  </w:style>
  <w:style w:type="paragraph" w:customStyle="1" w:styleId="Bulletindent2">
    <w:name w:val="Bullet indent 2"/>
    <w:basedOn w:val="Normal"/>
    <w:uiPriority w:val="9"/>
    <w:qFormat/>
    <w:rsid w:val="00CF46D0"/>
    <w:pPr>
      <w:numPr>
        <w:ilvl w:val="3"/>
        <w:numId w:val="1"/>
      </w:numPr>
      <w:spacing w:before="100"/>
      <w:contextualSpacing/>
    </w:pPr>
  </w:style>
  <w:style w:type="paragraph" w:styleId="IndexHeading">
    <w:name w:val="index heading"/>
    <w:basedOn w:val="Normal"/>
    <w:next w:val="Index1"/>
    <w:uiPriority w:val="99"/>
    <w:semiHidden/>
    <w:rsid w:val="00CF46D0"/>
    <w:rPr>
      <w:rFonts w:asciiTheme="majorHAnsi" w:eastAsiaTheme="majorEastAsia" w:hAnsiTheme="majorHAnsi" w:cstheme="majorBidi"/>
      <w:b/>
      <w:bCs/>
    </w:rPr>
  </w:style>
  <w:style w:type="paragraph" w:styleId="Header">
    <w:name w:val="header"/>
    <w:basedOn w:val="Normal"/>
    <w:link w:val="HeaderChar"/>
    <w:uiPriority w:val="99"/>
    <w:semiHidden/>
    <w:rsid w:val="00CF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6D0"/>
    <w:rPr>
      <w:spacing w:val="2"/>
      <w:sz w:val="18"/>
    </w:rPr>
  </w:style>
  <w:style w:type="paragraph" w:styleId="Footer">
    <w:name w:val="footer"/>
    <w:basedOn w:val="Normal"/>
    <w:link w:val="FooterChar"/>
    <w:uiPriority w:val="24"/>
    <w:semiHidden/>
    <w:rsid w:val="00CF46D0"/>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F46D0"/>
    <w:rPr>
      <w:noProof/>
      <w:spacing w:val="2"/>
      <w:sz w:val="18"/>
      <w:szCs w:val="18"/>
    </w:rPr>
  </w:style>
  <w:style w:type="character" w:styleId="PageNumber">
    <w:name w:val="page number"/>
    <w:uiPriority w:val="49"/>
    <w:semiHidden/>
    <w:rsid w:val="00CF46D0"/>
  </w:style>
  <w:style w:type="paragraph" w:styleId="TOCHeading">
    <w:name w:val="TOC Heading"/>
    <w:basedOn w:val="Heading1"/>
    <w:next w:val="Normal"/>
    <w:uiPriority w:val="39"/>
    <w:rsid w:val="00CF46D0"/>
    <w:pPr>
      <w:spacing w:before="480" w:after="720"/>
      <w:outlineLvl w:val="9"/>
    </w:pPr>
    <w:rPr>
      <w:spacing w:val="2"/>
    </w:rPr>
  </w:style>
  <w:style w:type="paragraph" w:customStyle="1" w:styleId="NormalTight">
    <w:name w:val="Normal Tight"/>
    <w:uiPriority w:val="99"/>
    <w:semiHidden/>
    <w:rsid w:val="00CF46D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F46D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F46D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F46D0"/>
    <w:pPr>
      <w:spacing w:before="5800"/>
      <w:ind w:right="1382"/>
    </w:pPr>
  </w:style>
  <w:style w:type="paragraph" w:styleId="TOC4">
    <w:name w:val="toc 4"/>
    <w:basedOn w:val="TOC1"/>
    <w:next w:val="Normal"/>
    <w:uiPriority w:val="39"/>
    <w:semiHidden/>
    <w:rsid w:val="00CF46D0"/>
    <w:pPr>
      <w:ind w:left="450" w:hanging="450"/>
    </w:pPr>
    <w:rPr>
      <w:noProof/>
      <w:lang w:eastAsia="en-US"/>
    </w:rPr>
  </w:style>
  <w:style w:type="paragraph" w:styleId="TOC5">
    <w:name w:val="toc 5"/>
    <w:basedOn w:val="TOC2"/>
    <w:next w:val="Normal"/>
    <w:uiPriority w:val="39"/>
    <w:semiHidden/>
    <w:rsid w:val="00CF46D0"/>
    <w:pPr>
      <w:ind w:left="1080" w:hanging="634"/>
    </w:pPr>
    <w:rPr>
      <w:lang w:eastAsia="en-US"/>
    </w:rPr>
  </w:style>
  <w:style w:type="paragraph" w:styleId="TOC6">
    <w:name w:val="toc 6"/>
    <w:basedOn w:val="TOC3"/>
    <w:next w:val="Normal"/>
    <w:uiPriority w:val="39"/>
    <w:semiHidden/>
    <w:rsid w:val="00CF46D0"/>
    <w:pPr>
      <w:ind w:left="1800" w:hanging="720"/>
    </w:pPr>
    <w:rPr>
      <w:lang w:eastAsia="en-US"/>
    </w:rPr>
  </w:style>
  <w:style w:type="table" w:customStyle="1" w:styleId="DTFtexttable">
    <w:name w:val="DTF text table"/>
    <w:basedOn w:val="TableGrid"/>
    <w:uiPriority w:val="99"/>
    <w:rsid w:val="00CF46D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F46D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F46D0"/>
    <w:pPr>
      <w:spacing w:before="60" w:after="60" w:line="264" w:lineRule="auto"/>
    </w:pPr>
    <w:rPr>
      <w:sz w:val="17"/>
    </w:rPr>
  </w:style>
  <w:style w:type="paragraph" w:customStyle="1" w:styleId="Tabletextright">
    <w:name w:val="Table text right"/>
    <w:basedOn w:val="Tabletext"/>
    <w:uiPriority w:val="6"/>
    <w:qFormat/>
    <w:rsid w:val="00CF46D0"/>
    <w:pPr>
      <w:jc w:val="right"/>
    </w:pPr>
  </w:style>
  <w:style w:type="paragraph" w:customStyle="1" w:styleId="Listnumindent2">
    <w:name w:val="List num indent 2"/>
    <w:basedOn w:val="Normal"/>
    <w:uiPriority w:val="5"/>
    <w:semiHidden/>
    <w:qFormat/>
    <w:rsid w:val="00CF46D0"/>
    <w:pPr>
      <w:numPr>
        <w:ilvl w:val="7"/>
        <w:numId w:val="4"/>
      </w:numPr>
      <w:spacing w:before="100"/>
      <w:contextualSpacing/>
    </w:pPr>
  </w:style>
  <w:style w:type="paragraph" w:customStyle="1" w:styleId="Listnumindent">
    <w:name w:val="List num indent"/>
    <w:basedOn w:val="Normal"/>
    <w:uiPriority w:val="5"/>
    <w:semiHidden/>
    <w:qFormat/>
    <w:rsid w:val="00CF46D0"/>
    <w:pPr>
      <w:numPr>
        <w:ilvl w:val="6"/>
        <w:numId w:val="4"/>
      </w:numPr>
      <w:spacing w:before="100"/>
    </w:pPr>
  </w:style>
  <w:style w:type="paragraph" w:customStyle="1" w:styleId="Listnum">
    <w:name w:val="List num"/>
    <w:basedOn w:val="Normal"/>
    <w:uiPriority w:val="1"/>
    <w:qFormat/>
    <w:rsid w:val="00CF46D0"/>
    <w:pPr>
      <w:numPr>
        <w:numId w:val="4"/>
      </w:numPr>
    </w:pPr>
  </w:style>
  <w:style w:type="paragraph" w:customStyle="1" w:styleId="Listnum2">
    <w:name w:val="List num 2"/>
    <w:basedOn w:val="Normal"/>
    <w:uiPriority w:val="1"/>
    <w:qFormat/>
    <w:rsid w:val="00CF46D0"/>
    <w:pPr>
      <w:numPr>
        <w:ilvl w:val="1"/>
        <w:numId w:val="4"/>
      </w:numPr>
    </w:pPr>
  </w:style>
  <w:style w:type="paragraph" w:customStyle="1" w:styleId="Tabletextcentred">
    <w:name w:val="Table text centred"/>
    <w:basedOn w:val="Tabletext"/>
    <w:uiPriority w:val="6"/>
    <w:qFormat/>
    <w:rsid w:val="00CF46D0"/>
    <w:pPr>
      <w:jc w:val="center"/>
    </w:pPr>
  </w:style>
  <w:style w:type="paragraph" w:customStyle="1" w:styleId="Tableheader">
    <w:name w:val="Table header"/>
    <w:basedOn w:val="Tabletext"/>
    <w:uiPriority w:val="6"/>
    <w:qFormat/>
    <w:rsid w:val="00E018C9"/>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7"/>
    <w:rsid w:val="00CF46D0"/>
    <w:pPr>
      <w:numPr>
        <w:numId w:val="17"/>
      </w:numPr>
    </w:pPr>
  </w:style>
  <w:style w:type="paragraph" w:customStyle="1" w:styleId="Tabledash">
    <w:name w:val="Table dash"/>
    <w:basedOn w:val="Tablebullet"/>
    <w:uiPriority w:val="7"/>
    <w:rsid w:val="00CF46D0"/>
    <w:pPr>
      <w:numPr>
        <w:ilvl w:val="1"/>
      </w:numPr>
    </w:pPr>
  </w:style>
  <w:style w:type="paragraph" w:customStyle="1" w:styleId="Tabletextindent">
    <w:name w:val="Table text indent"/>
    <w:basedOn w:val="Tabletext"/>
    <w:uiPriority w:val="6"/>
    <w:qFormat/>
    <w:rsid w:val="00CF46D0"/>
    <w:pPr>
      <w:ind w:left="288"/>
    </w:pPr>
  </w:style>
  <w:style w:type="paragraph" w:customStyle="1" w:styleId="Disclaimertext">
    <w:name w:val="Disclaimer text"/>
    <w:basedOn w:val="Normal"/>
    <w:uiPriority w:val="12"/>
    <w:qFormat/>
    <w:rsid w:val="00CF46D0"/>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20"/>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semiHidden/>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958">
      <w:bodyDiv w:val="1"/>
      <w:marLeft w:val="0"/>
      <w:marRight w:val="0"/>
      <w:marTop w:val="0"/>
      <w:marBottom w:val="0"/>
      <w:divBdr>
        <w:top w:val="none" w:sz="0" w:space="0" w:color="auto"/>
        <w:left w:val="none" w:sz="0" w:space="0" w:color="auto"/>
        <w:bottom w:val="none" w:sz="0" w:space="0" w:color="auto"/>
        <w:right w:val="none" w:sz="0" w:space="0" w:color="auto"/>
      </w:divBdr>
    </w:div>
    <w:div w:id="57869672">
      <w:bodyDiv w:val="1"/>
      <w:marLeft w:val="0"/>
      <w:marRight w:val="0"/>
      <w:marTop w:val="0"/>
      <w:marBottom w:val="0"/>
      <w:divBdr>
        <w:top w:val="none" w:sz="0" w:space="0" w:color="auto"/>
        <w:left w:val="none" w:sz="0" w:space="0" w:color="auto"/>
        <w:bottom w:val="none" w:sz="0" w:space="0" w:color="auto"/>
        <w:right w:val="none" w:sz="0" w:space="0" w:color="auto"/>
      </w:divBdr>
    </w:div>
    <w:div w:id="1172991782">
      <w:bodyDiv w:val="1"/>
      <w:marLeft w:val="0"/>
      <w:marRight w:val="0"/>
      <w:marTop w:val="0"/>
      <w:marBottom w:val="0"/>
      <w:divBdr>
        <w:top w:val="none" w:sz="0" w:space="0" w:color="auto"/>
        <w:left w:val="none" w:sz="0" w:space="0" w:color="auto"/>
        <w:bottom w:val="none" w:sz="0" w:space="0" w:color="auto"/>
        <w:right w:val="none" w:sz="0" w:space="0" w:color="auto"/>
      </w:divBdr>
    </w:div>
    <w:div w:id="17738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tf.vic.gov.au/Publications/Government-Financial-Management-publications/Financial-reporting-policy/Accounting-policy-update-Newsletter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aasb.com.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tanding.directions@dtf.vic.gov.au" TargetMode="External"/><Relationship Id="rId25" Type="http://schemas.openxmlformats.org/officeDocument/2006/relationships/hyperlink" Target="http://creativecommons.org/licenses/by/3.0/au/" TargetMode="External"/><Relationship Id="rId2" Type="http://schemas.openxmlformats.org/officeDocument/2006/relationships/numbering" Target="numbering.xml"/><Relationship Id="rId16" Type="http://schemas.openxmlformats.org/officeDocument/2006/relationships/hyperlink" Target="http://www.dtf.vic.gov.au/Publications/Government-Financial-Management-publications/Financial-reporting-policy/AASB-124-Related-Party-Disclosures" TargetMode="External"/><Relationship Id="rId20" Type="http://schemas.openxmlformats.org/officeDocument/2006/relationships/hyperlink" Target="mailto:accpol@dtf.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dtfweb@dtf.vic.gov.au" TargetMode="External"/><Relationship Id="rId5" Type="http://schemas.openxmlformats.org/officeDocument/2006/relationships/settings" Target="settings.xml"/><Relationship Id="rId15" Type="http://schemas.openxmlformats.org/officeDocument/2006/relationships/hyperlink" Target="http://www.dtf.vic.gov.au/Publications/Government-Financial-Management-publications/Financial-reporting-policy/2016-17-Model-Report" TargetMode="External"/><Relationship Id="rId23" Type="http://schemas.openxmlformats.org/officeDocument/2006/relationships/hyperlink" Target="http://www.dtf.vic.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fac.org/PublicSector/" TargetMode="External"/><Relationship Id="rId27" Type="http://schemas.openxmlformats.org/officeDocument/2006/relationships/hyperlink" Target="http://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9497-A99D-4C96-8488-654B0425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0</TotalTime>
  <Pages>11</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Stephanie Mizzi</cp:lastModifiedBy>
  <cp:revision>2</cp:revision>
  <cp:lastPrinted>2017-07-13T06:39:00Z</cp:lastPrinted>
  <dcterms:created xsi:type="dcterms:W3CDTF">2017-07-14T05:17:00Z</dcterms:created>
  <dcterms:modified xsi:type="dcterms:W3CDTF">2017-07-14T05:17:00Z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e8855806-a1a1-4fe6-b248-2023b29a13dd</vt:lpwstr>
  </property>
  <property fmtid="{D5CDD505-2E9C-101B-9397-08002B2CF9AE}" pid="3" name="PSPFClassification">
    <vt:lpwstr>Do Not Mark</vt:lpwstr>
  </property>
</Properties>
</file>