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8E2" w:rsidRPr="00DA298D" w:rsidRDefault="00BC08E2" w:rsidP="00BC08E2">
      <w:pPr>
        <w:pStyle w:val="Title"/>
      </w:pPr>
      <w:bookmarkStart w:id="0" w:name="_Toc442780672"/>
      <w:r w:rsidRPr="00DA298D">
        <w:t>Accounting policy update</w:t>
      </w:r>
    </w:p>
    <w:p w:rsidR="00BC08E2" w:rsidRPr="00DA298D" w:rsidRDefault="00BC08E2" w:rsidP="00BC08E2">
      <w:pPr>
        <w:pStyle w:val="Subtitle"/>
      </w:pPr>
      <w:r w:rsidRPr="00DA298D">
        <w:t>Newsletter – Edition No. 33, December 2017</w:t>
      </w:r>
    </w:p>
    <w:p w:rsidR="00BC08E2" w:rsidRPr="00DA298D" w:rsidRDefault="00BC08E2" w:rsidP="00BC08E2">
      <w:pPr>
        <w:pStyle w:val="Spacer"/>
      </w:pPr>
    </w:p>
    <w:p w:rsidR="00BC08E2" w:rsidRPr="00DA298D" w:rsidRDefault="00BC08E2" w:rsidP="00BC08E2">
      <w:pPr>
        <w:pStyle w:val="Spacer"/>
      </w:pPr>
    </w:p>
    <w:p w:rsidR="00BC08E2" w:rsidRPr="00DA298D" w:rsidRDefault="00BC08E2" w:rsidP="00BC08E2">
      <w:pPr>
        <w:pStyle w:val="Heading1"/>
        <w:sectPr w:rsidR="00BC08E2" w:rsidRPr="00DA298D" w:rsidSect="008B69EC">
          <w:headerReference w:type="even" r:id="rId9"/>
          <w:headerReference w:type="default" r:id="rId10"/>
          <w:footerReference w:type="even" r:id="rId11"/>
          <w:footerReference w:type="default" r:id="rId12"/>
          <w:headerReference w:type="first" r:id="rId13"/>
          <w:footerReference w:type="first" r:id="rId14"/>
          <w:pgSz w:w="11906" w:h="16838" w:code="9"/>
          <w:pgMar w:top="2160" w:right="1440" w:bottom="1350" w:left="1440" w:header="706" w:footer="461" w:gutter="0"/>
          <w:cols w:space="708"/>
          <w:docGrid w:linePitch="360"/>
        </w:sectPr>
      </w:pPr>
    </w:p>
    <w:p w:rsidR="00BC08E2" w:rsidRPr="00DA298D" w:rsidRDefault="00BC08E2" w:rsidP="00BC08E2">
      <w:pPr>
        <w:pStyle w:val="Spacer"/>
      </w:pPr>
      <w:bookmarkStart w:id="3" w:name="_Toc442780674"/>
    </w:p>
    <w:p w:rsidR="00BC08E2" w:rsidRPr="00DA298D" w:rsidRDefault="00BC08E2" w:rsidP="00BC08E2">
      <w:pPr>
        <w:pStyle w:val="Heading4"/>
        <w:spacing w:before="60"/>
      </w:pPr>
      <w:r w:rsidRPr="00DA298D">
        <w:t>Scope: This bi</w:t>
      </w:r>
      <w:r w:rsidR="00314CE6" w:rsidRPr="00DA298D">
        <w:noBreakHyphen/>
      </w:r>
      <w:r w:rsidRPr="00DA298D">
        <w:t>annual newsletter outlines areas of particular importance in public sector financial reporting. Please distribute to both budget and financial reporting areas of Victorian public sector entities.</w:t>
      </w:r>
    </w:p>
    <w:p w:rsidR="00BC08E2" w:rsidRPr="00DA298D" w:rsidRDefault="00BC08E2" w:rsidP="00BC08E2"/>
    <w:p w:rsidR="00BC08E2" w:rsidRPr="00DA298D" w:rsidRDefault="00BC08E2" w:rsidP="00BC08E2">
      <w:pPr>
        <w:spacing w:before="0" w:after="0"/>
      </w:pPr>
    </w:p>
    <w:tbl>
      <w:tblPr>
        <w:tblStyle w:val="TableGrid"/>
        <w:tblW w:w="0" w:type="auto"/>
        <w:tblBorders>
          <w:bottom w:val="none" w:sz="0" w:space="0" w:color="auto"/>
        </w:tblBorders>
        <w:tblLook w:val="0480" w:firstRow="0" w:lastRow="0" w:firstColumn="1" w:lastColumn="0" w:noHBand="0" w:noVBand="1"/>
      </w:tblPr>
      <w:tblGrid>
        <w:gridCol w:w="2833"/>
      </w:tblGrid>
      <w:tr w:rsidR="00BC08E2" w:rsidRPr="00DA298D" w:rsidTr="00314CE6">
        <w:tc>
          <w:tcPr>
            <w:cnfStyle w:val="001000000000" w:firstRow="0" w:lastRow="0" w:firstColumn="1" w:lastColumn="0" w:oddVBand="0" w:evenVBand="0" w:oddHBand="0" w:evenHBand="0" w:firstRowFirstColumn="0" w:firstRowLastColumn="0" w:lastRowFirstColumn="0" w:lastRowLastColumn="0"/>
            <w:tcW w:w="2833" w:type="dxa"/>
          </w:tcPr>
          <w:p w:rsidR="00BC08E2" w:rsidRPr="00DA298D" w:rsidRDefault="00BC08E2" w:rsidP="00314CE6">
            <w:pPr>
              <w:pStyle w:val="TOCHeading"/>
              <w:spacing w:before="200" w:after="100"/>
            </w:pPr>
            <w:r w:rsidRPr="00DA298D">
              <w:t>Inside this edition</w:t>
            </w:r>
          </w:p>
          <w:p w:rsidR="00552BF5" w:rsidRPr="00DA298D" w:rsidRDefault="00BC08E2">
            <w:pPr>
              <w:pStyle w:val="TOC1"/>
              <w:rPr>
                <w:noProof/>
                <w:spacing w:val="0"/>
                <w:sz w:val="22"/>
                <w:szCs w:val="22"/>
              </w:rPr>
            </w:pPr>
            <w:r w:rsidRPr="00DA298D">
              <w:rPr>
                <w:rFonts w:eastAsiaTheme="minorEastAsia"/>
                <w:szCs w:val="16"/>
                <w:lang w:eastAsia="en-AU"/>
              </w:rPr>
              <w:fldChar w:fldCharType="begin"/>
            </w:r>
            <w:r w:rsidRPr="00DA298D">
              <w:rPr>
                <w:szCs w:val="16"/>
              </w:rPr>
              <w:instrText xml:space="preserve"> TOC \h \z \t "Heading 1,1" </w:instrText>
            </w:r>
            <w:r w:rsidRPr="00DA298D">
              <w:rPr>
                <w:rFonts w:eastAsiaTheme="minorEastAsia"/>
                <w:szCs w:val="16"/>
                <w:lang w:eastAsia="en-AU"/>
              </w:rPr>
              <w:fldChar w:fldCharType="separate"/>
            </w:r>
            <w:hyperlink w:anchor="_Toc503348014" w:history="1">
              <w:r w:rsidR="00552BF5" w:rsidRPr="00DA298D">
                <w:rPr>
                  <w:rStyle w:val="Hyperlink"/>
                  <w:noProof/>
                </w:rPr>
                <w:t>Overview</w:t>
              </w:r>
              <w:r w:rsidR="00552BF5" w:rsidRPr="00DA298D">
                <w:rPr>
                  <w:noProof/>
                  <w:webHidden/>
                </w:rPr>
                <w:tab/>
              </w:r>
              <w:r w:rsidR="00552BF5" w:rsidRPr="00DA298D">
                <w:rPr>
                  <w:noProof/>
                  <w:webHidden/>
                </w:rPr>
                <w:fldChar w:fldCharType="begin"/>
              </w:r>
              <w:r w:rsidR="00552BF5" w:rsidRPr="00DA298D">
                <w:rPr>
                  <w:noProof/>
                  <w:webHidden/>
                </w:rPr>
                <w:instrText xml:space="preserve"> PAGEREF _Toc503348014 \h </w:instrText>
              </w:r>
              <w:r w:rsidR="00552BF5" w:rsidRPr="00DA298D">
                <w:rPr>
                  <w:noProof/>
                  <w:webHidden/>
                </w:rPr>
              </w:r>
              <w:r w:rsidR="00552BF5" w:rsidRPr="00DA298D">
                <w:rPr>
                  <w:noProof/>
                  <w:webHidden/>
                </w:rPr>
                <w:fldChar w:fldCharType="separate"/>
              </w:r>
              <w:r w:rsidR="002573A1">
                <w:rPr>
                  <w:noProof/>
                  <w:webHidden/>
                </w:rPr>
                <w:t>1</w:t>
              </w:r>
              <w:r w:rsidR="00552BF5" w:rsidRPr="00DA298D">
                <w:rPr>
                  <w:noProof/>
                  <w:webHidden/>
                </w:rPr>
                <w:fldChar w:fldCharType="end"/>
              </w:r>
            </w:hyperlink>
          </w:p>
          <w:p w:rsidR="00552BF5" w:rsidRPr="00DA298D" w:rsidRDefault="002573A1">
            <w:pPr>
              <w:pStyle w:val="TOC1"/>
              <w:rPr>
                <w:noProof/>
                <w:spacing w:val="0"/>
                <w:sz w:val="22"/>
                <w:szCs w:val="22"/>
              </w:rPr>
            </w:pPr>
            <w:hyperlink w:anchor="_Toc503348015" w:history="1">
              <w:r w:rsidR="00552BF5" w:rsidRPr="00DA298D">
                <w:rPr>
                  <w:rStyle w:val="Hyperlink"/>
                  <w:noProof/>
                </w:rPr>
                <w:t>2017</w:t>
              </w:r>
              <w:r w:rsidR="00314CE6" w:rsidRPr="00DA298D">
                <w:rPr>
                  <w:rStyle w:val="Hyperlink"/>
                  <w:noProof/>
                </w:rPr>
                <w:noBreakHyphen/>
              </w:r>
              <w:r w:rsidR="00552BF5" w:rsidRPr="00DA298D">
                <w:rPr>
                  <w:rStyle w:val="Hyperlink"/>
                  <w:noProof/>
                </w:rPr>
                <w:t>18 reporting year</w:t>
              </w:r>
              <w:r w:rsidR="00552BF5" w:rsidRPr="00DA298D">
                <w:rPr>
                  <w:noProof/>
                  <w:webHidden/>
                </w:rPr>
                <w:tab/>
              </w:r>
              <w:r w:rsidR="00552BF5" w:rsidRPr="00DA298D">
                <w:rPr>
                  <w:noProof/>
                  <w:webHidden/>
                </w:rPr>
                <w:fldChar w:fldCharType="begin"/>
              </w:r>
              <w:r w:rsidR="00552BF5" w:rsidRPr="00DA298D">
                <w:rPr>
                  <w:noProof/>
                  <w:webHidden/>
                </w:rPr>
                <w:instrText xml:space="preserve"> PAGEREF _Toc503348015 \h </w:instrText>
              </w:r>
              <w:r w:rsidR="00552BF5" w:rsidRPr="00DA298D">
                <w:rPr>
                  <w:noProof/>
                  <w:webHidden/>
                </w:rPr>
              </w:r>
              <w:r w:rsidR="00552BF5" w:rsidRPr="00DA298D">
                <w:rPr>
                  <w:noProof/>
                  <w:webHidden/>
                </w:rPr>
                <w:fldChar w:fldCharType="separate"/>
              </w:r>
              <w:r>
                <w:rPr>
                  <w:noProof/>
                  <w:webHidden/>
                </w:rPr>
                <w:t>2</w:t>
              </w:r>
              <w:r w:rsidR="00552BF5" w:rsidRPr="00DA298D">
                <w:rPr>
                  <w:noProof/>
                  <w:webHidden/>
                </w:rPr>
                <w:fldChar w:fldCharType="end"/>
              </w:r>
            </w:hyperlink>
          </w:p>
          <w:p w:rsidR="00552BF5" w:rsidRPr="00DA298D" w:rsidRDefault="002573A1">
            <w:pPr>
              <w:pStyle w:val="TOC1"/>
              <w:rPr>
                <w:noProof/>
                <w:spacing w:val="0"/>
                <w:sz w:val="22"/>
                <w:szCs w:val="22"/>
              </w:rPr>
            </w:pPr>
            <w:hyperlink w:anchor="_Toc503348016" w:history="1">
              <w:r w:rsidR="00552BF5" w:rsidRPr="00DA298D">
                <w:rPr>
                  <w:rStyle w:val="Hyperlink"/>
                  <w:noProof/>
                </w:rPr>
                <w:t>2017</w:t>
              </w:r>
              <w:r w:rsidR="00314CE6" w:rsidRPr="00DA298D">
                <w:rPr>
                  <w:rStyle w:val="Hyperlink"/>
                  <w:noProof/>
                </w:rPr>
                <w:noBreakHyphen/>
              </w:r>
              <w:r w:rsidR="00552BF5" w:rsidRPr="00DA298D">
                <w:rPr>
                  <w:rStyle w:val="Hyperlink"/>
                  <w:noProof/>
                </w:rPr>
                <w:t>18 financial reporting legislation</w:t>
              </w:r>
              <w:r w:rsidR="00552BF5" w:rsidRPr="00DA298D">
                <w:rPr>
                  <w:noProof/>
                  <w:webHidden/>
                </w:rPr>
                <w:tab/>
              </w:r>
              <w:r w:rsidR="00552BF5" w:rsidRPr="00DA298D">
                <w:rPr>
                  <w:noProof/>
                  <w:webHidden/>
                </w:rPr>
                <w:fldChar w:fldCharType="begin"/>
              </w:r>
              <w:r w:rsidR="00552BF5" w:rsidRPr="00DA298D">
                <w:rPr>
                  <w:noProof/>
                  <w:webHidden/>
                </w:rPr>
                <w:instrText xml:space="preserve"> PAGEREF _Toc503348016 \h </w:instrText>
              </w:r>
              <w:r w:rsidR="00552BF5" w:rsidRPr="00DA298D">
                <w:rPr>
                  <w:noProof/>
                  <w:webHidden/>
                </w:rPr>
              </w:r>
              <w:r w:rsidR="00552BF5" w:rsidRPr="00DA298D">
                <w:rPr>
                  <w:noProof/>
                  <w:webHidden/>
                </w:rPr>
                <w:fldChar w:fldCharType="separate"/>
              </w:r>
              <w:r>
                <w:rPr>
                  <w:noProof/>
                  <w:webHidden/>
                </w:rPr>
                <w:t>4</w:t>
              </w:r>
              <w:r w:rsidR="00552BF5" w:rsidRPr="00DA298D">
                <w:rPr>
                  <w:noProof/>
                  <w:webHidden/>
                </w:rPr>
                <w:fldChar w:fldCharType="end"/>
              </w:r>
            </w:hyperlink>
          </w:p>
          <w:p w:rsidR="00552BF5" w:rsidRPr="00DA298D" w:rsidRDefault="002573A1">
            <w:pPr>
              <w:pStyle w:val="TOC1"/>
              <w:rPr>
                <w:noProof/>
                <w:spacing w:val="0"/>
                <w:sz w:val="22"/>
                <w:szCs w:val="22"/>
              </w:rPr>
            </w:pPr>
            <w:hyperlink w:anchor="_Toc503348017" w:history="1">
              <w:r w:rsidR="007D08B0" w:rsidRPr="00DA298D">
                <w:rPr>
                  <w:rStyle w:val="Hyperlink"/>
                  <w:noProof/>
                </w:rPr>
                <w:t>AASB </w:t>
              </w:r>
              <w:r w:rsidR="00552BF5" w:rsidRPr="00DA298D">
                <w:rPr>
                  <w:rStyle w:val="Hyperlink"/>
                  <w:noProof/>
                </w:rPr>
                <w:t>update</w:t>
              </w:r>
              <w:r w:rsidR="00552BF5" w:rsidRPr="00DA298D">
                <w:rPr>
                  <w:noProof/>
                  <w:webHidden/>
                </w:rPr>
                <w:tab/>
              </w:r>
              <w:r w:rsidR="00552BF5" w:rsidRPr="00DA298D">
                <w:rPr>
                  <w:noProof/>
                  <w:webHidden/>
                </w:rPr>
                <w:fldChar w:fldCharType="begin"/>
              </w:r>
              <w:r w:rsidR="00552BF5" w:rsidRPr="00DA298D">
                <w:rPr>
                  <w:noProof/>
                  <w:webHidden/>
                </w:rPr>
                <w:instrText xml:space="preserve"> PAGEREF _Toc503348017 \h </w:instrText>
              </w:r>
              <w:r w:rsidR="00552BF5" w:rsidRPr="00DA298D">
                <w:rPr>
                  <w:noProof/>
                  <w:webHidden/>
                </w:rPr>
              </w:r>
              <w:r w:rsidR="00552BF5" w:rsidRPr="00DA298D">
                <w:rPr>
                  <w:noProof/>
                  <w:webHidden/>
                </w:rPr>
                <w:fldChar w:fldCharType="separate"/>
              </w:r>
              <w:r>
                <w:rPr>
                  <w:noProof/>
                  <w:webHidden/>
                </w:rPr>
                <w:t>6</w:t>
              </w:r>
              <w:r w:rsidR="00552BF5" w:rsidRPr="00DA298D">
                <w:rPr>
                  <w:noProof/>
                  <w:webHidden/>
                </w:rPr>
                <w:fldChar w:fldCharType="end"/>
              </w:r>
            </w:hyperlink>
          </w:p>
          <w:p w:rsidR="00552BF5" w:rsidRPr="00DA298D" w:rsidRDefault="002573A1">
            <w:pPr>
              <w:pStyle w:val="TOC1"/>
              <w:rPr>
                <w:noProof/>
                <w:spacing w:val="0"/>
                <w:sz w:val="22"/>
                <w:szCs w:val="22"/>
              </w:rPr>
            </w:pPr>
            <w:hyperlink w:anchor="_Toc503348018" w:history="1">
              <w:r w:rsidR="00552BF5" w:rsidRPr="00DA298D">
                <w:rPr>
                  <w:rStyle w:val="Hyperlink"/>
                  <w:noProof/>
                </w:rPr>
                <w:t>VAGO communication</w:t>
              </w:r>
              <w:r w:rsidR="00552BF5" w:rsidRPr="00DA298D">
                <w:rPr>
                  <w:noProof/>
                  <w:webHidden/>
                </w:rPr>
                <w:tab/>
              </w:r>
              <w:r w:rsidR="00552BF5" w:rsidRPr="00DA298D">
                <w:rPr>
                  <w:noProof/>
                  <w:webHidden/>
                </w:rPr>
                <w:fldChar w:fldCharType="begin"/>
              </w:r>
              <w:r w:rsidR="00552BF5" w:rsidRPr="00DA298D">
                <w:rPr>
                  <w:noProof/>
                  <w:webHidden/>
                </w:rPr>
                <w:instrText xml:space="preserve"> PAGEREF _Toc503348018 \h </w:instrText>
              </w:r>
              <w:r w:rsidR="00552BF5" w:rsidRPr="00DA298D">
                <w:rPr>
                  <w:noProof/>
                  <w:webHidden/>
                </w:rPr>
              </w:r>
              <w:r w:rsidR="00552BF5" w:rsidRPr="00DA298D">
                <w:rPr>
                  <w:noProof/>
                  <w:webHidden/>
                </w:rPr>
                <w:fldChar w:fldCharType="separate"/>
              </w:r>
              <w:r>
                <w:rPr>
                  <w:noProof/>
                  <w:webHidden/>
                </w:rPr>
                <w:t>10</w:t>
              </w:r>
              <w:r w:rsidR="00552BF5" w:rsidRPr="00DA298D">
                <w:rPr>
                  <w:noProof/>
                  <w:webHidden/>
                </w:rPr>
                <w:fldChar w:fldCharType="end"/>
              </w:r>
            </w:hyperlink>
          </w:p>
          <w:p w:rsidR="00552BF5" w:rsidRPr="00DA298D" w:rsidRDefault="002573A1">
            <w:pPr>
              <w:pStyle w:val="TOC1"/>
              <w:rPr>
                <w:noProof/>
                <w:spacing w:val="0"/>
                <w:sz w:val="22"/>
                <w:szCs w:val="22"/>
              </w:rPr>
            </w:pPr>
            <w:hyperlink w:anchor="_Toc503348019" w:history="1">
              <w:r w:rsidR="00552BF5" w:rsidRPr="00DA298D">
                <w:rPr>
                  <w:rStyle w:val="Hyperlink"/>
                  <w:noProof/>
                </w:rPr>
                <w:t>How to contact us</w:t>
              </w:r>
              <w:r w:rsidR="00552BF5" w:rsidRPr="00DA298D">
                <w:rPr>
                  <w:noProof/>
                  <w:webHidden/>
                </w:rPr>
                <w:tab/>
              </w:r>
              <w:r w:rsidR="00552BF5" w:rsidRPr="00DA298D">
                <w:rPr>
                  <w:noProof/>
                  <w:webHidden/>
                </w:rPr>
                <w:fldChar w:fldCharType="begin"/>
              </w:r>
              <w:r w:rsidR="00552BF5" w:rsidRPr="00DA298D">
                <w:rPr>
                  <w:noProof/>
                  <w:webHidden/>
                </w:rPr>
                <w:instrText xml:space="preserve"> PAGEREF _Toc503348019 \h </w:instrText>
              </w:r>
              <w:r w:rsidR="00552BF5" w:rsidRPr="00DA298D">
                <w:rPr>
                  <w:noProof/>
                  <w:webHidden/>
                </w:rPr>
              </w:r>
              <w:r w:rsidR="00552BF5" w:rsidRPr="00DA298D">
                <w:rPr>
                  <w:noProof/>
                  <w:webHidden/>
                </w:rPr>
                <w:fldChar w:fldCharType="separate"/>
              </w:r>
              <w:r>
                <w:rPr>
                  <w:noProof/>
                  <w:webHidden/>
                </w:rPr>
                <w:t>11</w:t>
              </w:r>
              <w:r w:rsidR="00552BF5" w:rsidRPr="00DA298D">
                <w:rPr>
                  <w:noProof/>
                  <w:webHidden/>
                </w:rPr>
                <w:fldChar w:fldCharType="end"/>
              </w:r>
            </w:hyperlink>
          </w:p>
          <w:p w:rsidR="00BC08E2" w:rsidRPr="00DA298D" w:rsidRDefault="00BC08E2" w:rsidP="00314CE6">
            <w:pPr>
              <w:pStyle w:val="NewsletterNote"/>
            </w:pPr>
            <w:r w:rsidRPr="00DA298D">
              <w:fldChar w:fldCharType="end"/>
            </w:r>
          </w:p>
        </w:tc>
      </w:tr>
    </w:tbl>
    <w:p w:rsidR="00BC08E2" w:rsidRPr="00DA298D" w:rsidRDefault="00BC08E2" w:rsidP="00BC08E2"/>
    <w:p w:rsidR="00BC08E2" w:rsidRPr="00DA298D" w:rsidRDefault="00BC08E2" w:rsidP="00BC08E2"/>
    <w:p w:rsidR="00BC08E2" w:rsidRPr="00DA298D" w:rsidRDefault="00BC08E2" w:rsidP="00BC08E2">
      <w:pPr>
        <w:pStyle w:val="Heading1"/>
        <w:rPr>
          <w:color w:val="FF0000"/>
        </w:rPr>
      </w:pPr>
      <w:r w:rsidRPr="00DA298D">
        <w:br w:type="column"/>
      </w:r>
      <w:bookmarkStart w:id="4" w:name="_Toc503348014"/>
      <w:r w:rsidRPr="00DA298D">
        <w:lastRenderedPageBreak/>
        <w:t xml:space="preserve">Overview </w:t>
      </w:r>
      <w:bookmarkEnd w:id="4"/>
    </w:p>
    <w:p w:rsidR="00C4594E" w:rsidRPr="00DA298D" w:rsidRDefault="000D0CB8" w:rsidP="00C4594E">
      <w:r>
        <w:t>The AASB u</w:t>
      </w:r>
      <w:r w:rsidR="00C4594E" w:rsidRPr="00DA298D">
        <w:t>pdate section in this newsletter includes a reminder to entities about the new suite of accounting standard</w:t>
      </w:r>
      <w:r w:rsidR="00C4594E">
        <w:t>s applicable for the first time</w:t>
      </w:r>
      <w:r w:rsidR="00C4594E" w:rsidRPr="00DA298D">
        <w:t xml:space="preserve"> from 2019</w:t>
      </w:r>
      <w:r w:rsidR="00C4594E" w:rsidRPr="00DA298D">
        <w:noBreakHyphen/>
        <w:t>20. Although the application date is still a way off, a significant amount of preparatory work is required to successfully implement these complex standards, including understanding and advising the Treasurer of</w:t>
      </w:r>
      <w:r w:rsidR="00C4594E">
        <w:t xml:space="preserve"> </w:t>
      </w:r>
      <w:r w:rsidR="00C4594E" w:rsidRPr="00DA298D">
        <w:t>the potential impact on the forward estimates, based on information provided by departments.</w:t>
      </w:r>
    </w:p>
    <w:p w:rsidR="00C4594E" w:rsidRPr="00DA298D" w:rsidRDefault="00C4594E" w:rsidP="00C4594E">
      <w:r w:rsidRPr="00DA298D">
        <w:t>In preparation for this year</w:t>
      </w:r>
      <w:r>
        <w:t>’</w:t>
      </w:r>
      <w:r w:rsidRPr="00DA298D">
        <w:t>s annual report, entities should note the streamlining of departmental annual financial reports, introduced last year, has led to some further minor changes for the 2017</w:t>
      </w:r>
      <w:r w:rsidRPr="00DA298D">
        <w:noBreakHyphen/>
        <w:t xml:space="preserve">18 Model Report for Victorian Government Departments. </w:t>
      </w:r>
    </w:p>
    <w:p w:rsidR="00C4594E" w:rsidRPr="00DA298D" w:rsidRDefault="00C4594E" w:rsidP="00C4594E">
      <w:r w:rsidRPr="00DA298D">
        <w:t>No updates have been made to financial reporting directions (FRDs) since the last newsletter. However, proposed changes applicable for 2017</w:t>
      </w:r>
      <w:r w:rsidRPr="00DA298D">
        <w:noBreakHyphen/>
        <w:t xml:space="preserve">18 are to FRD 15D </w:t>
      </w:r>
      <w:r w:rsidRPr="00DA298D">
        <w:rPr>
          <w:i/>
        </w:rPr>
        <w:t>Executive officer disclosures in the Report of Operations</w:t>
      </w:r>
      <w:r w:rsidRPr="00DA298D">
        <w:t xml:space="preserve">, FRD 29B </w:t>
      </w:r>
      <w:r w:rsidRPr="00DA298D">
        <w:rPr>
          <w:i/>
        </w:rPr>
        <w:t>Workforce data disclosures in the Report of Operations</w:t>
      </w:r>
      <w:r w:rsidRPr="00DA298D">
        <w:t xml:space="preserve">, FRD 24C </w:t>
      </w:r>
      <w:r w:rsidRPr="00DA298D">
        <w:rPr>
          <w:i/>
        </w:rPr>
        <w:t>Reporting of office</w:t>
      </w:r>
      <w:r w:rsidRPr="00DA298D">
        <w:rPr>
          <w:i/>
        </w:rPr>
        <w:noBreakHyphen/>
        <w:t xml:space="preserve">based environmental data by government entities, </w:t>
      </w:r>
      <w:r w:rsidRPr="004A53B0">
        <w:t>and</w:t>
      </w:r>
      <w:r w:rsidRPr="00DA298D">
        <w:rPr>
          <w:i/>
        </w:rPr>
        <w:t xml:space="preserve"> </w:t>
      </w:r>
      <w:r w:rsidRPr="00DA298D">
        <w:t xml:space="preserve">FRD 103F </w:t>
      </w:r>
      <w:r w:rsidRPr="00DA298D">
        <w:rPr>
          <w:i/>
        </w:rPr>
        <w:t>Non-financial physical assets.</w:t>
      </w:r>
      <w:r w:rsidRPr="00DA298D">
        <w:t xml:space="preserve"> An outline of these prop</w:t>
      </w:r>
      <w:r w:rsidR="0093131A">
        <w:t>osed changes can be found in</w:t>
      </w:r>
      <w:r w:rsidRPr="00DA298D">
        <w:t xml:space="preserve"> this newsletter. </w:t>
      </w:r>
    </w:p>
    <w:p w:rsidR="00C4594E" w:rsidRPr="00DA298D" w:rsidRDefault="00C4594E" w:rsidP="00C4594E">
      <w:r w:rsidRPr="00DA298D">
        <w:t>The outcome of the data collection and reporting process against Ministerial declarations for the 2016</w:t>
      </w:r>
      <w:r w:rsidRPr="00DA298D">
        <w:noBreakHyphen/>
        <w:t xml:space="preserve">17 reporting period in relation to AASB 124 </w:t>
      </w:r>
      <w:r w:rsidRPr="00DA298D">
        <w:rPr>
          <w:i/>
        </w:rPr>
        <w:t>Related Party Disclosure</w:t>
      </w:r>
      <w:r w:rsidRPr="00DA298D">
        <w:t xml:space="preserve"> is included in this newsletter. The data collection process for 2017</w:t>
      </w:r>
      <w:r w:rsidRPr="00DA298D">
        <w:noBreakHyphen/>
        <w:t>18 is already under way, with a request issued in early December 2017 for Ministers to complete the first of two possible declaration certificates. Victorian Public Sector (VPS) entities are required to conduct and document fair value assessments annually for each class of non</w:t>
      </w:r>
      <w:r w:rsidRPr="00DA298D">
        <w:noBreakHyphen/>
        <w:t xml:space="preserve">financial physical assets. A summary of the key points for conducting interim assessments is provided as a quick reference for departments and agencies. </w:t>
      </w:r>
    </w:p>
    <w:p w:rsidR="00C4594E" w:rsidRPr="00DA298D" w:rsidRDefault="00C4594E" w:rsidP="00C4594E">
      <w:r w:rsidRPr="00DA298D">
        <w:t>A number of key financial publications are due in the coming months. A table of anticipated publication dates is included.</w:t>
      </w:r>
    </w:p>
    <w:p w:rsidR="00C4594E" w:rsidRPr="00DA298D" w:rsidRDefault="00C4594E" w:rsidP="00C4594E">
      <w:r w:rsidRPr="00DA298D">
        <w:t>Departments and agencies are reminded that amendments to the FMA are currently being debated in the Parliament. When enacted, these proposed amendments will have significant flow-on impacts on existing accounting, financial and budget policies.</w:t>
      </w:r>
    </w:p>
    <w:p w:rsidR="00C4594E" w:rsidRPr="00DA298D" w:rsidRDefault="00C4594E" w:rsidP="00C4594E">
      <w:r w:rsidRPr="00DA298D">
        <w:t>VAGO</w:t>
      </w:r>
      <w:r>
        <w:t>’</w:t>
      </w:r>
      <w:r w:rsidRPr="00DA298D">
        <w:t xml:space="preserve">s recent communications outline the next steps in the staged implementation of the new Key Audit Matters section of its independent audit report. VAGO has also introduced a </w:t>
      </w:r>
      <w:r>
        <w:t>five</w:t>
      </w:r>
      <w:r w:rsidRPr="00DA298D">
        <w:t>-year data analytics strategy as part of the establishment of a new business unit.</w:t>
      </w:r>
    </w:p>
    <w:p w:rsidR="000F5A54" w:rsidRPr="00DA298D" w:rsidRDefault="000F5A54" w:rsidP="009423B8">
      <w:pPr>
        <w:sectPr w:rsidR="000F5A54" w:rsidRPr="00DA298D" w:rsidSect="000C21C3">
          <w:type w:val="continuous"/>
          <w:pgSz w:w="11906" w:h="16838" w:code="9"/>
          <w:pgMar w:top="2160" w:right="1440" w:bottom="1350" w:left="1440" w:header="706" w:footer="461" w:gutter="0"/>
          <w:pgNumType w:start="1"/>
          <w:cols w:num="2" w:space="706" w:equalWidth="0">
            <w:col w:w="2973" w:space="533"/>
            <w:col w:w="5520"/>
          </w:cols>
          <w:docGrid w:linePitch="360"/>
        </w:sectPr>
      </w:pPr>
    </w:p>
    <w:p w:rsidR="00BC08E2" w:rsidRPr="00DA298D" w:rsidRDefault="00BC08E2" w:rsidP="00BC08E2">
      <w:pPr>
        <w:pStyle w:val="Heading1"/>
      </w:pPr>
      <w:bookmarkStart w:id="5" w:name="_Toc408567317"/>
      <w:bookmarkStart w:id="6" w:name="_Toc424822613"/>
      <w:bookmarkStart w:id="7" w:name="_Toc452724749"/>
      <w:bookmarkStart w:id="8" w:name="_Toc503348015"/>
      <w:r w:rsidRPr="00DA298D">
        <w:lastRenderedPageBreak/>
        <w:t>2017</w:t>
      </w:r>
      <w:r w:rsidR="00314CE6" w:rsidRPr="00DA298D">
        <w:noBreakHyphen/>
      </w:r>
      <w:r w:rsidRPr="00DA298D">
        <w:t>18 reporting year</w:t>
      </w:r>
      <w:bookmarkEnd w:id="5"/>
      <w:bookmarkEnd w:id="6"/>
      <w:bookmarkEnd w:id="7"/>
      <w:bookmarkEnd w:id="8"/>
    </w:p>
    <w:p w:rsidR="00BC08E2" w:rsidRPr="00DA298D" w:rsidRDefault="00BC08E2" w:rsidP="00BC08E2">
      <w:pPr>
        <w:pStyle w:val="Heading2"/>
      </w:pPr>
      <w:r w:rsidRPr="00DA298D">
        <w:t>Major updates/reminders</w:t>
      </w:r>
    </w:p>
    <w:p w:rsidR="00BC08E2" w:rsidRPr="00DA298D" w:rsidRDefault="00BC08E2" w:rsidP="00BC08E2">
      <w:pPr>
        <w:pStyle w:val="Heading3"/>
        <w:rPr>
          <w:color w:val="FF0000"/>
        </w:rPr>
      </w:pPr>
      <w:r w:rsidRPr="00DA298D">
        <w:t>2017</w:t>
      </w:r>
      <w:r w:rsidR="00314CE6" w:rsidRPr="00DA298D">
        <w:noBreakHyphen/>
      </w:r>
      <w:r w:rsidRPr="00DA298D">
        <w:t xml:space="preserve">18 Model Report for Victorian Government Departments </w:t>
      </w:r>
    </w:p>
    <w:p w:rsidR="00153251" w:rsidRPr="00DA298D" w:rsidRDefault="00192047" w:rsidP="00153251">
      <w:r w:rsidRPr="00DA298D">
        <w:t>The preparatory work on the 2017</w:t>
      </w:r>
      <w:r w:rsidR="00314CE6" w:rsidRPr="00DA298D">
        <w:noBreakHyphen/>
      </w:r>
      <w:r w:rsidRPr="00DA298D">
        <w:t xml:space="preserve">18 Model Report has started. </w:t>
      </w:r>
      <w:r w:rsidR="00153251" w:rsidRPr="00DA298D">
        <w:t xml:space="preserve">Following the successful streamlining of the </w:t>
      </w:r>
      <w:r w:rsidR="00153251" w:rsidRPr="00DA298D">
        <w:rPr>
          <w:i/>
        </w:rPr>
        <w:t>2016</w:t>
      </w:r>
      <w:r w:rsidR="00314CE6" w:rsidRPr="00DA298D">
        <w:rPr>
          <w:i/>
        </w:rPr>
        <w:noBreakHyphen/>
      </w:r>
      <w:r w:rsidR="00153251" w:rsidRPr="00DA298D">
        <w:rPr>
          <w:i/>
        </w:rPr>
        <w:t>17 Model Report for Victorian Government Departments</w:t>
      </w:r>
      <w:r w:rsidR="00153251" w:rsidRPr="00DA298D">
        <w:t xml:space="preserve"> (Model Report)</w:t>
      </w:r>
      <w:r w:rsidRPr="00DA298D">
        <w:t>, the 2017</w:t>
      </w:r>
      <w:r w:rsidR="00314CE6" w:rsidRPr="00DA298D">
        <w:noBreakHyphen/>
      </w:r>
      <w:r w:rsidRPr="00DA298D">
        <w:t xml:space="preserve">18 Model </w:t>
      </w:r>
      <w:r w:rsidR="00366459" w:rsidRPr="00DA298D">
        <w:t>R</w:t>
      </w:r>
      <w:r w:rsidRPr="00DA298D">
        <w:t xml:space="preserve">eport will again </w:t>
      </w:r>
      <w:r w:rsidR="00153251" w:rsidRPr="00DA298D">
        <w:t xml:space="preserve">be presented in the streamlined format. </w:t>
      </w:r>
      <w:r w:rsidR="00F35014" w:rsidRPr="00DA298D">
        <w:t>This revis</w:t>
      </w:r>
      <w:r w:rsidR="00FA2B5F" w:rsidRPr="00DA298D">
        <w:t>ion</w:t>
      </w:r>
      <w:r w:rsidR="00153251" w:rsidRPr="00DA298D">
        <w:t xml:space="preserve"> </w:t>
      </w:r>
      <w:r w:rsidR="00A67503" w:rsidRPr="00DA298D">
        <w:t>takes into account stakeholder expectations such as those of the Victorian Auditor</w:t>
      </w:r>
      <w:r w:rsidR="00314CE6" w:rsidRPr="00DA298D">
        <w:noBreakHyphen/>
      </w:r>
      <w:r w:rsidR="00A67503" w:rsidRPr="00DA298D">
        <w:t xml:space="preserve">General’s Office (VAGO) and </w:t>
      </w:r>
      <w:r w:rsidR="00153251" w:rsidRPr="00DA298D">
        <w:t xml:space="preserve">will continue to fully comply with the relevant </w:t>
      </w:r>
      <w:r w:rsidR="00A67503" w:rsidRPr="00DA298D">
        <w:t xml:space="preserve">reporting standards and </w:t>
      </w:r>
      <w:r w:rsidR="00153251" w:rsidRPr="00DA298D">
        <w:t>legislative requirements,.</w:t>
      </w:r>
    </w:p>
    <w:p w:rsidR="00153251" w:rsidRPr="00DA298D" w:rsidRDefault="0082710C" w:rsidP="00153251">
      <w:r w:rsidRPr="00DA298D">
        <w:t>The Department of Treasury and Finance (DTF) has set a target date to release the 2017</w:t>
      </w:r>
      <w:r w:rsidR="00314CE6" w:rsidRPr="00DA298D">
        <w:noBreakHyphen/>
      </w:r>
      <w:r w:rsidRPr="00DA298D">
        <w:t>18 Model Report around mid</w:t>
      </w:r>
      <w:r w:rsidR="00314CE6" w:rsidRPr="00DA298D">
        <w:noBreakHyphen/>
      </w:r>
      <w:r w:rsidRPr="00DA298D">
        <w:t>April 2018. Key changes to the 2017</w:t>
      </w:r>
      <w:r w:rsidR="00314CE6" w:rsidRPr="00DA298D">
        <w:noBreakHyphen/>
      </w:r>
      <w:r w:rsidRPr="00DA298D">
        <w:t>18 Model Report include:</w:t>
      </w:r>
    </w:p>
    <w:p w:rsidR="00153251" w:rsidRPr="00DA298D" w:rsidRDefault="00D55A11" w:rsidP="0024195A">
      <w:pPr>
        <w:pStyle w:val="Bullet1"/>
      </w:pPr>
      <w:r w:rsidRPr="00DA298D">
        <w:t>u</w:t>
      </w:r>
      <w:r w:rsidR="00153251" w:rsidRPr="00DA298D">
        <w:t>pdated disclosures of</w:t>
      </w:r>
      <w:r w:rsidR="00F15469">
        <w:t>,</w:t>
      </w:r>
      <w:r w:rsidR="00153251" w:rsidRPr="00DA298D">
        <w:t xml:space="preserve"> and additional guidance on sections </w:t>
      </w:r>
      <w:r w:rsidR="00B64EB6" w:rsidRPr="00DA298D">
        <w:t>of</w:t>
      </w:r>
      <w:r w:rsidR="00153251" w:rsidRPr="00DA298D">
        <w:t xml:space="preserve"> the Report of Operations incorporating changes in FRDs, including:</w:t>
      </w:r>
    </w:p>
    <w:p w:rsidR="00153251" w:rsidRPr="00DA298D" w:rsidRDefault="00D55A11" w:rsidP="0024195A">
      <w:pPr>
        <w:pStyle w:val="Bullet2"/>
      </w:pPr>
      <w:r w:rsidRPr="00DA298D">
        <w:t>d</w:t>
      </w:r>
      <w:r w:rsidR="00153251" w:rsidRPr="00DA298D">
        <w:t xml:space="preserve">isclosure </w:t>
      </w:r>
      <w:r w:rsidRPr="00DA298D">
        <w:t xml:space="preserve">of </w:t>
      </w:r>
      <w:r w:rsidR="00153251" w:rsidRPr="00DA298D">
        <w:t>office</w:t>
      </w:r>
      <w:r w:rsidRPr="00DA298D">
        <w:t>-</w:t>
      </w:r>
      <w:r w:rsidR="00153251" w:rsidRPr="00DA298D">
        <w:t>based environment impacts, required by</w:t>
      </w:r>
      <w:r w:rsidR="0090189D" w:rsidRPr="00DA298D">
        <w:t xml:space="preserve"> </w:t>
      </w:r>
      <w:r w:rsidR="00314CE6" w:rsidRPr="00DA298D">
        <w:t>FRD </w:t>
      </w:r>
      <w:r w:rsidR="0090189D" w:rsidRPr="00DA298D">
        <w:t>24C</w:t>
      </w:r>
      <w:r w:rsidR="00153251" w:rsidRPr="00DA298D">
        <w:t xml:space="preserve"> </w:t>
      </w:r>
      <w:r w:rsidR="00153251" w:rsidRPr="00DA298D">
        <w:rPr>
          <w:i/>
        </w:rPr>
        <w:t>Reporting of office</w:t>
      </w:r>
      <w:r w:rsidR="00314CE6" w:rsidRPr="00DA298D">
        <w:rPr>
          <w:i/>
        </w:rPr>
        <w:noBreakHyphen/>
      </w:r>
      <w:r w:rsidR="00153251" w:rsidRPr="00DA298D">
        <w:rPr>
          <w:i/>
        </w:rPr>
        <w:t>based environmental data by government entities</w:t>
      </w:r>
      <w:r w:rsidR="00153251" w:rsidRPr="00DA298D">
        <w:t>;</w:t>
      </w:r>
    </w:p>
    <w:p w:rsidR="00153251" w:rsidRPr="00DA298D" w:rsidRDefault="00D55A11" w:rsidP="0024195A">
      <w:pPr>
        <w:pStyle w:val="Bullet2"/>
      </w:pPr>
      <w:r w:rsidRPr="00DA298D">
        <w:t>d</w:t>
      </w:r>
      <w:r w:rsidR="00153251" w:rsidRPr="00DA298D">
        <w:t xml:space="preserve">isclosure </w:t>
      </w:r>
      <w:r w:rsidRPr="00DA298D">
        <w:t xml:space="preserve">of </w:t>
      </w:r>
      <w:r w:rsidR="00153251" w:rsidRPr="00DA298D">
        <w:t xml:space="preserve">executive officer data, required by </w:t>
      </w:r>
      <w:r w:rsidR="00314CE6" w:rsidRPr="00DA298D">
        <w:t>FRD </w:t>
      </w:r>
      <w:r w:rsidR="00153251" w:rsidRPr="00DA298D">
        <w:t xml:space="preserve">15E </w:t>
      </w:r>
      <w:r w:rsidR="00153251" w:rsidRPr="00DA298D">
        <w:rPr>
          <w:i/>
        </w:rPr>
        <w:t>Executive officer disclosu</w:t>
      </w:r>
      <w:r w:rsidR="00F15469">
        <w:rPr>
          <w:i/>
        </w:rPr>
        <w:t xml:space="preserve">res in the Report of Operations; </w:t>
      </w:r>
      <w:r w:rsidR="00F15469" w:rsidRPr="007C2CD2">
        <w:t xml:space="preserve">and </w:t>
      </w:r>
    </w:p>
    <w:p w:rsidR="00153251" w:rsidRPr="00DA298D" w:rsidRDefault="00D55A11" w:rsidP="0024195A">
      <w:pPr>
        <w:pStyle w:val="Bullet2"/>
      </w:pPr>
      <w:r w:rsidRPr="00DA298D">
        <w:t>d</w:t>
      </w:r>
      <w:r w:rsidR="00153251" w:rsidRPr="00DA298D">
        <w:t xml:space="preserve">isclosure on workforce data, required by </w:t>
      </w:r>
      <w:r w:rsidR="00314CE6" w:rsidRPr="00DA298D">
        <w:t>FRD </w:t>
      </w:r>
      <w:r w:rsidR="00153251" w:rsidRPr="00DA298D">
        <w:t xml:space="preserve">29C </w:t>
      </w:r>
      <w:r w:rsidR="00153251" w:rsidRPr="00DA298D">
        <w:rPr>
          <w:i/>
        </w:rPr>
        <w:t>Workforce data disclosures in the Report of Operations – Public Service Employees</w:t>
      </w:r>
      <w:r w:rsidRPr="00DA298D">
        <w:t>;</w:t>
      </w:r>
    </w:p>
    <w:p w:rsidR="00153251" w:rsidRPr="00DA298D" w:rsidRDefault="00D55A11" w:rsidP="00552BF5">
      <w:pPr>
        <w:pStyle w:val="Bullet1"/>
      </w:pPr>
      <w:r w:rsidRPr="00DA298D">
        <w:t>e</w:t>
      </w:r>
      <w:r w:rsidR="00153251" w:rsidRPr="00DA298D">
        <w:t>nhanced guidance on general criteria in det</w:t>
      </w:r>
      <w:r w:rsidR="002A602A" w:rsidRPr="00DA298D">
        <w:t xml:space="preserve">ermining a significant variance in </w:t>
      </w:r>
      <w:r w:rsidR="00153251" w:rsidRPr="00DA298D">
        <w:t xml:space="preserve">output performance in </w:t>
      </w:r>
      <w:r w:rsidR="00F016C6" w:rsidRPr="00DA298D">
        <w:t xml:space="preserve">the </w:t>
      </w:r>
      <w:r w:rsidR="00153251" w:rsidRPr="00DA298D">
        <w:t xml:space="preserve">portfolio reporting section </w:t>
      </w:r>
      <w:r w:rsidR="00F016C6" w:rsidRPr="00DA298D">
        <w:t>of</w:t>
      </w:r>
      <w:r w:rsidR="00153251" w:rsidRPr="00DA298D">
        <w:t xml:space="preserve"> the Report of Operations following </w:t>
      </w:r>
      <w:r w:rsidRPr="00DA298D">
        <w:t xml:space="preserve">the Public Accounts and Estimate Committee’s </w:t>
      </w:r>
      <w:r w:rsidR="00D02962" w:rsidRPr="00DA298D">
        <w:t>r</w:t>
      </w:r>
      <w:r w:rsidR="00153251" w:rsidRPr="00DA298D">
        <w:t>ecommendation</w:t>
      </w:r>
      <w:r w:rsidRPr="00DA298D">
        <w:t>; and</w:t>
      </w:r>
    </w:p>
    <w:p w:rsidR="00153251" w:rsidRPr="00DA298D" w:rsidRDefault="00D55A11" w:rsidP="00552BF5">
      <w:pPr>
        <w:pStyle w:val="Bullet1"/>
      </w:pPr>
      <w:r w:rsidRPr="00DA298D">
        <w:t>a</w:t>
      </w:r>
      <w:r w:rsidR="00153251" w:rsidRPr="00DA298D">
        <w:t xml:space="preserve">dditional </w:t>
      </w:r>
      <w:r w:rsidR="00314CE6" w:rsidRPr="00DA298D">
        <w:t xml:space="preserve">appendices </w:t>
      </w:r>
      <w:r w:rsidR="004C2355" w:rsidRPr="00DA298D">
        <w:t>containing implementation checklists for</w:t>
      </w:r>
      <w:r w:rsidR="00153251" w:rsidRPr="00DA298D">
        <w:t xml:space="preserve"> upcoming new accounting standards, including:</w:t>
      </w:r>
    </w:p>
    <w:p w:rsidR="00153251" w:rsidRPr="00DA298D" w:rsidRDefault="007D08B0" w:rsidP="0024195A">
      <w:pPr>
        <w:pStyle w:val="Bullet2"/>
      </w:pPr>
      <w:r w:rsidRPr="00DA298D">
        <w:t>AASB </w:t>
      </w:r>
      <w:r w:rsidR="00153251" w:rsidRPr="00DA298D">
        <w:t xml:space="preserve">16 </w:t>
      </w:r>
      <w:r w:rsidR="00153251" w:rsidRPr="00DA298D">
        <w:rPr>
          <w:i/>
        </w:rPr>
        <w:t>Leases</w:t>
      </w:r>
      <w:r w:rsidR="00153251" w:rsidRPr="00DA298D">
        <w:t>;</w:t>
      </w:r>
    </w:p>
    <w:p w:rsidR="00153251" w:rsidRPr="00DA298D" w:rsidRDefault="007D08B0" w:rsidP="0024195A">
      <w:pPr>
        <w:pStyle w:val="Bullet2"/>
      </w:pPr>
      <w:r w:rsidRPr="00DA298D">
        <w:t>AASB </w:t>
      </w:r>
      <w:r w:rsidR="00153251" w:rsidRPr="00DA298D">
        <w:t xml:space="preserve">15 </w:t>
      </w:r>
      <w:r w:rsidR="00153251" w:rsidRPr="00DA298D">
        <w:rPr>
          <w:i/>
        </w:rPr>
        <w:t>Revenue from Contracts with Customers</w:t>
      </w:r>
      <w:r w:rsidR="00153251" w:rsidRPr="00DA298D">
        <w:t>; and</w:t>
      </w:r>
    </w:p>
    <w:p w:rsidR="00153251" w:rsidRPr="00DA298D" w:rsidRDefault="007D08B0" w:rsidP="0024195A">
      <w:pPr>
        <w:pStyle w:val="Bullet2"/>
      </w:pPr>
      <w:r w:rsidRPr="00DA298D">
        <w:t>AASB </w:t>
      </w:r>
      <w:r w:rsidR="00153251" w:rsidRPr="00DA298D">
        <w:t xml:space="preserve">1058 </w:t>
      </w:r>
      <w:r w:rsidR="00153251" w:rsidRPr="00DA298D">
        <w:rPr>
          <w:i/>
        </w:rPr>
        <w:t>Income of Not</w:t>
      </w:r>
      <w:r w:rsidR="00314CE6" w:rsidRPr="00DA298D">
        <w:rPr>
          <w:i/>
        </w:rPr>
        <w:noBreakHyphen/>
      </w:r>
      <w:r w:rsidR="00153251" w:rsidRPr="00DA298D">
        <w:rPr>
          <w:i/>
        </w:rPr>
        <w:t>for</w:t>
      </w:r>
      <w:r w:rsidR="00314CE6" w:rsidRPr="00DA298D">
        <w:rPr>
          <w:i/>
        </w:rPr>
        <w:noBreakHyphen/>
      </w:r>
      <w:r w:rsidR="00153251" w:rsidRPr="00DA298D">
        <w:rPr>
          <w:i/>
        </w:rPr>
        <w:t>Profit Entities</w:t>
      </w:r>
      <w:r w:rsidR="00153251" w:rsidRPr="00DA298D">
        <w:t>.</w:t>
      </w:r>
    </w:p>
    <w:p w:rsidR="00153251" w:rsidRPr="00DA298D" w:rsidRDefault="00153251" w:rsidP="00153251">
      <w:r w:rsidRPr="00DA298D">
        <w:t xml:space="preserve">A comprehensive list of the significant changes will be detailed in the </w:t>
      </w:r>
      <w:r w:rsidR="009B2877">
        <w:t>“</w:t>
      </w:r>
      <w:r w:rsidRPr="00DA298D">
        <w:t>Summary of Changes</w:t>
      </w:r>
      <w:r w:rsidR="009B2877">
        <w:t>”</w:t>
      </w:r>
      <w:r w:rsidR="00D55A11" w:rsidRPr="00DA298D">
        <w:t>,</w:t>
      </w:r>
      <w:r w:rsidRPr="00DA298D">
        <w:t xml:space="preserve"> </w:t>
      </w:r>
      <w:r w:rsidR="00DA6C0F" w:rsidRPr="00DA298D">
        <w:t xml:space="preserve">which will </w:t>
      </w:r>
      <w:r w:rsidRPr="00DA298D">
        <w:t>accompany the 2017</w:t>
      </w:r>
      <w:r w:rsidR="00314CE6" w:rsidRPr="00DA298D">
        <w:noBreakHyphen/>
      </w:r>
      <w:r w:rsidRPr="00DA298D">
        <w:t>18 Model Report.</w:t>
      </w:r>
    </w:p>
    <w:p w:rsidR="00BC08E2" w:rsidRPr="00DA298D" w:rsidRDefault="007D08B0" w:rsidP="00BC08E2">
      <w:pPr>
        <w:pStyle w:val="Heading3"/>
        <w:rPr>
          <w:color w:val="FF0000"/>
        </w:rPr>
      </w:pPr>
      <w:r w:rsidRPr="00DA298D">
        <w:t>AASB </w:t>
      </w:r>
      <w:r w:rsidR="00BC08E2" w:rsidRPr="00DA298D">
        <w:t xml:space="preserve">124 Related Party Disclosure project </w:t>
      </w:r>
    </w:p>
    <w:p w:rsidR="00D01A14" w:rsidRPr="00DA298D" w:rsidRDefault="00D01A14" w:rsidP="00D01A14">
      <w:pPr>
        <w:pStyle w:val="Heading4"/>
      </w:pPr>
      <w:r w:rsidRPr="00DA298D">
        <w:t>Outcomes of Ministerial declarations for the 2016</w:t>
      </w:r>
      <w:r w:rsidR="00314CE6" w:rsidRPr="00DA298D">
        <w:noBreakHyphen/>
      </w:r>
      <w:r w:rsidRPr="00DA298D">
        <w:t>17 reporting peri</w:t>
      </w:r>
      <w:r w:rsidR="00552BF5" w:rsidRPr="00DA298D">
        <w:t>od</w:t>
      </w:r>
    </w:p>
    <w:p w:rsidR="00D01A14" w:rsidRPr="00DA298D" w:rsidRDefault="00D01A14" w:rsidP="00D01A14">
      <w:r w:rsidRPr="00DA298D">
        <w:t xml:space="preserve">There was a positive response from all </w:t>
      </w:r>
      <w:r w:rsidR="00A862D0" w:rsidRPr="00DA298D">
        <w:t>c</w:t>
      </w:r>
      <w:r w:rsidRPr="00DA298D">
        <w:t xml:space="preserve">abinet ministers for the first year of implementation for </w:t>
      </w:r>
      <w:r w:rsidR="007D08B0" w:rsidRPr="00DA298D">
        <w:t>AASB </w:t>
      </w:r>
      <w:r w:rsidRPr="00DA298D">
        <w:t xml:space="preserve">124 </w:t>
      </w:r>
      <w:r w:rsidRPr="00DA298D">
        <w:rPr>
          <w:i/>
        </w:rPr>
        <w:t>Related Party Disclosures.</w:t>
      </w:r>
      <w:r w:rsidRPr="00DA298D">
        <w:t xml:space="preserve"> The majority of declarations submitted by </w:t>
      </w:r>
      <w:r w:rsidR="00A862D0" w:rsidRPr="00DA298D">
        <w:t>m</w:t>
      </w:r>
      <w:r w:rsidRPr="00DA298D">
        <w:t>inisters had no related party transactions.</w:t>
      </w:r>
    </w:p>
    <w:p w:rsidR="00D01A14" w:rsidRPr="00DA298D" w:rsidRDefault="00D01A14" w:rsidP="00D01A14">
      <w:r w:rsidRPr="00DA298D">
        <w:t xml:space="preserve">Where transactions were declared, they were extracted from the respective </w:t>
      </w:r>
      <w:r w:rsidR="00A862D0" w:rsidRPr="00DA298D">
        <w:t>m</w:t>
      </w:r>
      <w:r w:rsidRPr="00DA298D">
        <w:t>inisters’ declaration certificates</w:t>
      </w:r>
      <w:r w:rsidR="003232E7" w:rsidRPr="00DA298D">
        <w:t xml:space="preserve"> by DTF</w:t>
      </w:r>
      <w:r w:rsidRPr="00DA298D">
        <w:t xml:space="preserve"> and provided to the relevant portfolio entities to perform a materiality assessment. The assessments considered whether the nature and amount of the related party transactions were significant or material for disclosure in the entities</w:t>
      </w:r>
      <w:r w:rsidR="007F7D41" w:rsidRPr="00DA298D">
        <w:t>’</w:t>
      </w:r>
      <w:r w:rsidRPr="00DA298D">
        <w:t xml:space="preserve"> annual financial reports, either separately or in aggregate.</w:t>
      </w:r>
      <w:r w:rsidR="000F5A54" w:rsidRPr="00DA298D">
        <w:t xml:space="preserve"> </w:t>
      </w:r>
    </w:p>
    <w:p w:rsidR="00D01A14" w:rsidRPr="00DA298D" w:rsidRDefault="00D01A14" w:rsidP="00D01A14">
      <w:r w:rsidRPr="00DA298D">
        <w:t xml:space="preserve">Based on the assessments performed, no related party transactions were identified as being quantitatively or qualitatively material for disclosure in the portfolio entities’ annual financial reports. As a result, no related party transactions that involved </w:t>
      </w:r>
      <w:r w:rsidR="00A862D0" w:rsidRPr="00DA298D">
        <w:t>m</w:t>
      </w:r>
      <w:r w:rsidRPr="00DA298D">
        <w:t xml:space="preserve">inisters, their close family members or their personal business interests were disclosed in the </w:t>
      </w:r>
      <w:r w:rsidRPr="00DA298D">
        <w:rPr>
          <w:i/>
        </w:rPr>
        <w:t>2016</w:t>
      </w:r>
      <w:r w:rsidR="00314CE6" w:rsidRPr="00DA298D">
        <w:rPr>
          <w:i/>
        </w:rPr>
        <w:noBreakHyphen/>
      </w:r>
      <w:r w:rsidRPr="00DA298D">
        <w:rPr>
          <w:i/>
        </w:rPr>
        <w:t xml:space="preserve">17 </w:t>
      </w:r>
      <w:r w:rsidR="00BC74CD" w:rsidRPr="00DA298D">
        <w:rPr>
          <w:i/>
        </w:rPr>
        <w:t>State of Victoria’s</w:t>
      </w:r>
      <w:r w:rsidRPr="00DA298D">
        <w:rPr>
          <w:i/>
        </w:rPr>
        <w:t xml:space="preserve"> Annual Financial Report</w:t>
      </w:r>
      <w:r w:rsidRPr="00DA298D">
        <w:t>.</w:t>
      </w:r>
    </w:p>
    <w:p w:rsidR="00D01A14" w:rsidRPr="00DA298D" w:rsidRDefault="00D01A14" w:rsidP="00D01A14">
      <w:pPr>
        <w:pStyle w:val="Heading4"/>
      </w:pPr>
      <w:r w:rsidRPr="00DA298D">
        <w:lastRenderedPageBreak/>
        <w:t>Data collection process for 2017</w:t>
      </w:r>
      <w:r w:rsidR="00314CE6" w:rsidRPr="00DA298D">
        <w:noBreakHyphen/>
      </w:r>
      <w:r w:rsidRPr="00DA298D">
        <w:t>18</w:t>
      </w:r>
    </w:p>
    <w:p w:rsidR="00D01A14" w:rsidRPr="00DA298D" w:rsidRDefault="00D01A14" w:rsidP="0024195A">
      <w:pPr>
        <w:keepNext/>
      </w:pPr>
      <w:r w:rsidRPr="00DA298D">
        <w:t>As not all not</w:t>
      </w:r>
      <w:r w:rsidR="00314CE6" w:rsidRPr="00DA298D">
        <w:noBreakHyphen/>
      </w:r>
      <w:r w:rsidRPr="00DA298D">
        <w:t>for</w:t>
      </w:r>
      <w:r w:rsidR="00314CE6" w:rsidRPr="00DA298D">
        <w:noBreakHyphen/>
      </w:r>
      <w:r w:rsidRPr="00DA298D">
        <w:t>profit public sector entities within the St</w:t>
      </w:r>
      <w:r w:rsidR="0061360C" w:rsidRPr="00DA298D">
        <w:t>ate have 30 June year ends (e.g. 31 December for</w:t>
      </w:r>
      <w:r w:rsidRPr="00DA298D">
        <w:t xml:space="preserve"> TAFES</w:t>
      </w:r>
      <w:r w:rsidR="0061360C" w:rsidRPr="00DA298D">
        <w:t xml:space="preserve"> and Alpines</w:t>
      </w:r>
      <w:r w:rsidRPr="00DA298D">
        <w:t xml:space="preserve">), information from </w:t>
      </w:r>
      <w:r w:rsidR="00C65206" w:rsidRPr="00DA298D">
        <w:t>c</w:t>
      </w:r>
      <w:r w:rsidRPr="00DA298D">
        <w:t xml:space="preserve">abinet ministers must be collected twice in each financial year to support the compliance and preparation of financial reports. </w:t>
      </w:r>
    </w:p>
    <w:p w:rsidR="00D01A14" w:rsidRPr="00DA298D" w:rsidRDefault="00D01A14" w:rsidP="00D01A14">
      <w:r w:rsidRPr="00DA298D">
        <w:t>The first submission cover</w:t>
      </w:r>
      <w:r w:rsidR="00BD2B94" w:rsidRPr="00DA298D">
        <w:t>s</w:t>
      </w:r>
      <w:r w:rsidRPr="00DA298D">
        <w:t xml:space="preserve"> the period 1 July 2017 to 31 December 2017. </w:t>
      </w:r>
      <w:r w:rsidR="00DA4810" w:rsidRPr="00DA298D">
        <w:t xml:space="preserve">A request to complete the declaration certificates was issued to all </w:t>
      </w:r>
      <w:r w:rsidR="00C65206" w:rsidRPr="00DA298D">
        <w:t>m</w:t>
      </w:r>
      <w:r w:rsidR="00DA4810" w:rsidRPr="00DA298D">
        <w:t xml:space="preserve">inisters in early December 2017 and is required to be completed and submitted in the secure portal by </w:t>
      </w:r>
      <w:r w:rsidR="00DA4810" w:rsidRPr="00DA298D">
        <w:rPr>
          <w:b/>
        </w:rPr>
        <w:t>29 January 2018</w:t>
      </w:r>
      <w:r w:rsidR="00DA4810" w:rsidRPr="00DA298D">
        <w:t xml:space="preserve">. </w:t>
      </w:r>
      <w:r w:rsidRPr="00DA298D">
        <w:t xml:space="preserve">The second submission will cover the period 1 January 2018 to 30 June 2018. All </w:t>
      </w:r>
      <w:r w:rsidR="00C65206" w:rsidRPr="00DA298D">
        <w:t>m</w:t>
      </w:r>
      <w:r w:rsidRPr="00DA298D">
        <w:t xml:space="preserve">inisters will be required to complete and submit their certificates by </w:t>
      </w:r>
      <w:r w:rsidRPr="00DA298D">
        <w:rPr>
          <w:b/>
        </w:rPr>
        <w:t>13 July 2018</w:t>
      </w:r>
      <w:r w:rsidRPr="00DA298D">
        <w:t>.</w:t>
      </w:r>
    </w:p>
    <w:p w:rsidR="00D01A14" w:rsidRPr="00DA298D" w:rsidRDefault="00D01A14" w:rsidP="00D01A14">
      <w:r w:rsidRPr="00DA298D">
        <w:t xml:space="preserve">Entities are encouraged to implement a similar data collection process for their executive </w:t>
      </w:r>
      <w:r w:rsidR="00F71CFC" w:rsidRPr="00DA298D">
        <w:t>k</w:t>
      </w:r>
      <w:r w:rsidRPr="00DA298D">
        <w:t xml:space="preserve">ey </w:t>
      </w:r>
      <w:r w:rsidR="00F71CFC" w:rsidRPr="00DA298D">
        <w:t>m</w:t>
      </w:r>
      <w:r w:rsidRPr="00DA298D">
        <w:t xml:space="preserve">anagement </w:t>
      </w:r>
      <w:r w:rsidR="00F71CFC" w:rsidRPr="00DA298D">
        <w:t>p</w:t>
      </w:r>
      <w:r w:rsidRPr="00DA298D">
        <w:t>ersonnel (KMP).</w:t>
      </w:r>
      <w:r w:rsidR="000F5A54" w:rsidRPr="00DA298D">
        <w:t xml:space="preserve"> </w:t>
      </w:r>
    </w:p>
    <w:p w:rsidR="00C7031C" w:rsidRPr="00DA298D" w:rsidRDefault="00C7031C" w:rsidP="00C7031C">
      <w:pPr>
        <w:pStyle w:val="Heading4"/>
      </w:pPr>
      <w:r w:rsidRPr="00DA298D">
        <w:t>Capturing KMP movements</w:t>
      </w:r>
    </w:p>
    <w:p w:rsidR="00C7031C" w:rsidRPr="00DA298D" w:rsidRDefault="00C7031C" w:rsidP="00C7031C">
      <w:pPr>
        <w:keepNext/>
        <w:spacing w:before="120"/>
      </w:pPr>
      <w:r w:rsidRPr="00DA298D">
        <w:t>Entities are reminded that the disclosure for the 2017</w:t>
      </w:r>
      <w:r w:rsidRPr="00DA298D">
        <w:noBreakHyphen/>
        <w:t>18 reporting period will need to capture all KMP appointed during the period, including any recent appointments and departures. As such, a process will need to be implemented to ensure declarations can be adequately obtained.</w:t>
      </w:r>
    </w:p>
    <w:p w:rsidR="00C7031C" w:rsidRPr="00C77D1F" w:rsidRDefault="00C7031C" w:rsidP="00C7031C">
      <w:r w:rsidRPr="00DA298D">
        <w:t>DTF is working with the Department of Premier and Cabinet (DPC) to obtain completed declarations from mini</w:t>
      </w:r>
      <w:r w:rsidRPr="00C77D1F">
        <w:t xml:space="preserve">sters who have departed since 1 July 2017. Going forward, DTF and DPC will seek to facilitate a process to ensure declarations are obtained prior to, and following the state election in November 2018. </w:t>
      </w:r>
    </w:p>
    <w:p w:rsidR="00C7031C" w:rsidRPr="00C77D1F" w:rsidRDefault="00C7031C" w:rsidP="00C7031C">
      <w:pPr>
        <w:pStyle w:val="Heading4"/>
      </w:pPr>
      <w:r w:rsidRPr="00C77D1F">
        <w:t>Guidance information</w:t>
      </w:r>
    </w:p>
    <w:p w:rsidR="00C7031C" w:rsidRPr="00C77D1F" w:rsidRDefault="00C7031C" w:rsidP="00C7031C">
      <w:pPr>
        <w:keepNext/>
        <w:spacing w:before="120"/>
      </w:pPr>
      <w:r w:rsidRPr="00C77D1F">
        <w:t xml:space="preserve">Guidance information to assist entities with the implementation of this standard is available in prior versions of the Accounting Policy update newsletter, and in the ‘Financial Reporting Policy’ section of DTF’s website at </w:t>
      </w:r>
      <w:hyperlink r:id="rId15" w:history="1">
        <w:r w:rsidRPr="00C77D1F">
          <w:rPr>
            <w:rStyle w:val="Hyperlink"/>
          </w:rPr>
          <w:t>www.dtf.vic.gov.au/AASB-124-Related-Party-Disclosures</w:t>
        </w:r>
      </w:hyperlink>
      <w:r w:rsidRPr="00C77D1F">
        <w:t>.</w:t>
      </w:r>
    </w:p>
    <w:p w:rsidR="00D80D54" w:rsidRPr="00C77D1F" w:rsidRDefault="00D80D54" w:rsidP="00D80D54">
      <w:pPr>
        <w:pStyle w:val="Heading3"/>
      </w:pPr>
      <w:r w:rsidRPr="00C77D1F">
        <w:t>Interim valuation assessments</w:t>
      </w:r>
    </w:p>
    <w:p w:rsidR="00D80D54" w:rsidRPr="00DA298D" w:rsidRDefault="00D80D54" w:rsidP="00D80D54">
      <w:pPr>
        <w:keepNext/>
        <w:spacing w:before="120"/>
      </w:pPr>
      <w:r w:rsidRPr="00C77D1F">
        <w:t>The increased granularity in the land indices for selected metropolitan areas provided by the Valuer</w:t>
      </w:r>
      <w:r w:rsidRPr="00C77D1F">
        <w:noBreakHyphen/>
        <w:t>General Victoria (VGV) since December 201</w:t>
      </w:r>
      <w:r w:rsidRPr="00DA298D">
        <w:t>6 to provide a more representative indicator of land values for each postcode, has resulted in the cumulative fair value movements for land exceeding the 40 per cent threshold for some departments, triggering the need to undertake a formal valuation for that class of assets</w:t>
      </w:r>
      <w:r w:rsidR="00B14279">
        <w:t xml:space="preserve"> immediately (which may be earlier than the formal fifth valuation year)</w:t>
      </w:r>
      <w:r w:rsidRPr="00DA298D">
        <w:t>. In most instances, this seems to occur most frequently in the fourth year of the five year formal valuation cycle. You are reminded that you should have already conducted your 2017</w:t>
      </w:r>
      <w:r w:rsidRPr="00DA298D">
        <w:noBreakHyphen/>
        <w:t>18 interim valuation assessments using the October 2017 indices as a preliminary indicator to assess how the fair values for land have moved for the period, prior to finalising your valuation assessment using the April indices.</w:t>
      </w:r>
    </w:p>
    <w:p w:rsidR="00D80D54" w:rsidRPr="00DA298D" w:rsidRDefault="00D80D54" w:rsidP="00D80D54">
      <w:r w:rsidRPr="00DA298D">
        <w:t>For more information on interim valuation assessments and an example of how to assess your fair value movements on a cumulative basis, please refer to our December 2016 Newsletter, Edition No. 31</w:t>
      </w:r>
      <w:r>
        <w:t xml:space="preserve"> at </w:t>
      </w:r>
      <w:hyperlink r:id="rId16" w:history="1">
        <w:r>
          <w:rPr>
            <w:rStyle w:val="Hyperlink"/>
          </w:rPr>
          <w:t>www.dtf.vic.gov.au/Accounting-policy-newsletters</w:t>
        </w:r>
      </w:hyperlink>
      <w:r>
        <w:t>.</w:t>
      </w:r>
    </w:p>
    <w:p w:rsidR="00BC08E2" w:rsidRPr="00DA298D" w:rsidRDefault="00BC08E2" w:rsidP="00BC08E2">
      <w:pPr>
        <w:pStyle w:val="Heading2"/>
        <w:rPr>
          <w:color w:val="auto"/>
        </w:rPr>
      </w:pPr>
      <w:r w:rsidRPr="00DA298D">
        <w:t xml:space="preserve">Financial reporting directions and guidance notes </w:t>
      </w:r>
    </w:p>
    <w:p w:rsidR="00D01A14" w:rsidRPr="00DA298D" w:rsidRDefault="00D01A14" w:rsidP="00D01A14">
      <w:bookmarkStart w:id="9" w:name="_Toc424822614"/>
      <w:bookmarkStart w:id="10" w:name="_Toc452724750"/>
      <w:r w:rsidRPr="00DA298D">
        <w:t xml:space="preserve">Since the last newsletter, no further updates have been made to Financial Reporting Directions (FRDs). </w:t>
      </w:r>
    </w:p>
    <w:p w:rsidR="00D01A14" w:rsidRPr="00DA298D" w:rsidRDefault="00AB7DDC" w:rsidP="00D01A14">
      <w:r w:rsidRPr="00DA298D">
        <w:t>Changes</w:t>
      </w:r>
      <w:r w:rsidR="00D01A14" w:rsidRPr="00DA298D">
        <w:t xml:space="preserve"> </w:t>
      </w:r>
      <w:r w:rsidRPr="00DA298D">
        <w:t>are proposed for</w:t>
      </w:r>
      <w:r w:rsidR="00D01A14" w:rsidRPr="00DA298D">
        <w:t xml:space="preserve"> the following FRDs, applicable for the 2017</w:t>
      </w:r>
      <w:r w:rsidR="00314CE6" w:rsidRPr="00DA298D">
        <w:noBreakHyphen/>
      </w:r>
      <w:r w:rsidR="00D01A14" w:rsidRPr="00DA298D">
        <w:t>18</w:t>
      </w:r>
      <w:r w:rsidR="00AE4AA1" w:rsidRPr="00DA298D">
        <w:t xml:space="preserve"> reporting period</w:t>
      </w:r>
      <w:r w:rsidR="00D01A14" w:rsidRPr="00DA298D">
        <w:t xml:space="preserve">: </w:t>
      </w:r>
    </w:p>
    <w:p w:rsidR="00D01A14" w:rsidRPr="00DA298D" w:rsidRDefault="00314CE6" w:rsidP="00552BF5">
      <w:pPr>
        <w:pStyle w:val="Bullet1"/>
      </w:pPr>
      <w:r w:rsidRPr="00DA298D">
        <w:t>FRD </w:t>
      </w:r>
      <w:r w:rsidR="00D01A14" w:rsidRPr="00DA298D">
        <w:t xml:space="preserve">15D </w:t>
      </w:r>
      <w:r w:rsidR="00D01A14" w:rsidRPr="00DA298D">
        <w:rPr>
          <w:i/>
        </w:rPr>
        <w:t>Executive officer disclosures in the Report of Operations</w:t>
      </w:r>
      <w:r w:rsidR="00D01A14" w:rsidRPr="00DA298D">
        <w:t xml:space="preserve">; </w:t>
      </w:r>
    </w:p>
    <w:p w:rsidR="00654356" w:rsidRPr="00DA298D" w:rsidRDefault="00314CE6" w:rsidP="00552BF5">
      <w:pPr>
        <w:pStyle w:val="Bullet1"/>
      </w:pPr>
      <w:r w:rsidRPr="00DA298D">
        <w:t>FRD </w:t>
      </w:r>
      <w:r w:rsidR="00D01A14" w:rsidRPr="00DA298D">
        <w:t xml:space="preserve">29B </w:t>
      </w:r>
      <w:r w:rsidR="00D01A14" w:rsidRPr="00DA298D">
        <w:rPr>
          <w:i/>
        </w:rPr>
        <w:t>Workforce data disclosures in the Report of Operations</w:t>
      </w:r>
      <w:r w:rsidR="00D01A14" w:rsidRPr="00DA298D">
        <w:t xml:space="preserve">; </w:t>
      </w:r>
    </w:p>
    <w:p w:rsidR="00D01A14" w:rsidRPr="00DA298D" w:rsidRDefault="00314CE6" w:rsidP="00552BF5">
      <w:pPr>
        <w:pStyle w:val="Bullet1"/>
      </w:pPr>
      <w:r w:rsidRPr="00DA298D">
        <w:t>FRD </w:t>
      </w:r>
      <w:r w:rsidR="00D01A14" w:rsidRPr="00DA298D">
        <w:t>24C</w:t>
      </w:r>
      <w:r w:rsidR="000F5A54" w:rsidRPr="00DA298D">
        <w:t xml:space="preserve"> </w:t>
      </w:r>
      <w:r w:rsidR="00D01A14" w:rsidRPr="00DA298D">
        <w:rPr>
          <w:i/>
        </w:rPr>
        <w:t>Reporting of office</w:t>
      </w:r>
      <w:r w:rsidRPr="00DA298D">
        <w:rPr>
          <w:i/>
        </w:rPr>
        <w:noBreakHyphen/>
      </w:r>
      <w:r w:rsidR="00D01A14" w:rsidRPr="00DA298D">
        <w:rPr>
          <w:i/>
        </w:rPr>
        <w:t>based environment</w:t>
      </w:r>
      <w:r w:rsidR="00654356" w:rsidRPr="00DA298D">
        <w:rPr>
          <w:i/>
        </w:rPr>
        <w:t>al data by government entities</w:t>
      </w:r>
      <w:r w:rsidR="00654356" w:rsidRPr="00DA298D">
        <w:t xml:space="preserve">; and </w:t>
      </w:r>
    </w:p>
    <w:p w:rsidR="0077479B" w:rsidRPr="00DA298D" w:rsidRDefault="00314CE6" w:rsidP="00552BF5">
      <w:pPr>
        <w:pStyle w:val="Bullet1"/>
      </w:pPr>
      <w:r w:rsidRPr="00DA298D">
        <w:t>FRD </w:t>
      </w:r>
      <w:r w:rsidR="0077479B" w:rsidRPr="00DA298D">
        <w:t>103</w:t>
      </w:r>
      <w:r w:rsidR="00264333" w:rsidRPr="00DA298D">
        <w:t xml:space="preserve">F </w:t>
      </w:r>
      <w:r w:rsidR="00654356" w:rsidRPr="00DA298D">
        <w:rPr>
          <w:i/>
        </w:rPr>
        <w:t>Non</w:t>
      </w:r>
      <w:r w:rsidRPr="00DA298D">
        <w:rPr>
          <w:i/>
        </w:rPr>
        <w:noBreakHyphen/>
      </w:r>
      <w:r w:rsidR="00654356" w:rsidRPr="00DA298D">
        <w:rPr>
          <w:i/>
        </w:rPr>
        <w:t>financial physical assets</w:t>
      </w:r>
      <w:r w:rsidR="00654356" w:rsidRPr="00DA298D">
        <w:t xml:space="preserve">. </w:t>
      </w:r>
    </w:p>
    <w:p w:rsidR="00D01A14" w:rsidRPr="00DA298D" w:rsidRDefault="00314CE6" w:rsidP="0024195A">
      <w:pPr>
        <w:pStyle w:val="Heading3"/>
      </w:pPr>
      <w:r w:rsidRPr="00DA298D">
        <w:t>FRD </w:t>
      </w:r>
      <w:r w:rsidR="00D01A14" w:rsidRPr="00DA298D">
        <w:t xml:space="preserve">15D and </w:t>
      </w:r>
      <w:r w:rsidRPr="00DA298D">
        <w:t>FRD </w:t>
      </w:r>
      <w:r w:rsidR="00D01A14" w:rsidRPr="00DA298D">
        <w:t>29B</w:t>
      </w:r>
    </w:p>
    <w:p w:rsidR="00D01A14" w:rsidRPr="00DA298D" w:rsidRDefault="00D01A14" w:rsidP="0024195A">
      <w:pPr>
        <w:keepNext/>
      </w:pPr>
      <w:r w:rsidRPr="00DA298D">
        <w:t xml:space="preserve">The Integrity and Corporate Reform Subcommittee of the Victorian Secretaries Board endorsed a new policy and standard model for collecting and reporting on staff gender information in the VPS. The policy and standard model provides a framework for VPS organisations to collect and report on staff </w:t>
      </w:r>
      <w:r w:rsidR="005A023E" w:rsidRPr="00DA298D">
        <w:t xml:space="preserve">who identify as </w:t>
      </w:r>
      <w:r w:rsidRPr="00DA298D">
        <w:t>gender</w:t>
      </w:r>
      <w:r w:rsidR="005A023E" w:rsidRPr="00DA298D">
        <w:t xml:space="preserve"> diverse</w:t>
      </w:r>
      <w:r w:rsidRPr="00DA298D">
        <w:t xml:space="preserve">. </w:t>
      </w:r>
    </w:p>
    <w:p w:rsidR="00D01A14" w:rsidRPr="00DA298D" w:rsidRDefault="00D01A14" w:rsidP="00D01A14">
      <w:r w:rsidRPr="00DA298D">
        <w:t xml:space="preserve">In line with the policy, the proposed revisions </w:t>
      </w:r>
      <w:r w:rsidR="005A023E" w:rsidRPr="00DA298D">
        <w:t>will</w:t>
      </w:r>
      <w:r w:rsidRPr="00DA298D">
        <w:t xml:space="preserve"> recognise three gender categories: women, men and self</w:t>
      </w:r>
      <w:r w:rsidR="00314CE6" w:rsidRPr="00DA298D">
        <w:noBreakHyphen/>
      </w:r>
      <w:r w:rsidRPr="00DA298D">
        <w:t xml:space="preserve">described when reporting on gender for executive officers under </w:t>
      </w:r>
      <w:r w:rsidR="00314CE6" w:rsidRPr="00DA298D">
        <w:t>FRD </w:t>
      </w:r>
      <w:r w:rsidRPr="00DA298D">
        <w:t xml:space="preserve">15D, and the workforce under </w:t>
      </w:r>
      <w:r w:rsidR="00314CE6" w:rsidRPr="00DA298D">
        <w:t>FRD </w:t>
      </w:r>
      <w:r w:rsidRPr="00DA298D">
        <w:t xml:space="preserve">29B. </w:t>
      </w:r>
    </w:p>
    <w:p w:rsidR="00D01A14" w:rsidRPr="00DA298D" w:rsidRDefault="00D01A14" w:rsidP="00D01A14">
      <w:r w:rsidRPr="00DA298D">
        <w:t>The proposed revisions will</w:t>
      </w:r>
      <w:r w:rsidR="00A845CA" w:rsidRPr="00DA298D">
        <w:t xml:space="preserve"> be recommended for the 2017</w:t>
      </w:r>
      <w:r w:rsidR="00314CE6" w:rsidRPr="00DA298D">
        <w:noBreakHyphen/>
      </w:r>
      <w:r w:rsidR="00A845CA" w:rsidRPr="00DA298D">
        <w:t>18 and 2018</w:t>
      </w:r>
      <w:r w:rsidR="00314CE6" w:rsidRPr="00DA298D">
        <w:noBreakHyphen/>
      </w:r>
      <w:r w:rsidR="00A845CA" w:rsidRPr="00DA298D">
        <w:t xml:space="preserve">19 </w:t>
      </w:r>
      <w:r w:rsidRPr="00DA298D">
        <w:t>reporting periods, and will be mandatory for all public service bodies from 2019</w:t>
      </w:r>
      <w:r w:rsidR="00314CE6" w:rsidRPr="00DA298D">
        <w:noBreakHyphen/>
      </w:r>
      <w:r w:rsidRPr="00DA298D">
        <w:t xml:space="preserve">20 onwards. </w:t>
      </w:r>
    </w:p>
    <w:p w:rsidR="00D01A14" w:rsidRPr="00DA298D" w:rsidRDefault="00314CE6" w:rsidP="0024195A">
      <w:pPr>
        <w:pStyle w:val="Heading3"/>
      </w:pPr>
      <w:r w:rsidRPr="00DA298D">
        <w:t>FRD </w:t>
      </w:r>
      <w:r w:rsidR="00D01A14" w:rsidRPr="00DA298D">
        <w:t>24C</w:t>
      </w:r>
    </w:p>
    <w:p w:rsidR="00D01A14" w:rsidRPr="00DA298D" w:rsidRDefault="00314CE6" w:rsidP="00D01A14">
      <w:r w:rsidRPr="00DA298D">
        <w:t>FRD </w:t>
      </w:r>
      <w:r w:rsidR="00D01A14" w:rsidRPr="00DA298D">
        <w:t xml:space="preserve">24C requires entities to report on the consumption of resources and greenhouse gas emissions. DTF </w:t>
      </w:r>
      <w:r w:rsidR="00937BAF" w:rsidRPr="00DA298D">
        <w:t xml:space="preserve">will work </w:t>
      </w:r>
      <w:r w:rsidR="00D01A14" w:rsidRPr="00DA298D">
        <w:t xml:space="preserve"> with the Department of Environment, Land, Water and Planning (DELWP) to update references in the </w:t>
      </w:r>
      <w:r w:rsidRPr="00DA298D">
        <w:t>FRD </w:t>
      </w:r>
      <w:r w:rsidR="00D01A14" w:rsidRPr="00DA298D">
        <w:t xml:space="preserve">to align with the </w:t>
      </w:r>
      <w:r w:rsidR="005A023E" w:rsidRPr="00DA298D">
        <w:t xml:space="preserve">Commonwealth’s </w:t>
      </w:r>
      <w:r w:rsidR="00D01A14" w:rsidRPr="00DA298D">
        <w:t xml:space="preserve">revised environmental benchmarks. </w:t>
      </w:r>
    </w:p>
    <w:p w:rsidR="007618A0" w:rsidRPr="00DA298D" w:rsidRDefault="00314CE6" w:rsidP="0024195A">
      <w:pPr>
        <w:pStyle w:val="Heading3"/>
      </w:pPr>
      <w:r w:rsidRPr="00DA298D">
        <w:t>FRD </w:t>
      </w:r>
      <w:r w:rsidR="007618A0" w:rsidRPr="00DA298D">
        <w:t>103</w:t>
      </w:r>
      <w:r w:rsidR="009944F5" w:rsidRPr="00DA298D">
        <w:t>F</w:t>
      </w:r>
    </w:p>
    <w:p w:rsidR="00692B4B" w:rsidRPr="00DA298D" w:rsidRDefault="001D75D0" w:rsidP="00291C69">
      <w:pPr>
        <w:rPr>
          <w:lang w:val="en-US"/>
        </w:rPr>
      </w:pPr>
      <w:r w:rsidRPr="00DA298D">
        <w:t xml:space="preserve">DTF </w:t>
      </w:r>
      <w:r w:rsidR="007754E2" w:rsidRPr="00DA298D">
        <w:rPr>
          <w:lang w:val="en-US"/>
        </w:rPr>
        <w:t>will be making some</w:t>
      </w:r>
      <w:r w:rsidR="00075472" w:rsidRPr="00DA298D">
        <w:rPr>
          <w:lang w:val="en-US"/>
        </w:rPr>
        <w:t xml:space="preserve"> general improvements </w:t>
      </w:r>
      <w:r w:rsidR="00594F97" w:rsidRPr="00DA298D">
        <w:rPr>
          <w:lang w:val="en-US"/>
        </w:rPr>
        <w:t>to</w:t>
      </w:r>
      <w:r w:rsidR="00075472" w:rsidRPr="00DA298D">
        <w:rPr>
          <w:lang w:val="en-US"/>
        </w:rPr>
        <w:t xml:space="preserve"> </w:t>
      </w:r>
      <w:r w:rsidR="00314CE6" w:rsidRPr="00DA298D">
        <w:rPr>
          <w:lang w:val="en-US"/>
        </w:rPr>
        <w:t>FRD </w:t>
      </w:r>
      <w:r w:rsidR="00594F97" w:rsidRPr="00DA298D">
        <w:rPr>
          <w:lang w:val="en-US"/>
        </w:rPr>
        <w:t xml:space="preserve">103F to </w:t>
      </w:r>
      <w:r w:rsidR="00291C69" w:rsidRPr="00DA298D">
        <w:rPr>
          <w:lang w:val="en-US"/>
        </w:rPr>
        <w:t xml:space="preserve">enhance clarity and readability. The </w:t>
      </w:r>
      <w:r w:rsidR="00314CE6" w:rsidRPr="00DA298D">
        <w:rPr>
          <w:lang w:val="en-US"/>
        </w:rPr>
        <w:t>FRD </w:t>
      </w:r>
      <w:r w:rsidR="00291C69" w:rsidRPr="00DA298D">
        <w:rPr>
          <w:lang w:val="en-US"/>
        </w:rPr>
        <w:t xml:space="preserve">will be streamlined to ensure it </w:t>
      </w:r>
      <w:r w:rsidR="00692B4B" w:rsidRPr="00DA298D">
        <w:rPr>
          <w:lang w:val="en-US"/>
        </w:rPr>
        <w:t xml:space="preserve">focuses </w:t>
      </w:r>
      <w:r w:rsidR="00702725" w:rsidRPr="00DA298D">
        <w:rPr>
          <w:lang w:val="en-US"/>
        </w:rPr>
        <w:t xml:space="preserve">on </w:t>
      </w:r>
      <w:r w:rsidR="00075472" w:rsidRPr="00DA298D">
        <w:rPr>
          <w:lang w:val="en-US"/>
        </w:rPr>
        <w:t>mandatory requirements</w:t>
      </w:r>
      <w:r w:rsidR="00291C69" w:rsidRPr="00DA298D">
        <w:rPr>
          <w:lang w:val="en-US"/>
        </w:rPr>
        <w:t xml:space="preserve">, and other information will be moved into </w:t>
      </w:r>
      <w:r w:rsidR="00AE4F5E" w:rsidRPr="00DA298D">
        <w:rPr>
          <w:lang w:val="en-US"/>
        </w:rPr>
        <w:t>supporting guidance/appendices</w:t>
      </w:r>
      <w:r w:rsidR="00291C69" w:rsidRPr="00DA298D">
        <w:rPr>
          <w:lang w:val="en-US"/>
        </w:rPr>
        <w:t xml:space="preserve">. Updates will </w:t>
      </w:r>
      <w:r w:rsidR="00AE4F5E" w:rsidRPr="00DA298D">
        <w:rPr>
          <w:lang w:val="en-US"/>
        </w:rPr>
        <w:t>also be made to reflect any relevant</w:t>
      </w:r>
      <w:r w:rsidR="00291C69" w:rsidRPr="00DA298D">
        <w:rPr>
          <w:lang w:val="en-US"/>
        </w:rPr>
        <w:t xml:space="preserve"> changes in accordance with </w:t>
      </w:r>
      <w:r w:rsidR="00AE4F5E" w:rsidRPr="00DA298D">
        <w:rPr>
          <w:lang w:val="en-US"/>
        </w:rPr>
        <w:t xml:space="preserve">current </w:t>
      </w:r>
      <w:r w:rsidR="00291C69" w:rsidRPr="00DA298D">
        <w:rPr>
          <w:lang w:val="en-US"/>
        </w:rPr>
        <w:t xml:space="preserve">accounting standards. </w:t>
      </w:r>
    </w:p>
    <w:p w:rsidR="00BC08E2" w:rsidRPr="00DA298D" w:rsidRDefault="00BC08E2" w:rsidP="00BC08E2">
      <w:pPr>
        <w:pStyle w:val="Heading1"/>
        <w:rPr>
          <w:color w:val="FF0000"/>
          <w:sz w:val="24"/>
        </w:rPr>
      </w:pPr>
      <w:bookmarkStart w:id="11" w:name="_Toc503348016"/>
      <w:r w:rsidRPr="00DA298D">
        <w:t>2017</w:t>
      </w:r>
      <w:r w:rsidR="00314CE6" w:rsidRPr="00DA298D">
        <w:noBreakHyphen/>
      </w:r>
      <w:r w:rsidRPr="00DA298D">
        <w:t>18 financial reporting legislation</w:t>
      </w:r>
      <w:bookmarkEnd w:id="9"/>
      <w:bookmarkEnd w:id="10"/>
      <w:r w:rsidRPr="00DA298D">
        <w:t xml:space="preserve"> </w:t>
      </w:r>
      <w:bookmarkEnd w:id="11"/>
    </w:p>
    <w:p w:rsidR="00D36D94" w:rsidRPr="00DA298D" w:rsidRDefault="00BC08E2" w:rsidP="0024195A">
      <w:pPr>
        <w:pStyle w:val="Heading2"/>
      </w:pPr>
      <w:r w:rsidRPr="00DA298D">
        <w:t>Standing Directions</w:t>
      </w:r>
      <w:r w:rsidR="00314CE6" w:rsidRPr="00DA298D">
        <w:t xml:space="preserve"> – annual report attestation</w:t>
      </w:r>
    </w:p>
    <w:p w:rsidR="00E92985" w:rsidRPr="00DA298D" w:rsidRDefault="00D36D94" w:rsidP="00E92985">
      <w:pPr>
        <w:autoSpaceDE w:val="0"/>
        <w:autoSpaceDN w:val="0"/>
        <w:adjustRightInd w:val="0"/>
        <w:spacing w:before="120" w:after="120"/>
        <w:rPr>
          <w:rFonts w:cstheme="minorHAnsi"/>
          <w:spacing w:val="0"/>
          <w:szCs w:val="18"/>
        </w:rPr>
      </w:pPr>
      <w:r w:rsidRPr="00DA298D">
        <w:rPr>
          <w:rFonts w:cstheme="minorHAnsi"/>
          <w:spacing w:val="0"/>
          <w:szCs w:val="18"/>
        </w:rPr>
        <w:t xml:space="preserve">The </w:t>
      </w:r>
      <w:r w:rsidRPr="00DA298D">
        <w:rPr>
          <w:rFonts w:cstheme="minorHAnsi"/>
          <w:i/>
          <w:iCs/>
          <w:spacing w:val="0"/>
          <w:szCs w:val="18"/>
        </w:rPr>
        <w:t>Standing Directions of the Minister for Finance 2016</w:t>
      </w:r>
      <w:r w:rsidRPr="00DA298D">
        <w:rPr>
          <w:rFonts w:cstheme="minorHAnsi"/>
          <w:spacing w:val="0"/>
          <w:szCs w:val="18"/>
        </w:rPr>
        <w:t xml:space="preserve"> (2016 Standing Directions) require formal attestation statements in agency annual reports. In the current 2017</w:t>
      </w:r>
      <w:r w:rsidR="00314CE6" w:rsidRPr="00DA298D">
        <w:rPr>
          <w:rFonts w:cstheme="minorHAnsi"/>
          <w:spacing w:val="0"/>
          <w:szCs w:val="18"/>
        </w:rPr>
        <w:noBreakHyphen/>
      </w:r>
      <w:r w:rsidRPr="00DA298D">
        <w:rPr>
          <w:rFonts w:cstheme="minorHAnsi"/>
          <w:spacing w:val="0"/>
          <w:szCs w:val="18"/>
        </w:rPr>
        <w:t>18 reporting period</w:t>
      </w:r>
      <w:r w:rsidR="00D717E3" w:rsidRPr="00DA298D">
        <w:rPr>
          <w:rFonts w:cstheme="minorHAnsi"/>
          <w:spacing w:val="0"/>
          <w:szCs w:val="18"/>
        </w:rPr>
        <w:t>,</w:t>
      </w:r>
      <w:r w:rsidRPr="00DA298D">
        <w:rPr>
          <w:rFonts w:cstheme="minorHAnsi"/>
          <w:spacing w:val="0"/>
          <w:szCs w:val="18"/>
        </w:rPr>
        <w:t xml:space="preserve"> the requirements differ depending on the agency's annual reporting date.</w:t>
      </w:r>
    </w:p>
    <w:p w:rsidR="00D36D94" w:rsidRPr="00DA298D" w:rsidRDefault="00D36D94" w:rsidP="0024195A">
      <w:pPr>
        <w:pStyle w:val="Heading3"/>
      </w:pPr>
      <w:r w:rsidRPr="00DA298D">
        <w:t>31 December 2017 reporting date agencies</w:t>
      </w:r>
    </w:p>
    <w:p w:rsidR="00D36D94" w:rsidRPr="00DA298D" w:rsidRDefault="00D36D94" w:rsidP="000F5A54">
      <w:r w:rsidRPr="00DA298D">
        <w:t xml:space="preserve">These agencies are required to make </w:t>
      </w:r>
      <w:r w:rsidRPr="00DA298D">
        <w:rPr>
          <w:b/>
          <w:bCs/>
        </w:rPr>
        <w:t>two</w:t>
      </w:r>
      <w:r w:rsidRPr="00DA298D">
        <w:t xml:space="preserve"> separate attestation disclosures,</w:t>
      </w:r>
      <w:r w:rsidR="000F5A54" w:rsidRPr="00DA298D">
        <w:t xml:space="preserve"> </w:t>
      </w:r>
      <w:r w:rsidRPr="00DA298D">
        <w:t>one for each half</w:t>
      </w:r>
      <w:r w:rsidR="00D717E3" w:rsidRPr="00DA298D">
        <w:t>-</w:t>
      </w:r>
      <w:r w:rsidRPr="00DA298D">
        <w:t>year period, within their 2017</w:t>
      </w:r>
      <w:r w:rsidR="00D717E3" w:rsidRPr="00DA298D">
        <w:t>-18</w:t>
      </w:r>
      <w:r w:rsidRPr="00DA298D">
        <w:t xml:space="preserve"> annual report.</w:t>
      </w:r>
    </w:p>
    <w:p w:rsidR="00D36D94" w:rsidRPr="00DA298D" w:rsidRDefault="00DA4810" w:rsidP="000F5A54">
      <w:pPr>
        <w:rPr>
          <w:i/>
          <w:iCs/>
        </w:rPr>
      </w:pPr>
      <w:r w:rsidRPr="00DA298D">
        <w:t xml:space="preserve">For the period </w:t>
      </w:r>
      <w:r w:rsidRPr="00DA298D">
        <w:rPr>
          <w:b/>
          <w:bCs/>
        </w:rPr>
        <w:t xml:space="preserve">1 January 2017 </w:t>
      </w:r>
      <w:r w:rsidRPr="0082349F">
        <w:rPr>
          <w:bCs/>
        </w:rPr>
        <w:t>to</w:t>
      </w:r>
      <w:r w:rsidRPr="00DA298D">
        <w:rPr>
          <w:b/>
          <w:bCs/>
        </w:rPr>
        <w:t xml:space="preserve"> 30 June 2017</w:t>
      </w:r>
      <w:r w:rsidRPr="00DA298D">
        <w:t xml:space="preserve">, agencies must complete an attestation statement for </w:t>
      </w:r>
      <w:r w:rsidR="00EC7593" w:rsidRPr="00DA298D">
        <w:t>r</w:t>
      </w:r>
      <w:r w:rsidRPr="00DA298D">
        <w:t xml:space="preserve">isk management and </w:t>
      </w:r>
      <w:r w:rsidR="00EC7593" w:rsidRPr="00DA298D">
        <w:t>i</w:t>
      </w:r>
      <w:r w:rsidRPr="00DA298D">
        <w:t xml:space="preserve">nsurance as set out in the Victorian Government Risk Management Framework (VGRMF) mandated by Standing Direction 3.7.1. </w:t>
      </w:r>
      <w:r w:rsidR="0082710C" w:rsidRPr="00DA298D">
        <w:t xml:space="preserve">An attestation template is provided in the </w:t>
      </w:r>
      <w:r w:rsidR="0082710C" w:rsidRPr="00DA298D">
        <w:rPr>
          <w:i/>
          <w:iCs/>
        </w:rPr>
        <w:t>2016</w:t>
      </w:r>
      <w:r w:rsidR="00314CE6" w:rsidRPr="00DA298D">
        <w:rPr>
          <w:i/>
          <w:iCs/>
        </w:rPr>
        <w:noBreakHyphen/>
      </w:r>
      <w:r w:rsidR="0082710C" w:rsidRPr="00DA298D">
        <w:rPr>
          <w:i/>
          <w:iCs/>
        </w:rPr>
        <w:t>17 Model Report for Victorian Government Departments.</w:t>
      </w:r>
    </w:p>
    <w:p w:rsidR="00D36D94" w:rsidRPr="00DA298D" w:rsidRDefault="00DA4810" w:rsidP="000F5A54">
      <w:r w:rsidRPr="00DA298D">
        <w:t xml:space="preserve">For the period </w:t>
      </w:r>
      <w:r w:rsidRPr="00DA298D">
        <w:rPr>
          <w:b/>
          <w:bCs/>
        </w:rPr>
        <w:t xml:space="preserve">1 July 2017 </w:t>
      </w:r>
      <w:r w:rsidRPr="0082349F">
        <w:rPr>
          <w:bCs/>
        </w:rPr>
        <w:t>to</w:t>
      </w:r>
      <w:r w:rsidRPr="00DA298D">
        <w:rPr>
          <w:b/>
          <w:bCs/>
        </w:rPr>
        <w:t xml:space="preserve"> 31 December 2017</w:t>
      </w:r>
      <w:r w:rsidRPr="00DA298D">
        <w:t xml:space="preserve">, agencies must complete an attestation statement in relation to </w:t>
      </w:r>
      <w:r w:rsidRPr="00DA298D">
        <w:rPr>
          <w:b/>
          <w:bCs/>
        </w:rPr>
        <w:t>all</w:t>
      </w:r>
      <w:r w:rsidRPr="00DA298D">
        <w:t xml:space="preserve"> applicable 2016 Standing Directions and Instructions as required and in the form prescribed by </w:t>
      </w:r>
      <w:hyperlink r:id="rId17" w:history="1">
        <w:r w:rsidRPr="00DA298D">
          <w:t>Instruction 5.1, clause 2</w:t>
        </w:r>
      </w:hyperlink>
      <w:r w:rsidRPr="00DA298D">
        <w:t>.2.</w:t>
      </w:r>
    </w:p>
    <w:p w:rsidR="00E92985" w:rsidRPr="00DA298D" w:rsidRDefault="00D36D94" w:rsidP="00B82832">
      <w:pPr>
        <w:autoSpaceDE w:val="0"/>
        <w:autoSpaceDN w:val="0"/>
        <w:adjustRightInd w:val="0"/>
        <w:spacing w:before="0" w:after="0"/>
        <w:rPr>
          <w:rFonts w:cstheme="minorHAnsi"/>
          <w:spacing w:val="0"/>
          <w:szCs w:val="18"/>
        </w:rPr>
      </w:pPr>
      <w:r w:rsidRPr="00DA298D">
        <w:rPr>
          <w:rFonts w:cstheme="minorHAnsi"/>
          <w:spacing w:val="0"/>
          <w:szCs w:val="18"/>
        </w:rPr>
        <w:t xml:space="preserve">2017 is the final year that a separate </w:t>
      </w:r>
      <w:r w:rsidR="00A94164" w:rsidRPr="00DA298D">
        <w:rPr>
          <w:rFonts w:cstheme="minorHAnsi"/>
          <w:spacing w:val="0"/>
          <w:szCs w:val="18"/>
        </w:rPr>
        <w:t>r</w:t>
      </w:r>
      <w:r w:rsidRPr="00DA298D">
        <w:rPr>
          <w:rFonts w:cstheme="minorHAnsi"/>
          <w:spacing w:val="0"/>
          <w:szCs w:val="18"/>
        </w:rPr>
        <w:t xml:space="preserve">isk management and </w:t>
      </w:r>
      <w:r w:rsidR="00A5691F" w:rsidRPr="00DA298D">
        <w:rPr>
          <w:rFonts w:cstheme="minorHAnsi"/>
          <w:spacing w:val="0"/>
          <w:szCs w:val="18"/>
        </w:rPr>
        <w:t>i</w:t>
      </w:r>
      <w:r w:rsidRPr="00DA298D">
        <w:rPr>
          <w:rFonts w:cstheme="minorHAnsi"/>
          <w:spacing w:val="0"/>
          <w:szCs w:val="18"/>
        </w:rPr>
        <w:t>nsurance attestation is required.</w:t>
      </w:r>
    </w:p>
    <w:p w:rsidR="00D36D94" w:rsidRPr="00DA298D" w:rsidRDefault="00D36D94" w:rsidP="0024195A">
      <w:pPr>
        <w:pStyle w:val="Heading3"/>
      </w:pPr>
      <w:r w:rsidRPr="00DA298D">
        <w:t>30 June 2018 reporting date agencies</w:t>
      </w:r>
    </w:p>
    <w:p w:rsidR="00D36D94" w:rsidRPr="00DA298D" w:rsidRDefault="00D36D94" w:rsidP="000F5A54">
      <w:r w:rsidRPr="00DA298D">
        <w:t>For these agencies</w:t>
      </w:r>
      <w:r w:rsidR="00E92985" w:rsidRPr="00DA298D">
        <w:t>,</w:t>
      </w:r>
      <w:r w:rsidRPr="00DA298D">
        <w:t xml:space="preserve"> only </w:t>
      </w:r>
      <w:r w:rsidRPr="00DA298D">
        <w:rPr>
          <w:b/>
          <w:bCs/>
        </w:rPr>
        <w:t>one</w:t>
      </w:r>
      <w:r w:rsidRPr="00DA298D">
        <w:t xml:space="preserve"> attestation disclosure is required within the 2017</w:t>
      </w:r>
      <w:r w:rsidR="00314CE6" w:rsidRPr="00DA298D">
        <w:noBreakHyphen/>
      </w:r>
      <w:r w:rsidRPr="00DA298D">
        <w:t>18 annual report.</w:t>
      </w:r>
    </w:p>
    <w:p w:rsidR="00D36D94" w:rsidRPr="00DA298D" w:rsidRDefault="00D36D94" w:rsidP="000F5A54">
      <w:r w:rsidRPr="00DA298D">
        <w:t>For the period</w:t>
      </w:r>
      <w:r w:rsidRPr="00DA298D">
        <w:rPr>
          <w:b/>
          <w:bCs/>
        </w:rPr>
        <w:t xml:space="preserve"> 1 July 2017 </w:t>
      </w:r>
      <w:r w:rsidRPr="003A4896">
        <w:rPr>
          <w:bCs/>
        </w:rPr>
        <w:t>to</w:t>
      </w:r>
      <w:r w:rsidRPr="00DA298D">
        <w:rPr>
          <w:b/>
          <w:bCs/>
        </w:rPr>
        <w:t xml:space="preserve"> 30 June 2018</w:t>
      </w:r>
      <w:r w:rsidR="00D717E3" w:rsidRPr="00DA298D">
        <w:rPr>
          <w:b/>
          <w:bCs/>
        </w:rPr>
        <w:t>,</w:t>
      </w:r>
      <w:r w:rsidR="00314CE6" w:rsidRPr="00DA298D">
        <w:rPr>
          <w:b/>
          <w:bCs/>
        </w:rPr>
        <w:t xml:space="preserve"> </w:t>
      </w:r>
      <w:r w:rsidRPr="00DA298D">
        <w:t>agencies must complete a full year attestation statement in relation to</w:t>
      </w:r>
      <w:r w:rsidRPr="00DA298D">
        <w:rPr>
          <w:b/>
          <w:bCs/>
        </w:rPr>
        <w:t xml:space="preserve"> all </w:t>
      </w:r>
      <w:r w:rsidRPr="00DA298D">
        <w:t xml:space="preserve">applicable 2016 </w:t>
      </w:r>
      <w:r w:rsidR="00D717E3" w:rsidRPr="00DA298D">
        <w:t xml:space="preserve">Standing </w:t>
      </w:r>
      <w:r w:rsidRPr="00DA298D">
        <w:t xml:space="preserve">Directions and Instructions as required and in the form prescribed by </w:t>
      </w:r>
      <w:hyperlink r:id="rId18" w:history="1">
        <w:r w:rsidR="000F5A54" w:rsidRPr="00DA298D">
          <w:t>Instruction </w:t>
        </w:r>
        <w:r w:rsidRPr="00DA298D">
          <w:t>5.1, clause 2</w:t>
        </w:r>
      </w:hyperlink>
      <w:r w:rsidRPr="00DA298D">
        <w:t>.2.</w:t>
      </w:r>
    </w:p>
    <w:p w:rsidR="00D36D94" w:rsidRPr="00DA298D" w:rsidRDefault="00D36D94" w:rsidP="000F5A54">
      <w:r w:rsidRPr="00DA298D">
        <w:t xml:space="preserve">Accordingly, the previous </w:t>
      </w:r>
      <w:r w:rsidR="00314CE6" w:rsidRPr="00DA298D">
        <w:t xml:space="preserve">risk management and insurance </w:t>
      </w:r>
      <w:r w:rsidRPr="00DA298D">
        <w:t>attestation (under Standing Direction 3.7.1) will cease in the 2017</w:t>
      </w:r>
      <w:r w:rsidR="00314CE6" w:rsidRPr="00DA298D">
        <w:noBreakHyphen/>
      </w:r>
      <w:r w:rsidRPr="00DA298D">
        <w:t xml:space="preserve">18 year and become part of the overarching attestation statement with all applicable </w:t>
      </w:r>
      <w:r w:rsidR="003522AD" w:rsidRPr="00DA298D">
        <w:t>d</w:t>
      </w:r>
      <w:r w:rsidRPr="00DA298D">
        <w:t xml:space="preserve">irections and </w:t>
      </w:r>
      <w:r w:rsidR="003522AD" w:rsidRPr="00DA298D">
        <w:t>i</w:t>
      </w:r>
      <w:r w:rsidRPr="00DA298D">
        <w:t>nstructions.</w:t>
      </w:r>
    </w:p>
    <w:p w:rsidR="00D36D94" w:rsidRPr="00DA298D" w:rsidRDefault="00D36D94" w:rsidP="000F5A54">
      <w:r w:rsidRPr="00DA298D">
        <w:t xml:space="preserve">If you have any further queries on the Standing Directions, please direct your queries to the DTF Financial Frameworks team mailbox: </w:t>
      </w:r>
      <w:hyperlink r:id="rId19" w:history="1">
        <w:r w:rsidRPr="00DA298D">
          <w:rPr>
            <w:rStyle w:val="Hyperlink"/>
            <w:rFonts w:cstheme="minorHAnsi"/>
            <w:color w:val="auto"/>
            <w:spacing w:val="0"/>
            <w:szCs w:val="18"/>
          </w:rPr>
          <w:t>standing.directions@dtf.vic.gov.au</w:t>
        </w:r>
      </w:hyperlink>
      <w:r w:rsidRPr="00DA298D">
        <w:t>.</w:t>
      </w:r>
    </w:p>
    <w:p w:rsidR="00BC08E2" w:rsidRPr="00DA298D" w:rsidRDefault="00BC08E2" w:rsidP="0024195A">
      <w:pPr>
        <w:pStyle w:val="Heading2"/>
        <w:rPr>
          <w:color w:val="FF0000"/>
        </w:rPr>
      </w:pPr>
      <w:r w:rsidRPr="00DA298D">
        <w:t xml:space="preserve">Superannuation Guarantee Levy </w:t>
      </w:r>
    </w:p>
    <w:p w:rsidR="00516080" w:rsidRPr="00DA298D" w:rsidRDefault="00516080" w:rsidP="000F5A54">
      <w:r w:rsidRPr="00DA298D">
        <w:t xml:space="preserve">There has been no change to the Superannuation Guarantee Levy (SGL) schedule since the last update on the SGL in the December 2016 newsletter edition. Consistent with the </w:t>
      </w:r>
      <w:r w:rsidRPr="00DA298D">
        <w:rPr>
          <w:i/>
        </w:rPr>
        <w:t>Minerals Resource Rent Tax Repeal and Other Measures Act 2014</w:t>
      </w:r>
      <w:r w:rsidRPr="00DA298D">
        <w:t xml:space="preserve"> passed in September 2014, the future SGL rates will remain at 9.5 </w:t>
      </w:r>
      <w:r w:rsidR="00FA6104" w:rsidRPr="00DA298D">
        <w:t>per cent</w:t>
      </w:r>
      <w:r w:rsidRPr="00DA298D">
        <w:t xml:space="preserve"> until 2021, before increasing by 0.5 per</w:t>
      </w:r>
      <w:r w:rsidR="00FA6104" w:rsidRPr="00DA298D">
        <w:t xml:space="preserve"> </w:t>
      </w:r>
      <w:r w:rsidRPr="00DA298D">
        <w:t>cent annually between 2021</w:t>
      </w:r>
      <w:r w:rsidR="00314CE6" w:rsidRPr="00DA298D">
        <w:noBreakHyphen/>
      </w:r>
      <w:r w:rsidRPr="00DA298D">
        <w:t>2025.</w:t>
      </w:r>
      <w:r w:rsidR="000F5A54" w:rsidRPr="00DA298D">
        <w:t xml:space="preserve"> </w:t>
      </w:r>
    </w:p>
    <w:p w:rsidR="00516080" w:rsidRPr="00DA298D" w:rsidRDefault="00516080" w:rsidP="00D00093">
      <w:pPr>
        <w:rPr>
          <w:rFonts w:ascii="Arial" w:hAnsi="Arial" w:cs="Arial"/>
          <w:szCs w:val="24"/>
        </w:rPr>
      </w:pPr>
      <w:r w:rsidRPr="00DA298D">
        <w:rPr>
          <w:rFonts w:ascii="Arial" w:hAnsi="Arial" w:cs="Arial"/>
          <w:szCs w:val="24"/>
        </w:rPr>
        <w:t xml:space="preserve">The next SGL rate change for departments and agencies will be effective from 1 July 2021 when the rate will increase to 10 </w:t>
      </w:r>
      <w:r w:rsidR="00FA6104" w:rsidRPr="00DA298D">
        <w:rPr>
          <w:rFonts w:ascii="Arial" w:hAnsi="Arial" w:cs="Arial"/>
          <w:szCs w:val="24"/>
        </w:rPr>
        <w:t>per cent</w:t>
      </w:r>
      <w:r w:rsidRPr="00DA298D">
        <w:rPr>
          <w:rFonts w:ascii="Arial" w:hAnsi="Arial" w:cs="Arial"/>
          <w:szCs w:val="24"/>
        </w:rPr>
        <w:t>.</w:t>
      </w:r>
      <w:r w:rsidR="000F5A54" w:rsidRPr="00DA298D">
        <w:rPr>
          <w:rFonts w:ascii="Arial" w:hAnsi="Arial" w:cs="Arial"/>
          <w:szCs w:val="24"/>
        </w:rPr>
        <w:t xml:space="preserve"> </w:t>
      </w:r>
    </w:p>
    <w:p w:rsidR="00BC08E2" w:rsidRPr="00DA298D" w:rsidRDefault="00BC08E2" w:rsidP="0024195A">
      <w:pPr>
        <w:pStyle w:val="Heading2"/>
        <w:rPr>
          <w:color w:val="FF0000"/>
        </w:rPr>
      </w:pPr>
      <w:r w:rsidRPr="00DA298D">
        <w:t xml:space="preserve">Wage inflation and discount rates </w:t>
      </w:r>
    </w:p>
    <w:p w:rsidR="00BC08E2" w:rsidRPr="00DA298D" w:rsidRDefault="00AC4D88" w:rsidP="00D00093">
      <w:r w:rsidRPr="00DA298D">
        <w:rPr>
          <w:rFonts w:ascii="Arial" w:hAnsi="Arial" w:cs="Arial"/>
          <w:szCs w:val="24"/>
        </w:rPr>
        <w:t xml:space="preserve">DTF publishes the wage inflation and discount rates quarterly for </w:t>
      </w:r>
      <w:r w:rsidR="00502AC6" w:rsidRPr="00DA298D">
        <w:rPr>
          <w:rFonts w:ascii="Arial" w:hAnsi="Arial" w:cs="Arial"/>
          <w:szCs w:val="24"/>
        </w:rPr>
        <w:t xml:space="preserve">the </w:t>
      </w:r>
      <w:r w:rsidRPr="00DA298D">
        <w:rPr>
          <w:rFonts w:ascii="Arial" w:hAnsi="Arial" w:cs="Arial"/>
          <w:szCs w:val="24"/>
        </w:rPr>
        <w:t xml:space="preserve">September, December and March quarters. Rates are released monthly for the June quarter of each financial year. </w:t>
      </w:r>
      <w:r w:rsidR="004A5D99" w:rsidRPr="00DA298D">
        <w:rPr>
          <w:rFonts w:ascii="Arial" w:hAnsi="Arial" w:cs="Arial"/>
          <w:szCs w:val="24"/>
        </w:rPr>
        <w:t>The current rates should be used by entities to remeasure their employee benefit provisions in the current reporting period.</w:t>
      </w:r>
    </w:p>
    <w:p w:rsidR="004A5D99" w:rsidRPr="00DA298D" w:rsidRDefault="00120542" w:rsidP="00D00093">
      <w:pPr>
        <w:rPr>
          <w:rFonts w:ascii="Arial" w:hAnsi="Arial" w:cs="Arial"/>
          <w:szCs w:val="24"/>
        </w:rPr>
      </w:pPr>
      <w:r w:rsidRPr="00DA298D">
        <w:rPr>
          <w:rFonts w:ascii="Arial" w:hAnsi="Arial" w:cs="Arial"/>
          <w:szCs w:val="24"/>
        </w:rPr>
        <w:t xml:space="preserve">The wage inflation and discount rates are published for both 2004 and 2008 Long Service Leave Models. Wage inflation rates are changed to reflect </w:t>
      </w:r>
      <w:r w:rsidR="007B6D42" w:rsidRPr="00DA298D">
        <w:rPr>
          <w:rFonts w:ascii="Arial" w:hAnsi="Arial" w:cs="Arial"/>
          <w:szCs w:val="24"/>
        </w:rPr>
        <w:t xml:space="preserve">current </w:t>
      </w:r>
      <w:r w:rsidRPr="00DA298D">
        <w:rPr>
          <w:rFonts w:ascii="Arial" w:hAnsi="Arial" w:cs="Arial"/>
          <w:szCs w:val="24"/>
        </w:rPr>
        <w:t xml:space="preserve">economic assumptions made in </w:t>
      </w:r>
      <w:r w:rsidR="003324EF" w:rsidRPr="00DA298D">
        <w:rPr>
          <w:rFonts w:ascii="Arial" w:hAnsi="Arial" w:cs="Arial"/>
          <w:szCs w:val="24"/>
        </w:rPr>
        <w:t xml:space="preserve">the preparation of the </w:t>
      </w:r>
      <w:r w:rsidRPr="00DA298D">
        <w:rPr>
          <w:rFonts w:ascii="Arial" w:hAnsi="Arial" w:cs="Arial"/>
          <w:szCs w:val="24"/>
        </w:rPr>
        <w:t>State Budget/ Budget Update.</w:t>
      </w:r>
      <w:r w:rsidR="00080343" w:rsidRPr="00DA298D">
        <w:rPr>
          <w:rFonts w:ascii="Arial" w:hAnsi="Arial" w:cs="Arial"/>
          <w:szCs w:val="24"/>
        </w:rPr>
        <w:t xml:space="preserve"> The discount rates are representative of the yield of Commonwealth Treasury bond</w:t>
      </w:r>
      <w:r w:rsidR="00AF1AB3" w:rsidRPr="00DA298D">
        <w:rPr>
          <w:rFonts w:ascii="Arial" w:hAnsi="Arial" w:cs="Arial"/>
          <w:szCs w:val="24"/>
        </w:rPr>
        <w:t>s</w:t>
      </w:r>
      <w:r w:rsidR="00D717E3" w:rsidRPr="00DA298D">
        <w:rPr>
          <w:rFonts w:ascii="Arial" w:hAnsi="Arial" w:cs="Arial"/>
          <w:szCs w:val="24"/>
        </w:rPr>
        <w:t>,</w:t>
      </w:r>
      <w:r w:rsidR="00080343" w:rsidRPr="00DA298D">
        <w:rPr>
          <w:rFonts w:ascii="Arial" w:hAnsi="Arial" w:cs="Arial"/>
          <w:szCs w:val="24"/>
        </w:rPr>
        <w:t xml:space="preserve"> published by </w:t>
      </w:r>
      <w:r w:rsidR="00D717E3" w:rsidRPr="00DA298D">
        <w:rPr>
          <w:rFonts w:ascii="Arial" w:hAnsi="Arial" w:cs="Arial"/>
          <w:szCs w:val="24"/>
        </w:rPr>
        <w:t xml:space="preserve">the </w:t>
      </w:r>
      <w:r w:rsidR="00080343" w:rsidRPr="00DA298D">
        <w:rPr>
          <w:rFonts w:ascii="Arial" w:hAnsi="Arial" w:cs="Arial"/>
          <w:szCs w:val="24"/>
        </w:rPr>
        <w:t>Reserve Bank of Australia.</w:t>
      </w:r>
    </w:p>
    <w:p w:rsidR="00F50A56" w:rsidRPr="00DA298D" w:rsidRDefault="005B78F2" w:rsidP="00F50A56">
      <w:pPr>
        <w:rPr>
          <w:rFonts w:ascii="Arial" w:hAnsi="Arial" w:cs="Arial"/>
          <w:szCs w:val="24"/>
        </w:rPr>
      </w:pPr>
      <w:r w:rsidRPr="00DA298D">
        <w:rPr>
          <w:rFonts w:ascii="Arial" w:hAnsi="Arial" w:cs="Arial"/>
          <w:szCs w:val="24"/>
        </w:rPr>
        <w:t xml:space="preserve">The rates for </w:t>
      </w:r>
      <w:r w:rsidR="007177D6" w:rsidRPr="00DA298D">
        <w:rPr>
          <w:rFonts w:ascii="Arial" w:hAnsi="Arial" w:cs="Arial"/>
          <w:szCs w:val="24"/>
        </w:rPr>
        <w:t xml:space="preserve">the </w:t>
      </w:r>
      <w:r w:rsidRPr="00DA298D">
        <w:rPr>
          <w:rFonts w:ascii="Arial" w:hAnsi="Arial" w:cs="Arial"/>
          <w:szCs w:val="24"/>
        </w:rPr>
        <w:t xml:space="preserve">December quarter of 2017 </w:t>
      </w:r>
      <w:r w:rsidR="00D717E3" w:rsidRPr="00DA298D">
        <w:rPr>
          <w:rFonts w:ascii="Arial" w:hAnsi="Arial" w:cs="Arial"/>
          <w:szCs w:val="24"/>
        </w:rPr>
        <w:t>were</w:t>
      </w:r>
      <w:r w:rsidRPr="00DA298D">
        <w:rPr>
          <w:rFonts w:ascii="Arial" w:hAnsi="Arial" w:cs="Arial"/>
          <w:szCs w:val="24"/>
        </w:rPr>
        <w:t xml:space="preserve"> distributed </w:t>
      </w:r>
      <w:r w:rsidR="00D717E3" w:rsidRPr="00DA298D">
        <w:rPr>
          <w:rFonts w:ascii="Arial" w:hAnsi="Arial" w:cs="Arial"/>
          <w:szCs w:val="24"/>
        </w:rPr>
        <w:t xml:space="preserve">in </w:t>
      </w:r>
      <w:r w:rsidRPr="00DA298D">
        <w:rPr>
          <w:rFonts w:ascii="Arial" w:hAnsi="Arial" w:cs="Arial"/>
          <w:szCs w:val="24"/>
        </w:rPr>
        <w:t>early January 201</w:t>
      </w:r>
      <w:r w:rsidR="00FA6104" w:rsidRPr="00DA298D">
        <w:rPr>
          <w:rFonts w:ascii="Arial" w:hAnsi="Arial" w:cs="Arial"/>
          <w:szCs w:val="24"/>
        </w:rPr>
        <w:t xml:space="preserve">8. </w:t>
      </w:r>
      <w:r w:rsidR="00F50A56" w:rsidRPr="00DA298D">
        <w:rPr>
          <w:rFonts w:ascii="Arial" w:hAnsi="Arial" w:cs="Arial"/>
          <w:szCs w:val="24"/>
        </w:rPr>
        <w:t>As shown in the chart below, the</w:t>
      </w:r>
      <w:r w:rsidR="00D00093" w:rsidRPr="00DA298D">
        <w:rPr>
          <w:rFonts w:ascii="Arial" w:hAnsi="Arial" w:cs="Arial"/>
          <w:szCs w:val="24"/>
        </w:rPr>
        <w:t xml:space="preserve"> rates had </w:t>
      </w:r>
      <w:r w:rsidR="009A2BB3" w:rsidRPr="00DA298D">
        <w:rPr>
          <w:rFonts w:ascii="Arial" w:hAnsi="Arial" w:cs="Arial"/>
          <w:szCs w:val="24"/>
        </w:rPr>
        <w:t xml:space="preserve">a </w:t>
      </w:r>
      <w:r w:rsidR="003324EF" w:rsidRPr="00DA298D">
        <w:rPr>
          <w:rFonts w:ascii="Arial" w:hAnsi="Arial" w:cs="Arial"/>
          <w:szCs w:val="24"/>
        </w:rPr>
        <w:t xml:space="preserve">relatively </w:t>
      </w:r>
      <w:r w:rsidR="009A2BB3" w:rsidRPr="00DA298D">
        <w:rPr>
          <w:rFonts w:ascii="Arial" w:hAnsi="Arial" w:cs="Arial"/>
          <w:szCs w:val="24"/>
        </w:rPr>
        <w:t xml:space="preserve">flat trend in the </w:t>
      </w:r>
      <w:r w:rsidR="00F50A56" w:rsidRPr="00DA298D">
        <w:rPr>
          <w:rFonts w:ascii="Arial" w:hAnsi="Arial" w:cs="Arial"/>
          <w:szCs w:val="24"/>
        </w:rPr>
        <w:t>12</w:t>
      </w:r>
      <w:r w:rsidR="00D717E3" w:rsidRPr="00DA298D">
        <w:rPr>
          <w:rFonts w:ascii="Arial" w:hAnsi="Arial" w:cs="Arial"/>
          <w:szCs w:val="24"/>
        </w:rPr>
        <w:t>-</w:t>
      </w:r>
      <w:r w:rsidR="00F50A56" w:rsidRPr="00DA298D">
        <w:rPr>
          <w:rFonts w:ascii="Arial" w:hAnsi="Arial" w:cs="Arial"/>
          <w:szCs w:val="24"/>
        </w:rPr>
        <w:t xml:space="preserve">month period to </w:t>
      </w:r>
      <w:r w:rsidR="007177D6" w:rsidRPr="00DA298D">
        <w:rPr>
          <w:rFonts w:ascii="Arial" w:hAnsi="Arial" w:cs="Arial"/>
          <w:szCs w:val="24"/>
        </w:rPr>
        <w:t>31 </w:t>
      </w:r>
      <w:r w:rsidR="00F50A56" w:rsidRPr="00DA298D">
        <w:rPr>
          <w:rFonts w:ascii="Arial" w:hAnsi="Arial" w:cs="Arial"/>
          <w:szCs w:val="24"/>
        </w:rPr>
        <w:t>December 2017.</w:t>
      </w:r>
      <w:r w:rsidR="000F5A54" w:rsidRPr="00DA298D">
        <w:rPr>
          <w:rFonts w:ascii="Arial" w:hAnsi="Arial" w:cs="Arial"/>
          <w:szCs w:val="24"/>
        </w:rPr>
        <w:t xml:space="preserve"> </w:t>
      </w:r>
    </w:p>
    <w:p w:rsidR="000861A0" w:rsidRPr="00DA298D" w:rsidRDefault="00B62EB8" w:rsidP="00F50A56">
      <w:pPr>
        <w:rPr>
          <w:rFonts w:ascii="Arial" w:hAnsi="Arial" w:cs="Arial"/>
          <w:szCs w:val="24"/>
        </w:rPr>
      </w:pPr>
      <w:r w:rsidRPr="00DA298D">
        <w:rPr>
          <w:noProof/>
        </w:rPr>
        <w:drawing>
          <wp:inline distT="0" distB="0" distL="0" distR="0" wp14:anchorId="7F3CEB04" wp14:editId="5F10E94B">
            <wp:extent cx="5771891" cy="3275938"/>
            <wp:effectExtent l="0" t="0" r="635"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968F9" w:rsidRPr="00DA298D" w:rsidRDefault="003968F9" w:rsidP="0024195A">
      <w:pPr>
        <w:pStyle w:val="Heading2"/>
      </w:pPr>
      <w:r w:rsidRPr="00DA298D">
        <w:t xml:space="preserve">Proposed amendments to the </w:t>
      </w:r>
      <w:r w:rsidRPr="00DA298D">
        <w:rPr>
          <w:i/>
        </w:rPr>
        <w:t>Financial Management Act 1994</w:t>
      </w:r>
      <w:r w:rsidRPr="00DA298D">
        <w:t xml:space="preserve"> and </w:t>
      </w:r>
      <w:r w:rsidRPr="00DA298D">
        <w:rPr>
          <w:i/>
        </w:rPr>
        <w:t>Constitution Act 1975</w:t>
      </w:r>
    </w:p>
    <w:p w:rsidR="006A14F6" w:rsidRPr="00DA298D" w:rsidRDefault="002B5AC9" w:rsidP="006A14F6">
      <w:pPr>
        <w:keepNext/>
        <w:keepLines/>
        <w:rPr>
          <w:rFonts w:ascii="Arial" w:hAnsi="Arial" w:cs="Arial"/>
          <w:szCs w:val="24"/>
        </w:rPr>
      </w:pPr>
      <w:r w:rsidRPr="00DA298D">
        <w:rPr>
          <w:rFonts w:ascii="Arial" w:hAnsi="Arial" w:cs="Arial"/>
          <w:szCs w:val="24"/>
        </w:rPr>
        <w:t xml:space="preserve">The </w:t>
      </w:r>
      <w:r w:rsidR="006A14F6" w:rsidRPr="00DA298D">
        <w:rPr>
          <w:rFonts w:ascii="Arial" w:hAnsi="Arial" w:cs="Arial"/>
          <w:szCs w:val="24"/>
        </w:rPr>
        <w:t xml:space="preserve">Financial Management and Constitution Acts Amendment Bill 2017 is currently before the Legislative Assembly. For information, a copy of the Bill can be accessed under “Parliamentary Documents” at </w:t>
      </w:r>
      <w:hyperlink r:id="rId21" w:history="1">
        <w:r w:rsidR="006A14F6" w:rsidRPr="00DA298D">
          <w:rPr>
            <w:rStyle w:val="Hyperlink"/>
            <w:rFonts w:ascii="Arial" w:hAnsi="Arial" w:cs="Arial"/>
            <w:szCs w:val="24"/>
          </w:rPr>
          <w:t>http://www.legislation.vic.gov.au</w:t>
        </w:r>
      </w:hyperlink>
      <w:r w:rsidR="006A14F6" w:rsidRPr="00DA298D">
        <w:rPr>
          <w:rFonts w:ascii="Arial" w:hAnsi="Arial" w:cs="Arial"/>
          <w:szCs w:val="24"/>
        </w:rPr>
        <w:t xml:space="preserve">. </w:t>
      </w:r>
    </w:p>
    <w:p w:rsidR="006A14F6" w:rsidRPr="00DA298D" w:rsidRDefault="006A14F6" w:rsidP="006A14F6">
      <w:pPr>
        <w:keepNext/>
        <w:keepLines/>
        <w:rPr>
          <w:rFonts w:ascii="Arial" w:hAnsi="Arial" w:cs="Arial"/>
          <w:szCs w:val="24"/>
        </w:rPr>
      </w:pPr>
      <w:r w:rsidRPr="00DA298D">
        <w:rPr>
          <w:rFonts w:ascii="Arial" w:hAnsi="Arial" w:cs="Arial"/>
          <w:szCs w:val="24"/>
        </w:rPr>
        <w:t>The Bill amends the Financial Management Act 1994 (FMA) to clarify the legislative basis for applying appropriations, to consolidate, clarify and simplify other provisions, and to strengthen accountability. Other changes include new and revised provisions relating to money received from other governments, establishing a working account for each department and providing appropriation authority for previously incurred, but unfunded, departmental liabilities.</w:t>
      </w:r>
    </w:p>
    <w:p w:rsidR="006A14F6" w:rsidRPr="00DA298D" w:rsidRDefault="006A14F6" w:rsidP="006A14F6">
      <w:pPr>
        <w:keepNext/>
        <w:keepLines/>
        <w:rPr>
          <w:rFonts w:ascii="Arial" w:hAnsi="Arial" w:cs="Arial"/>
          <w:szCs w:val="24"/>
        </w:rPr>
      </w:pPr>
      <w:r w:rsidRPr="00DA298D">
        <w:rPr>
          <w:rFonts w:ascii="Arial" w:hAnsi="Arial" w:cs="Arial"/>
          <w:szCs w:val="24"/>
        </w:rPr>
        <w:t>The Bill also amends Part V of the Constitution Act 1975 to modernise it as the basis for the structure of Victorian public finances.</w:t>
      </w:r>
    </w:p>
    <w:p w:rsidR="006A14F6" w:rsidRPr="00DA298D" w:rsidRDefault="006A14F6" w:rsidP="006A14F6">
      <w:pPr>
        <w:keepNext/>
        <w:keepLines/>
        <w:rPr>
          <w:rFonts w:ascii="Arial" w:hAnsi="Arial" w:cs="Arial"/>
          <w:szCs w:val="24"/>
        </w:rPr>
      </w:pPr>
      <w:r w:rsidRPr="00DA298D">
        <w:rPr>
          <w:rFonts w:ascii="Arial" w:hAnsi="Arial" w:cs="Arial"/>
          <w:szCs w:val="24"/>
        </w:rPr>
        <w:t xml:space="preserve">The majority of amendments are expected to be implemented from 1 July 2019, with a number of relatively minor amendments proposed to come into effect beginning 1 July 2018. </w:t>
      </w:r>
    </w:p>
    <w:p w:rsidR="002B5AC9" w:rsidRPr="00DA298D" w:rsidRDefault="006A14F6" w:rsidP="002B5AC9">
      <w:pPr>
        <w:keepNext/>
        <w:keepLines/>
        <w:rPr>
          <w:rFonts w:ascii="Arial" w:hAnsi="Arial" w:cs="Arial"/>
          <w:szCs w:val="24"/>
        </w:rPr>
      </w:pPr>
      <w:r w:rsidRPr="00DA298D">
        <w:rPr>
          <w:rFonts w:ascii="Arial" w:hAnsi="Arial" w:cs="Arial"/>
          <w:szCs w:val="24"/>
        </w:rPr>
        <w:t>Changes to subordinate legislation, policies and guidance issued by DTF will be required. Development work has commenced and will continue during the Bill’s passage through Parliament. Departments will be contacted in February 2018 regarding their participation in this  program</w:t>
      </w:r>
      <w:r w:rsidR="002B5AC9" w:rsidRPr="00DA298D">
        <w:rPr>
          <w:rFonts w:ascii="Arial" w:hAnsi="Arial" w:cs="Arial"/>
          <w:szCs w:val="24"/>
        </w:rPr>
        <w:t>.</w:t>
      </w:r>
    </w:p>
    <w:p w:rsidR="002921DB" w:rsidRPr="00DA298D" w:rsidRDefault="00BC08E2" w:rsidP="002921DB">
      <w:pPr>
        <w:pStyle w:val="Heading2"/>
        <w:rPr>
          <w:color w:val="FF0000"/>
          <w:sz w:val="22"/>
        </w:rPr>
      </w:pPr>
      <w:r w:rsidRPr="00DA298D">
        <w:t>Key financial publication dates for the State of Victoria in 2017</w:t>
      </w:r>
      <w:r w:rsidR="00314CE6" w:rsidRPr="00DA298D">
        <w:noBreakHyphen/>
      </w:r>
      <w:r w:rsidRPr="00DA298D">
        <w:t xml:space="preserve">18 </w:t>
      </w:r>
    </w:p>
    <w:p w:rsidR="00BC08E2" w:rsidRPr="00DA298D" w:rsidRDefault="00BC08E2" w:rsidP="00BC08E2">
      <w:pPr>
        <w:spacing w:before="120"/>
      </w:pPr>
      <w:r w:rsidRPr="00DA298D">
        <w:t>The following table shows the indicative key publication tabling dates for some of the State’s upcoming financial publications.</w:t>
      </w:r>
    </w:p>
    <w:tbl>
      <w:tblPr>
        <w:tblStyle w:val="DTFtexttable"/>
        <w:tblW w:w="9118" w:type="dxa"/>
        <w:tblLook w:val="04A0" w:firstRow="1" w:lastRow="0" w:firstColumn="1" w:lastColumn="0" w:noHBand="0" w:noVBand="1"/>
      </w:tblPr>
      <w:tblGrid>
        <w:gridCol w:w="1317"/>
        <w:gridCol w:w="2790"/>
        <w:gridCol w:w="5011"/>
      </w:tblGrid>
      <w:tr w:rsidR="00BC08E2" w:rsidRPr="00DA298D" w:rsidTr="000E13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17" w:type="dxa"/>
          </w:tcPr>
          <w:p w:rsidR="00BC08E2" w:rsidRPr="00DA298D" w:rsidRDefault="00BC08E2" w:rsidP="00314CE6">
            <w:pPr>
              <w:pStyle w:val="Tableheader"/>
            </w:pPr>
            <w:r w:rsidRPr="00DA298D">
              <w:t>Reporting year</w:t>
            </w:r>
          </w:p>
        </w:tc>
        <w:tc>
          <w:tcPr>
            <w:tcW w:w="2790" w:type="dxa"/>
          </w:tcPr>
          <w:p w:rsidR="00BC08E2" w:rsidRPr="00DA298D" w:rsidRDefault="00BC08E2" w:rsidP="00314CE6">
            <w:pPr>
              <w:pStyle w:val="Tableheader"/>
              <w:cnfStyle w:val="100000000000" w:firstRow="1" w:lastRow="0" w:firstColumn="0" w:lastColumn="0" w:oddVBand="0" w:evenVBand="0" w:oddHBand="0" w:evenHBand="0" w:firstRowFirstColumn="0" w:firstRowLastColumn="0" w:lastRowFirstColumn="0" w:lastRowLastColumn="0"/>
            </w:pPr>
            <w:r w:rsidRPr="00DA298D">
              <w:t>Publication</w:t>
            </w:r>
          </w:p>
        </w:tc>
        <w:tc>
          <w:tcPr>
            <w:tcW w:w="5011" w:type="dxa"/>
          </w:tcPr>
          <w:p w:rsidR="00BC08E2" w:rsidRPr="00DA298D" w:rsidRDefault="00BC08E2" w:rsidP="00314CE6">
            <w:pPr>
              <w:pStyle w:val="Tableheader"/>
              <w:cnfStyle w:val="100000000000" w:firstRow="1" w:lastRow="0" w:firstColumn="0" w:lastColumn="0" w:oddVBand="0" w:evenVBand="0" w:oddHBand="0" w:evenHBand="0" w:firstRowFirstColumn="0" w:firstRowLastColumn="0" w:lastRowFirstColumn="0" w:lastRowLastColumn="0"/>
            </w:pPr>
            <w:r w:rsidRPr="00DA298D">
              <w:t xml:space="preserve">Anticipated release dates – </w:t>
            </w:r>
            <w:r w:rsidRPr="00DA298D">
              <w:br/>
              <w:t>actual dates to be confirmed</w:t>
            </w:r>
          </w:p>
        </w:tc>
      </w:tr>
      <w:tr w:rsidR="00BC08E2" w:rsidRPr="00DA298D" w:rsidTr="000E13EE">
        <w:tc>
          <w:tcPr>
            <w:cnfStyle w:val="001000000000" w:firstRow="0" w:lastRow="0" w:firstColumn="1" w:lastColumn="0" w:oddVBand="0" w:evenVBand="0" w:oddHBand="0" w:evenHBand="0" w:firstRowFirstColumn="0" w:firstRowLastColumn="0" w:lastRowFirstColumn="0" w:lastRowLastColumn="0"/>
            <w:tcW w:w="1317" w:type="dxa"/>
          </w:tcPr>
          <w:p w:rsidR="00BC08E2" w:rsidRPr="00DA298D" w:rsidRDefault="00BC08E2" w:rsidP="00314CE6">
            <w:pPr>
              <w:pStyle w:val="Tabletext"/>
              <w:spacing w:before="40" w:after="40"/>
            </w:pPr>
            <w:r w:rsidRPr="00DA298D">
              <w:t>2017</w:t>
            </w:r>
            <w:r w:rsidR="00314CE6" w:rsidRPr="00DA298D">
              <w:noBreakHyphen/>
            </w:r>
            <w:r w:rsidRPr="00DA298D">
              <w:t>18</w:t>
            </w:r>
          </w:p>
        </w:tc>
        <w:tc>
          <w:tcPr>
            <w:tcW w:w="2790" w:type="dxa"/>
          </w:tcPr>
          <w:p w:rsidR="00BC08E2" w:rsidRPr="00DA298D" w:rsidRDefault="00BC08E2" w:rsidP="00314CE6">
            <w:pPr>
              <w:pStyle w:val="Tabletext"/>
              <w:spacing w:before="40" w:after="40"/>
              <w:cnfStyle w:val="000000000000" w:firstRow="0" w:lastRow="0" w:firstColumn="0" w:lastColumn="0" w:oddVBand="0" w:evenVBand="0" w:oddHBand="0" w:evenHBand="0" w:firstRowFirstColumn="0" w:firstRowLastColumn="0" w:lastRowFirstColumn="0" w:lastRowLastColumn="0"/>
            </w:pPr>
            <w:r w:rsidRPr="00DA298D">
              <w:t>Mid</w:t>
            </w:r>
            <w:r w:rsidR="00314CE6" w:rsidRPr="00DA298D">
              <w:noBreakHyphen/>
            </w:r>
            <w:r w:rsidRPr="00DA298D">
              <w:t>Year Financial Report</w:t>
            </w:r>
          </w:p>
        </w:tc>
        <w:tc>
          <w:tcPr>
            <w:tcW w:w="5011" w:type="dxa"/>
            <w:shd w:val="clear" w:color="auto" w:fill="auto"/>
          </w:tcPr>
          <w:p w:rsidR="00BC08E2" w:rsidRPr="00DA298D" w:rsidRDefault="00CF14D0" w:rsidP="00314CE6">
            <w:pPr>
              <w:pStyle w:val="Tabletext"/>
              <w:spacing w:before="40" w:after="40"/>
              <w:cnfStyle w:val="000000000000" w:firstRow="0" w:lastRow="0" w:firstColumn="0" w:lastColumn="0" w:oddVBand="0" w:evenVBand="0" w:oddHBand="0" w:evenHBand="0" w:firstRowFirstColumn="0" w:firstRowLastColumn="0" w:lastRowFirstColumn="0" w:lastRowLastColumn="0"/>
            </w:pPr>
            <w:r w:rsidRPr="00DA298D">
              <w:t>Legislated</w:t>
            </w:r>
            <w:r w:rsidR="00B829C6" w:rsidRPr="00DA298D">
              <w:t xml:space="preserve"> due date: </w:t>
            </w:r>
            <w:r w:rsidR="00BC08E2" w:rsidRPr="00DA298D">
              <w:t>15 March 2018.</w:t>
            </w:r>
          </w:p>
        </w:tc>
      </w:tr>
      <w:tr w:rsidR="00BC08E2" w:rsidRPr="00DA298D" w:rsidTr="000E13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 w:type="dxa"/>
          </w:tcPr>
          <w:p w:rsidR="00BC08E2" w:rsidRPr="00DA298D" w:rsidRDefault="00BC08E2" w:rsidP="00314CE6">
            <w:pPr>
              <w:pStyle w:val="Tabletext"/>
              <w:spacing w:before="40" w:after="40"/>
            </w:pPr>
            <w:r w:rsidRPr="00DA298D">
              <w:t>2018</w:t>
            </w:r>
            <w:r w:rsidR="00314CE6" w:rsidRPr="00DA298D">
              <w:noBreakHyphen/>
            </w:r>
            <w:r w:rsidRPr="00DA298D">
              <w:t>19</w:t>
            </w:r>
          </w:p>
        </w:tc>
        <w:tc>
          <w:tcPr>
            <w:tcW w:w="2790" w:type="dxa"/>
            <w:shd w:val="clear" w:color="auto" w:fill="auto"/>
          </w:tcPr>
          <w:p w:rsidR="00BC08E2" w:rsidRPr="00DA298D" w:rsidRDefault="00BC08E2" w:rsidP="00314CE6">
            <w:pPr>
              <w:pStyle w:val="Tabletext"/>
              <w:spacing w:before="40" w:after="40"/>
              <w:cnfStyle w:val="000000010000" w:firstRow="0" w:lastRow="0" w:firstColumn="0" w:lastColumn="0" w:oddVBand="0" w:evenVBand="0" w:oddHBand="0" w:evenHBand="1" w:firstRowFirstColumn="0" w:firstRowLastColumn="0" w:lastRowFirstColumn="0" w:lastRowLastColumn="0"/>
            </w:pPr>
            <w:r w:rsidRPr="00DA298D">
              <w:t>Budget papers</w:t>
            </w:r>
          </w:p>
        </w:tc>
        <w:tc>
          <w:tcPr>
            <w:tcW w:w="5011" w:type="dxa"/>
            <w:shd w:val="clear" w:color="auto" w:fill="auto"/>
          </w:tcPr>
          <w:p w:rsidR="00BC08E2" w:rsidRPr="00DA298D" w:rsidRDefault="00B829C6" w:rsidP="00314CE6">
            <w:pPr>
              <w:pStyle w:val="Tabletext"/>
              <w:spacing w:before="40" w:after="40"/>
              <w:cnfStyle w:val="000000010000" w:firstRow="0" w:lastRow="0" w:firstColumn="0" w:lastColumn="0" w:oddVBand="0" w:evenVBand="0" w:oddHBand="0" w:evenHBand="1" w:firstRowFirstColumn="0" w:firstRowLastColumn="0" w:lastRowFirstColumn="0" w:lastRowLastColumn="0"/>
            </w:pPr>
            <w:r w:rsidRPr="00DA298D">
              <w:t xml:space="preserve">Anticipated due date: </w:t>
            </w:r>
            <w:r w:rsidR="00BC08E2" w:rsidRPr="00DA298D">
              <w:t>2 May 2018.</w:t>
            </w:r>
          </w:p>
        </w:tc>
      </w:tr>
      <w:tr w:rsidR="00BC08E2" w:rsidRPr="00DA298D" w:rsidTr="000E13EE">
        <w:tc>
          <w:tcPr>
            <w:cnfStyle w:val="001000000000" w:firstRow="0" w:lastRow="0" w:firstColumn="1" w:lastColumn="0" w:oddVBand="0" w:evenVBand="0" w:oddHBand="0" w:evenHBand="0" w:firstRowFirstColumn="0" w:firstRowLastColumn="0" w:lastRowFirstColumn="0" w:lastRowLastColumn="0"/>
            <w:tcW w:w="1317" w:type="dxa"/>
          </w:tcPr>
          <w:p w:rsidR="00BC08E2" w:rsidRPr="00DA298D" w:rsidRDefault="00BC08E2" w:rsidP="00314CE6">
            <w:pPr>
              <w:pStyle w:val="Tabletext"/>
              <w:spacing w:before="40" w:after="40"/>
            </w:pPr>
            <w:r w:rsidRPr="00DA298D">
              <w:t>2017</w:t>
            </w:r>
            <w:r w:rsidR="00314CE6" w:rsidRPr="00DA298D">
              <w:noBreakHyphen/>
            </w:r>
            <w:r w:rsidRPr="00DA298D">
              <w:t>18</w:t>
            </w:r>
          </w:p>
        </w:tc>
        <w:tc>
          <w:tcPr>
            <w:tcW w:w="2790" w:type="dxa"/>
          </w:tcPr>
          <w:p w:rsidR="00BC08E2" w:rsidRPr="00DA298D" w:rsidRDefault="00BC08E2" w:rsidP="00314CE6">
            <w:pPr>
              <w:pStyle w:val="Tabletext"/>
              <w:spacing w:before="40" w:after="40"/>
              <w:cnfStyle w:val="000000000000" w:firstRow="0" w:lastRow="0" w:firstColumn="0" w:lastColumn="0" w:oddVBand="0" w:evenVBand="0" w:oddHBand="0" w:evenHBand="0" w:firstRowFirstColumn="0" w:firstRowLastColumn="0" w:lastRowFirstColumn="0" w:lastRowLastColumn="0"/>
            </w:pPr>
            <w:r w:rsidRPr="00DA298D">
              <w:t>The State’s Financial Report</w:t>
            </w:r>
            <w:r w:rsidR="00946F81">
              <w:t>*</w:t>
            </w:r>
          </w:p>
        </w:tc>
        <w:tc>
          <w:tcPr>
            <w:tcW w:w="5011" w:type="dxa"/>
            <w:shd w:val="clear" w:color="auto" w:fill="auto"/>
          </w:tcPr>
          <w:p w:rsidR="00BC08E2" w:rsidRPr="00DA298D" w:rsidRDefault="00B829C6" w:rsidP="00DB12A3">
            <w:pPr>
              <w:pStyle w:val="Tabletext"/>
              <w:spacing w:before="40" w:after="40"/>
              <w:cnfStyle w:val="000000000000" w:firstRow="0" w:lastRow="0" w:firstColumn="0" w:lastColumn="0" w:oddVBand="0" w:evenVBand="0" w:oddHBand="0" w:evenHBand="0" w:firstRowFirstColumn="0" w:firstRowLastColumn="0" w:lastRowFirstColumn="0" w:lastRowLastColumn="0"/>
            </w:pPr>
            <w:r w:rsidRPr="00DA298D">
              <w:t xml:space="preserve">Legislated due date: </w:t>
            </w:r>
            <w:r w:rsidR="00BC08E2" w:rsidRPr="00DA298D">
              <w:t>15 October 2018.</w:t>
            </w:r>
            <w:r w:rsidR="007C2F36">
              <w:t xml:space="preserve"> </w:t>
            </w:r>
          </w:p>
        </w:tc>
      </w:tr>
      <w:tr w:rsidR="00BC08E2" w:rsidRPr="00DA298D" w:rsidTr="000E13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 w:type="dxa"/>
          </w:tcPr>
          <w:p w:rsidR="00BC08E2" w:rsidRPr="00DA298D" w:rsidRDefault="00BC08E2" w:rsidP="00314CE6">
            <w:pPr>
              <w:pStyle w:val="Tabletext"/>
              <w:spacing w:before="40" w:after="40"/>
            </w:pPr>
            <w:r w:rsidRPr="00DA298D">
              <w:t>2017</w:t>
            </w:r>
            <w:r w:rsidR="00314CE6" w:rsidRPr="00DA298D">
              <w:noBreakHyphen/>
            </w:r>
            <w:r w:rsidRPr="00DA298D">
              <w:t>18</w:t>
            </w:r>
          </w:p>
        </w:tc>
        <w:tc>
          <w:tcPr>
            <w:tcW w:w="2790" w:type="dxa"/>
            <w:shd w:val="clear" w:color="auto" w:fill="auto"/>
          </w:tcPr>
          <w:p w:rsidR="00BC08E2" w:rsidRPr="00DA298D" w:rsidRDefault="00BC08E2" w:rsidP="00314CE6">
            <w:pPr>
              <w:pStyle w:val="Tabletext"/>
              <w:spacing w:before="40" w:after="40"/>
              <w:cnfStyle w:val="000000010000" w:firstRow="0" w:lastRow="0" w:firstColumn="0" w:lastColumn="0" w:oddVBand="0" w:evenVBand="0" w:oddHBand="0" w:evenHBand="1" w:firstRowFirstColumn="0" w:firstRowLastColumn="0" w:lastRowFirstColumn="0" w:lastRowLastColumn="0"/>
            </w:pPr>
            <w:r w:rsidRPr="00DA298D">
              <w:t>Department and entity reporting</w:t>
            </w:r>
            <w:r w:rsidR="00946F81">
              <w:t>*</w:t>
            </w:r>
          </w:p>
        </w:tc>
        <w:tc>
          <w:tcPr>
            <w:tcW w:w="5011" w:type="dxa"/>
            <w:shd w:val="clear" w:color="auto" w:fill="auto"/>
          </w:tcPr>
          <w:p w:rsidR="00BC08E2" w:rsidRPr="00DA298D" w:rsidRDefault="00B829C6" w:rsidP="00314CE6">
            <w:pPr>
              <w:pStyle w:val="Tabletext"/>
              <w:spacing w:before="40" w:after="40"/>
              <w:cnfStyle w:val="000000010000" w:firstRow="0" w:lastRow="0" w:firstColumn="0" w:lastColumn="0" w:oddVBand="0" w:evenVBand="0" w:oddHBand="0" w:evenHBand="1" w:firstRowFirstColumn="0" w:firstRowLastColumn="0" w:lastRowFirstColumn="0" w:lastRowLastColumn="0"/>
            </w:pPr>
            <w:r w:rsidRPr="00DA298D">
              <w:t xml:space="preserve">Legislated due date: </w:t>
            </w:r>
            <w:r w:rsidR="00BC08E2" w:rsidRPr="00DA298D">
              <w:t>15 October 2018. Entities are encouraged to table their annual reports prior to the legislated due date.</w:t>
            </w:r>
          </w:p>
        </w:tc>
      </w:tr>
      <w:tr w:rsidR="00FB2397" w:rsidRPr="00DA298D" w:rsidTr="000E13EE">
        <w:tc>
          <w:tcPr>
            <w:cnfStyle w:val="001000000000" w:firstRow="0" w:lastRow="0" w:firstColumn="1" w:lastColumn="0" w:oddVBand="0" w:evenVBand="0" w:oddHBand="0" w:evenHBand="0" w:firstRowFirstColumn="0" w:firstRowLastColumn="0" w:lastRowFirstColumn="0" w:lastRowLastColumn="0"/>
            <w:tcW w:w="1317" w:type="dxa"/>
          </w:tcPr>
          <w:p w:rsidR="00FB2397" w:rsidRPr="00DA298D" w:rsidRDefault="00FB2397" w:rsidP="00314CE6">
            <w:pPr>
              <w:pStyle w:val="Tabletext"/>
              <w:spacing w:before="40" w:after="40"/>
            </w:pPr>
            <w:r w:rsidRPr="00DA298D">
              <w:t>2017</w:t>
            </w:r>
            <w:r w:rsidR="00314CE6" w:rsidRPr="00DA298D">
              <w:noBreakHyphen/>
            </w:r>
            <w:r w:rsidRPr="00DA298D">
              <w:t xml:space="preserve">18 </w:t>
            </w:r>
          </w:p>
        </w:tc>
        <w:tc>
          <w:tcPr>
            <w:tcW w:w="2790" w:type="dxa"/>
          </w:tcPr>
          <w:p w:rsidR="00FB2397" w:rsidRPr="00DA298D" w:rsidRDefault="00FB2397" w:rsidP="00314CE6">
            <w:pPr>
              <w:pStyle w:val="Tabletext"/>
              <w:spacing w:before="40" w:after="40"/>
              <w:cnfStyle w:val="000000000000" w:firstRow="0" w:lastRow="0" w:firstColumn="0" w:lastColumn="0" w:oddVBand="0" w:evenVBand="0" w:oddHBand="0" w:evenHBand="0" w:firstRowFirstColumn="0" w:firstRowLastColumn="0" w:lastRowFirstColumn="0" w:lastRowLastColumn="0"/>
            </w:pPr>
            <w:r w:rsidRPr="00DA298D">
              <w:t>Pre</w:t>
            </w:r>
            <w:r w:rsidR="00314CE6" w:rsidRPr="00DA298D">
              <w:noBreakHyphen/>
            </w:r>
            <w:r w:rsidRPr="00DA298D">
              <w:t>election budget update</w:t>
            </w:r>
          </w:p>
        </w:tc>
        <w:tc>
          <w:tcPr>
            <w:tcW w:w="5011" w:type="dxa"/>
          </w:tcPr>
          <w:p w:rsidR="00FB2397" w:rsidRPr="00DA298D" w:rsidRDefault="00B829C6" w:rsidP="003774C5">
            <w:pPr>
              <w:pStyle w:val="Tabletext"/>
              <w:spacing w:before="40" w:after="40"/>
              <w:cnfStyle w:val="000000000000" w:firstRow="0" w:lastRow="0" w:firstColumn="0" w:lastColumn="0" w:oddVBand="0" w:evenVBand="0" w:oddHBand="0" w:evenHBand="0" w:firstRowFirstColumn="0" w:firstRowLastColumn="0" w:lastRowFirstColumn="0" w:lastRowLastColumn="0"/>
            </w:pPr>
            <w:r w:rsidRPr="00DA298D">
              <w:t xml:space="preserve">Anticipated </w:t>
            </w:r>
            <w:r w:rsidR="008351C5" w:rsidRPr="00DA298D">
              <w:t xml:space="preserve">due </w:t>
            </w:r>
            <w:r w:rsidRPr="00DA298D">
              <w:t xml:space="preserve">date: </w:t>
            </w:r>
            <w:r w:rsidR="008351C5" w:rsidRPr="00DA298D">
              <w:t>9 November 2018.</w:t>
            </w:r>
            <w:r w:rsidR="000F5A54" w:rsidRPr="00DA298D">
              <w:t xml:space="preserve"> </w:t>
            </w:r>
          </w:p>
        </w:tc>
      </w:tr>
    </w:tbl>
    <w:p w:rsidR="000E13EE" w:rsidRPr="00DA298D" w:rsidRDefault="000E13EE" w:rsidP="000E13EE">
      <w:pPr>
        <w:pStyle w:val="Spacer"/>
      </w:pPr>
      <w:bookmarkStart w:id="12" w:name="_Toc424822616"/>
      <w:bookmarkStart w:id="13" w:name="_Toc452724752"/>
      <w:bookmarkStart w:id="14" w:name="_Toc503348017"/>
    </w:p>
    <w:p w:rsidR="00946F81" w:rsidRDefault="00946F81" w:rsidP="00946F81">
      <w:r>
        <w:t>*At this stage, the last schedu</w:t>
      </w:r>
      <w:r w:rsidR="00393799">
        <w:t>led parliamentary sitting date</w:t>
      </w:r>
      <w:r>
        <w:t xml:space="preserve"> is 20 September 2018. </w:t>
      </w:r>
    </w:p>
    <w:p w:rsidR="00BC08E2" w:rsidRPr="00DA298D" w:rsidRDefault="007D08B0" w:rsidP="00BC08E2">
      <w:pPr>
        <w:pStyle w:val="Heading1"/>
      </w:pPr>
      <w:r w:rsidRPr="00DA298D">
        <w:t>AASB </w:t>
      </w:r>
      <w:r w:rsidR="00BC08E2" w:rsidRPr="00DA298D">
        <w:t>update</w:t>
      </w:r>
      <w:bookmarkEnd w:id="12"/>
      <w:bookmarkEnd w:id="13"/>
      <w:bookmarkEnd w:id="14"/>
    </w:p>
    <w:p w:rsidR="00EF79B1" w:rsidRPr="00DA298D" w:rsidRDefault="00EF79B1" w:rsidP="00EF79B1">
      <w:pPr>
        <w:pStyle w:val="Heading2"/>
        <w:spacing w:before="180"/>
      </w:pPr>
      <w:r w:rsidRPr="00DA298D">
        <w:t>Key AASB Standards effective for 2017</w:t>
      </w:r>
      <w:r w:rsidRPr="00DA298D">
        <w:noBreakHyphen/>
        <w:t>18</w:t>
      </w:r>
    </w:p>
    <w:p w:rsidR="00EF79B1" w:rsidRPr="00DA298D" w:rsidRDefault="00EF79B1" w:rsidP="00EF79B1">
      <w:pPr>
        <w:pStyle w:val="Heading3"/>
      </w:pPr>
      <w:r w:rsidRPr="00DA298D">
        <w:t>AASB  Agenda Decision on the definition of residual value in relation to infrastructure assets</w:t>
      </w:r>
      <w:r w:rsidR="00937BAF" w:rsidRPr="00DA298D">
        <w:t>.</w:t>
      </w:r>
    </w:p>
    <w:p w:rsidR="00EF79B1" w:rsidRPr="00DA298D" w:rsidRDefault="00EF79B1" w:rsidP="00EF79B1">
      <w:r w:rsidRPr="00DA298D">
        <w:t xml:space="preserve">The AASB was asked to clarify whether residual value, as defined in AASB 16 </w:t>
      </w:r>
      <w:r w:rsidRPr="00DA298D">
        <w:rPr>
          <w:i/>
        </w:rPr>
        <w:t>Property, Plant and Equipment</w:t>
      </w:r>
      <w:r w:rsidRPr="00DA298D">
        <w:t xml:space="preserve">, included costs savings from the re-use of a part of an asset by the entity. The issue was raised primarily in relation to infrastructure assets held by not-for-profit public sector entities that are subject to rehabilitation activity over the course of the asset’s useful life. </w:t>
      </w:r>
    </w:p>
    <w:p w:rsidR="00EF79B1" w:rsidRPr="00DA298D" w:rsidRDefault="00EF79B1" w:rsidP="00EF79B1">
      <w:r w:rsidRPr="00DA298D">
        <w:t xml:space="preserve">The AASB has clarified that cost savings from the re-use of  part of an infrastructure asset should not be included in ‘recoverable amounts’. Residual value should reflect </w:t>
      </w:r>
      <w:r w:rsidR="00234E76" w:rsidRPr="00DA298D">
        <w:t xml:space="preserve">the </w:t>
      </w:r>
      <w:r w:rsidRPr="00DA298D">
        <w:t>consider</w:t>
      </w:r>
      <w:r w:rsidR="00234E76" w:rsidRPr="00DA298D">
        <w:t>ation</w:t>
      </w:r>
      <w:r w:rsidRPr="00DA298D">
        <w:t xml:space="preserve"> receivable for an asset at the end of its useful life, and accordingly, does not include cost savings from the re-use of parts of an asset by the entity. Consideration receivable is the estimated amount that an entity would currently obtain from disposal of the assets at the end of its useful life to the entity. This decision </w:t>
      </w:r>
      <w:r w:rsidR="00234E76" w:rsidRPr="00DA298D">
        <w:t xml:space="preserve">by the AASB </w:t>
      </w:r>
      <w:r w:rsidRPr="00DA298D">
        <w:t xml:space="preserve">is effective immediately and is </w:t>
      </w:r>
      <w:r w:rsidRPr="00DA298D">
        <w:rPr>
          <w:b/>
        </w:rPr>
        <w:t xml:space="preserve">mandatory for all December 2017 </w:t>
      </w:r>
      <w:r w:rsidR="00EA56DF" w:rsidRPr="00DA298D">
        <w:rPr>
          <w:b/>
        </w:rPr>
        <w:t>r</w:t>
      </w:r>
      <w:r w:rsidRPr="00DA298D">
        <w:rPr>
          <w:b/>
        </w:rPr>
        <w:t xml:space="preserve">eporters </w:t>
      </w:r>
      <w:r w:rsidRPr="00DA298D">
        <w:t>with infrastructure assets.</w:t>
      </w:r>
    </w:p>
    <w:p w:rsidR="0075017F" w:rsidRPr="00DA298D" w:rsidRDefault="00964C64" w:rsidP="0075017F">
      <w:pPr>
        <w:pStyle w:val="Heading3"/>
      </w:pPr>
      <w:r w:rsidRPr="00DA298D">
        <w:t xml:space="preserve">AASB </w:t>
      </w:r>
      <w:r w:rsidR="0075017F" w:rsidRPr="00DA298D">
        <w:t xml:space="preserve">124 </w:t>
      </w:r>
      <w:r w:rsidR="0075017F" w:rsidRPr="00DA298D">
        <w:rPr>
          <w:i/>
        </w:rPr>
        <w:t>Related Party Disclosures</w:t>
      </w:r>
    </w:p>
    <w:p w:rsidR="0072165A" w:rsidRPr="00DA298D" w:rsidRDefault="0072165A" w:rsidP="0072165A">
      <w:r w:rsidRPr="00DA298D">
        <w:t>The objective of AASB 124 is to ensure that the department’s or entity’s financial statements contain disclosures necessary to draw attention to the possibility that its financial position and profit or loss may have been affected by the existence of related parties, and by transactions and outstanding balances, including commitments, with such parties.</w:t>
      </w:r>
    </w:p>
    <w:p w:rsidR="0072165A" w:rsidRPr="00DA298D" w:rsidRDefault="0072165A" w:rsidP="0072165A">
      <w:r w:rsidRPr="00DA298D">
        <w:t>The Australian Accounting Standards Board (AASB) recently extended the scope of AASB 124 Related Party Disclosures to include not-for-profit (NFP) public sector entities.</w:t>
      </w:r>
    </w:p>
    <w:p w:rsidR="00907E71" w:rsidRPr="00DA298D" w:rsidRDefault="00907E71" w:rsidP="00907E71">
      <w:pPr>
        <w:rPr>
          <w:b/>
        </w:rPr>
      </w:pPr>
      <w:r w:rsidRPr="00DA298D">
        <w:t>This revised reporting requirement applied to departments and not-for-profit age</w:t>
      </w:r>
      <w:r>
        <w:t>ncies for the first time from 1 </w:t>
      </w:r>
      <w:r w:rsidRPr="00DA298D">
        <w:t xml:space="preserve">July 2016 (i.e. from 2016-17), with no comparatives required for the first period to which these changes apply. As a result, all NFP public sector entities are now required to disclose related party transactions in the same way as private sector entities. Please note that this accounting standard is </w:t>
      </w:r>
      <w:r w:rsidRPr="00DA298D">
        <w:rPr>
          <w:b/>
        </w:rPr>
        <w:t>mandatory for all December 2017 reporters.</w:t>
      </w:r>
    </w:p>
    <w:p w:rsidR="00907E71" w:rsidRPr="00DA298D" w:rsidRDefault="00907E71" w:rsidP="00907E71">
      <w:r w:rsidRPr="00DA298D">
        <w:t xml:space="preserve">For more information on AASB 124 </w:t>
      </w:r>
      <w:r w:rsidRPr="00DA298D">
        <w:rPr>
          <w:i/>
        </w:rPr>
        <w:t>Related Party Disclosures</w:t>
      </w:r>
      <w:r w:rsidRPr="00DA298D">
        <w:t xml:space="preserve">, please refer to our December 2016 Newsletter, Edition No. 31 and July 2017 Newsletter, Edition No. 32 </w:t>
      </w:r>
      <w:r>
        <w:t xml:space="preserve">at </w:t>
      </w:r>
      <w:hyperlink r:id="rId22" w:history="1">
        <w:r>
          <w:rPr>
            <w:rStyle w:val="Hyperlink"/>
          </w:rPr>
          <w:t>www.dtf.vic.gov.au/Accounting-policy-newsletters</w:t>
        </w:r>
      </w:hyperlink>
      <w:r>
        <w:t>.</w:t>
      </w:r>
    </w:p>
    <w:p w:rsidR="0072165A" w:rsidRPr="00DA298D" w:rsidRDefault="00907E71" w:rsidP="00AB6355">
      <w:r w:rsidRPr="00810AA7">
        <w:t xml:space="preserve">For guidance information, AASB 124 Declaration certificate and frequently asked questions, please refer to </w:t>
      </w:r>
      <w:hyperlink r:id="rId23" w:history="1">
        <w:r w:rsidRPr="00810AA7">
          <w:rPr>
            <w:rStyle w:val="Hyperlink"/>
          </w:rPr>
          <w:t>www.dtf.vic.gov.au/AASB-124-Related-Party-Disclosures</w:t>
        </w:r>
      </w:hyperlink>
      <w:r w:rsidRPr="00810AA7">
        <w:t>.</w:t>
      </w:r>
    </w:p>
    <w:p w:rsidR="00BC08E2" w:rsidRPr="00DA298D" w:rsidRDefault="00BC08E2" w:rsidP="00BC08E2">
      <w:pPr>
        <w:pStyle w:val="Heading2"/>
        <w:spacing w:before="180"/>
      </w:pPr>
      <w:r w:rsidRPr="00DA298D">
        <w:t xml:space="preserve">Key </w:t>
      </w:r>
      <w:r w:rsidR="007D08B0" w:rsidRPr="00DA298D">
        <w:t>AASB </w:t>
      </w:r>
      <w:r w:rsidRPr="00DA298D">
        <w:t>Standards issued but not effective for 201</w:t>
      </w:r>
      <w:r w:rsidR="00282C4B" w:rsidRPr="00DA298D">
        <w:t>7</w:t>
      </w:r>
      <w:r w:rsidR="00314CE6" w:rsidRPr="00DA298D">
        <w:noBreakHyphen/>
      </w:r>
      <w:r w:rsidRPr="00DA298D">
        <w:t>1</w:t>
      </w:r>
      <w:r w:rsidR="00282C4B" w:rsidRPr="00DA298D">
        <w:t>8</w:t>
      </w:r>
    </w:p>
    <w:p w:rsidR="00BC08E2" w:rsidRPr="00DA298D" w:rsidRDefault="007D08B0" w:rsidP="00BC08E2">
      <w:pPr>
        <w:pStyle w:val="Heading3"/>
      </w:pPr>
      <w:r w:rsidRPr="00DA298D">
        <w:t>AASB </w:t>
      </w:r>
      <w:r w:rsidR="00BC08E2" w:rsidRPr="00DA298D">
        <w:t xml:space="preserve">9 </w:t>
      </w:r>
      <w:r w:rsidR="00BC08E2" w:rsidRPr="00DA298D">
        <w:rPr>
          <w:i/>
        </w:rPr>
        <w:t xml:space="preserve">Financial Instruments </w:t>
      </w:r>
      <w:r w:rsidR="00BC08E2" w:rsidRPr="00DA298D">
        <w:rPr>
          <w:i/>
          <w:color w:val="FF0000"/>
        </w:rPr>
        <w:t xml:space="preserve"> </w:t>
      </w:r>
    </w:p>
    <w:p w:rsidR="00BC08E2" w:rsidRPr="00DA298D" w:rsidRDefault="007D08B0" w:rsidP="00BC08E2">
      <w:r w:rsidRPr="00DA298D">
        <w:t>AASB </w:t>
      </w:r>
      <w:r w:rsidR="00BC08E2" w:rsidRPr="00DA298D">
        <w:t xml:space="preserve">9 </w:t>
      </w:r>
      <w:r w:rsidR="00BC08E2" w:rsidRPr="00DA298D">
        <w:rPr>
          <w:i/>
        </w:rPr>
        <w:t>Financial Instruments</w:t>
      </w:r>
      <w:r w:rsidR="00BC08E2" w:rsidRPr="00DA298D">
        <w:t xml:space="preserve"> will supersede previous versions of the standard (</w:t>
      </w:r>
      <w:r w:rsidRPr="00DA298D">
        <w:t>AASB </w:t>
      </w:r>
      <w:r w:rsidR="00BC08E2" w:rsidRPr="00DA298D">
        <w:t xml:space="preserve">9 (2014)) and </w:t>
      </w:r>
      <w:r w:rsidRPr="00DA298D">
        <w:t>AASB </w:t>
      </w:r>
      <w:r w:rsidR="00BC08E2" w:rsidRPr="00DA298D">
        <w:t xml:space="preserve">139 </w:t>
      </w:r>
      <w:r w:rsidR="00BC08E2" w:rsidRPr="00DA298D">
        <w:rPr>
          <w:i/>
        </w:rPr>
        <w:t>Financial Instruments: Recognition and Measurement</w:t>
      </w:r>
      <w:r w:rsidR="00BC08E2" w:rsidRPr="00DA298D">
        <w:t>. It will apply to annual reporting periods beginning on or after 1 January 2018, with retrospective application.</w:t>
      </w:r>
    </w:p>
    <w:p w:rsidR="00326BE5" w:rsidRPr="00DA298D" w:rsidRDefault="00E047FC" w:rsidP="00BC08E2">
      <w:pPr>
        <w:spacing w:before="0" w:after="200"/>
      </w:pPr>
      <w:r w:rsidRPr="00DA298D">
        <w:t>Edu</w:t>
      </w:r>
      <w:r w:rsidR="005F1B3B" w:rsidRPr="00DA298D">
        <w:t xml:space="preserve">cational workshops and </w:t>
      </w:r>
      <w:r w:rsidRPr="00DA298D">
        <w:t xml:space="preserve">materials were prepared and delivered to </w:t>
      </w:r>
      <w:r w:rsidR="002A3D81" w:rsidRPr="00DA298D">
        <w:t>d</w:t>
      </w:r>
      <w:r w:rsidRPr="00DA298D">
        <w:t xml:space="preserve">epartments and their material entities </w:t>
      </w:r>
      <w:r w:rsidR="005F1B3B" w:rsidRPr="00DA298D">
        <w:t>mid-2017. I</w:t>
      </w:r>
      <w:r w:rsidR="00326BE5" w:rsidRPr="00DA298D">
        <w:t>mpact assessment template</w:t>
      </w:r>
      <w:r w:rsidR="005F1B3B" w:rsidRPr="00DA298D">
        <w:t xml:space="preserve">s were </w:t>
      </w:r>
      <w:r w:rsidR="00326BE5" w:rsidRPr="00DA298D">
        <w:t>d</w:t>
      </w:r>
      <w:r w:rsidR="005F1B3B" w:rsidRPr="00DA298D">
        <w:t>istributed</w:t>
      </w:r>
      <w:r w:rsidR="00834AD3" w:rsidRPr="00DA298D">
        <w:t>, with</w:t>
      </w:r>
      <w:r w:rsidR="005F1B3B" w:rsidRPr="00DA298D">
        <w:t xml:space="preserve"> </w:t>
      </w:r>
      <w:r w:rsidR="002A3D81" w:rsidRPr="00DA298D">
        <w:t>d</w:t>
      </w:r>
      <w:r w:rsidR="005F1B3B" w:rsidRPr="00DA298D">
        <w:t xml:space="preserve">epartments and portfolio entities completing  self-assessments and submitting to DTF for both classification and measurement and impairment under the ‘expected loss’ model assessment. </w:t>
      </w:r>
      <w:r w:rsidR="00834AD3" w:rsidRPr="00DA298D">
        <w:t xml:space="preserve">Based on these assessments the initial application of AASB 9 is not expected to have a significant impact on the State’s financial position. </w:t>
      </w:r>
    </w:p>
    <w:p w:rsidR="00834AD3" w:rsidRPr="00DA298D" w:rsidRDefault="00EF7579" w:rsidP="00BC08E2">
      <w:pPr>
        <w:spacing w:before="0" w:after="200"/>
      </w:pPr>
      <w:r w:rsidRPr="00DA298D">
        <w:t>Since t</w:t>
      </w:r>
      <w:r w:rsidR="00834AD3" w:rsidRPr="00DA298D">
        <w:t xml:space="preserve">he new standard will not be in place until 1 July 2018, this means that </w:t>
      </w:r>
      <w:r w:rsidR="003A4896">
        <w:t xml:space="preserve">Departments and Portfolio Agencies </w:t>
      </w:r>
      <w:r w:rsidR="00834AD3" w:rsidRPr="00DA298D">
        <w:t>systems will need to be re</w:t>
      </w:r>
      <w:r w:rsidRPr="00DA298D">
        <w:noBreakHyphen/>
      </w:r>
      <w:r w:rsidR="00834AD3" w:rsidRPr="00DA298D">
        <w:t xml:space="preserve">mapped from this date for 30 June 2019 financial reporting purposes. In addition, comparative data for the prior year </w:t>
      </w:r>
      <w:r w:rsidRPr="00DA298D">
        <w:t>(</w:t>
      </w:r>
      <w:r w:rsidR="00834AD3" w:rsidRPr="00DA298D">
        <w:t>1 July 2017 to 30 June 2018</w:t>
      </w:r>
      <w:r w:rsidRPr="00DA298D">
        <w:t>)</w:t>
      </w:r>
      <w:r w:rsidR="00834AD3" w:rsidRPr="00DA298D">
        <w:t xml:space="preserve"> will be required to be disclosed on the new basis. </w:t>
      </w:r>
    </w:p>
    <w:p w:rsidR="00834AD3" w:rsidRPr="00DA298D" w:rsidRDefault="00DA4810" w:rsidP="00BC08E2">
      <w:pPr>
        <w:spacing w:before="0" w:after="200"/>
      </w:pPr>
      <w:r w:rsidRPr="00DA298D">
        <w:t>DTF will update FINSI data collection templates under the new AASB 9 requirements for both actuals and comparative data collection as at 30 June 2019.</w:t>
      </w:r>
    </w:p>
    <w:p w:rsidR="00FC54E8" w:rsidRPr="00DA298D" w:rsidRDefault="007D08B0" w:rsidP="00FC54E8">
      <w:pPr>
        <w:pStyle w:val="Heading3"/>
        <w:rPr>
          <w:color w:val="auto"/>
        </w:rPr>
      </w:pPr>
      <w:r w:rsidRPr="00DA298D">
        <w:t>AASB </w:t>
      </w:r>
      <w:r w:rsidR="00BC08E2" w:rsidRPr="00DA298D">
        <w:t xml:space="preserve">15 </w:t>
      </w:r>
      <w:r w:rsidR="00BC08E2" w:rsidRPr="00DA298D">
        <w:rPr>
          <w:i/>
        </w:rPr>
        <w:t xml:space="preserve">Revenue from Contracts with Customers </w:t>
      </w:r>
      <w:r w:rsidR="00FC54E8" w:rsidRPr="00DA298D">
        <w:t xml:space="preserve">and </w:t>
      </w:r>
      <w:r w:rsidRPr="00DA298D">
        <w:t>AASB </w:t>
      </w:r>
      <w:r w:rsidR="00FC54E8" w:rsidRPr="00DA298D">
        <w:t xml:space="preserve">1058 </w:t>
      </w:r>
      <w:r w:rsidR="00FC54E8" w:rsidRPr="00DA298D">
        <w:rPr>
          <w:i/>
        </w:rPr>
        <w:t>Income of Not</w:t>
      </w:r>
      <w:r w:rsidR="00314CE6" w:rsidRPr="00DA298D">
        <w:rPr>
          <w:i/>
        </w:rPr>
        <w:noBreakHyphen/>
      </w:r>
      <w:r w:rsidR="00FC54E8" w:rsidRPr="00DA298D">
        <w:rPr>
          <w:i/>
        </w:rPr>
        <w:t>for</w:t>
      </w:r>
      <w:r w:rsidR="00314CE6" w:rsidRPr="00DA298D">
        <w:rPr>
          <w:i/>
        </w:rPr>
        <w:noBreakHyphen/>
      </w:r>
      <w:r w:rsidR="00FC54E8" w:rsidRPr="00DA298D">
        <w:rPr>
          <w:i/>
        </w:rPr>
        <w:t>Profit Entities</w:t>
      </w:r>
      <w:r w:rsidR="00FC54E8" w:rsidRPr="00DA298D">
        <w:t xml:space="preserve"> </w:t>
      </w:r>
    </w:p>
    <w:p w:rsidR="009D5336" w:rsidRPr="00DA298D" w:rsidRDefault="007D08B0" w:rsidP="000E13EE">
      <w:pPr>
        <w:keepNext/>
        <w:keepLines/>
      </w:pPr>
      <w:r w:rsidRPr="00DA298D">
        <w:t>AASB </w:t>
      </w:r>
      <w:r w:rsidR="008B18D6" w:rsidRPr="00DA298D">
        <w:t xml:space="preserve">15 </w:t>
      </w:r>
      <w:r w:rsidR="008B18D6" w:rsidRPr="00DA298D">
        <w:rPr>
          <w:i/>
        </w:rPr>
        <w:t>Revenue from Contracts with Customers</w:t>
      </w:r>
      <w:r w:rsidR="008B18D6" w:rsidRPr="00DA298D">
        <w:t xml:space="preserve"> </w:t>
      </w:r>
      <w:r w:rsidR="0014397A" w:rsidRPr="00DA298D">
        <w:t xml:space="preserve">and </w:t>
      </w:r>
      <w:r w:rsidRPr="00DA298D">
        <w:t>AASB </w:t>
      </w:r>
      <w:r w:rsidR="0014397A" w:rsidRPr="00DA298D">
        <w:t xml:space="preserve">1058 </w:t>
      </w:r>
      <w:r w:rsidR="0014397A" w:rsidRPr="00DA298D">
        <w:rPr>
          <w:i/>
        </w:rPr>
        <w:t>Income of Not</w:t>
      </w:r>
      <w:r w:rsidR="00314CE6" w:rsidRPr="00DA298D">
        <w:rPr>
          <w:i/>
        </w:rPr>
        <w:noBreakHyphen/>
      </w:r>
      <w:r w:rsidR="0014397A" w:rsidRPr="00DA298D">
        <w:rPr>
          <w:i/>
        </w:rPr>
        <w:t>for</w:t>
      </w:r>
      <w:r w:rsidR="00314CE6" w:rsidRPr="00DA298D">
        <w:rPr>
          <w:i/>
        </w:rPr>
        <w:noBreakHyphen/>
      </w:r>
      <w:r w:rsidR="0014397A" w:rsidRPr="00DA298D">
        <w:rPr>
          <w:i/>
        </w:rPr>
        <w:t>Profit Entities</w:t>
      </w:r>
      <w:r w:rsidR="0014397A" w:rsidRPr="00DA298D">
        <w:t xml:space="preserve"> is applicable for all </w:t>
      </w:r>
      <w:r w:rsidR="0014397A" w:rsidRPr="00DA298D">
        <w:rPr>
          <w:b/>
        </w:rPr>
        <w:t>not</w:t>
      </w:r>
      <w:r w:rsidR="00314CE6" w:rsidRPr="00DA298D">
        <w:rPr>
          <w:b/>
        </w:rPr>
        <w:noBreakHyphen/>
      </w:r>
      <w:r w:rsidR="0014397A" w:rsidRPr="00DA298D">
        <w:rPr>
          <w:b/>
        </w:rPr>
        <w:t>for</w:t>
      </w:r>
      <w:r w:rsidR="00314CE6" w:rsidRPr="00DA298D">
        <w:rPr>
          <w:b/>
        </w:rPr>
        <w:noBreakHyphen/>
      </w:r>
      <w:r w:rsidR="0014397A" w:rsidRPr="00DA298D">
        <w:rPr>
          <w:b/>
        </w:rPr>
        <w:t>profit entities</w:t>
      </w:r>
      <w:r w:rsidR="0014397A" w:rsidRPr="00DA298D">
        <w:t xml:space="preserve"> for annual reporting periods commencing on or after 1 January 2019 (i.e. the 2019</w:t>
      </w:r>
      <w:r w:rsidR="00314CE6" w:rsidRPr="00DA298D">
        <w:noBreakHyphen/>
      </w:r>
      <w:r w:rsidR="0014397A" w:rsidRPr="00DA298D">
        <w:t xml:space="preserve">20 reporting period). </w:t>
      </w:r>
      <w:r w:rsidR="00DA4810" w:rsidRPr="00DA298D">
        <w:t xml:space="preserve">Note that AASB 15 is applicable one year earlier for </w:t>
      </w:r>
      <w:r w:rsidR="00DA4810" w:rsidRPr="00DA298D">
        <w:rPr>
          <w:b/>
        </w:rPr>
        <w:t>for</w:t>
      </w:r>
      <w:r w:rsidR="00DA4810" w:rsidRPr="00DA298D">
        <w:rPr>
          <w:b/>
        </w:rPr>
        <w:noBreakHyphen/>
        <w:t>profit entities</w:t>
      </w:r>
      <w:r w:rsidR="00DA4810" w:rsidRPr="00DA298D">
        <w:t xml:space="preserve"> (i.e. the 2018</w:t>
      </w:r>
      <w:r w:rsidR="00DA4810" w:rsidRPr="00DA298D">
        <w:noBreakHyphen/>
        <w:t xml:space="preserve">19 reporting period). </w:t>
      </w:r>
      <w:r w:rsidR="008B18D6" w:rsidRPr="00DA298D">
        <w:t xml:space="preserve">Refer to previous newsletters for </w:t>
      </w:r>
      <w:r w:rsidR="009D5336" w:rsidRPr="00DA298D">
        <w:t xml:space="preserve">information on the new revenue standards. </w:t>
      </w:r>
    </w:p>
    <w:p w:rsidR="008B18D6" w:rsidRPr="00DA298D" w:rsidRDefault="00AE1855" w:rsidP="00976B18">
      <w:pPr>
        <w:keepLines/>
      </w:pPr>
      <w:r w:rsidRPr="00DA298D">
        <w:t>As part of the analysis of the new accounting standards</w:t>
      </w:r>
      <w:r w:rsidR="008B18D6" w:rsidRPr="00DA298D">
        <w:t>, the Treasurer has requested</w:t>
      </w:r>
      <w:r w:rsidR="00A47746" w:rsidRPr="00DA298D">
        <w:t xml:space="preserve"> information on</w:t>
      </w:r>
      <w:r w:rsidR="008B18D6" w:rsidRPr="00DA298D">
        <w:t xml:space="preserve"> the indicative financial impacts on </w:t>
      </w:r>
      <w:r w:rsidR="00C444D9" w:rsidRPr="00DA298D">
        <w:t>the forward estimates</w:t>
      </w:r>
      <w:r w:rsidR="008B18D6" w:rsidRPr="00DA298D">
        <w:t xml:space="preserve"> </w:t>
      </w:r>
      <w:r w:rsidR="00A47746" w:rsidRPr="00DA298D">
        <w:t>with a view to possible</w:t>
      </w:r>
      <w:r w:rsidR="008B18D6" w:rsidRPr="00DA298D">
        <w:t xml:space="preserve"> inclu</w:t>
      </w:r>
      <w:r w:rsidR="00A47746" w:rsidRPr="00DA298D">
        <w:t>sion</w:t>
      </w:r>
      <w:r w:rsidR="008B18D6" w:rsidRPr="00DA298D">
        <w:t xml:space="preserve"> in a quantitative disclosure table in the 2018</w:t>
      </w:r>
      <w:r w:rsidR="00314CE6" w:rsidRPr="00DA298D">
        <w:noBreakHyphen/>
      </w:r>
      <w:r w:rsidR="008B18D6" w:rsidRPr="00DA298D">
        <w:t>19 Budget</w:t>
      </w:r>
      <w:r w:rsidR="00A47746" w:rsidRPr="00DA298D">
        <w:t xml:space="preserve"> Papers</w:t>
      </w:r>
      <w:r w:rsidRPr="00DA298D">
        <w:t xml:space="preserve"> and to inform preparation of future budgets</w:t>
      </w:r>
      <w:r w:rsidR="008B18D6" w:rsidRPr="00DA298D">
        <w:t xml:space="preserve">. </w:t>
      </w:r>
      <w:r w:rsidRPr="00DA298D">
        <w:t xml:space="preserve">The information </w:t>
      </w:r>
      <w:r w:rsidR="00C444D9" w:rsidRPr="00DA298D">
        <w:t xml:space="preserve">will also be </w:t>
      </w:r>
      <w:r w:rsidR="00C0049B" w:rsidRPr="00DA298D">
        <w:t xml:space="preserve">available </w:t>
      </w:r>
      <w:r w:rsidR="00C444D9" w:rsidRPr="00DA298D">
        <w:t xml:space="preserve"> </w:t>
      </w:r>
      <w:r w:rsidRPr="00DA298D">
        <w:t>to support DTF’s Secretary, who is responsible for preparation of the Pre</w:t>
      </w:r>
      <w:r w:rsidRPr="00DA298D">
        <w:noBreakHyphen/>
        <w:t>Election Budget Update in November 2018.</w:t>
      </w:r>
    </w:p>
    <w:p w:rsidR="008B18D6" w:rsidRPr="00DA298D" w:rsidRDefault="008B18D6" w:rsidP="00B37347">
      <w:r w:rsidRPr="00DA298D">
        <w:t>DTF has commenced working group consultations with department</w:t>
      </w:r>
      <w:r w:rsidR="00A47746" w:rsidRPr="00DA298D">
        <w:t>al</w:t>
      </w:r>
      <w:r w:rsidRPr="00DA298D">
        <w:t xml:space="preserve"> representatives to collect data from a consolidated portfolio perspective using a data submission template. The template is designed to assess</w:t>
      </w:r>
      <w:r w:rsidRPr="00DA298D">
        <w:rPr>
          <w:b/>
        </w:rPr>
        <w:t xml:space="preserve"> </w:t>
      </w:r>
      <w:r w:rsidRPr="00DA298D">
        <w:t>change</w:t>
      </w:r>
      <w:r w:rsidR="00C444D9" w:rsidRPr="00DA298D">
        <w:t>s</w:t>
      </w:r>
      <w:r w:rsidRPr="00DA298D">
        <w:t xml:space="preserve"> in revenue recognition under </w:t>
      </w:r>
      <w:r w:rsidR="007D08B0" w:rsidRPr="00DA298D">
        <w:t>AASB </w:t>
      </w:r>
      <w:r w:rsidRPr="00DA298D">
        <w:t xml:space="preserve">15 and </w:t>
      </w:r>
      <w:r w:rsidR="007D08B0" w:rsidRPr="00DA298D">
        <w:t>AASB </w:t>
      </w:r>
      <w:r w:rsidRPr="00DA298D">
        <w:t>1058 using the entity’s 2016</w:t>
      </w:r>
      <w:r w:rsidR="00314CE6" w:rsidRPr="00DA298D">
        <w:noBreakHyphen/>
      </w:r>
      <w:r w:rsidRPr="00DA298D">
        <w:t>17 actuals and 2017</w:t>
      </w:r>
      <w:r w:rsidR="00314CE6" w:rsidRPr="00DA298D">
        <w:noBreakHyphen/>
      </w:r>
      <w:r w:rsidRPr="00DA298D">
        <w:t>18 budget estimate figures.</w:t>
      </w:r>
    </w:p>
    <w:p w:rsidR="008B18D6" w:rsidRPr="00DA298D" w:rsidRDefault="008B18D6" w:rsidP="00B37347">
      <w:r w:rsidRPr="00DA298D">
        <w:t xml:space="preserve">An initial submission process was performed in November 2017 to collect data on material revenue items from all departments and their material portfolio agencies. </w:t>
      </w:r>
      <w:r w:rsidRPr="00DA298D">
        <w:rPr>
          <w:b/>
        </w:rPr>
        <w:t xml:space="preserve">All </w:t>
      </w:r>
      <w:r w:rsidR="00250ACB" w:rsidRPr="00DA298D">
        <w:t>departments and</w:t>
      </w:r>
      <w:r w:rsidR="00250ACB" w:rsidRPr="00DA298D">
        <w:rPr>
          <w:b/>
        </w:rPr>
        <w:t xml:space="preserve"> </w:t>
      </w:r>
      <w:r w:rsidRPr="00DA298D">
        <w:t xml:space="preserve">portfolio entities </w:t>
      </w:r>
      <w:r w:rsidR="00250ACB" w:rsidRPr="00DA298D">
        <w:t>are</w:t>
      </w:r>
      <w:r w:rsidRPr="00DA298D">
        <w:t xml:space="preserve"> now required to complete the data submission template to assess </w:t>
      </w:r>
      <w:r w:rsidRPr="00DA298D">
        <w:rPr>
          <w:b/>
        </w:rPr>
        <w:t xml:space="preserve">all </w:t>
      </w:r>
      <w:r w:rsidR="00C444D9" w:rsidRPr="00DA298D">
        <w:t xml:space="preserve">of </w:t>
      </w:r>
      <w:r w:rsidRPr="00DA298D">
        <w:t xml:space="preserve">their income items (not just material items) to assist DTF in compiling a complete impact assessment for the </w:t>
      </w:r>
      <w:r w:rsidR="00F30ABD" w:rsidRPr="00DA298D">
        <w:t>w</w:t>
      </w:r>
      <w:r w:rsidRPr="00DA298D">
        <w:t xml:space="preserve">hole of State. </w:t>
      </w:r>
    </w:p>
    <w:p w:rsidR="0055727D" w:rsidRPr="00DA298D" w:rsidRDefault="0055727D" w:rsidP="008B18D6">
      <w:r w:rsidRPr="00DA298D">
        <w:t xml:space="preserve">Key points to note when completing the data submission template: </w:t>
      </w:r>
    </w:p>
    <w:p w:rsidR="00C0430B" w:rsidRPr="00DA298D" w:rsidRDefault="000E13EE" w:rsidP="00552BF5">
      <w:pPr>
        <w:pStyle w:val="Heading4"/>
      </w:pPr>
      <w:r w:rsidRPr="00DA298D">
        <w:t>Commonwealth capital grants</w:t>
      </w:r>
    </w:p>
    <w:p w:rsidR="0055727D" w:rsidRPr="00DA298D" w:rsidRDefault="00AE1A2F" w:rsidP="00552BF5">
      <w:r w:rsidRPr="00DA298D">
        <w:t>E</w:t>
      </w:r>
      <w:r w:rsidR="00FD1EAE" w:rsidRPr="00DA298D">
        <w:t xml:space="preserve">ntities will need to include data for all their Commonwealth capital grants that are receipted by DTF and appropriated to the department via section 29 of the </w:t>
      </w:r>
      <w:r w:rsidR="00FD1EAE" w:rsidRPr="00DA298D">
        <w:rPr>
          <w:i/>
        </w:rPr>
        <w:t>Financial Management Act 1994</w:t>
      </w:r>
      <w:r w:rsidR="00FD1EAE" w:rsidRPr="00DA298D">
        <w:t xml:space="preserve">. </w:t>
      </w:r>
      <w:r w:rsidR="009D4DDD" w:rsidRPr="00DA298D">
        <w:t>As these grants are not recorded as capital grants from a departmental perspective, DTF will need to centrally defer and amortise the capita</w:t>
      </w:r>
      <w:r w:rsidR="008F4C5C" w:rsidRPr="00DA298D">
        <w:t>l</w:t>
      </w:r>
      <w:r w:rsidR="009D4DDD" w:rsidRPr="00DA298D">
        <w:t xml:space="preserve"> grant</w:t>
      </w:r>
      <w:r w:rsidR="00FD1EAE" w:rsidRPr="00DA298D">
        <w:t xml:space="preserve"> revenue from the Commonwealth, </w:t>
      </w:r>
      <w:r w:rsidR="009D4DDD" w:rsidRPr="00DA298D">
        <w:t xml:space="preserve">consistent with the revenue recognition for the construction of the asset. Therefore, entities </w:t>
      </w:r>
      <w:r w:rsidR="003A4896">
        <w:t xml:space="preserve">via departmental representatives </w:t>
      </w:r>
      <w:r w:rsidR="009D4DDD" w:rsidRPr="00DA298D">
        <w:t>will need to provide work</w:t>
      </w:r>
      <w:r w:rsidR="00314CE6" w:rsidRPr="00DA298D">
        <w:noBreakHyphen/>
      </w:r>
      <w:r w:rsidR="009D4DDD" w:rsidRPr="00DA298D">
        <w:t>in</w:t>
      </w:r>
      <w:r w:rsidR="00314CE6" w:rsidRPr="00DA298D">
        <w:noBreakHyphen/>
      </w:r>
      <w:r w:rsidR="009D4DDD" w:rsidRPr="00DA298D">
        <w:t xml:space="preserve">progress milestones to DTF. </w:t>
      </w:r>
    </w:p>
    <w:p w:rsidR="00C0430B" w:rsidRPr="00DA298D" w:rsidRDefault="00C0430B" w:rsidP="00552BF5">
      <w:pPr>
        <w:pStyle w:val="Heading4"/>
      </w:pPr>
      <w:r w:rsidRPr="00DA298D">
        <w:t xml:space="preserve">Lease rental revenue </w:t>
      </w:r>
    </w:p>
    <w:p w:rsidR="00FD1EAE" w:rsidRPr="00DA298D" w:rsidRDefault="00AE1A2F" w:rsidP="00552BF5">
      <w:r w:rsidRPr="00DA298D">
        <w:t>Whil</w:t>
      </w:r>
      <w:r w:rsidR="00F30ABD" w:rsidRPr="00DA298D">
        <w:t>e</w:t>
      </w:r>
      <w:r w:rsidRPr="00DA298D">
        <w:t xml:space="preserve"> the recognition requirements for rental revenue is outside the scope of </w:t>
      </w:r>
      <w:r w:rsidR="007D08B0" w:rsidRPr="00DA298D">
        <w:t>AASB </w:t>
      </w:r>
      <w:r w:rsidRPr="00DA298D">
        <w:t xml:space="preserve">15 and </w:t>
      </w:r>
      <w:r w:rsidR="007D08B0" w:rsidRPr="00DA298D">
        <w:t>AASB </w:t>
      </w:r>
      <w:r w:rsidRPr="00DA298D">
        <w:t xml:space="preserve">1058, entities will be required to </w:t>
      </w:r>
      <w:r w:rsidR="002004C7" w:rsidRPr="00DA298D">
        <w:t xml:space="preserve">include data for </w:t>
      </w:r>
      <w:r w:rsidRPr="00DA298D">
        <w:t>rental revenue in the designated ‘out</w:t>
      </w:r>
      <w:r w:rsidR="00314CE6" w:rsidRPr="00DA298D">
        <w:noBreakHyphen/>
      </w:r>
      <w:r w:rsidRPr="00DA298D">
        <w:t>of</w:t>
      </w:r>
      <w:r w:rsidR="00314CE6" w:rsidRPr="00DA298D">
        <w:noBreakHyphen/>
      </w:r>
      <w:r w:rsidRPr="00DA298D">
        <w:t>scope’ section of the template for completeness purposes only.</w:t>
      </w:r>
      <w:r w:rsidR="002004C7" w:rsidRPr="00DA298D">
        <w:t xml:space="preserve"> </w:t>
      </w:r>
      <w:r w:rsidR="00FD1EAE" w:rsidRPr="00DA298D">
        <w:t>Note</w:t>
      </w:r>
      <w:r w:rsidR="00F30ABD" w:rsidRPr="00DA298D">
        <w:t>,</w:t>
      </w:r>
      <w:r w:rsidR="00FD1EAE" w:rsidRPr="00DA298D">
        <w:t xml:space="preserve"> lessors should be recognising lease rental revenue, and will need to consider options/methodology for valuing their peppercorn leases from a lessor/lessee perspective.</w:t>
      </w:r>
    </w:p>
    <w:p w:rsidR="00C0430B" w:rsidRPr="00DA298D" w:rsidRDefault="00C0430B" w:rsidP="00552BF5">
      <w:pPr>
        <w:pStyle w:val="Heading4"/>
      </w:pPr>
      <w:r w:rsidRPr="00DA298D">
        <w:t>Volunteer services</w:t>
      </w:r>
    </w:p>
    <w:p w:rsidR="00FD1EAE" w:rsidRPr="00DA298D" w:rsidRDefault="00F30ABD" w:rsidP="00552BF5">
      <w:r w:rsidRPr="00DA298D">
        <w:t>W</w:t>
      </w:r>
      <w:r w:rsidR="00FD1EAE" w:rsidRPr="00DA298D">
        <w:t>here volunteer services form an integral part of the business, entities will need to assess whether they would be required to recognise their volunteer services</w:t>
      </w:r>
      <w:r w:rsidRPr="00DA298D">
        <w:t>,</w:t>
      </w:r>
      <w:r w:rsidR="00FD1EAE" w:rsidRPr="00DA298D">
        <w:t xml:space="preserve"> </w:t>
      </w:r>
      <w:r w:rsidR="002004C7" w:rsidRPr="00DA298D">
        <w:t>as this</w:t>
      </w:r>
      <w:r w:rsidR="00FD1EAE" w:rsidRPr="00DA298D">
        <w:t xml:space="preserve"> is likely to be a potential area of focus by audit.</w:t>
      </w:r>
      <w:r w:rsidR="000F5A54" w:rsidRPr="00DA298D">
        <w:t xml:space="preserve"> </w:t>
      </w:r>
    </w:p>
    <w:p w:rsidR="008B18D6" w:rsidRPr="00DA298D" w:rsidRDefault="008B18D6" w:rsidP="00552BF5">
      <w:r w:rsidRPr="00DA298D">
        <w:t xml:space="preserve">Departmental representatives will be required to submit completed data templates for their consolidated portfolio to DTF by </w:t>
      </w:r>
      <w:r w:rsidRPr="00DA298D">
        <w:rPr>
          <w:b/>
        </w:rPr>
        <w:t>5 February 2018</w:t>
      </w:r>
      <w:r w:rsidRPr="00DA298D">
        <w:t>, and will be responsible for ensuring the data is representative of the expected financial impacts.</w:t>
      </w:r>
      <w:r w:rsidR="000F5A54" w:rsidRPr="00DA298D">
        <w:t xml:space="preserve"> </w:t>
      </w:r>
    </w:p>
    <w:p w:rsidR="008B18D6" w:rsidRPr="00DA298D" w:rsidRDefault="00067542" w:rsidP="00552BF5">
      <w:r w:rsidRPr="00DA298D">
        <w:t>DTF</w:t>
      </w:r>
      <w:r w:rsidR="008B18D6" w:rsidRPr="00DA298D">
        <w:t xml:space="preserve"> has developed a preliminary checklist to assist entities with determining whether particular transactions are caught within the scope of </w:t>
      </w:r>
      <w:r w:rsidR="007D08B0" w:rsidRPr="00DA298D">
        <w:t>AASB </w:t>
      </w:r>
      <w:r w:rsidR="008B18D6" w:rsidRPr="00DA298D">
        <w:t xml:space="preserve">15 or </w:t>
      </w:r>
      <w:r w:rsidR="007D08B0" w:rsidRPr="00DA298D">
        <w:t>AASB </w:t>
      </w:r>
      <w:r w:rsidR="008B18D6" w:rsidRPr="00DA298D">
        <w:t xml:space="preserve">1058, and includes information on the proposed transitional approaches for implementation. Contact your departmental representative for copies of the preliminary guidance information shared at the </w:t>
      </w:r>
      <w:r w:rsidR="0082710C" w:rsidRPr="00DA298D">
        <w:t>working groups</w:t>
      </w:r>
      <w:r w:rsidR="008B18D6" w:rsidRPr="00DA298D">
        <w:t xml:space="preserve">. </w:t>
      </w:r>
    </w:p>
    <w:p w:rsidR="00BC08E2" w:rsidRPr="00DA298D" w:rsidRDefault="007D08B0" w:rsidP="00BC08E2">
      <w:pPr>
        <w:pStyle w:val="Heading3"/>
        <w:rPr>
          <w:color w:val="FF0000"/>
        </w:rPr>
      </w:pPr>
      <w:r w:rsidRPr="00DA298D">
        <w:t>AASB </w:t>
      </w:r>
      <w:r w:rsidR="00BC08E2" w:rsidRPr="00DA298D">
        <w:t xml:space="preserve">16 </w:t>
      </w:r>
      <w:r w:rsidR="00BC08E2" w:rsidRPr="00DA298D">
        <w:rPr>
          <w:i/>
        </w:rPr>
        <w:t xml:space="preserve">Leases </w:t>
      </w:r>
    </w:p>
    <w:p w:rsidR="00BC08E2" w:rsidRPr="00DA298D" w:rsidRDefault="007D08B0" w:rsidP="00BC08E2">
      <w:pPr>
        <w:rPr>
          <w:lang w:val="en-US"/>
        </w:rPr>
      </w:pPr>
      <w:r w:rsidRPr="00DA298D">
        <w:t>AASB </w:t>
      </w:r>
      <w:r w:rsidR="00BC08E2" w:rsidRPr="00DA298D">
        <w:t xml:space="preserve">16 </w:t>
      </w:r>
      <w:r w:rsidR="00BC08E2" w:rsidRPr="00DA298D">
        <w:rPr>
          <w:i/>
        </w:rPr>
        <w:t>Leases</w:t>
      </w:r>
      <w:r w:rsidR="00BC08E2" w:rsidRPr="00DA298D">
        <w:t xml:space="preserve"> </w:t>
      </w:r>
      <w:r w:rsidR="00123DFE" w:rsidRPr="00DA298D">
        <w:t>will</w:t>
      </w:r>
      <w:r w:rsidR="00BC08E2" w:rsidRPr="00DA298D">
        <w:t xml:space="preserve"> supersede the existing </w:t>
      </w:r>
      <w:r w:rsidRPr="00DA298D">
        <w:t>AASB </w:t>
      </w:r>
      <w:r w:rsidR="00BC08E2" w:rsidRPr="00DA298D">
        <w:t xml:space="preserve">117 </w:t>
      </w:r>
      <w:r w:rsidR="00BC08E2" w:rsidRPr="00DA298D">
        <w:rPr>
          <w:i/>
        </w:rPr>
        <w:t>Leases</w:t>
      </w:r>
      <w:r w:rsidR="00123DFE" w:rsidRPr="00DA298D">
        <w:rPr>
          <w:i/>
        </w:rPr>
        <w:t xml:space="preserve">. </w:t>
      </w:r>
      <w:r w:rsidR="00123DFE" w:rsidRPr="00DA298D">
        <w:t>The effective date is</w:t>
      </w:r>
      <w:r w:rsidR="00BC08E2" w:rsidRPr="00DA298D">
        <w:rPr>
          <w:lang w:val="en-US"/>
        </w:rPr>
        <w:t xml:space="preserve"> for annual reporting periods begin</w:t>
      </w:r>
      <w:r w:rsidR="00123DFE" w:rsidRPr="00DA298D">
        <w:rPr>
          <w:lang w:val="en-US"/>
        </w:rPr>
        <w:t>ning on or after 1 January 2019 (the 2019-20 reporting period).</w:t>
      </w:r>
    </w:p>
    <w:p w:rsidR="00F9790E" w:rsidRPr="00DA298D" w:rsidRDefault="00F9790E" w:rsidP="00F9790E">
      <w:pPr>
        <w:rPr>
          <w:lang w:val="en-US"/>
        </w:rPr>
      </w:pPr>
      <w:r w:rsidRPr="00DA298D">
        <w:t xml:space="preserve">To determine the financial impact for the State of Victoria, a lease register template was designed and distributed to recognise operating leases in order to calculate the financial impact of the new standard. </w:t>
      </w:r>
    </w:p>
    <w:p w:rsidR="00F9790E" w:rsidRPr="00DA298D" w:rsidRDefault="00F9790E" w:rsidP="00F9790E">
      <w:r w:rsidRPr="00DA298D">
        <w:t xml:space="preserve">An initial submission process was performed in November 2017 to collect data on material lease items from all departments and their material portfolio agencies. </w:t>
      </w:r>
      <w:r w:rsidRPr="00DA298D">
        <w:rPr>
          <w:b/>
        </w:rPr>
        <w:t xml:space="preserve">All </w:t>
      </w:r>
      <w:r w:rsidRPr="00DA298D">
        <w:t xml:space="preserve">portfolio entities will now be required to complete the lease register template to assess </w:t>
      </w:r>
      <w:r w:rsidRPr="00DA298D">
        <w:rPr>
          <w:b/>
        </w:rPr>
        <w:t xml:space="preserve">all </w:t>
      </w:r>
      <w:r w:rsidRPr="00DA298D">
        <w:t xml:space="preserve">their operating leases (not just material items) to assist DTF in compiling a complete impact assessment for the whole of State. </w:t>
      </w:r>
    </w:p>
    <w:p w:rsidR="00F9790E" w:rsidRPr="00DA298D" w:rsidRDefault="00F9790E" w:rsidP="00F9790E">
      <w:r w:rsidRPr="00DA298D">
        <w:t xml:space="preserve">Key points to note when completing the lease register: </w:t>
      </w:r>
    </w:p>
    <w:p w:rsidR="00F9790E" w:rsidRPr="00DA298D" w:rsidRDefault="002E09A3" w:rsidP="00F9790E">
      <w:pPr>
        <w:pStyle w:val="ListParagraph"/>
        <w:numPr>
          <w:ilvl w:val="0"/>
          <w:numId w:val="17"/>
        </w:numPr>
        <w:rPr>
          <w:lang w:val="en-US"/>
        </w:rPr>
      </w:pPr>
      <w:r w:rsidRPr="00DA298D">
        <w:rPr>
          <w:lang w:val="en-US"/>
        </w:rPr>
        <w:t>e</w:t>
      </w:r>
      <w:r w:rsidR="00F9790E" w:rsidRPr="00DA298D">
        <w:rPr>
          <w:lang w:val="en-US"/>
        </w:rPr>
        <w:t>xclude intra-group leases</w:t>
      </w:r>
    </w:p>
    <w:p w:rsidR="00F9790E" w:rsidRPr="00DA298D" w:rsidRDefault="002E09A3" w:rsidP="00F9790E">
      <w:pPr>
        <w:pStyle w:val="ListParagraph"/>
        <w:numPr>
          <w:ilvl w:val="0"/>
          <w:numId w:val="17"/>
        </w:numPr>
        <w:rPr>
          <w:lang w:val="en-US"/>
        </w:rPr>
      </w:pPr>
      <w:r w:rsidRPr="00DA298D">
        <w:rPr>
          <w:lang w:val="en-US"/>
        </w:rPr>
        <w:t>e</w:t>
      </w:r>
      <w:r w:rsidR="00F9790E" w:rsidRPr="00DA298D">
        <w:rPr>
          <w:lang w:val="en-US"/>
        </w:rPr>
        <w:t>xclude le</w:t>
      </w:r>
      <w:r w:rsidR="00C757B5" w:rsidRPr="00DA298D">
        <w:rPr>
          <w:lang w:val="en-US"/>
        </w:rPr>
        <w:t>a</w:t>
      </w:r>
      <w:r w:rsidR="00F9790E" w:rsidRPr="00DA298D">
        <w:rPr>
          <w:lang w:val="en-US"/>
        </w:rPr>
        <w:t>s</w:t>
      </w:r>
      <w:r w:rsidR="00C757B5" w:rsidRPr="00DA298D">
        <w:rPr>
          <w:lang w:val="en-US"/>
        </w:rPr>
        <w:t>e</w:t>
      </w:r>
      <w:r w:rsidR="00F9790E" w:rsidRPr="00DA298D">
        <w:rPr>
          <w:lang w:val="en-US"/>
        </w:rPr>
        <w:t xml:space="preserve"> terms of less than 12 months or with underlying assets worth less than </w:t>
      </w:r>
      <w:r w:rsidR="00C757B5" w:rsidRPr="00DA298D">
        <w:rPr>
          <w:lang w:val="en-US"/>
        </w:rPr>
        <w:t>USD</w:t>
      </w:r>
      <w:r w:rsidR="00937BAF" w:rsidRPr="00DA298D">
        <w:rPr>
          <w:lang w:val="en-US"/>
        </w:rPr>
        <w:t xml:space="preserve"> </w:t>
      </w:r>
      <w:r w:rsidR="00F9790E" w:rsidRPr="00DA298D">
        <w:rPr>
          <w:lang w:val="en-US"/>
        </w:rPr>
        <w:t>5</w:t>
      </w:r>
      <w:r w:rsidR="00937BAF" w:rsidRPr="00DA298D">
        <w:rPr>
          <w:lang w:val="en-US"/>
        </w:rPr>
        <w:t xml:space="preserve"> </w:t>
      </w:r>
      <w:r w:rsidR="00F9790E" w:rsidRPr="00DA298D">
        <w:rPr>
          <w:lang w:val="en-US"/>
        </w:rPr>
        <w:t xml:space="preserve">000 </w:t>
      </w:r>
      <w:r w:rsidR="002A288D" w:rsidRPr="00DA298D">
        <w:rPr>
          <w:lang w:val="en-US"/>
        </w:rPr>
        <w:t xml:space="preserve"> (DTF proposed a</w:t>
      </w:r>
      <w:r w:rsidR="00C757B5" w:rsidRPr="00DA298D">
        <w:rPr>
          <w:lang w:val="en-US"/>
        </w:rPr>
        <w:t xml:space="preserve"> consideration of AUD</w:t>
      </w:r>
      <w:r w:rsidR="00937BAF" w:rsidRPr="00DA298D">
        <w:rPr>
          <w:lang w:val="en-US"/>
        </w:rPr>
        <w:t xml:space="preserve"> </w:t>
      </w:r>
      <w:r w:rsidR="00C757B5" w:rsidRPr="00DA298D">
        <w:rPr>
          <w:lang w:val="en-US"/>
        </w:rPr>
        <w:t>10</w:t>
      </w:r>
      <w:r w:rsidR="00937BAF" w:rsidRPr="00DA298D">
        <w:rPr>
          <w:lang w:val="en-US"/>
        </w:rPr>
        <w:t xml:space="preserve"> </w:t>
      </w:r>
      <w:r w:rsidR="00C757B5" w:rsidRPr="00DA298D">
        <w:rPr>
          <w:lang w:val="en-US"/>
        </w:rPr>
        <w:t>000)</w:t>
      </w:r>
      <w:r w:rsidR="00F9790E" w:rsidRPr="00DA298D">
        <w:rPr>
          <w:lang w:val="en-US"/>
        </w:rPr>
        <w:t>.</w:t>
      </w:r>
    </w:p>
    <w:p w:rsidR="00F9790E" w:rsidRPr="00DA298D" w:rsidRDefault="002E09A3" w:rsidP="00F9790E">
      <w:pPr>
        <w:pStyle w:val="ListParagraph"/>
        <w:numPr>
          <w:ilvl w:val="0"/>
          <w:numId w:val="17"/>
        </w:numPr>
        <w:rPr>
          <w:lang w:val="en-US"/>
        </w:rPr>
      </w:pPr>
      <w:r w:rsidRPr="00DA298D">
        <w:rPr>
          <w:lang w:val="en-US"/>
        </w:rPr>
        <w:t>i</w:t>
      </w:r>
      <w:r w:rsidR="00F9790E" w:rsidRPr="00DA298D">
        <w:rPr>
          <w:lang w:val="en-US"/>
        </w:rPr>
        <w:t>nclude all shared services accommodation leases (as lessee)</w:t>
      </w:r>
    </w:p>
    <w:p w:rsidR="00F9790E" w:rsidRPr="00DA298D" w:rsidRDefault="002E09A3" w:rsidP="00F9790E">
      <w:pPr>
        <w:pStyle w:val="ListParagraph"/>
        <w:numPr>
          <w:ilvl w:val="0"/>
          <w:numId w:val="17"/>
        </w:numPr>
        <w:rPr>
          <w:lang w:val="en-US"/>
        </w:rPr>
      </w:pPr>
      <w:r w:rsidRPr="00DA298D">
        <w:rPr>
          <w:lang w:val="en-US"/>
        </w:rPr>
        <w:t>i</w:t>
      </w:r>
      <w:r w:rsidR="00F9790E" w:rsidRPr="00DA298D">
        <w:rPr>
          <w:lang w:val="en-US"/>
        </w:rPr>
        <w:t>nclude operating leases (as lessee)</w:t>
      </w:r>
    </w:p>
    <w:p w:rsidR="00F9790E" w:rsidRPr="00DA298D" w:rsidRDefault="002E09A3" w:rsidP="00F9790E">
      <w:pPr>
        <w:pStyle w:val="ListParagraph"/>
        <w:numPr>
          <w:ilvl w:val="0"/>
          <w:numId w:val="17"/>
        </w:numPr>
        <w:rPr>
          <w:lang w:val="en-US"/>
        </w:rPr>
      </w:pPr>
      <w:r w:rsidRPr="00DA298D">
        <w:rPr>
          <w:lang w:val="en-US"/>
        </w:rPr>
        <w:t>i</w:t>
      </w:r>
      <w:r w:rsidR="00F9790E" w:rsidRPr="00DA298D">
        <w:rPr>
          <w:lang w:val="en-US"/>
        </w:rPr>
        <w:t>nclude right of use assets contained in service contracts</w:t>
      </w:r>
    </w:p>
    <w:p w:rsidR="00F9790E" w:rsidRPr="00DA298D" w:rsidRDefault="002E09A3" w:rsidP="00F9790E">
      <w:pPr>
        <w:pStyle w:val="ListParagraph"/>
        <w:numPr>
          <w:ilvl w:val="0"/>
          <w:numId w:val="17"/>
        </w:numPr>
        <w:rPr>
          <w:lang w:val="en-US"/>
        </w:rPr>
      </w:pPr>
      <w:r w:rsidRPr="00DA298D">
        <w:rPr>
          <w:lang w:val="en-US"/>
        </w:rPr>
        <w:t>i</w:t>
      </w:r>
      <w:r w:rsidR="00F9790E" w:rsidRPr="00DA298D">
        <w:rPr>
          <w:lang w:val="en-US"/>
        </w:rPr>
        <w:t xml:space="preserve">dentify peppercorn leases (as both lessee and lessor) </w:t>
      </w:r>
    </w:p>
    <w:p w:rsidR="00F9790E" w:rsidRPr="00DA298D" w:rsidRDefault="002E09A3" w:rsidP="00F9790E">
      <w:pPr>
        <w:pStyle w:val="ListParagraph"/>
        <w:numPr>
          <w:ilvl w:val="0"/>
          <w:numId w:val="17"/>
        </w:numPr>
        <w:rPr>
          <w:lang w:val="en-US"/>
        </w:rPr>
      </w:pPr>
      <w:r w:rsidRPr="00DA298D">
        <w:rPr>
          <w:lang w:val="en-US"/>
        </w:rPr>
        <w:t>s</w:t>
      </w:r>
      <w:r w:rsidR="00F9790E" w:rsidRPr="00DA298D">
        <w:rPr>
          <w:lang w:val="en-US"/>
        </w:rPr>
        <w:t xml:space="preserve">eparate lease and non-lease components </w:t>
      </w:r>
    </w:p>
    <w:p w:rsidR="00F9790E" w:rsidRPr="00DA298D" w:rsidRDefault="00F9790E" w:rsidP="00F9790E">
      <w:r w:rsidRPr="00DA298D">
        <w:t xml:space="preserve">Departments </w:t>
      </w:r>
      <w:r w:rsidR="00872CD8" w:rsidRPr="00DA298D">
        <w:t>have been</w:t>
      </w:r>
      <w:r w:rsidRPr="00DA298D">
        <w:t xml:space="preserve"> requ</w:t>
      </w:r>
      <w:r w:rsidR="00C444D9" w:rsidRPr="00DA298D">
        <w:t>ested</w:t>
      </w:r>
      <w:r w:rsidRPr="00DA298D">
        <w:t xml:space="preserve"> to submit completed lease registers for their consolidated portfolio</w:t>
      </w:r>
      <w:r w:rsidR="00872CD8" w:rsidRPr="00DA298D">
        <w:t xml:space="preserve"> (GGS and PNFC sectors)</w:t>
      </w:r>
      <w:r w:rsidRPr="00DA298D">
        <w:t xml:space="preserve"> to DTF by </w:t>
      </w:r>
      <w:r w:rsidRPr="00DA298D">
        <w:rPr>
          <w:b/>
        </w:rPr>
        <w:t>5 February 2018</w:t>
      </w:r>
      <w:r w:rsidRPr="00DA298D">
        <w:t xml:space="preserve">, and will be responsible for ensuring the data is representative of the expected financial impacts. </w:t>
      </w:r>
    </w:p>
    <w:p w:rsidR="00F9790E" w:rsidRPr="00DA298D" w:rsidRDefault="00F9790E" w:rsidP="00F9790E">
      <w:r w:rsidRPr="00DA298D">
        <w:t xml:space="preserve">DTF has developed a preliminary checklist to assist entities with determining whether particular transactions are caught within the scope of AASB 16, and includes information on the proposed transitional approach for implementation. Contact your departmental representative for copies of the preliminary guidance information shared at the working groups. </w:t>
      </w:r>
    </w:p>
    <w:p w:rsidR="00123DFE" w:rsidRPr="00DA298D" w:rsidRDefault="00123DFE" w:rsidP="00BC08E2">
      <w:pPr>
        <w:rPr>
          <w:lang w:val="en-US"/>
        </w:rPr>
      </w:pPr>
    </w:p>
    <w:p w:rsidR="00BC08E2" w:rsidRPr="00DA298D" w:rsidRDefault="00BC08E2" w:rsidP="00BC08E2">
      <w:pPr>
        <w:pStyle w:val="Heading2"/>
      </w:pPr>
      <w:r w:rsidRPr="00DA298D">
        <w:t xml:space="preserve">Other upcoming </w:t>
      </w:r>
      <w:r w:rsidR="007D08B0" w:rsidRPr="00DA298D">
        <w:t>AASB </w:t>
      </w:r>
      <w:r w:rsidRPr="00DA298D">
        <w:t>standards</w:t>
      </w:r>
    </w:p>
    <w:p w:rsidR="00BC08E2" w:rsidRPr="00DA298D" w:rsidRDefault="007D08B0" w:rsidP="00BC08E2">
      <w:pPr>
        <w:pStyle w:val="Heading3"/>
        <w:rPr>
          <w:i/>
          <w:color w:val="FF0000"/>
        </w:rPr>
      </w:pPr>
      <w:r w:rsidRPr="00DA298D">
        <w:t>AASB </w:t>
      </w:r>
      <w:r w:rsidR="00BC08E2" w:rsidRPr="00DA298D">
        <w:t xml:space="preserve">1059 </w:t>
      </w:r>
      <w:r w:rsidR="00BC08E2" w:rsidRPr="00DA298D">
        <w:rPr>
          <w:i/>
        </w:rPr>
        <w:t xml:space="preserve">Service Concession Arrangements </w:t>
      </w:r>
    </w:p>
    <w:p w:rsidR="00CF4AFE" w:rsidRPr="00DA298D" w:rsidRDefault="00CF4AFE" w:rsidP="00BC08E2">
      <w:r w:rsidRPr="00DA298D">
        <w:t>The AASB has issued a new standard for public sector entities that are grantors of service concession arrangements. This new standard will address the lack of a specific Australian Accounting Standard for the accounting for service concession arrangements f</w:t>
      </w:r>
      <w:r w:rsidR="006E1A5E" w:rsidRPr="00DA298D">
        <w:t>ro</w:t>
      </w:r>
      <w:r w:rsidRPr="00DA298D">
        <w:t>m the grantor’s perspective. These are arrangements that involve a private sector entity operating a service concession asset to deliver public services on behalf of a public sector entity. The accounting standard is effective for annual reporti</w:t>
      </w:r>
      <w:r w:rsidR="006E1A5E" w:rsidRPr="00DA298D">
        <w:t>ng periods beginning or after 1 </w:t>
      </w:r>
      <w:r w:rsidRPr="00DA298D">
        <w:t>January 2019 i.e. 2019-20 financial year.</w:t>
      </w:r>
    </w:p>
    <w:p w:rsidR="00272D3C" w:rsidRPr="00DA298D" w:rsidRDefault="00272D3C" w:rsidP="00272D3C">
      <w:r w:rsidRPr="00DA298D">
        <w:t>For background information on ED 261 Service Concession Arrangements, please refer to our December 2016 Newsletter, Edition No. 31 and July 2017 Newsletter, Edition No. 32 at DTF’s website:</w:t>
      </w:r>
    </w:p>
    <w:p w:rsidR="00CF4AFE" w:rsidRPr="00DA298D" w:rsidRDefault="002573A1" w:rsidP="00272D3C">
      <w:hyperlink r:id="rId24" w:history="1">
        <w:r w:rsidR="00272D3C" w:rsidRPr="00DA298D">
          <w:rPr>
            <w:rStyle w:val="Hyperlink"/>
            <w:color w:val="auto"/>
          </w:rPr>
          <w:t>http://www.dtf.vic.gov.au/Publications/Government-Financial-Management-publications/Financial-Reporting-Policy/Accounting-policy-update-newsletters</w:t>
        </w:r>
      </w:hyperlink>
      <w:r w:rsidR="0018168D" w:rsidRPr="00DA298D">
        <w:t>.</w:t>
      </w:r>
    </w:p>
    <w:p w:rsidR="00272D3C" w:rsidRPr="00DA298D" w:rsidRDefault="005A2B8F" w:rsidP="00272D3C">
      <w:r w:rsidRPr="00DA298D">
        <w:t>More detailed guidance will be issued separately.</w:t>
      </w:r>
    </w:p>
    <w:p w:rsidR="00BC08E2" w:rsidRPr="00DA298D" w:rsidRDefault="007D08B0" w:rsidP="0024195A">
      <w:pPr>
        <w:pStyle w:val="Heading3"/>
      </w:pPr>
      <w:r w:rsidRPr="00DA298D">
        <w:t>AASB </w:t>
      </w:r>
      <w:r w:rsidR="003E5201" w:rsidRPr="00DA298D">
        <w:t xml:space="preserve">17 </w:t>
      </w:r>
      <w:r w:rsidR="00BC08E2" w:rsidRPr="00DA298D">
        <w:rPr>
          <w:i/>
        </w:rPr>
        <w:t>Insurance contracts</w:t>
      </w:r>
    </w:p>
    <w:p w:rsidR="003E5201" w:rsidRPr="00DA298D" w:rsidRDefault="003E5201" w:rsidP="003E5201">
      <w:r w:rsidRPr="00DA298D">
        <w:t xml:space="preserve">The </w:t>
      </w:r>
      <w:r w:rsidR="007D08B0" w:rsidRPr="00DA298D">
        <w:t>AASB </w:t>
      </w:r>
      <w:r w:rsidRPr="00DA298D">
        <w:t xml:space="preserve">issued </w:t>
      </w:r>
      <w:r w:rsidR="007D08B0" w:rsidRPr="00DA298D">
        <w:t>AASB </w:t>
      </w:r>
      <w:r w:rsidRPr="00DA298D">
        <w:t xml:space="preserve">17 </w:t>
      </w:r>
      <w:r w:rsidRPr="00DA298D">
        <w:rPr>
          <w:i/>
        </w:rPr>
        <w:t>Insurance Contracts</w:t>
      </w:r>
      <w:r w:rsidRPr="00DA298D">
        <w:t xml:space="preserve"> in July 2017, fully incorporating the international standard</w:t>
      </w:r>
      <w:r w:rsidR="00117AFF" w:rsidRPr="00DA298D">
        <w:t xml:space="preserve"> </w:t>
      </w:r>
      <w:r w:rsidRPr="00DA298D">
        <w:t xml:space="preserve"> IFRS 4</w:t>
      </w:r>
      <w:r w:rsidR="00F74EC8" w:rsidRPr="00DA298D">
        <w:t>,</w:t>
      </w:r>
      <w:r w:rsidRPr="00DA298D">
        <w:t xml:space="preserve"> which was issued as an interim standard pending completion of a comprehensive standard.</w:t>
      </w:r>
    </w:p>
    <w:p w:rsidR="003E5201" w:rsidRPr="00DA298D" w:rsidRDefault="003E5201" w:rsidP="003E5201">
      <w:r w:rsidRPr="00DA298D">
        <w:t xml:space="preserve">The new </w:t>
      </w:r>
      <w:r w:rsidR="00743CA1" w:rsidRPr="00DA298D">
        <w:t xml:space="preserve">Australian </w:t>
      </w:r>
      <w:r w:rsidRPr="00DA298D">
        <w:t>standard eliminates inconsistencies and weaknesses in existing practices by providing a single principle</w:t>
      </w:r>
      <w:r w:rsidR="00314CE6" w:rsidRPr="00DA298D">
        <w:noBreakHyphen/>
      </w:r>
      <w:r w:rsidRPr="00DA298D">
        <w:t>based framework to account for all types of insurance contracts, including reissuance contract that an insurer holds. It also provides requirements for presentation and disclosure to enhance comparability between entities. The standard is effective for annual reporting periods beginning on or after 1 January 2021.</w:t>
      </w:r>
    </w:p>
    <w:p w:rsidR="003E5201" w:rsidRPr="00DA298D" w:rsidRDefault="003E5201" w:rsidP="003E5201">
      <w:r w:rsidRPr="00DA298D">
        <w:t xml:space="preserve">The issue in applying </w:t>
      </w:r>
      <w:r w:rsidR="007D08B0" w:rsidRPr="00DA298D">
        <w:t>AASB </w:t>
      </w:r>
      <w:r w:rsidRPr="00DA298D">
        <w:t xml:space="preserve">17 in the public sector is whether </w:t>
      </w:r>
      <w:r w:rsidR="007D08B0" w:rsidRPr="00DA298D">
        <w:t>AASB </w:t>
      </w:r>
      <w:r w:rsidRPr="00DA298D">
        <w:t>17 would appropriately capture all schemes with economically similar insurance risk, once it is applicable to not</w:t>
      </w:r>
      <w:r w:rsidR="00314CE6" w:rsidRPr="00DA298D">
        <w:noBreakHyphen/>
      </w:r>
      <w:r w:rsidRPr="00DA298D">
        <w:t>for</w:t>
      </w:r>
      <w:r w:rsidR="00314CE6" w:rsidRPr="00DA298D">
        <w:noBreakHyphen/>
      </w:r>
      <w:r w:rsidRPr="00DA298D">
        <w:t xml:space="preserve">profit public sector entities, ensuring there is no understatement of insurance liabilities. The </w:t>
      </w:r>
      <w:r w:rsidR="002911CE" w:rsidRPr="00DA298D">
        <w:t>Board has</w:t>
      </w:r>
      <w:r w:rsidRPr="00DA298D">
        <w:t xml:space="preserve"> noted there is inconsistency in how the current insurance standards </w:t>
      </w:r>
      <w:r w:rsidR="007D08B0" w:rsidRPr="00DA298D">
        <w:t>AASB </w:t>
      </w:r>
      <w:r w:rsidRPr="00DA298D">
        <w:t xml:space="preserve">1023 </w:t>
      </w:r>
      <w:r w:rsidRPr="00DA298D">
        <w:rPr>
          <w:i/>
        </w:rPr>
        <w:t>General Insurance Contracts</w:t>
      </w:r>
      <w:r w:rsidRPr="00DA298D">
        <w:t xml:space="preserve"> and </w:t>
      </w:r>
      <w:r w:rsidR="007D08B0" w:rsidRPr="00DA298D">
        <w:t>AASB </w:t>
      </w:r>
      <w:r w:rsidRPr="00DA298D">
        <w:rPr>
          <w:i/>
        </w:rPr>
        <w:t>1038 Life Insurance Contracts</w:t>
      </w:r>
      <w:r w:rsidRPr="00DA298D">
        <w:t xml:space="preserve"> are being applied by public sector entities. It appears </w:t>
      </w:r>
      <w:r w:rsidR="00872CD8" w:rsidRPr="00DA298D">
        <w:t xml:space="preserve">that </w:t>
      </w:r>
      <w:r w:rsidR="000C06B0" w:rsidRPr="00DA298D">
        <w:t>s</w:t>
      </w:r>
      <w:r w:rsidRPr="00DA298D">
        <w:t xml:space="preserve">ome public sector entities are applying </w:t>
      </w:r>
      <w:r w:rsidR="007D08B0" w:rsidRPr="00DA298D">
        <w:t>AASB </w:t>
      </w:r>
      <w:r w:rsidRPr="00DA298D">
        <w:t xml:space="preserve">1023, or are applying accounting consistent with </w:t>
      </w:r>
      <w:r w:rsidR="007D08B0" w:rsidRPr="00DA298D">
        <w:t>AASB </w:t>
      </w:r>
      <w:r w:rsidRPr="00DA298D">
        <w:t>1023, while others</w:t>
      </w:r>
      <w:r w:rsidR="00117AFF" w:rsidRPr="00DA298D">
        <w:t>,</w:t>
      </w:r>
      <w:r w:rsidRPr="00DA298D">
        <w:t xml:space="preserve"> with similar activities and risks, are not. Those </w:t>
      </w:r>
      <w:r w:rsidR="00F74EC8" w:rsidRPr="00DA298D">
        <w:t xml:space="preserve">who </w:t>
      </w:r>
      <w:r w:rsidRPr="00DA298D">
        <w:t xml:space="preserve">do not apply </w:t>
      </w:r>
      <w:r w:rsidR="007D08B0" w:rsidRPr="00DA298D">
        <w:t>AASB </w:t>
      </w:r>
      <w:r w:rsidRPr="00DA298D">
        <w:t xml:space="preserve">1023, identify that they apply </w:t>
      </w:r>
      <w:r w:rsidR="007D08B0" w:rsidRPr="00DA298D">
        <w:t>AASB </w:t>
      </w:r>
      <w:r w:rsidRPr="00DA298D">
        <w:t xml:space="preserve">137 </w:t>
      </w:r>
      <w:r w:rsidRPr="00DA298D">
        <w:rPr>
          <w:i/>
        </w:rPr>
        <w:t>Provisions, Contingent Liabilities and Contingent Assets</w:t>
      </w:r>
      <w:r w:rsidRPr="00DA298D">
        <w:t>, as the insurance</w:t>
      </w:r>
      <w:r w:rsidR="00314CE6" w:rsidRPr="00DA298D">
        <w:noBreakHyphen/>
      </w:r>
      <w:r w:rsidRPr="00DA298D">
        <w:t>like risk arises from statute rather than a contract.</w:t>
      </w:r>
    </w:p>
    <w:p w:rsidR="003E5201" w:rsidRPr="00DA298D" w:rsidRDefault="003E5201" w:rsidP="000E13EE">
      <w:r w:rsidRPr="00DA298D">
        <w:t xml:space="preserve">The </w:t>
      </w:r>
      <w:r w:rsidR="002911CE" w:rsidRPr="00DA298D">
        <w:t xml:space="preserve">Board </w:t>
      </w:r>
      <w:r w:rsidRPr="00DA298D">
        <w:t xml:space="preserve">is concerned the same issues around inconsistent reporting could remain under </w:t>
      </w:r>
      <w:r w:rsidR="007D08B0" w:rsidRPr="00DA298D">
        <w:t>AASB </w:t>
      </w:r>
      <w:r w:rsidRPr="00DA298D">
        <w:t>17</w:t>
      </w:r>
      <w:r w:rsidR="000C06B0" w:rsidRPr="00DA298D">
        <w:t xml:space="preserve"> with</w:t>
      </w:r>
      <w:r w:rsidRPr="00DA298D">
        <w:t xml:space="preserve"> a risk that public sector insurance liabilities would be understated</w:t>
      </w:r>
      <w:r w:rsidR="000C06B0" w:rsidRPr="00DA298D">
        <w:t>. It therefore</w:t>
      </w:r>
      <w:r w:rsidR="002911CE" w:rsidRPr="00DA298D">
        <w:t xml:space="preserve"> </w:t>
      </w:r>
      <w:r w:rsidRPr="00DA298D">
        <w:t>considers</w:t>
      </w:r>
      <w:r w:rsidR="000C06B0" w:rsidRPr="00DA298D">
        <w:t xml:space="preserve"> that</w:t>
      </w:r>
      <w:r w:rsidRPr="00DA298D">
        <w:t xml:space="preserve"> there is justification for modifying </w:t>
      </w:r>
      <w:r w:rsidR="007D08B0" w:rsidRPr="00DA298D">
        <w:t>AASB </w:t>
      </w:r>
      <w:r w:rsidRPr="00DA298D">
        <w:t xml:space="preserve">17 for public sector issues identified above. A discussion paper presenting a draft amending standard </w:t>
      </w:r>
      <w:r w:rsidR="007D08B0" w:rsidRPr="00DA298D">
        <w:t>AASB </w:t>
      </w:r>
      <w:r w:rsidRPr="00DA298D">
        <w:t>2018</w:t>
      </w:r>
      <w:r w:rsidR="00314CE6" w:rsidRPr="00DA298D">
        <w:noBreakHyphen/>
      </w:r>
      <w:r w:rsidRPr="00DA298D">
        <w:t xml:space="preserve">X </w:t>
      </w:r>
      <w:r w:rsidRPr="00DA298D">
        <w:rPr>
          <w:i/>
        </w:rPr>
        <w:t>Amendments to Australian Accounting Standards – Australian Implementation Guidance for Public Sector Entities – Insurance</w:t>
      </w:r>
      <w:r w:rsidRPr="00DA298D">
        <w:t xml:space="preserve"> with draft guid</w:t>
      </w:r>
      <w:r w:rsidR="000E13EE" w:rsidRPr="00DA298D">
        <w:t>ance for the public sector, and </w:t>
      </w:r>
      <w:r w:rsidRPr="00DA298D">
        <w:t>draft illustrative examples of applying the proposed guidance has been iss</w:t>
      </w:r>
      <w:r w:rsidR="000E13EE" w:rsidRPr="00DA298D">
        <w:t>ued for feedback by 28 February </w:t>
      </w:r>
      <w:r w:rsidRPr="00DA298D">
        <w:t>2018.</w:t>
      </w:r>
    </w:p>
    <w:p w:rsidR="00BC08E2" w:rsidRPr="00DA298D" w:rsidRDefault="00190575" w:rsidP="00552BF5">
      <w:pPr>
        <w:pStyle w:val="Heading3"/>
      </w:pPr>
      <w:r w:rsidRPr="00DA298D">
        <w:t>Accounting for p</w:t>
      </w:r>
      <w:r w:rsidR="0024195A" w:rsidRPr="00DA298D">
        <w:t>ublic sector licences</w:t>
      </w:r>
    </w:p>
    <w:p w:rsidR="00190575" w:rsidRPr="00DA298D" w:rsidRDefault="00190575" w:rsidP="00190575">
      <w:r w:rsidRPr="00DA298D">
        <w:t xml:space="preserve">During the AASB’s agenda consultation, it was flagged that </w:t>
      </w:r>
      <w:r w:rsidR="007D08B0" w:rsidRPr="00DA298D">
        <w:t>AASB </w:t>
      </w:r>
      <w:r w:rsidRPr="00DA298D">
        <w:t xml:space="preserve">15 </w:t>
      </w:r>
      <w:r w:rsidRPr="00DA298D">
        <w:rPr>
          <w:i/>
        </w:rPr>
        <w:t>Revenue from Contracts with Customers</w:t>
      </w:r>
      <w:r w:rsidRPr="00DA298D">
        <w:t xml:space="preserve"> might not have sufficient guidance for not</w:t>
      </w:r>
      <w:r w:rsidR="00314CE6" w:rsidRPr="00DA298D">
        <w:noBreakHyphen/>
      </w:r>
      <w:r w:rsidRPr="00DA298D">
        <w:t>for</w:t>
      </w:r>
      <w:r w:rsidR="00314CE6" w:rsidRPr="00DA298D">
        <w:noBreakHyphen/>
      </w:r>
      <w:r w:rsidRPr="00DA298D">
        <w:t xml:space="preserve">profit public sector licensors. </w:t>
      </w:r>
      <w:r w:rsidR="007D08B0" w:rsidRPr="00DA298D">
        <w:t>AASB </w:t>
      </w:r>
      <w:r w:rsidRPr="00DA298D">
        <w:t>15 provides guidance for licences of intellectual property (IP) however, unlike for</w:t>
      </w:r>
      <w:r w:rsidR="00314CE6" w:rsidRPr="00DA298D">
        <w:noBreakHyphen/>
      </w:r>
      <w:r w:rsidRPr="00DA298D">
        <w:t>profit entities, licences issued by not</w:t>
      </w:r>
      <w:r w:rsidR="00314CE6" w:rsidRPr="00DA298D">
        <w:noBreakHyphen/>
      </w:r>
      <w:r w:rsidRPr="00DA298D">
        <w:t>for</w:t>
      </w:r>
      <w:r w:rsidR="00314CE6" w:rsidRPr="00DA298D">
        <w:noBreakHyphen/>
      </w:r>
      <w:r w:rsidRPr="00DA298D">
        <w:t>profit public sector entities extend beyond IP licences. The Board consequently identified divergence in practice in the accounting for revenue from licences issued by not</w:t>
      </w:r>
      <w:r w:rsidR="00314CE6" w:rsidRPr="00DA298D">
        <w:noBreakHyphen/>
      </w:r>
      <w:r w:rsidRPr="00DA298D">
        <w:t>for</w:t>
      </w:r>
      <w:r w:rsidR="00314CE6" w:rsidRPr="00DA298D">
        <w:noBreakHyphen/>
      </w:r>
      <w:r w:rsidRPr="00DA298D">
        <w:t>profit licensors, leading to some revenue being deferred when it should be recognised immediately or recognised immediately, when it should be recognised over time.</w:t>
      </w:r>
    </w:p>
    <w:p w:rsidR="001202BB" w:rsidRPr="00DA298D" w:rsidRDefault="00190575" w:rsidP="00190575">
      <w:r w:rsidRPr="00DA298D">
        <w:t xml:space="preserve">ED 283 </w:t>
      </w:r>
      <w:r w:rsidRPr="00DA298D">
        <w:rPr>
          <w:i/>
        </w:rPr>
        <w:t>Amendments to Australian Accounting Standards – Australian Implementation Guidance for Not</w:t>
      </w:r>
      <w:r w:rsidR="00314CE6" w:rsidRPr="00DA298D">
        <w:rPr>
          <w:i/>
        </w:rPr>
        <w:noBreakHyphen/>
      </w:r>
      <w:r w:rsidRPr="00DA298D">
        <w:rPr>
          <w:i/>
        </w:rPr>
        <w:t>for</w:t>
      </w:r>
      <w:r w:rsidR="00314CE6" w:rsidRPr="00DA298D">
        <w:rPr>
          <w:i/>
        </w:rPr>
        <w:noBreakHyphen/>
      </w:r>
      <w:r w:rsidRPr="00DA298D">
        <w:rPr>
          <w:i/>
        </w:rPr>
        <w:t>Profit Public Sector Licensors</w:t>
      </w:r>
      <w:r w:rsidRPr="00DA298D">
        <w:t xml:space="preserve"> has been issued to provide guidan</w:t>
      </w:r>
      <w:r w:rsidR="000E13EE" w:rsidRPr="00DA298D">
        <w:t>ce and feedback is due 31 March </w:t>
      </w:r>
      <w:r w:rsidRPr="00DA298D">
        <w:t>2018</w:t>
      </w:r>
      <w:r w:rsidR="000D2D61" w:rsidRPr="00DA298D">
        <w:t>.</w:t>
      </w:r>
      <w:r w:rsidRPr="00DA298D">
        <w:t xml:space="preserve"> </w:t>
      </w:r>
      <w:r w:rsidR="001202BB" w:rsidRPr="00DA298D">
        <w:t>DTF will seek feedback from relevant entities shortly.</w:t>
      </w:r>
    </w:p>
    <w:p w:rsidR="00BC08E2" w:rsidRPr="00DA298D" w:rsidRDefault="00BC08E2" w:rsidP="0024195A">
      <w:pPr>
        <w:pStyle w:val="Heading1"/>
      </w:pPr>
      <w:bookmarkStart w:id="15" w:name="_Toc503348018"/>
      <w:r w:rsidRPr="00DA298D">
        <w:t>VAGO communication</w:t>
      </w:r>
      <w:bookmarkEnd w:id="15"/>
    </w:p>
    <w:p w:rsidR="00BC08E2" w:rsidRPr="00DA298D" w:rsidRDefault="0024195A" w:rsidP="0024195A">
      <w:pPr>
        <w:pStyle w:val="Heading2"/>
      </w:pPr>
      <w:r w:rsidRPr="00DA298D">
        <w:t xml:space="preserve">Key </w:t>
      </w:r>
      <w:r w:rsidR="000E13EE" w:rsidRPr="00DA298D">
        <w:t>audit matters</w:t>
      </w:r>
    </w:p>
    <w:p w:rsidR="0032529F" w:rsidRPr="00DA298D" w:rsidRDefault="004F5DA0" w:rsidP="0024195A">
      <w:pPr>
        <w:keepNext/>
      </w:pPr>
      <w:r w:rsidRPr="00DA298D">
        <w:t xml:space="preserve">Since the last newsletter, VAGO has continued its staged implementation approach to the voluntary adoption of the new auditing standard, ASA 701 </w:t>
      </w:r>
      <w:r w:rsidRPr="00DA298D">
        <w:rPr>
          <w:i/>
          <w:iCs/>
        </w:rPr>
        <w:t>Communicating Key Audit Matters in the Independent Auditor's Report</w:t>
      </w:r>
      <w:r w:rsidRPr="00DA298D">
        <w:t xml:space="preserve">. </w:t>
      </w:r>
    </w:p>
    <w:p w:rsidR="0032529F" w:rsidRPr="00DA298D" w:rsidRDefault="0032529F" w:rsidP="00BC08E2">
      <w:r w:rsidRPr="00DA298D">
        <w:t>In 2016</w:t>
      </w:r>
      <w:r w:rsidR="00314CE6" w:rsidRPr="00DA298D">
        <w:noBreakHyphen/>
      </w:r>
      <w:r w:rsidRPr="00DA298D">
        <w:t>17, key audit matters (KAMs) were incorporated into the independent auditor’s report for the State of Victoria</w:t>
      </w:r>
      <w:r w:rsidR="00AE4485" w:rsidRPr="00DA298D">
        <w:t>’s Annual Financial Report</w:t>
      </w:r>
      <w:r w:rsidR="00C2389F" w:rsidRPr="00DA298D">
        <w:t xml:space="preserve"> (AFR)</w:t>
      </w:r>
      <w:r w:rsidR="00AE4485" w:rsidRPr="00DA298D">
        <w:t>,</w:t>
      </w:r>
      <w:r w:rsidRPr="00DA298D">
        <w:t xml:space="preserve"> and closing reports of all departments and a selection of additional material entities. </w:t>
      </w:r>
    </w:p>
    <w:p w:rsidR="00BC08E2" w:rsidRPr="00DA298D" w:rsidRDefault="00BC08E2" w:rsidP="00BC08E2">
      <w:r w:rsidRPr="00DA298D">
        <w:t>KAMs are matters the auditor determines are of most significance in the audit of the financial statements of the current period, and are selected by taking into account areas of higher assessed risk, involved significant auditor judgements, and the effect on the audit of significant events or transactions that occurred during the period.</w:t>
      </w:r>
    </w:p>
    <w:p w:rsidR="00BC08E2" w:rsidRPr="00DA298D" w:rsidRDefault="00BC08E2" w:rsidP="00BC08E2">
      <w:r w:rsidRPr="00DA298D">
        <w:t xml:space="preserve">The KAM section of the </w:t>
      </w:r>
      <w:r w:rsidR="0032529F" w:rsidRPr="00DA298D">
        <w:t xml:space="preserve">audit </w:t>
      </w:r>
      <w:r w:rsidRPr="00DA298D">
        <w:t xml:space="preserve">report </w:t>
      </w:r>
      <w:r w:rsidR="0032529F" w:rsidRPr="00DA298D">
        <w:t>includes</w:t>
      </w:r>
      <w:r w:rsidRPr="00DA298D">
        <w:t>:</w:t>
      </w:r>
    </w:p>
    <w:p w:rsidR="00BC08E2" w:rsidRPr="00DA298D" w:rsidRDefault="00BC08E2" w:rsidP="00BC08E2">
      <w:pPr>
        <w:pStyle w:val="Bullet1"/>
      </w:pPr>
      <w:r w:rsidRPr="00DA298D">
        <w:t xml:space="preserve">a brief description of the key audit matters; </w:t>
      </w:r>
    </w:p>
    <w:p w:rsidR="00BC08E2" w:rsidRPr="00DA298D" w:rsidRDefault="00BC08E2" w:rsidP="00BC08E2">
      <w:pPr>
        <w:pStyle w:val="Bullet1"/>
      </w:pPr>
      <w:r w:rsidRPr="00DA298D">
        <w:t xml:space="preserve">why VAGO considered them to be a key audit matter; and </w:t>
      </w:r>
    </w:p>
    <w:p w:rsidR="00BC08E2" w:rsidRPr="00DA298D" w:rsidRDefault="00BC08E2" w:rsidP="00BC08E2">
      <w:pPr>
        <w:pStyle w:val="Bullet1"/>
      </w:pPr>
      <w:r w:rsidRPr="00DA298D">
        <w:t xml:space="preserve">what key procedures have been performed to address the matter. </w:t>
      </w:r>
    </w:p>
    <w:p w:rsidR="00617457" w:rsidRPr="00DA298D" w:rsidRDefault="0032529F" w:rsidP="00C2389F">
      <w:r w:rsidRPr="00DA298D">
        <w:t>For the 2017</w:t>
      </w:r>
      <w:r w:rsidR="00314CE6" w:rsidRPr="00DA298D">
        <w:noBreakHyphen/>
      </w:r>
      <w:r w:rsidR="00C2389F" w:rsidRPr="00DA298D">
        <w:t>18 reporting period, VAGO will continue to disclose KAMs in the independent auditor's report for the State of Victoria’s AFR, closing reports for all departments and those material entities</w:t>
      </w:r>
      <w:r w:rsidR="00617457" w:rsidRPr="00DA298D">
        <w:t xml:space="preserve"> that were selected in 2016</w:t>
      </w:r>
      <w:r w:rsidR="00314CE6" w:rsidRPr="00DA298D">
        <w:noBreakHyphen/>
      </w:r>
      <w:r w:rsidR="00617457" w:rsidRPr="00DA298D">
        <w:t xml:space="preserve">17. </w:t>
      </w:r>
    </w:p>
    <w:p w:rsidR="00C2389F" w:rsidRPr="00DA298D" w:rsidRDefault="00617457" w:rsidP="00C2389F">
      <w:r w:rsidRPr="00DA298D">
        <w:t xml:space="preserve">VAGO </w:t>
      </w:r>
      <w:r w:rsidR="00C2389F" w:rsidRPr="00DA298D">
        <w:t xml:space="preserve">will seek to select additional </w:t>
      </w:r>
      <w:r w:rsidR="002C4355" w:rsidRPr="00DA298D">
        <w:t>en</w:t>
      </w:r>
      <w:r w:rsidR="00F371BB" w:rsidRPr="00DA298D">
        <w:t>tities to report KAMs in 2017</w:t>
      </w:r>
      <w:r w:rsidR="00314CE6" w:rsidRPr="00DA298D">
        <w:noBreakHyphen/>
      </w:r>
      <w:r w:rsidR="00F371BB" w:rsidRPr="00DA298D">
        <w:t xml:space="preserve">18 and </w:t>
      </w:r>
      <w:r w:rsidR="002C4355" w:rsidRPr="00DA298D">
        <w:t>will discuss this further with relevant departments and agencies during the planning stage for the upcoming audits. Questions can be directed to your VAGO engagement leader.</w:t>
      </w:r>
      <w:r w:rsidR="000F5A54" w:rsidRPr="00DA298D">
        <w:t xml:space="preserve"> </w:t>
      </w:r>
      <w:r w:rsidR="00C2389F" w:rsidRPr="00DA298D">
        <w:t xml:space="preserve"> </w:t>
      </w:r>
    </w:p>
    <w:p w:rsidR="004F5DA0" w:rsidRPr="00DA298D" w:rsidRDefault="00D93838" w:rsidP="0024195A">
      <w:pPr>
        <w:pStyle w:val="Heading2"/>
      </w:pPr>
      <w:r w:rsidRPr="00DA298D">
        <w:t xml:space="preserve">Data Analytics </w:t>
      </w:r>
      <w:r w:rsidR="004F5DA0" w:rsidRPr="00DA298D">
        <w:t>Strategy</w:t>
      </w:r>
    </w:p>
    <w:p w:rsidR="002C4355" w:rsidRPr="00DA298D" w:rsidRDefault="002C4355" w:rsidP="002C4355">
      <w:r w:rsidRPr="00DA298D">
        <w:t>In 2017, VAGO established a Data Analytics business unit</w:t>
      </w:r>
      <w:r w:rsidR="000D2D61" w:rsidRPr="00DA298D">
        <w:t>,</w:t>
      </w:r>
      <w:r w:rsidRPr="00DA298D">
        <w:t xml:space="preserve"> which is responsible for identifying and implementing improvements to the way in which data is collected, analysed and interpreted. VAGO’s </w:t>
      </w:r>
      <w:r w:rsidR="00A83DE9" w:rsidRPr="00DA298D">
        <w:t>five</w:t>
      </w:r>
      <w:r w:rsidR="000D2D61" w:rsidRPr="00DA298D">
        <w:t>-</w:t>
      </w:r>
      <w:r w:rsidR="00E94324" w:rsidRPr="00DA298D">
        <w:t xml:space="preserve">year </w:t>
      </w:r>
      <w:r w:rsidRPr="00DA298D">
        <w:t xml:space="preserve">data analytics strategy </w:t>
      </w:r>
      <w:r w:rsidR="00E94324" w:rsidRPr="00DA298D">
        <w:t xml:space="preserve">for audits </w:t>
      </w:r>
      <w:r w:rsidRPr="00DA298D">
        <w:t xml:space="preserve">seeks to: </w:t>
      </w:r>
    </w:p>
    <w:p w:rsidR="002C4355" w:rsidRPr="00DA298D" w:rsidRDefault="002C4355" w:rsidP="000E13EE">
      <w:pPr>
        <w:pStyle w:val="Bullet1"/>
      </w:pPr>
      <w:r w:rsidRPr="00DA298D">
        <w:t xml:space="preserve">streamline the collection of data on audits of financial reports; and </w:t>
      </w:r>
    </w:p>
    <w:p w:rsidR="002C4355" w:rsidRPr="00DA298D" w:rsidRDefault="002C4355" w:rsidP="000E13EE">
      <w:pPr>
        <w:pStyle w:val="Bullet1"/>
      </w:pPr>
      <w:r w:rsidRPr="00DA298D">
        <w:t xml:space="preserve">improve the quality of insights provided to clients and other key stakeholders. </w:t>
      </w:r>
    </w:p>
    <w:p w:rsidR="00E94324" w:rsidRPr="00DA298D" w:rsidRDefault="00E94324" w:rsidP="002C4355">
      <w:r w:rsidRPr="00DA298D">
        <w:t>An initial pilot will be administered for the 2017</w:t>
      </w:r>
      <w:r w:rsidR="00314CE6" w:rsidRPr="00DA298D">
        <w:noBreakHyphen/>
      </w:r>
      <w:r w:rsidRPr="00DA298D">
        <w:t xml:space="preserve">18 reporting period across a small, targeted selection of audit clients and will include streamlining of data collection and the reporting of audit insights on digital dashboards </w:t>
      </w:r>
      <w:r w:rsidR="00A83DE9" w:rsidRPr="00DA298D">
        <w:t>used by V</w:t>
      </w:r>
      <w:r w:rsidRPr="00DA298D">
        <w:t xml:space="preserve">AGO auditors. </w:t>
      </w:r>
    </w:p>
    <w:p w:rsidR="004F5DA0" w:rsidRPr="00DA298D" w:rsidRDefault="00E94324" w:rsidP="00BC08E2">
      <w:r w:rsidRPr="00DA298D">
        <w:t>VAGO will discuss the pilot further with relevant departments and agencies during the planning stage for the upcoming audits. Questions on the strategy can be directed to your VAGO engagement leader.</w:t>
      </w:r>
      <w:r w:rsidR="000F5A54" w:rsidRPr="00DA298D">
        <w:t xml:space="preserve"> </w:t>
      </w:r>
      <w:r w:rsidRPr="00DA298D">
        <w:t xml:space="preserve"> </w:t>
      </w:r>
    </w:p>
    <w:p w:rsidR="001F2194" w:rsidRPr="00DA298D" w:rsidRDefault="001F2194" w:rsidP="00BC08E2">
      <w:pPr>
        <w:sectPr w:rsidR="001F2194" w:rsidRPr="00DA298D" w:rsidSect="00A91B6F">
          <w:footerReference w:type="default" r:id="rId25"/>
          <w:pgSz w:w="11906" w:h="16838" w:code="9"/>
          <w:pgMar w:top="1985" w:right="1440" w:bottom="993" w:left="1440" w:header="706" w:footer="461" w:gutter="0"/>
          <w:cols w:space="533"/>
          <w:docGrid w:linePitch="360"/>
        </w:sectPr>
      </w:pPr>
    </w:p>
    <w:p w:rsidR="00BC08E2" w:rsidRPr="00DA298D" w:rsidRDefault="00BC08E2" w:rsidP="00BC08E2">
      <w:pPr>
        <w:pStyle w:val="Heading1"/>
      </w:pPr>
      <w:bookmarkStart w:id="16" w:name="_Toc503348019"/>
      <w:r w:rsidRPr="00DA298D">
        <w:t>How to contact us</w:t>
      </w:r>
      <w:bookmarkEnd w:id="16"/>
    </w:p>
    <w:p w:rsidR="00BC08E2" w:rsidRPr="00DA298D" w:rsidRDefault="00BC08E2" w:rsidP="00BC08E2">
      <w:pPr>
        <w:pStyle w:val="Heading2"/>
        <w:sectPr w:rsidR="00BC08E2" w:rsidRPr="00DA298D" w:rsidSect="008B69EC">
          <w:pgSz w:w="11906" w:h="16838" w:code="9"/>
          <w:pgMar w:top="2160" w:right="1440" w:bottom="1354" w:left="1440" w:header="706" w:footer="461" w:gutter="0"/>
          <w:cols w:num="2" w:space="533"/>
          <w:docGrid w:linePitch="360"/>
        </w:sectPr>
      </w:pPr>
      <w:bookmarkStart w:id="17" w:name="_GoBack"/>
      <w:bookmarkEnd w:id="17"/>
    </w:p>
    <w:p w:rsidR="00BC08E2" w:rsidRPr="00DA298D" w:rsidRDefault="00BC08E2" w:rsidP="00BC08E2">
      <w:pPr>
        <w:pStyle w:val="Heading2"/>
      </w:pPr>
      <w:r w:rsidRPr="00DA298D">
        <w:t>AccPol mail box</w:t>
      </w:r>
    </w:p>
    <w:p w:rsidR="00BC08E2" w:rsidRPr="00DA298D" w:rsidRDefault="00BC08E2" w:rsidP="00BC08E2">
      <w:pPr>
        <w:rPr>
          <w:rFonts w:eastAsiaTheme="minorHAnsi"/>
          <w:lang w:eastAsia="en-US"/>
        </w:rPr>
      </w:pPr>
      <w:r w:rsidRPr="00DA298D">
        <w:rPr>
          <w:rFonts w:eastAsiaTheme="minorHAnsi"/>
          <w:lang w:eastAsia="en-US"/>
        </w:rPr>
        <w:t xml:space="preserve">When </w:t>
      </w:r>
      <w:r w:rsidRPr="00DA298D">
        <w:t xml:space="preserve">directing accounting policy enquiries to DTF at </w:t>
      </w:r>
      <w:hyperlink r:id="rId26" w:history="1">
        <w:r w:rsidRPr="00DA298D">
          <w:rPr>
            <w:rStyle w:val="Hyperlink"/>
          </w:rPr>
          <w:t>accpol@dtf.vic.gov.au</w:t>
        </w:r>
      </w:hyperlink>
      <w:r w:rsidRPr="00DA298D">
        <w:t>,</w:t>
      </w:r>
      <w:r w:rsidRPr="00DA298D">
        <w:rPr>
          <w:rFonts w:eastAsiaTheme="minorHAnsi"/>
          <w:lang w:eastAsia="en-US"/>
        </w:rPr>
        <w:t xml:space="preserve"> </w:t>
      </w:r>
      <w:r w:rsidRPr="00DA298D">
        <w:rPr>
          <w:rFonts w:eastAsiaTheme="minorHAnsi"/>
          <w:b/>
          <w:bCs/>
          <w:lang w:eastAsia="en-US"/>
        </w:rPr>
        <w:t>departments</w:t>
      </w:r>
      <w:r w:rsidRPr="00DA298D">
        <w:rPr>
          <w:rFonts w:eastAsiaTheme="minorHAnsi"/>
          <w:lang w:eastAsia="en-US"/>
        </w:rPr>
        <w:t xml:space="preserve"> are requested to </w:t>
      </w:r>
      <w:r w:rsidRPr="00DA298D">
        <w:t>support</w:t>
      </w:r>
      <w:r w:rsidRPr="00DA298D">
        <w:rPr>
          <w:rFonts w:eastAsiaTheme="minorHAnsi"/>
          <w:lang w:eastAsia="en-US"/>
        </w:rPr>
        <w:t xml:space="preserve"> their questions with the facts and with clear referencing to Accounting Standards, FRDs and </w:t>
      </w:r>
      <w:r w:rsidRPr="00DA298D">
        <w:t>other</w:t>
      </w:r>
      <w:r w:rsidRPr="00DA298D">
        <w:rPr>
          <w:rFonts w:eastAsiaTheme="minorHAnsi"/>
          <w:lang w:eastAsia="en-US"/>
        </w:rPr>
        <w:t xml:space="preserve"> authoritative pronouncements related to their queries.</w:t>
      </w:r>
    </w:p>
    <w:p w:rsidR="00BC08E2" w:rsidRPr="00DA298D" w:rsidRDefault="00BC08E2" w:rsidP="00BC08E2">
      <w:pPr>
        <w:rPr>
          <w:rFonts w:eastAsiaTheme="minorHAnsi"/>
          <w:lang w:eastAsia="en-US"/>
        </w:rPr>
      </w:pPr>
      <w:r w:rsidRPr="00DA298D">
        <w:rPr>
          <w:rFonts w:eastAsiaTheme="minorHAnsi"/>
          <w:b/>
          <w:bCs/>
          <w:lang w:eastAsia="en-US"/>
        </w:rPr>
        <w:t>Other entities</w:t>
      </w:r>
      <w:r w:rsidRPr="00DA298D">
        <w:rPr>
          <w:rFonts w:eastAsiaTheme="minorHAnsi"/>
          <w:lang w:eastAsia="en-US"/>
        </w:rPr>
        <w:t xml:space="preserve"> are requested to contact their portfolio department in the first instance to resolve any accounting policy issues.</w:t>
      </w:r>
    </w:p>
    <w:p w:rsidR="00BC08E2" w:rsidRPr="00DA298D" w:rsidRDefault="00BC08E2" w:rsidP="00BC08E2">
      <w:pPr>
        <w:pStyle w:val="Heading2"/>
      </w:pPr>
      <w:r w:rsidRPr="00DA298D">
        <w:t>Useful websites</w:t>
      </w:r>
    </w:p>
    <w:p w:rsidR="00BC08E2" w:rsidRPr="00DA298D" w:rsidRDefault="007D08B0" w:rsidP="00BC08E2">
      <w:r w:rsidRPr="00DA298D">
        <w:rPr>
          <w:b/>
        </w:rPr>
        <w:t>AASB </w:t>
      </w:r>
      <w:r w:rsidR="00BC08E2" w:rsidRPr="00DA298D">
        <w:t xml:space="preserve">– </w:t>
      </w:r>
      <w:hyperlink r:id="rId27" w:history="1">
        <w:r w:rsidR="00BC08E2" w:rsidRPr="00DA298D">
          <w:rPr>
            <w:rStyle w:val="Hyperlink"/>
          </w:rPr>
          <w:t>www.aasb.com.au</w:t>
        </w:r>
      </w:hyperlink>
      <w:r w:rsidR="00BC08E2" w:rsidRPr="00DA298D">
        <w:t xml:space="preserve"> for information on </w:t>
      </w:r>
      <w:r w:rsidRPr="00DA298D">
        <w:t>AASB </w:t>
      </w:r>
      <w:r w:rsidR="00BC08E2" w:rsidRPr="00DA298D">
        <w:t>pronouncements, discussion papers and ED publications.</w:t>
      </w:r>
    </w:p>
    <w:p w:rsidR="00BC08E2" w:rsidRPr="00DA298D" w:rsidRDefault="00BC08E2" w:rsidP="00BC08E2">
      <w:r w:rsidRPr="00DA298D">
        <w:rPr>
          <w:b/>
        </w:rPr>
        <w:t>International Public Sector Accounting Standards Board</w:t>
      </w:r>
      <w:r w:rsidRPr="00DA298D">
        <w:t xml:space="preserve"> (IPSASB) – </w:t>
      </w:r>
      <w:hyperlink r:id="rId28" w:history="1">
        <w:r w:rsidRPr="00DA298D">
          <w:rPr>
            <w:rStyle w:val="Hyperlink"/>
          </w:rPr>
          <w:t>www.ifac.org/public</w:t>
        </w:r>
        <w:r w:rsidR="00314CE6" w:rsidRPr="00DA298D">
          <w:rPr>
            <w:rStyle w:val="Hyperlink"/>
          </w:rPr>
          <w:noBreakHyphen/>
        </w:r>
        <w:r w:rsidRPr="00DA298D">
          <w:rPr>
            <w:rStyle w:val="Hyperlink"/>
          </w:rPr>
          <w:t>sector/</w:t>
        </w:r>
      </w:hyperlink>
      <w:r w:rsidRPr="00DA298D">
        <w:t xml:space="preserve"> for information on IPSASB and IPSASB pronouncements.</w:t>
      </w:r>
    </w:p>
    <w:p w:rsidR="00BC08E2" w:rsidRPr="00DA298D" w:rsidRDefault="00BC08E2" w:rsidP="00BC08E2">
      <w:pPr>
        <w:pStyle w:val="Heading2"/>
      </w:pPr>
      <w:r w:rsidRPr="00DA298D">
        <w:br w:type="column"/>
        <w:t>DTF website</w:t>
      </w:r>
    </w:p>
    <w:p w:rsidR="00BC08E2" w:rsidRPr="00DA298D" w:rsidRDefault="00BC08E2" w:rsidP="00BC08E2">
      <w:r w:rsidRPr="00DA298D">
        <w:rPr>
          <w:b/>
        </w:rPr>
        <w:t>The DTF website (for all internet users)</w:t>
      </w:r>
      <w:r w:rsidRPr="00DA298D">
        <w:t xml:space="preserve"> – </w:t>
      </w:r>
      <w:hyperlink r:id="rId29" w:history="1">
        <w:r w:rsidRPr="00DA298D">
          <w:rPr>
            <w:rStyle w:val="Hyperlink"/>
          </w:rPr>
          <w:t>www.dtf.vic.gov.au</w:t>
        </w:r>
      </w:hyperlink>
      <w:r w:rsidRPr="00DA298D">
        <w:t>, covers FRDs and guidance, the Model Report, accounting policy updates, wage inflation and discount rates. From the menu on the top of the home page, users should select Government Financial Management, then Financial Reporting Policy.</w:t>
      </w:r>
    </w:p>
    <w:p w:rsidR="00BC08E2" w:rsidRPr="00DA298D" w:rsidRDefault="00BC08E2" w:rsidP="00BC08E2">
      <w:r w:rsidRPr="00DA298D">
        <w:rPr>
          <w:b/>
        </w:rPr>
        <w:t>VPS users</w:t>
      </w:r>
      <w:r w:rsidRPr="00DA298D">
        <w:t xml:space="preserve"> should contact their portfolio department in the first instance for the login details to access the information relating to the 2008 Long Service Leave Model, the Valuer</w:t>
      </w:r>
      <w:r w:rsidR="00314CE6" w:rsidRPr="00DA298D">
        <w:noBreakHyphen/>
      </w:r>
      <w:r w:rsidRPr="00DA298D">
        <w:t>General building and land indices.</w:t>
      </w:r>
    </w:p>
    <w:p w:rsidR="00BC08E2" w:rsidRPr="00DA298D" w:rsidRDefault="00BC08E2" w:rsidP="00BC08E2">
      <w:pPr>
        <w:rPr>
          <w:rStyle w:val="Hyperlink"/>
        </w:rPr>
      </w:pPr>
      <w:r w:rsidRPr="00DA298D">
        <w:t xml:space="preserve">For assistance with technical difficulties using the DTF website, e.g. broken links, please contact the DTF web team via email at </w:t>
      </w:r>
      <w:hyperlink r:id="rId30" w:history="1">
        <w:r w:rsidRPr="00DA298D">
          <w:rPr>
            <w:rStyle w:val="Hyperlink"/>
          </w:rPr>
          <w:t>dtfweb@dtf.vic.gov.au</w:t>
        </w:r>
      </w:hyperlink>
      <w:r w:rsidRPr="00DA298D">
        <w:rPr>
          <w:rStyle w:val="Hyperlink"/>
        </w:rPr>
        <w:t>.</w:t>
      </w:r>
    </w:p>
    <w:p w:rsidR="00BC08E2" w:rsidRPr="00DA298D" w:rsidRDefault="00BC08E2" w:rsidP="00BC08E2">
      <w:pPr>
        <w:pStyle w:val="Heading2"/>
      </w:pPr>
      <w:r w:rsidRPr="00DA298D">
        <w:t>About the Accounting Policy Update</w:t>
      </w:r>
    </w:p>
    <w:p w:rsidR="00BC08E2" w:rsidRPr="00DA298D" w:rsidRDefault="00BC08E2" w:rsidP="00BC08E2">
      <w:r w:rsidRPr="00DA298D">
        <w:t>Accounting Policy Update is published by the Accounting Policy team of DTF twice a year. The aim of the newsletter is to highlight changes in financial reporting requirements affecting public sector entities, outlining any financial reporting related policy decisions reached by DTF and to inform readers of other developments that are under consideration by the AASB.</w:t>
      </w:r>
    </w:p>
    <w:p w:rsidR="00BC08E2" w:rsidRPr="00DA298D" w:rsidRDefault="00BC08E2" w:rsidP="00BC08E2"/>
    <w:p w:rsidR="00BC08E2" w:rsidRPr="00DA298D" w:rsidRDefault="00BC08E2" w:rsidP="00BC08E2">
      <w:pPr>
        <w:sectPr w:rsidR="00BC08E2" w:rsidRPr="00DA298D" w:rsidSect="008B69EC">
          <w:type w:val="continuous"/>
          <w:pgSz w:w="11906" w:h="16838" w:code="9"/>
          <w:pgMar w:top="2160" w:right="1440" w:bottom="1350" w:left="1440" w:header="706" w:footer="461" w:gutter="0"/>
          <w:pgNumType w:start="1"/>
          <w:cols w:num="2" w:space="533"/>
          <w:docGrid w:linePitch="360"/>
        </w:sectPr>
      </w:pPr>
    </w:p>
    <w:p w:rsidR="00BC08E2" w:rsidRPr="00DA298D" w:rsidRDefault="00BC08E2" w:rsidP="00BC08E2">
      <w:pPr>
        <w:pStyle w:val="Disclaimertext"/>
      </w:pPr>
      <w:r w:rsidRPr="00DA298D">
        <w:rPr>
          <w:b/>
        </w:rPr>
        <w:t>Disclaimer:</w:t>
      </w:r>
      <w:r w:rsidRPr="00DA298D">
        <w:t xml:space="preserve"> No responsibility is taken for any action(s) taken on the basis of information contained in this Newsletter nor for any errors or omissions in that information.</w:t>
      </w:r>
    </w:p>
    <w:p w:rsidR="00BC08E2" w:rsidRPr="00DA298D" w:rsidRDefault="00BC08E2" w:rsidP="00BC08E2">
      <w:pPr>
        <w:pStyle w:val="NewsletterNote"/>
      </w:pPr>
    </w:p>
    <w:p w:rsidR="00BC08E2" w:rsidRPr="00DA298D" w:rsidRDefault="00BC08E2" w:rsidP="00BC08E2">
      <w:pPr>
        <w:pStyle w:val="NewsletterNote"/>
      </w:pPr>
      <w:r w:rsidRPr="00DA298D">
        <w:t xml:space="preserve">Accounting Policy Update </w:t>
      </w:r>
      <w:r w:rsidRPr="00DA298D">
        <w:br/>
        <w:t>ISSN 2205</w:t>
      </w:r>
      <w:r w:rsidR="00314CE6" w:rsidRPr="00DA298D">
        <w:noBreakHyphen/>
      </w:r>
      <w:r w:rsidRPr="00DA298D">
        <w:t>4014</w:t>
      </w:r>
    </w:p>
    <w:p w:rsidR="00BC08E2" w:rsidRPr="00DA298D" w:rsidRDefault="000E13EE" w:rsidP="00BC08E2">
      <w:pPr>
        <w:keepNext/>
        <w:keepLines/>
        <w:rPr>
          <w:rFonts w:cstheme="minorHAnsi"/>
          <w:sz w:val="16"/>
          <w:szCs w:val="16"/>
        </w:rPr>
      </w:pPr>
      <w:r w:rsidRPr="00DA298D">
        <w:rPr>
          <w:rFonts w:cstheme="minorHAnsi"/>
          <w:sz w:val="16"/>
          <w:szCs w:val="16"/>
        </w:rPr>
        <w:t>© State of Victoria 2017</w:t>
      </w:r>
    </w:p>
    <w:p w:rsidR="00BC08E2" w:rsidRPr="00DA298D" w:rsidRDefault="00BC08E2" w:rsidP="00BC08E2">
      <w:pPr>
        <w:keepNext/>
        <w:keepLines/>
        <w:rPr>
          <w:rFonts w:cstheme="minorHAnsi"/>
          <w:sz w:val="16"/>
          <w:szCs w:val="16"/>
        </w:rPr>
      </w:pPr>
      <w:r w:rsidRPr="00DA298D">
        <w:rPr>
          <w:rFonts w:cstheme="minorHAnsi"/>
          <w:noProof/>
          <w:sz w:val="16"/>
          <w:szCs w:val="16"/>
        </w:rPr>
        <w:drawing>
          <wp:inline distT="0" distB="0" distL="0" distR="0" wp14:anchorId="26D2D137" wp14:editId="00B10533">
            <wp:extent cx="1117460" cy="393651"/>
            <wp:effectExtent l="0" t="0" r="6985" b="6985"/>
            <wp:docPr id="2" name="Picture 2">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32">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p>
    <w:p w:rsidR="00BC08E2" w:rsidRPr="00DA298D" w:rsidRDefault="00BC08E2" w:rsidP="00BC08E2">
      <w:pPr>
        <w:keepNext/>
        <w:keepLines/>
        <w:rPr>
          <w:rFonts w:cstheme="minorHAnsi"/>
          <w:sz w:val="16"/>
          <w:szCs w:val="16"/>
        </w:rPr>
      </w:pPr>
      <w:r w:rsidRPr="00DA298D">
        <w:rPr>
          <w:rFonts w:cstheme="minorHAnsi"/>
          <w:sz w:val="16"/>
          <w:szCs w:val="16"/>
        </w:rPr>
        <w:t>You are free to re</w:t>
      </w:r>
      <w:r w:rsidR="00314CE6" w:rsidRPr="00DA298D">
        <w:rPr>
          <w:rFonts w:cstheme="minorHAnsi"/>
          <w:sz w:val="16"/>
          <w:szCs w:val="16"/>
        </w:rPr>
        <w:noBreakHyphen/>
      </w:r>
      <w:r w:rsidRPr="00DA298D">
        <w:rPr>
          <w:rFonts w:cstheme="minorHAnsi"/>
          <w:sz w:val="16"/>
          <w:szCs w:val="16"/>
        </w:rPr>
        <w:t xml:space="preserve">use this work under a </w:t>
      </w:r>
      <w:hyperlink r:id="rId33" w:history="1">
        <w:r w:rsidRPr="00DA298D">
          <w:rPr>
            <w:rStyle w:val="Hyperlink"/>
            <w:rFonts w:cstheme="minorHAnsi"/>
            <w:sz w:val="16"/>
            <w:szCs w:val="16"/>
          </w:rPr>
          <w:t>Creative Commons Attribution 4.0 licence</w:t>
        </w:r>
      </w:hyperlink>
      <w:r w:rsidRPr="00DA298D">
        <w:rPr>
          <w:rFonts w:cstheme="minorHAnsi"/>
          <w:sz w:val="16"/>
          <w:szCs w:val="16"/>
        </w:rPr>
        <w:t>, provided you credit the State of Victoria (Department of Treasury and Finance) as author, indicate if changes were made and comply with the other licence terms. The licence does not apply to any branding, including Government logos.</w:t>
      </w:r>
    </w:p>
    <w:p w:rsidR="00BC08E2" w:rsidRPr="000C21C3" w:rsidRDefault="00BC08E2" w:rsidP="00BC08E2">
      <w:pPr>
        <w:keepNext/>
        <w:keepLines/>
        <w:rPr>
          <w:rFonts w:cstheme="minorHAnsi"/>
          <w:sz w:val="16"/>
          <w:szCs w:val="16"/>
        </w:rPr>
      </w:pPr>
      <w:r w:rsidRPr="00DA298D">
        <w:rPr>
          <w:rFonts w:cstheme="minorHAnsi"/>
          <w:sz w:val="16"/>
          <w:szCs w:val="16"/>
        </w:rPr>
        <w:t xml:space="preserve">Copyright queries may be directed to </w:t>
      </w:r>
      <w:hyperlink r:id="rId34" w:history="1">
        <w:r w:rsidRPr="00DA298D">
          <w:rPr>
            <w:rStyle w:val="Hyperlink"/>
            <w:rFonts w:cstheme="minorHAnsi"/>
            <w:sz w:val="16"/>
            <w:szCs w:val="16"/>
          </w:rPr>
          <w:t>IPpolicy@dtf.vic.gov.au</w:t>
        </w:r>
      </w:hyperlink>
      <w:r w:rsidRPr="00DA298D">
        <w:rPr>
          <w:rFonts w:cstheme="minorHAnsi"/>
          <w:sz w:val="16"/>
          <w:szCs w:val="16"/>
        </w:rPr>
        <w:t>.</w:t>
      </w:r>
      <w:r w:rsidRPr="000C21C3">
        <w:rPr>
          <w:rFonts w:cstheme="minorHAnsi"/>
          <w:sz w:val="16"/>
          <w:szCs w:val="16"/>
        </w:rPr>
        <w:t xml:space="preserve"> </w:t>
      </w:r>
      <w:bookmarkEnd w:id="0"/>
      <w:bookmarkEnd w:id="3"/>
    </w:p>
    <w:sectPr w:rsidR="00BC08E2" w:rsidRPr="000C21C3" w:rsidSect="000C21C3">
      <w:footerReference w:type="default" r:id="rId35"/>
      <w:type w:val="continuous"/>
      <w:pgSz w:w="11906" w:h="16838" w:code="9"/>
      <w:pgMar w:top="2160" w:right="1440" w:bottom="1350" w:left="1440" w:header="706" w:footer="461" w:gutter="0"/>
      <w:pgNumType w:start="1"/>
      <w:cols w:space="53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7B1" w:rsidRDefault="006927B1" w:rsidP="002D711A">
      <w:pPr>
        <w:spacing w:after="0" w:line="240" w:lineRule="auto"/>
      </w:pPr>
      <w:r>
        <w:separator/>
      </w:r>
    </w:p>
  </w:endnote>
  <w:endnote w:type="continuationSeparator" w:id="0">
    <w:p w:rsidR="006927B1" w:rsidRDefault="006927B1"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CE6" w:rsidRDefault="00314CE6">
    <w:pPr>
      <w:pStyle w:val="Footer"/>
      <w:spacing w:before="0"/>
      <w:rPr>
        <w:rFonts w:ascii="Arial" w:hAnsi="Arial" w:cs="Arial"/>
        <w:b/>
        <w:color w:val="3F3F3F"/>
        <w:sz w:val="20"/>
      </w:rPr>
    </w:pPr>
    <w:bookmarkStart w:id="1" w:name="aliashNonProtectiveMarki1FooterEvenPages"/>
  </w:p>
  <w:p w:rsidR="00314CE6" w:rsidRDefault="00314CE6">
    <w:pPr>
      <w:pStyle w:val="Footer"/>
      <w:spacing w:before="0"/>
      <w:rPr>
        <w:rFonts w:ascii="Arial" w:hAnsi="Arial" w:cs="Arial"/>
        <w:b/>
        <w:color w:val="3F3F3F"/>
        <w:sz w:val="20"/>
      </w:rPr>
    </w:pPr>
  </w:p>
  <w:bookmarkEnd w:id="1"/>
  <w:p w:rsidR="00314CE6" w:rsidRPr="00014213" w:rsidRDefault="00314CE6" w:rsidP="00C022F9">
    <w:pPr>
      <w:pStyle w:val="Footer"/>
    </w:pPr>
    <w:r>
      <w:drawing>
        <wp:anchor distT="0" distB="0" distL="114300" distR="114300" simplePos="0" relativeHeight="251656192" behindDoc="0" locked="0" layoutInCell="1" allowOverlap="1" wp14:anchorId="73186CD5" wp14:editId="0B14269C">
          <wp:simplePos x="0" y="0"/>
          <wp:positionH relativeFrom="column">
            <wp:posOffset>4240861</wp:posOffset>
          </wp:positionH>
          <wp:positionV relativeFrom="page">
            <wp:posOffset>9493250</wp:posOffset>
          </wp:positionV>
          <wp:extent cx="1956435" cy="582930"/>
          <wp:effectExtent l="0" t="0" r="5715" b="7620"/>
          <wp:wrapNone/>
          <wp:docPr id="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CE6" w:rsidRDefault="00314CE6" w:rsidP="000C21C3">
    <w:pPr>
      <w:pStyle w:val="Spacer"/>
    </w:pPr>
  </w:p>
  <w:p w:rsidR="00314CE6" w:rsidRPr="00C022F9" w:rsidRDefault="00314CE6" w:rsidP="0041689E">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2573A1">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2573A1">
      <w:t>Newsletter – Edition No. 33, December 2017</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sidR="002573A1">
      <w:rPr>
        <w:rStyle w:val="PageNumber"/>
      </w:rPr>
      <w:t>1</w:t>
    </w:r>
    <w:r w:rsidRPr="008B69EC">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CE6" w:rsidRDefault="00314CE6">
    <w:pPr>
      <w:pStyle w:val="Footer"/>
      <w:spacing w:before="0"/>
      <w:rPr>
        <w:rFonts w:ascii="Arial" w:hAnsi="Arial" w:cs="Arial"/>
        <w:b/>
        <w:color w:val="3F3F3F"/>
        <w:sz w:val="20"/>
      </w:rPr>
    </w:pPr>
    <w:bookmarkStart w:id="2" w:name="aliashNonProtectiveMarki1FooterFirstPage"/>
  </w:p>
  <w:p w:rsidR="00314CE6" w:rsidRDefault="00314CE6">
    <w:pPr>
      <w:pStyle w:val="Footer"/>
      <w:spacing w:before="0"/>
      <w:rPr>
        <w:rFonts w:ascii="Arial" w:hAnsi="Arial" w:cs="Arial"/>
        <w:b/>
        <w:color w:val="3F3F3F"/>
        <w:sz w:val="20"/>
      </w:rPr>
    </w:pPr>
  </w:p>
  <w:bookmarkEnd w:id="2"/>
  <w:p w:rsidR="00314CE6" w:rsidRDefault="00314C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CE6" w:rsidRDefault="00314CE6" w:rsidP="000C21C3">
    <w:pPr>
      <w:pStyle w:val="Spacer"/>
    </w:pPr>
  </w:p>
  <w:p w:rsidR="00314CE6" w:rsidRPr="00C022F9" w:rsidRDefault="00314CE6" w:rsidP="0041689E">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2573A1">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2573A1">
      <w:t>Newsletter – Edition No. 33, December 2017</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sidR="002573A1">
      <w:rPr>
        <w:rStyle w:val="PageNumber"/>
      </w:rPr>
      <w:t>9</w:t>
    </w:r>
    <w:r w:rsidRPr="008B69EC">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CE6" w:rsidRDefault="00314CE6" w:rsidP="00AA2BF4">
    <w:pPr>
      <w:pStyle w:val="Footer"/>
    </w:pPr>
  </w:p>
  <w:p w:rsidR="00314CE6" w:rsidRPr="00C022F9" w:rsidRDefault="00314CE6" w:rsidP="0041689E">
    <w:pPr>
      <w:pStyle w:val="Footer"/>
      <w:spacing w:before="0"/>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2573A1">
      <w:rPr>
        <w:b/>
        <w:color w:val="0063A6" w:themeColor="accent1"/>
      </w:rPr>
      <w:t>Accounting policy update</w:t>
    </w:r>
    <w:r w:rsidRPr="00C022F9">
      <w:rPr>
        <w:b/>
        <w:color w:val="0063A6" w:themeColor="accent1"/>
      </w:rPr>
      <w:fldChar w:fldCharType="end"/>
    </w:r>
    <w:r>
      <w:rPr>
        <w:b/>
        <w:color w:val="0063A6" w:themeColor="accent1"/>
      </w:rPr>
      <w:t xml:space="preserve"> </w:t>
    </w:r>
    <w:r w:rsidRPr="000C21C3">
      <w:fldChar w:fldCharType="begin"/>
    </w:r>
    <w:r w:rsidRPr="000C21C3">
      <w:instrText xml:space="preserve"> StyleRef “</w:instrText>
    </w:r>
    <w:r>
      <w:instrText>Subt</w:instrText>
    </w:r>
    <w:r w:rsidRPr="000C21C3">
      <w:instrText xml:space="preserve">itle” </w:instrText>
    </w:r>
    <w:r w:rsidRPr="000C21C3">
      <w:fldChar w:fldCharType="separate"/>
    </w:r>
    <w:r w:rsidR="002573A1">
      <w:t>Newsletter – Edition No. 33, December 2017</w:t>
    </w:r>
    <w:r w:rsidRPr="000C21C3">
      <w:fldChar w:fldCharType="end"/>
    </w:r>
    <w:r w:rsidRPr="00C022F9">
      <w:tab/>
      <w:t>Page</w:t>
    </w:r>
    <w:r w:rsidRPr="008B69EC">
      <w:rPr>
        <w:rStyle w:val="PageNumber"/>
      </w:rPr>
      <w:t xml:space="preserve"> </w:t>
    </w:r>
    <w:r w:rsidRPr="008B69EC">
      <w:rPr>
        <w:rStyle w:val="PageNumber"/>
      </w:rPr>
      <w:fldChar w:fldCharType="begin"/>
    </w:r>
    <w:r w:rsidRPr="008B69EC">
      <w:rPr>
        <w:rStyle w:val="PageNumber"/>
      </w:rPr>
      <w:instrText xml:space="preserve"> Page </w:instrText>
    </w:r>
    <w:r w:rsidRPr="008B69EC">
      <w:rPr>
        <w:rStyle w:val="PageNumber"/>
      </w:rPr>
      <w:fldChar w:fldCharType="separate"/>
    </w:r>
    <w:r>
      <w:rPr>
        <w:rStyle w:val="PageNumber"/>
      </w:rPr>
      <w:t>11</w:t>
    </w:r>
    <w:r w:rsidRPr="008B69E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7B1" w:rsidRDefault="006927B1" w:rsidP="002D711A">
      <w:pPr>
        <w:spacing w:after="0" w:line="240" w:lineRule="auto"/>
      </w:pPr>
      <w:r>
        <w:separator/>
      </w:r>
    </w:p>
  </w:footnote>
  <w:footnote w:type="continuationSeparator" w:id="0">
    <w:p w:rsidR="006927B1" w:rsidRDefault="006927B1" w:rsidP="002D7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86E" w:rsidRDefault="004328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CE6" w:rsidRPr="0041689E" w:rsidRDefault="00314CE6">
    <w:pPr>
      <w:pStyle w:val="Header"/>
    </w:pPr>
    <w:r>
      <w:rPr>
        <w:noProof/>
      </w:rPr>
      <w:drawing>
        <wp:anchor distT="0" distB="0" distL="114300" distR="114300" simplePos="0" relativeHeight="251658240" behindDoc="0" locked="0" layoutInCell="1" allowOverlap="1" wp14:anchorId="6D200B75" wp14:editId="016474FA">
          <wp:simplePos x="0" y="0"/>
          <wp:positionH relativeFrom="column">
            <wp:posOffset>-309880</wp:posOffset>
          </wp:positionH>
          <wp:positionV relativeFrom="page">
            <wp:posOffset>299085</wp:posOffset>
          </wp:positionV>
          <wp:extent cx="1380490" cy="4114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05E85CD6" wp14:editId="3E3E3232">
          <wp:simplePos x="0" y="0"/>
          <wp:positionH relativeFrom="column">
            <wp:posOffset>-914400</wp:posOffset>
          </wp:positionH>
          <wp:positionV relativeFrom="page">
            <wp:posOffset>125095</wp:posOffset>
          </wp:positionV>
          <wp:extent cx="7589520" cy="740410"/>
          <wp:effectExtent l="0" t="0" r="0" b="2540"/>
          <wp:wrapNone/>
          <wp:docPr id="7"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86E" w:rsidRDefault="004328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89F"/>
    <w:multiLevelType w:val="hybridMultilevel"/>
    <w:tmpl w:val="F5844D3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8241039"/>
    <w:multiLevelType w:val="hybridMultilevel"/>
    <w:tmpl w:val="21F64BB4"/>
    <w:lvl w:ilvl="0" w:tplc="908CD55C">
      <w:start w:val="1"/>
      <w:numFmt w:val="bullet"/>
      <w:lvlText w:val="•"/>
      <w:lvlJc w:val="left"/>
      <w:pPr>
        <w:tabs>
          <w:tab w:val="num" w:pos="720"/>
        </w:tabs>
        <w:ind w:left="720" w:hanging="360"/>
      </w:pPr>
      <w:rPr>
        <w:rFonts w:ascii="Arial" w:hAnsi="Arial" w:hint="default"/>
      </w:rPr>
    </w:lvl>
    <w:lvl w:ilvl="1" w:tplc="D1B833AE" w:tentative="1">
      <w:start w:val="1"/>
      <w:numFmt w:val="bullet"/>
      <w:lvlText w:val="•"/>
      <w:lvlJc w:val="left"/>
      <w:pPr>
        <w:tabs>
          <w:tab w:val="num" w:pos="1440"/>
        </w:tabs>
        <w:ind w:left="1440" w:hanging="360"/>
      </w:pPr>
      <w:rPr>
        <w:rFonts w:ascii="Arial" w:hAnsi="Arial" w:hint="default"/>
      </w:rPr>
    </w:lvl>
    <w:lvl w:ilvl="2" w:tplc="1A34C228" w:tentative="1">
      <w:start w:val="1"/>
      <w:numFmt w:val="bullet"/>
      <w:lvlText w:val="•"/>
      <w:lvlJc w:val="left"/>
      <w:pPr>
        <w:tabs>
          <w:tab w:val="num" w:pos="2160"/>
        </w:tabs>
        <w:ind w:left="2160" w:hanging="360"/>
      </w:pPr>
      <w:rPr>
        <w:rFonts w:ascii="Arial" w:hAnsi="Arial" w:hint="default"/>
      </w:rPr>
    </w:lvl>
    <w:lvl w:ilvl="3" w:tplc="0E02E238" w:tentative="1">
      <w:start w:val="1"/>
      <w:numFmt w:val="bullet"/>
      <w:lvlText w:val="•"/>
      <w:lvlJc w:val="left"/>
      <w:pPr>
        <w:tabs>
          <w:tab w:val="num" w:pos="2880"/>
        </w:tabs>
        <w:ind w:left="2880" w:hanging="360"/>
      </w:pPr>
      <w:rPr>
        <w:rFonts w:ascii="Arial" w:hAnsi="Arial" w:hint="default"/>
      </w:rPr>
    </w:lvl>
    <w:lvl w:ilvl="4" w:tplc="31F4BD20" w:tentative="1">
      <w:start w:val="1"/>
      <w:numFmt w:val="bullet"/>
      <w:lvlText w:val="•"/>
      <w:lvlJc w:val="left"/>
      <w:pPr>
        <w:tabs>
          <w:tab w:val="num" w:pos="3600"/>
        </w:tabs>
        <w:ind w:left="3600" w:hanging="360"/>
      </w:pPr>
      <w:rPr>
        <w:rFonts w:ascii="Arial" w:hAnsi="Arial" w:hint="default"/>
      </w:rPr>
    </w:lvl>
    <w:lvl w:ilvl="5" w:tplc="F2FEC15C" w:tentative="1">
      <w:start w:val="1"/>
      <w:numFmt w:val="bullet"/>
      <w:lvlText w:val="•"/>
      <w:lvlJc w:val="left"/>
      <w:pPr>
        <w:tabs>
          <w:tab w:val="num" w:pos="4320"/>
        </w:tabs>
        <w:ind w:left="4320" w:hanging="360"/>
      </w:pPr>
      <w:rPr>
        <w:rFonts w:ascii="Arial" w:hAnsi="Arial" w:hint="default"/>
      </w:rPr>
    </w:lvl>
    <w:lvl w:ilvl="6" w:tplc="6ABE842A" w:tentative="1">
      <w:start w:val="1"/>
      <w:numFmt w:val="bullet"/>
      <w:lvlText w:val="•"/>
      <w:lvlJc w:val="left"/>
      <w:pPr>
        <w:tabs>
          <w:tab w:val="num" w:pos="5040"/>
        </w:tabs>
        <w:ind w:left="5040" w:hanging="360"/>
      </w:pPr>
      <w:rPr>
        <w:rFonts w:ascii="Arial" w:hAnsi="Arial" w:hint="default"/>
      </w:rPr>
    </w:lvl>
    <w:lvl w:ilvl="7" w:tplc="B5028CD8" w:tentative="1">
      <w:start w:val="1"/>
      <w:numFmt w:val="bullet"/>
      <w:lvlText w:val="•"/>
      <w:lvlJc w:val="left"/>
      <w:pPr>
        <w:tabs>
          <w:tab w:val="num" w:pos="5760"/>
        </w:tabs>
        <w:ind w:left="5760" w:hanging="360"/>
      </w:pPr>
      <w:rPr>
        <w:rFonts w:ascii="Arial" w:hAnsi="Arial" w:hint="default"/>
      </w:rPr>
    </w:lvl>
    <w:lvl w:ilvl="8" w:tplc="ACE687E6" w:tentative="1">
      <w:start w:val="1"/>
      <w:numFmt w:val="bullet"/>
      <w:lvlText w:val="•"/>
      <w:lvlJc w:val="left"/>
      <w:pPr>
        <w:tabs>
          <w:tab w:val="num" w:pos="6480"/>
        </w:tabs>
        <w:ind w:left="6480" w:hanging="360"/>
      </w:pPr>
      <w:rPr>
        <w:rFonts w:ascii="Arial" w:hAnsi="Arial" w:hint="default"/>
      </w:rPr>
    </w:lvl>
  </w:abstractNum>
  <w:abstractNum w:abstractNumId="2">
    <w:nsid w:val="10483EDE"/>
    <w:multiLevelType w:val="hybridMultilevel"/>
    <w:tmpl w:val="0E4CD3B6"/>
    <w:lvl w:ilvl="0" w:tplc="0C090001">
      <w:start w:val="1"/>
      <w:numFmt w:val="bullet"/>
      <w:lvlText w:val=""/>
      <w:lvlJc w:val="left"/>
      <w:pPr>
        <w:ind w:left="720" w:hanging="360"/>
      </w:pPr>
      <w:rPr>
        <w:rFonts w:ascii="Symbol" w:hAnsi="Symbol" w:hint="default"/>
      </w:rPr>
    </w:lvl>
    <w:lvl w:ilvl="1" w:tplc="8752D4C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34B218A"/>
    <w:multiLevelType w:val="hybridMultilevel"/>
    <w:tmpl w:val="854C4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CE26AB"/>
    <w:multiLevelType w:val="multilevel"/>
    <w:tmpl w:val="D7709B78"/>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5">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7E9443A"/>
    <w:multiLevelType w:val="hybridMultilevel"/>
    <w:tmpl w:val="3958493A"/>
    <w:lvl w:ilvl="0" w:tplc="CE3EB29A">
      <w:start w:val="1"/>
      <w:numFmt w:val="decimal"/>
      <w:lvlText w:val="%1."/>
      <w:lvlJc w:val="left"/>
      <w:pPr>
        <w:ind w:left="108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0BD07E1"/>
    <w:multiLevelType w:val="hybridMultilevel"/>
    <w:tmpl w:val="B1A6A578"/>
    <w:lvl w:ilvl="0" w:tplc="B3A8A27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A67469F"/>
    <w:multiLevelType w:val="hybridMultilevel"/>
    <w:tmpl w:val="F35802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46D3A6A"/>
    <w:multiLevelType w:val="multilevel"/>
    <w:tmpl w:val="1BBC767E"/>
    <w:lvl w:ilvl="0">
      <w:start w:val="1"/>
      <w:numFmt w:val="bullet"/>
      <w:pStyle w:val="Bullet1"/>
      <w:lvlText w:val=""/>
      <w:lvlJc w:val="left"/>
      <w:pPr>
        <w:tabs>
          <w:tab w:val="num" w:pos="504"/>
        </w:tabs>
        <w:ind w:left="504" w:hanging="504"/>
      </w:pPr>
      <w:rPr>
        <w:rFonts w:ascii="Symbol" w:hAnsi="Symbol" w:hint="default"/>
        <w:b w:val="0"/>
        <w:i w:val="0"/>
        <w:vanish w:val="0"/>
        <w:color w:val="auto"/>
        <w:sz w:val="20"/>
        <w:szCs w:val="20"/>
      </w:rPr>
    </w:lvl>
    <w:lvl w:ilvl="1">
      <w:start w:val="1"/>
      <w:numFmt w:val="bullet"/>
      <w:pStyle w:val="Bullet2"/>
      <w:lvlText w:val="–"/>
      <w:lvlJc w:val="left"/>
      <w:pPr>
        <w:tabs>
          <w:tab w:val="num" w:pos="864"/>
        </w:tabs>
        <w:ind w:left="864"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0">
    <w:nsid w:val="5BAD4A5C"/>
    <w:multiLevelType w:val="hybridMultilevel"/>
    <w:tmpl w:val="E80A4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F6B617C"/>
    <w:multiLevelType w:val="hybridMultilevel"/>
    <w:tmpl w:val="14E048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1DD1B7B"/>
    <w:multiLevelType w:val="hybridMultilevel"/>
    <w:tmpl w:val="9648AE4E"/>
    <w:lvl w:ilvl="0" w:tplc="C96A74F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93C56B3"/>
    <w:multiLevelType w:val="hybridMultilevel"/>
    <w:tmpl w:val="B63A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DAF684B"/>
    <w:multiLevelType w:val="hybridMultilevel"/>
    <w:tmpl w:val="C13EF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FD44514"/>
    <w:multiLevelType w:val="multilevel"/>
    <w:tmpl w:val="C9485A58"/>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9"/>
  </w:num>
  <w:num w:numId="2">
    <w:abstractNumId w:val="15"/>
  </w:num>
  <w:num w:numId="3">
    <w:abstractNumId w:val="5"/>
  </w:num>
  <w:num w:numId="4">
    <w:abstractNumId w:val="4"/>
  </w:num>
  <w:num w:numId="5">
    <w:abstractNumId w:val="6"/>
  </w:num>
  <w:num w:numId="6">
    <w:abstractNumId w:val="3"/>
  </w:num>
  <w:num w:numId="7">
    <w:abstractNumId w:val="13"/>
  </w:num>
  <w:num w:numId="8">
    <w:abstractNumId w:val="2"/>
  </w:num>
  <w:num w:numId="9">
    <w:abstractNumId w:val="8"/>
  </w:num>
  <w:num w:numId="10">
    <w:abstractNumId w:val="10"/>
  </w:num>
  <w:num w:numId="11">
    <w:abstractNumId w:val="0"/>
  </w:num>
  <w:num w:numId="12">
    <w:abstractNumId w:val="7"/>
  </w:num>
  <w:num w:numId="13">
    <w:abstractNumId w:val="12"/>
  </w:num>
  <w:num w:numId="14">
    <w:abstractNumId w:val="1"/>
  </w:num>
  <w:num w:numId="15">
    <w:abstractNumId w:val="11"/>
  </w:num>
  <w:num w:numId="16">
    <w:abstractNumId w:val="9"/>
  </w:num>
  <w:num w:numId="1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attachedTemplate r:id="rId1"/>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3CC"/>
    <w:rsid w:val="00000304"/>
    <w:rsid w:val="00001008"/>
    <w:rsid w:val="000018C2"/>
    <w:rsid w:val="000029D8"/>
    <w:rsid w:val="0000577E"/>
    <w:rsid w:val="000066FF"/>
    <w:rsid w:val="0001126C"/>
    <w:rsid w:val="00011DCA"/>
    <w:rsid w:val="00012F6F"/>
    <w:rsid w:val="000133E9"/>
    <w:rsid w:val="000136CE"/>
    <w:rsid w:val="00013C20"/>
    <w:rsid w:val="00014213"/>
    <w:rsid w:val="0001436D"/>
    <w:rsid w:val="00014B55"/>
    <w:rsid w:val="0001655D"/>
    <w:rsid w:val="00016FD9"/>
    <w:rsid w:val="00017BF7"/>
    <w:rsid w:val="00017F92"/>
    <w:rsid w:val="00020E3E"/>
    <w:rsid w:val="0002359D"/>
    <w:rsid w:val="000238D7"/>
    <w:rsid w:val="00023BF3"/>
    <w:rsid w:val="00026811"/>
    <w:rsid w:val="000270D4"/>
    <w:rsid w:val="00027F53"/>
    <w:rsid w:val="0003222E"/>
    <w:rsid w:val="0004085F"/>
    <w:rsid w:val="0004356D"/>
    <w:rsid w:val="00044A0B"/>
    <w:rsid w:val="00045296"/>
    <w:rsid w:val="000505C5"/>
    <w:rsid w:val="0005370C"/>
    <w:rsid w:val="00055915"/>
    <w:rsid w:val="0005653D"/>
    <w:rsid w:val="0005797C"/>
    <w:rsid w:val="00057B21"/>
    <w:rsid w:val="00067542"/>
    <w:rsid w:val="00071360"/>
    <w:rsid w:val="000717DA"/>
    <w:rsid w:val="000728E3"/>
    <w:rsid w:val="0007488D"/>
    <w:rsid w:val="000748BB"/>
    <w:rsid w:val="0007513F"/>
    <w:rsid w:val="00075472"/>
    <w:rsid w:val="00075E6C"/>
    <w:rsid w:val="00077892"/>
    <w:rsid w:val="00080343"/>
    <w:rsid w:val="00080882"/>
    <w:rsid w:val="0008125A"/>
    <w:rsid w:val="00081517"/>
    <w:rsid w:val="0008327A"/>
    <w:rsid w:val="0008405C"/>
    <w:rsid w:val="00085F85"/>
    <w:rsid w:val="000861A0"/>
    <w:rsid w:val="000864DF"/>
    <w:rsid w:val="00090D84"/>
    <w:rsid w:val="000964A0"/>
    <w:rsid w:val="000A3F4A"/>
    <w:rsid w:val="000B286B"/>
    <w:rsid w:val="000B29AD"/>
    <w:rsid w:val="000B67CD"/>
    <w:rsid w:val="000C06B0"/>
    <w:rsid w:val="000C21C3"/>
    <w:rsid w:val="000C4420"/>
    <w:rsid w:val="000C6372"/>
    <w:rsid w:val="000D0CB8"/>
    <w:rsid w:val="000D0DD1"/>
    <w:rsid w:val="000D1022"/>
    <w:rsid w:val="000D2D61"/>
    <w:rsid w:val="000D3A5A"/>
    <w:rsid w:val="000D3A9C"/>
    <w:rsid w:val="000D59B0"/>
    <w:rsid w:val="000D72EA"/>
    <w:rsid w:val="000D7F8F"/>
    <w:rsid w:val="000E0178"/>
    <w:rsid w:val="000E13EE"/>
    <w:rsid w:val="000E1475"/>
    <w:rsid w:val="000E1D30"/>
    <w:rsid w:val="000E392D"/>
    <w:rsid w:val="000E3994"/>
    <w:rsid w:val="000E54D2"/>
    <w:rsid w:val="000E6B93"/>
    <w:rsid w:val="000E7F4B"/>
    <w:rsid w:val="000F2995"/>
    <w:rsid w:val="000F41B9"/>
    <w:rsid w:val="000F4288"/>
    <w:rsid w:val="000F50A6"/>
    <w:rsid w:val="000F5A54"/>
    <w:rsid w:val="000F7165"/>
    <w:rsid w:val="000F72EE"/>
    <w:rsid w:val="001012CC"/>
    <w:rsid w:val="00102379"/>
    <w:rsid w:val="00102CEF"/>
    <w:rsid w:val="001065D6"/>
    <w:rsid w:val="00106DD4"/>
    <w:rsid w:val="001074BE"/>
    <w:rsid w:val="00112BCF"/>
    <w:rsid w:val="001132A7"/>
    <w:rsid w:val="00114929"/>
    <w:rsid w:val="0011571C"/>
    <w:rsid w:val="00115A52"/>
    <w:rsid w:val="00117AFF"/>
    <w:rsid w:val="001202BB"/>
    <w:rsid w:val="00120542"/>
    <w:rsid w:val="00121252"/>
    <w:rsid w:val="00121837"/>
    <w:rsid w:val="00122A60"/>
    <w:rsid w:val="0012325C"/>
    <w:rsid w:val="00123DFE"/>
    <w:rsid w:val="00124609"/>
    <w:rsid w:val="001254CE"/>
    <w:rsid w:val="00127A4E"/>
    <w:rsid w:val="00133603"/>
    <w:rsid w:val="00134CEA"/>
    <w:rsid w:val="0013502C"/>
    <w:rsid w:val="001361D4"/>
    <w:rsid w:val="00137DB3"/>
    <w:rsid w:val="00141B1B"/>
    <w:rsid w:val="001422CC"/>
    <w:rsid w:val="0014266D"/>
    <w:rsid w:val="0014305C"/>
    <w:rsid w:val="0014397A"/>
    <w:rsid w:val="001514F5"/>
    <w:rsid w:val="001524DD"/>
    <w:rsid w:val="00152901"/>
    <w:rsid w:val="00153251"/>
    <w:rsid w:val="00154B57"/>
    <w:rsid w:val="00156767"/>
    <w:rsid w:val="00157028"/>
    <w:rsid w:val="00157700"/>
    <w:rsid w:val="001617B6"/>
    <w:rsid w:val="00165E66"/>
    <w:rsid w:val="001661C8"/>
    <w:rsid w:val="0016657D"/>
    <w:rsid w:val="00166848"/>
    <w:rsid w:val="001668A1"/>
    <w:rsid w:val="00166F1A"/>
    <w:rsid w:val="00170E9A"/>
    <w:rsid w:val="00171D16"/>
    <w:rsid w:val="00171F20"/>
    <w:rsid w:val="001725F4"/>
    <w:rsid w:val="00174F8A"/>
    <w:rsid w:val="001752FA"/>
    <w:rsid w:val="00175AB2"/>
    <w:rsid w:val="00180BDD"/>
    <w:rsid w:val="0018168D"/>
    <w:rsid w:val="00181952"/>
    <w:rsid w:val="00182513"/>
    <w:rsid w:val="00184DD0"/>
    <w:rsid w:val="00185B8C"/>
    <w:rsid w:val="00190575"/>
    <w:rsid w:val="00191217"/>
    <w:rsid w:val="00191A3F"/>
    <w:rsid w:val="00191D59"/>
    <w:rsid w:val="00192047"/>
    <w:rsid w:val="0019300D"/>
    <w:rsid w:val="00194B88"/>
    <w:rsid w:val="001A0420"/>
    <w:rsid w:val="001A13DD"/>
    <w:rsid w:val="001A155C"/>
    <w:rsid w:val="001A1C42"/>
    <w:rsid w:val="001A21F2"/>
    <w:rsid w:val="001A2B3B"/>
    <w:rsid w:val="001A4D39"/>
    <w:rsid w:val="001A6257"/>
    <w:rsid w:val="001A6498"/>
    <w:rsid w:val="001A6878"/>
    <w:rsid w:val="001B0E08"/>
    <w:rsid w:val="001B27D2"/>
    <w:rsid w:val="001B2853"/>
    <w:rsid w:val="001B3BFA"/>
    <w:rsid w:val="001B43FF"/>
    <w:rsid w:val="001B7793"/>
    <w:rsid w:val="001C1192"/>
    <w:rsid w:val="001C1BA6"/>
    <w:rsid w:val="001C325F"/>
    <w:rsid w:val="001C4802"/>
    <w:rsid w:val="001C7BAE"/>
    <w:rsid w:val="001D2C64"/>
    <w:rsid w:val="001D5BB1"/>
    <w:rsid w:val="001D607A"/>
    <w:rsid w:val="001D73E5"/>
    <w:rsid w:val="001D75D0"/>
    <w:rsid w:val="001E0196"/>
    <w:rsid w:val="001E1CA9"/>
    <w:rsid w:val="001E2604"/>
    <w:rsid w:val="001E28CC"/>
    <w:rsid w:val="001E31FA"/>
    <w:rsid w:val="001E4049"/>
    <w:rsid w:val="001E5DD1"/>
    <w:rsid w:val="001E64F6"/>
    <w:rsid w:val="001F13BA"/>
    <w:rsid w:val="001F1A73"/>
    <w:rsid w:val="001F2194"/>
    <w:rsid w:val="001F25D1"/>
    <w:rsid w:val="001F290C"/>
    <w:rsid w:val="001F39F4"/>
    <w:rsid w:val="001F64AC"/>
    <w:rsid w:val="001F6776"/>
    <w:rsid w:val="002004C7"/>
    <w:rsid w:val="002013C4"/>
    <w:rsid w:val="00204B52"/>
    <w:rsid w:val="00205757"/>
    <w:rsid w:val="002110A1"/>
    <w:rsid w:val="002128F8"/>
    <w:rsid w:val="00214600"/>
    <w:rsid w:val="00215FBE"/>
    <w:rsid w:val="002164E9"/>
    <w:rsid w:val="00216FBD"/>
    <w:rsid w:val="00220DF7"/>
    <w:rsid w:val="00222BEB"/>
    <w:rsid w:val="00225E60"/>
    <w:rsid w:val="0022608F"/>
    <w:rsid w:val="0022613F"/>
    <w:rsid w:val="00227C6B"/>
    <w:rsid w:val="00230312"/>
    <w:rsid w:val="0023202C"/>
    <w:rsid w:val="00233170"/>
    <w:rsid w:val="00234E76"/>
    <w:rsid w:val="00236203"/>
    <w:rsid w:val="0023790D"/>
    <w:rsid w:val="00240CF0"/>
    <w:rsid w:val="0024195A"/>
    <w:rsid w:val="00242252"/>
    <w:rsid w:val="00244971"/>
    <w:rsid w:val="00244F1E"/>
    <w:rsid w:val="00245043"/>
    <w:rsid w:val="0024557E"/>
    <w:rsid w:val="00250141"/>
    <w:rsid w:val="00250ACB"/>
    <w:rsid w:val="0025351A"/>
    <w:rsid w:val="00253C77"/>
    <w:rsid w:val="00254BE3"/>
    <w:rsid w:val="0025617A"/>
    <w:rsid w:val="00256627"/>
    <w:rsid w:val="00256E96"/>
    <w:rsid w:val="00256F2A"/>
    <w:rsid w:val="002573A1"/>
    <w:rsid w:val="0025749A"/>
    <w:rsid w:val="0025756F"/>
    <w:rsid w:val="00257760"/>
    <w:rsid w:val="00257EC4"/>
    <w:rsid w:val="0026176D"/>
    <w:rsid w:val="002638EB"/>
    <w:rsid w:val="002642A0"/>
    <w:rsid w:val="00264333"/>
    <w:rsid w:val="00264CFF"/>
    <w:rsid w:val="00265489"/>
    <w:rsid w:val="002655FF"/>
    <w:rsid w:val="002660B3"/>
    <w:rsid w:val="0027056A"/>
    <w:rsid w:val="002714E7"/>
    <w:rsid w:val="00271E24"/>
    <w:rsid w:val="00272742"/>
    <w:rsid w:val="00272AE4"/>
    <w:rsid w:val="00272D3C"/>
    <w:rsid w:val="00274F51"/>
    <w:rsid w:val="00282C4B"/>
    <w:rsid w:val="0028372A"/>
    <w:rsid w:val="002858B6"/>
    <w:rsid w:val="002858C4"/>
    <w:rsid w:val="002859B3"/>
    <w:rsid w:val="0028600F"/>
    <w:rsid w:val="002904C9"/>
    <w:rsid w:val="002911CE"/>
    <w:rsid w:val="00291C69"/>
    <w:rsid w:val="002921DB"/>
    <w:rsid w:val="00292D36"/>
    <w:rsid w:val="00296A20"/>
    <w:rsid w:val="00297281"/>
    <w:rsid w:val="002A02FA"/>
    <w:rsid w:val="002A288D"/>
    <w:rsid w:val="002A3D81"/>
    <w:rsid w:val="002A45A6"/>
    <w:rsid w:val="002A602A"/>
    <w:rsid w:val="002B0133"/>
    <w:rsid w:val="002B1933"/>
    <w:rsid w:val="002B287A"/>
    <w:rsid w:val="002B3221"/>
    <w:rsid w:val="002B36A4"/>
    <w:rsid w:val="002B3F9B"/>
    <w:rsid w:val="002B5AC9"/>
    <w:rsid w:val="002B6C30"/>
    <w:rsid w:val="002C13A1"/>
    <w:rsid w:val="002C38A4"/>
    <w:rsid w:val="002C4077"/>
    <w:rsid w:val="002C4355"/>
    <w:rsid w:val="002C4783"/>
    <w:rsid w:val="002C54E0"/>
    <w:rsid w:val="002C5531"/>
    <w:rsid w:val="002D1A17"/>
    <w:rsid w:val="002D1DDD"/>
    <w:rsid w:val="002D24A9"/>
    <w:rsid w:val="002D320E"/>
    <w:rsid w:val="002D5F25"/>
    <w:rsid w:val="002D6614"/>
    <w:rsid w:val="002D711A"/>
    <w:rsid w:val="002D7293"/>
    <w:rsid w:val="002D7336"/>
    <w:rsid w:val="002E08A5"/>
    <w:rsid w:val="002E09A3"/>
    <w:rsid w:val="002E0F67"/>
    <w:rsid w:val="002E12F7"/>
    <w:rsid w:val="002E166C"/>
    <w:rsid w:val="002E3396"/>
    <w:rsid w:val="002E3A78"/>
    <w:rsid w:val="002E402C"/>
    <w:rsid w:val="002E50FD"/>
    <w:rsid w:val="002E7475"/>
    <w:rsid w:val="002F1E36"/>
    <w:rsid w:val="002F2339"/>
    <w:rsid w:val="002F288E"/>
    <w:rsid w:val="002F5CAE"/>
    <w:rsid w:val="00300DD7"/>
    <w:rsid w:val="00302838"/>
    <w:rsid w:val="00303865"/>
    <w:rsid w:val="003050A2"/>
    <w:rsid w:val="003053A2"/>
    <w:rsid w:val="00310C31"/>
    <w:rsid w:val="0031149C"/>
    <w:rsid w:val="003123FC"/>
    <w:rsid w:val="003138DF"/>
    <w:rsid w:val="003141ED"/>
    <w:rsid w:val="00314A2E"/>
    <w:rsid w:val="00314CE6"/>
    <w:rsid w:val="0031647A"/>
    <w:rsid w:val="00316800"/>
    <w:rsid w:val="003177CA"/>
    <w:rsid w:val="00320ED1"/>
    <w:rsid w:val="003232E7"/>
    <w:rsid w:val="00323444"/>
    <w:rsid w:val="0032529F"/>
    <w:rsid w:val="00325BB2"/>
    <w:rsid w:val="00326BE5"/>
    <w:rsid w:val="00326E25"/>
    <w:rsid w:val="003324EF"/>
    <w:rsid w:val="003336C0"/>
    <w:rsid w:val="00336FD2"/>
    <w:rsid w:val="00337262"/>
    <w:rsid w:val="00337BDA"/>
    <w:rsid w:val="00337C52"/>
    <w:rsid w:val="00337F13"/>
    <w:rsid w:val="0034008B"/>
    <w:rsid w:val="0034023B"/>
    <w:rsid w:val="00342ED8"/>
    <w:rsid w:val="0034599C"/>
    <w:rsid w:val="00345C0D"/>
    <w:rsid w:val="003522AD"/>
    <w:rsid w:val="00352C22"/>
    <w:rsid w:val="0035497A"/>
    <w:rsid w:val="003549A5"/>
    <w:rsid w:val="0035528A"/>
    <w:rsid w:val="003571E4"/>
    <w:rsid w:val="00360073"/>
    <w:rsid w:val="0036414D"/>
    <w:rsid w:val="0036477A"/>
    <w:rsid w:val="00366459"/>
    <w:rsid w:val="00366862"/>
    <w:rsid w:val="00367393"/>
    <w:rsid w:val="0036757E"/>
    <w:rsid w:val="00367CB3"/>
    <w:rsid w:val="00371B15"/>
    <w:rsid w:val="0037490A"/>
    <w:rsid w:val="003774C5"/>
    <w:rsid w:val="0038124B"/>
    <w:rsid w:val="00381438"/>
    <w:rsid w:val="00382449"/>
    <w:rsid w:val="0038349F"/>
    <w:rsid w:val="00386AA8"/>
    <w:rsid w:val="003871E1"/>
    <w:rsid w:val="0038771C"/>
    <w:rsid w:val="00390C29"/>
    <w:rsid w:val="003912D2"/>
    <w:rsid w:val="0039236D"/>
    <w:rsid w:val="00392D98"/>
    <w:rsid w:val="00392EF1"/>
    <w:rsid w:val="00393799"/>
    <w:rsid w:val="00393EBC"/>
    <w:rsid w:val="0039405B"/>
    <w:rsid w:val="003941C9"/>
    <w:rsid w:val="00395322"/>
    <w:rsid w:val="003968F9"/>
    <w:rsid w:val="00396E36"/>
    <w:rsid w:val="00396EFE"/>
    <w:rsid w:val="003A1C19"/>
    <w:rsid w:val="003A1C92"/>
    <w:rsid w:val="003A4896"/>
    <w:rsid w:val="003A48E8"/>
    <w:rsid w:val="003A541A"/>
    <w:rsid w:val="003A5C0B"/>
    <w:rsid w:val="003A6923"/>
    <w:rsid w:val="003B0473"/>
    <w:rsid w:val="003B60CB"/>
    <w:rsid w:val="003B614B"/>
    <w:rsid w:val="003B7EFE"/>
    <w:rsid w:val="003C26E2"/>
    <w:rsid w:val="003C2C67"/>
    <w:rsid w:val="003C5BA4"/>
    <w:rsid w:val="003C6F2B"/>
    <w:rsid w:val="003C7BBD"/>
    <w:rsid w:val="003D028E"/>
    <w:rsid w:val="003D2CE8"/>
    <w:rsid w:val="003D4E4F"/>
    <w:rsid w:val="003E3E26"/>
    <w:rsid w:val="003E3F8D"/>
    <w:rsid w:val="003E5201"/>
    <w:rsid w:val="003F0BB7"/>
    <w:rsid w:val="003F0F41"/>
    <w:rsid w:val="003F1295"/>
    <w:rsid w:val="003F2B80"/>
    <w:rsid w:val="003F76FC"/>
    <w:rsid w:val="004002EB"/>
    <w:rsid w:val="00400479"/>
    <w:rsid w:val="004036EB"/>
    <w:rsid w:val="00405535"/>
    <w:rsid w:val="00412ED1"/>
    <w:rsid w:val="00414B43"/>
    <w:rsid w:val="00414B6E"/>
    <w:rsid w:val="0041689E"/>
    <w:rsid w:val="00417E72"/>
    <w:rsid w:val="004236C8"/>
    <w:rsid w:val="00427201"/>
    <w:rsid w:val="00427681"/>
    <w:rsid w:val="00427C82"/>
    <w:rsid w:val="004302C5"/>
    <w:rsid w:val="004307C7"/>
    <w:rsid w:val="0043286E"/>
    <w:rsid w:val="00432BB3"/>
    <w:rsid w:val="00433DB7"/>
    <w:rsid w:val="00436E90"/>
    <w:rsid w:val="00437EE8"/>
    <w:rsid w:val="0044099D"/>
    <w:rsid w:val="00441CE7"/>
    <w:rsid w:val="00443A24"/>
    <w:rsid w:val="004442DD"/>
    <w:rsid w:val="0044667E"/>
    <w:rsid w:val="004501D4"/>
    <w:rsid w:val="00453750"/>
    <w:rsid w:val="00453865"/>
    <w:rsid w:val="00453C6A"/>
    <w:rsid w:val="00455937"/>
    <w:rsid w:val="00456941"/>
    <w:rsid w:val="00456EF5"/>
    <w:rsid w:val="004579F9"/>
    <w:rsid w:val="00464B13"/>
    <w:rsid w:val="00466E26"/>
    <w:rsid w:val="00467195"/>
    <w:rsid w:val="004702EA"/>
    <w:rsid w:val="00476D9D"/>
    <w:rsid w:val="00477612"/>
    <w:rsid w:val="00481204"/>
    <w:rsid w:val="00482243"/>
    <w:rsid w:val="00482D02"/>
    <w:rsid w:val="00482D96"/>
    <w:rsid w:val="00482FCC"/>
    <w:rsid w:val="004834E8"/>
    <w:rsid w:val="00484A07"/>
    <w:rsid w:val="00487F76"/>
    <w:rsid w:val="00487F9D"/>
    <w:rsid w:val="0049095F"/>
    <w:rsid w:val="00491A13"/>
    <w:rsid w:val="00491ABA"/>
    <w:rsid w:val="004937C4"/>
    <w:rsid w:val="004951E0"/>
    <w:rsid w:val="00495F48"/>
    <w:rsid w:val="004963B7"/>
    <w:rsid w:val="004A01B1"/>
    <w:rsid w:val="004A0E15"/>
    <w:rsid w:val="004A116E"/>
    <w:rsid w:val="004A2742"/>
    <w:rsid w:val="004A53B0"/>
    <w:rsid w:val="004A5D99"/>
    <w:rsid w:val="004A7519"/>
    <w:rsid w:val="004B31E2"/>
    <w:rsid w:val="004B3788"/>
    <w:rsid w:val="004B4A4E"/>
    <w:rsid w:val="004B5375"/>
    <w:rsid w:val="004B6DC6"/>
    <w:rsid w:val="004C062A"/>
    <w:rsid w:val="004C2355"/>
    <w:rsid w:val="004C5F3A"/>
    <w:rsid w:val="004C6806"/>
    <w:rsid w:val="004C6C14"/>
    <w:rsid w:val="004C7E70"/>
    <w:rsid w:val="004D2ECD"/>
    <w:rsid w:val="004D3518"/>
    <w:rsid w:val="004D3A00"/>
    <w:rsid w:val="004D3C82"/>
    <w:rsid w:val="004D5B31"/>
    <w:rsid w:val="004D6181"/>
    <w:rsid w:val="004D62D6"/>
    <w:rsid w:val="004D673A"/>
    <w:rsid w:val="004E31E5"/>
    <w:rsid w:val="004E39FF"/>
    <w:rsid w:val="004E558A"/>
    <w:rsid w:val="004E5F87"/>
    <w:rsid w:val="004E75AE"/>
    <w:rsid w:val="004F0BA6"/>
    <w:rsid w:val="004F5DA0"/>
    <w:rsid w:val="004F7313"/>
    <w:rsid w:val="004F7760"/>
    <w:rsid w:val="00500997"/>
    <w:rsid w:val="005025A6"/>
    <w:rsid w:val="005027C8"/>
    <w:rsid w:val="00502956"/>
    <w:rsid w:val="00502AC6"/>
    <w:rsid w:val="00504BD9"/>
    <w:rsid w:val="00506A37"/>
    <w:rsid w:val="00510C2B"/>
    <w:rsid w:val="0051149C"/>
    <w:rsid w:val="005124CA"/>
    <w:rsid w:val="00514E4A"/>
    <w:rsid w:val="00515E2D"/>
    <w:rsid w:val="00516080"/>
    <w:rsid w:val="00520CE9"/>
    <w:rsid w:val="00523E4D"/>
    <w:rsid w:val="005242F9"/>
    <w:rsid w:val="00524B28"/>
    <w:rsid w:val="005253CA"/>
    <w:rsid w:val="0052650C"/>
    <w:rsid w:val="00531EAD"/>
    <w:rsid w:val="00532754"/>
    <w:rsid w:val="00533C5D"/>
    <w:rsid w:val="0053416C"/>
    <w:rsid w:val="00534B39"/>
    <w:rsid w:val="00537CB4"/>
    <w:rsid w:val="00540ED9"/>
    <w:rsid w:val="00540F7B"/>
    <w:rsid w:val="00541C2F"/>
    <w:rsid w:val="00541CAE"/>
    <w:rsid w:val="0054427E"/>
    <w:rsid w:val="0054475A"/>
    <w:rsid w:val="00545348"/>
    <w:rsid w:val="00546260"/>
    <w:rsid w:val="00546E00"/>
    <w:rsid w:val="005472A1"/>
    <w:rsid w:val="00550A0E"/>
    <w:rsid w:val="00552B88"/>
    <w:rsid w:val="00552BF5"/>
    <w:rsid w:val="00552D7E"/>
    <w:rsid w:val="005530BB"/>
    <w:rsid w:val="005536B1"/>
    <w:rsid w:val="0055419B"/>
    <w:rsid w:val="00555723"/>
    <w:rsid w:val="00555EA1"/>
    <w:rsid w:val="00556E44"/>
    <w:rsid w:val="0055727D"/>
    <w:rsid w:val="00560720"/>
    <w:rsid w:val="00563527"/>
    <w:rsid w:val="00565EB2"/>
    <w:rsid w:val="0056706D"/>
    <w:rsid w:val="005743E1"/>
    <w:rsid w:val="00574CA9"/>
    <w:rsid w:val="00575618"/>
    <w:rsid w:val="0057585B"/>
    <w:rsid w:val="005765D9"/>
    <w:rsid w:val="00577D9E"/>
    <w:rsid w:val="00580BA3"/>
    <w:rsid w:val="0058124E"/>
    <w:rsid w:val="0058191C"/>
    <w:rsid w:val="00583B0C"/>
    <w:rsid w:val="00587532"/>
    <w:rsid w:val="005875A3"/>
    <w:rsid w:val="0058775C"/>
    <w:rsid w:val="00592174"/>
    <w:rsid w:val="005924F1"/>
    <w:rsid w:val="005929D7"/>
    <w:rsid w:val="00593D50"/>
    <w:rsid w:val="005948A1"/>
    <w:rsid w:val="00594BA7"/>
    <w:rsid w:val="00594E80"/>
    <w:rsid w:val="00594F97"/>
    <w:rsid w:val="005A00BA"/>
    <w:rsid w:val="005A023E"/>
    <w:rsid w:val="005A24F3"/>
    <w:rsid w:val="005A2B8F"/>
    <w:rsid w:val="005A3416"/>
    <w:rsid w:val="005A3B06"/>
    <w:rsid w:val="005A758F"/>
    <w:rsid w:val="005B0F1D"/>
    <w:rsid w:val="005B1679"/>
    <w:rsid w:val="005B27FE"/>
    <w:rsid w:val="005B442B"/>
    <w:rsid w:val="005B6BBD"/>
    <w:rsid w:val="005B78F2"/>
    <w:rsid w:val="005C3E6D"/>
    <w:rsid w:val="005C50EC"/>
    <w:rsid w:val="005C7A39"/>
    <w:rsid w:val="005D0029"/>
    <w:rsid w:val="005D186E"/>
    <w:rsid w:val="005D2483"/>
    <w:rsid w:val="005D60BC"/>
    <w:rsid w:val="005D6EEA"/>
    <w:rsid w:val="005E0B8B"/>
    <w:rsid w:val="005E2514"/>
    <w:rsid w:val="005E3083"/>
    <w:rsid w:val="005E34E1"/>
    <w:rsid w:val="005E43AA"/>
    <w:rsid w:val="005E4751"/>
    <w:rsid w:val="005E6029"/>
    <w:rsid w:val="005E6FC1"/>
    <w:rsid w:val="005E76CF"/>
    <w:rsid w:val="005F0585"/>
    <w:rsid w:val="005F1737"/>
    <w:rsid w:val="005F1B3B"/>
    <w:rsid w:val="005F5B0A"/>
    <w:rsid w:val="005F61DF"/>
    <w:rsid w:val="00601EF4"/>
    <w:rsid w:val="0060214A"/>
    <w:rsid w:val="006023F9"/>
    <w:rsid w:val="00602DFD"/>
    <w:rsid w:val="0060380B"/>
    <w:rsid w:val="00603A3B"/>
    <w:rsid w:val="006052EC"/>
    <w:rsid w:val="00606BC9"/>
    <w:rsid w:val="006076C4"/>
    <w:rsid w:val="006077D8"/>
    <w:rsid w:val="00610559"/>
    <w:rsid w:val="0061231C"/>
    <w:rsid w:val="0061257E"/>
    <w:rsid w:val="0061360C"/>
    <w:rsid w:val="00614388"/>
    <w:rsid w:val="00617457"/>
    <w:rsid w:val="00617764"/>
    <w:rsid w:val="00617A43"/>
    <w:rsid w:val="00617F1F"/>
    <w:rsid w:val="00621D09"/>
    <w:rsid w:val="006226B4"/>
    <w:rsid w:val="00625A3D"/>
    <w:rsid w:val="00625C2F"/>
    <w:rsid w:val="006273BA"/>
    <w:rsid w:val="00627832"/>
    <w:rsid w:val="006310AA"/>
    <w:rsid w:val="00632627"/>
    <w:rsid w:val="006332F6"/>
    <w:rsid w:val="00633429"/>
    <w:rsid w:val="00633816"/>
    <w:rsid w:val="006375DA"/>
    <w:rsid w:val="00637AA9"/>
    <w:rsid w:val="006408F8"/>
    <w:rsid w:val="006468C8"/>
    <w:rsid w:val="00652625"/>
    <w:rsid w:val="006534B2"/>
    <w:rsid w:val="00654356"/>
    <w:rsid w:val="00654722"/>
    <w:rsid w:val="00655A16"/>
    <w:rsid w:val="0065615D"/>
    <w:rsid w:val="00657011"/>
    <w:rsid w:val="006579D2"/>
    <w:rsid w:val="006605B6"/>
    <w:rsid w:val="0066428E"/>
    <w:rsid w:val="006650B5"/>
    <w:rsid w:val="006651B1"/>
    <w:rsid w:val="00665778"/>
    <w:rsid w:val="006703E8"/>
    <w:rsid w:val="00670D5B"/>
    <w:rsid w:val="00671183"/>
    <w:rsid w:val="00671E7A"/>
    <w:rsid w:val="00671FC5"/>
    <w:rsid w:val="0067682E"/>
    <w:rsid w:val="00677FF4"/>
    <w:rsid w:val="006802F6"/>
    <w:rsid w:val="006814A5"/>
    <w:rsid w:val="00683566"/>
    <w:rsid w:val="00683F4E"/>
    <w:rsid w:val="006855B3"/>
    <w:rsid w:val="006908A2"/>
    <w:rsid w:val="006919AC"/>
    <w:rsid w:val="00691C69"/>
    <w:rsid w:val="006927B1"/>
    <w:rsid w:val="00692B4B"/>
    <w:rsid w:val="00692E7F"/>
    <w:rsid w:val="00693339"/>
    <w:rsid w:val="00696F52"/>
    <w:rsid w:val="006A0212"/>
    <w:rsid w:val="006A09D1"/>
    <w:rsid w:val="006A14F6"/>
    <w:rsid w:val="006A16D3"/>
    <w:rsid w:val="006A25DD"/>
    <w:rsid w:val="006A5639"/>
    <w:rsid w:val="006A5B34"/>
    <w:rsid w:val="006A5F5B"/>
    <w:rsid w:val="006A72F2"/>
    <w:rsid w:val="006A7865"/>
    <w:rsid w:val="006B33B0"/>
    <w:rsid w:val="006B56C3"/>
    <w:rsid w:val="006B5EDA"/>
    <w:rsid w:val="006B68C8"/>
    <w:rsid w:val="006C09F6"/>
    <w:rsid w:val="006C0B77"/>
    <w:rsid w:val="006C1530"/>
    <w:rsid w:val="006C26AA"/>
    <w:rsid w:val="006C77A9"/>
    <w:rsid w:val="006C7924"/>
    <w:rsid w:val="006D7F50"/>
    <w:rsid w:val="006E007B"/>
    <w:rsid w:val="006E12D0"/>
    <w:rsid w:val="006E1454"/>
    <w:rsid w:val="006E1A58"/>
    <w:rsid w:val="006E1A5E"/>
    <w:rsid w:val="006E1D3A"/>
    <w:rsid w:val="006E1F18"/>
    <w:rsid w:val="006E4666"/>
    <w:rsid w:val="006E5531"/>
    <w:rsid w:val="006E57A8"/>
    <w:rsid w:val="006E7BF5"/>
    <w:rsid w:val="006F05FF"/>
    <w:rsid w:val="006F0F13"/>
    <w:rsid w:val="006F393D"/>
    <w:rsid w:val="006F3B8D"/>
    <w:rsid w:val="006F412C"/>
    <w:rsid w:val="006F6693"/>
    <w:rsid w:val="00700D18"/>
    <w:rsid w:val="0070125F"/>
    <w:rsid w:val="00702725"/>
    <w:rsid w:val="0070679B"/>
    <w:rsid w:val="007067A8"/>
    <w:rsid w:val="00706CE9"/>
    <w:rsid w:val="00707AB5"/>
    <w:rsid w:val="00707FE8"/>
    <w:rsid w:val="00710420"/>
    <w:rsid w:val="00711BEF"/>
    <w:rsid w:val="00713FB5"/>
    <w:rsid w:val="00714A38"/>
    <w:rsid w:val="007176CF"/>
    <w:rsid w:val="007177D6"/>
    <w:rsid w:val="00720AD4"/>
    <w:rsid w:val="0072165A"/>
    <w:rsid w:val="00723634"/>
    <w:rsid w:val="00723D18"/>
    <w:rsid w:val="00724523"/>
    <w:rsid w:val="00724962"/>
    <w:rsid w:val="00724A0F"/>
    <w:rsid w:val="00725098"/>
    <w:rsid w:val="00725BB6"/>
    <w:rsid w:val="00730065"/>
    <w:rsid w:val="00732162"/>
    <w:rsid w:val="00733B41"/>
    <w:rsid w:val="00733E51"/>
    <w:rsid w:val="007342C9"/>
    <w:rsid w:val="007342CB"/>
    <w:rsid w:val="00734F7F"/>
    <w:rsid w:val="0073527F"/>
    <w:rsid w:val="00736732"/>
    <w:rsid w:val="00740231"/>
    <w:rsid w:val="007431E8"/>
    <w:rsid w:val="00743CA1"/>
    <w:rsid w:val="007444D8"/>
    <w:rsid w:val="00744F85"/>
    <w:rsid w:val="0075017F"/>
    <w:rsid w:val="00750CBE"/>
    <w:rsid w:val="00750D7B"/>
    <w:rsid w:val="007527F6"/>
    <w:rsid w:val="00755403"/>
    <w:rsid w:val="00755676"/>
    <w:rsid w:val="00755879"/>
    <w:rsid w:val="00755D02"/>
    <w:rsid w:val="007564E5"/>
    <w:rsid w:val="007573A0"/>
    <w:rsid w:val="007576F8"/>
    <w:rsid w:val="007606F7"/>
    <w:rsid w:val="007618A0"/>
    <w:rsid w:val="007661F9"/>
    <w:rsid w:val="00766B5A"/>
    <w:rsid w:val="0077045F"/>
    <w:rsid w:val="007709AF"/>
    <w:rsid w:val="00772B45"/>
    <w:rsid w:val="00772E91"/>
    <w:rsid w:val="00773872"/>
    <w:rsid w:val="0077479B"/>
    <w:rsid w:val="00774BF8"/>
    <w:rsid w:val="007754E2"/>
    <w:rsid w:val="0077631E"/>
    <w:rsid w:val="007766C1"/>
    <w:rsid w:val="00781712"/>
    <w:rsid w:val="007834F2"/>
    <w:rsid w:val="0078434D"/>
    <w:rsid w:val="00786B9A"/>
    <w:rsid w:val="0079011F"/>
    <w:rsid w:val="00790D40"/>
    <w:rsid w:val="00791020"/>
    <w:rsid w:val="00791970"/>
    <w:rsid w:val="007920D7"/>
    <w:rsid w:val="00793D44"/>
    <w:rsid w:val="0079511F"/>
    <w:rsid w:val="007A0621"/>
    <w:rsid w:val="007A0924"/>
    <w:rsid w:val="007A14E7"/>
    <w:rsid w:val="007A3DAE"/>
    <w:rsid w:val="007A4644"/>
    <w:rsid w:val="007A5F82"/>
    <w:rsid w:val="007A7C89"/>
    <w:rsid w:val="007B12D3"/>
    <w:rsid w:val="007B38D3"/>
    <w:rsid w:val="007B4A89"/>
    <w:rsid w:val="007B52C8"/>
    <w:rsid w:val="007B588B"/>
    <w:rsid w:val="007B6D42"/>
    <w:rsid w:val="007B7A19"/>
    <w:rsid w:val="007B7C1C"/>
    <w:rsid w:val="007C1CCE"/>
    <w:rsid w:val="007C2CD2"/>
    <w:rsid w:val="007C2F36"/>
    <w:rsid w:val="007C4172"/>
    <w:rsid w:val="007C4436"/>
    <w:rsid w:val="007C50C2"/>
    <w:rsid w:val="007C5D44"/>
    <w:rsid w:val="007C6E38"/>
    <w:rsid w:val="007D03CC"/>
    <w:rsid w:val="007D08B0"/>
    <w:rsid w:val="007D0C34"/>
    <w:rsid w:val="007D10A8"/>
    <w:rsid w:val="007D10F9"/>
    <w:rsid w:val="007D2921"/>
    <w:rsid w:val="007E0770"/>
    <w:rsid w:val="007E19BE"/>
    <w:rsid w:val="007E2778"/>
    <w:rsid w:val="007E27AE"/>
    <w:rsid w:val="007E43F4"/>
    <w:rsid w:val="007E6207"/>
    <w:rsid w:val="007E77C8"/>
    <w:rsid w:val="007F00DD"/>
    <w:rsid w:val="007F05FC"/>
    <w:rsid w:val="007F1A4C"/>
    <w:rsid w:val="007F2339"/>
    <w:rsid w:val="007F3C89"/>
    <w:rsid w:val="007F3FBB"/>
    <w:rsid w:val="007F4007"/>
    <w:rsid w:val="007F4EE9"/>
    <w:rsid w:val="007F7063"/>
    <w:rsid w:val="007F729F"/>
    <w:rsid w:val="007F7D41"/>
    <w:rsid w:val="00800DAA"/>
    <w:rsid w:val="00801390"/>
    <w:rsid w:val="008015B2"/>
    <w:rsid w:val="00801B6D"/>
    <w:rsid w:val="008022C3"/>
    <w:rsid w:val="00803D0A"/>
    <w:rsid w:val="00803F54"/>
    <w:rsid w:val="008041E6"/>
    <w:rsid w:val="008041FB"/>
    <w:rsid w:val="008065D2"/>
    <w:rsid w:val="00811F18"/>
    <w:rsid w:val="00817831"/>
    <w:rsid w:val="0082194C"/>
    <w:rsid w:val="008220C4"/>
    <w:rsid w:val="008222FF"/>
    <w:rsid w:val="0082349F"/>
    <w:rsid w:val="008241FF"/>
    <w:rsid w:val="008245AD"/>
    <w:rsid w:val="0082710C"/>
    <w:rsid w:val="00833B52"/>
    <w:rsid w:val="00834AD3"/>
    <w:rsid w:val="00835053"/>
    <w:rsid w:val="008351C5"/>
    <w:rsid w:val="00836C92"/>
    <w:rsid w:val="008372D2"/>
    <w:rsid w:val="008411E9"/>
    <w:rsid w:val="00841C86"/>
    <w:rsid w:val="0084200F"/>
    <w:rsid w:val="008428B0"/>
    <w:rsid w:val="00843B2C"/>
    <w:rsid w:val="008467EC"/>
    <w:rsid w:val="00850272"/>
    <w:rsid w:val="00850A85"/>
    <w:rsid w:val="008518B0"/>
    <w:rsid w:val="0085257B"/>
    <w:rsid w:val="008532AF"/>
    <w:rsid w:val="00855889"/>
    <w:rsid w:val="00855C7B"/>
    <w:rsid w:val="00855C8B"/>
    <w:rsid w:val="008632DA"/>
    <w:rsid w:val="0086695D"/>
    <w:rsid w:val="008711D2"/>
    <w:rsid w:val="00871976"/>
    <w:rsid w:val="00872CD8"/>
    <w:rsid w:val="008732F4"/>
    <w:rsid w:val="008740B3"/>
    <w:rsid w:val="00874F40"/>
    <w:rsid w:val="00877721"/>
    <w:rsid w:val="00877DB8"/>
    <w:rsid w:val="00881358"/>
    <w:rsid w:val="00881675"/>
    <w:rsid w:val="00884125"/>
    <w:rsid w:val="00885327"/>
    <w:rsid w:val="008869E4"/>
    <w:rsid w:val="00886FAA"/>
    <w:rsid w:val="008927E0"/>
    <w:rsid w:val="008971F9"/>
    <w:rsid w:val="00897396"/>
    <w:rsid w:val="00897754"/>
    <w:rsid w:val="00897BA6"/>
    <w:rsid w:val="00897CF2"/>
    <w:rsid w:val="008A00E6"/>
    <w:rsid w:val="008A0551"/>
    <w:rsid w:val="008A3882"/>
    <w:rsid w:val="008A4900"/>
    <w:rsid w:val="008A5D3E"/>
    <w:rsid w:val="008A6C31"/>
    <w:rsid w:val="008A70BF"/>
    <w:rsid w:val="008A7EDB"/>
    <w:rsid w:val="008B18D6"/>
    <w:rsid w:val="008B23D6"/>
    <w:rsid w:val="008B242A"/>
    <w:rsid w:val="008B34C2"/>
    <w:rsid w:val="008B3BA9"/>
    <w:rsid w:val="008B58F7"/>
    <w:rsid w:val="008B66AA"/>
    <w:rsid w:val="008B69EC"/>
    <w:rsid w:val="008B6E60"/>
    <w:rsid w:val="008B73DA"/>
    <w:rsid w:val="008C1FC4"/>
    <w:rsid w:val="008C4405"/>
    <w:rsid w:val="008C50FA"/>
    <w:rsid w:val="008D0281"/>
    <w:rsid w:val="008D4A92"/>
    <w:rsid w:val="008D5CE3"/>
    <w:rsid w:val="008D70D3"/>
    <w:rsid w:val="008D7333"/>
    <w:rsid w:val="008D7613"/>
    <w:rsid w:val="008D7B3F"/>
    <w:rsid w:val="008E34B2"/>
    <w:rsid w:val="008E3C4E"/>
    <w:rsid w:val="008E5364"/>
    <w:rsid w:val="008E63A9"/>
    <w:rsid w:val="008E74A9"/>
    <w:rsid w:val="008F024D"/>
    <w:rsid w:val="008F07FE"/>
    <w:rsid w:val="008F1B26"/>
    <w:rsid w:val="008F48B5"/>
    <w:rsid w:val="008F4C5C"/>
    <w:rsid w:val="008F5E8E"/>
    <w:rsid w:val="008F6105"/>
    <w:rsid w:val="008F6D45"/>
    <w:rsid w:val="009000AA"/>
    <w:rsid w:val="00900D19"/>
    <w:rsid w:val="00901043"/>
    <w:rsid w:val="0090189D"/>
    <w:rsid w:val="00901A08"/>
    <w:rsid w:val="0090245C"/>
    <w:rsid w:val="009036C2"/>
    <w:rsid w:val="00904D8D"/>
    <w:rsid w:val="00907E71"/>
    <w:rsid w:val="00910AE2"/>
    <w:rsid w:val="00911435"/>
    <w:rsid w:val="009145B1"/>
    <w:rsid w:val="00916BFF"/>
    <w:rsid w:val="00920193"/>
    <w:rsid w:val="00920C1E"/>
    <w:rsid w:val="00922AB6"/>
    <w:rsid w:val="00925D8C"/>
    <w:rsid w:val="00927351"/>
    <w:rsid w:val="00927596"/>
    <w:rsid w:val="0093131A"/>
    <w:rsid w:val="00932855"/>
    <w:rsid w:val="00933E03"/>
    <w:rsid w:val="00935F9E"/>
    <w:rsid w:val="00936599"/>
    <w:rsid w:val="009376EB"/>
    <w:rsid w:val="00937982"/>
    <w:rsid w:val="00937BAF"/>
    <w:rsid w:val="00937EBE"/>
    <w:rsid w:val="009416A9"/>
    <w:rsid w:val="009423B8"/>
    <w:rsid w:val="00944015"/>
    <w:rsid w:val="0094447F"/>
    <w:rsid w:val="00944F19"/>
    <w:rsid w:val="00945E8C"/>
    <w:rsid w:val="00946F81"/>
    <w:rsid w:val="0095024A"/>
    <w:rsid w:val="00950E62"/>
    <w:rsid w:val="009511B2"/>
    <w:rsid w:val="009539FC"/>
    <w:rsid w:val="009567FE"/>
    <w:rsid w:val="00961EEA"/>
    <w:rsid w:val="009627A3"/>
    <w:rsid w:val="00964C64"/>
    <w:rsid w:val="00965557"/>
    <w:rsid w:val="00965A3E"/>
    <w:rsid w:val="00965E8D"/>
    <w:rsid w:val="0096613D"/>
    <w:rsid w:val="0096740D"/>
    <w:rsid w:val="009734B1"/>
    <w:rsid w:val="00975091"/>
    <w:rsid w:val="00976B18"/>
    <w:rsid w:val="009813B8"/>
    <w:rsid w:val="009820B2"/>
    <w:rsid w:val="009834C0"/>
    <w:rsid w:val="00984DE0"/>
    <w:rsid w:val="00986AAC"/>
    <w:rsid w:val="00987E37"/>
    <w:rsid w:val="00990F8A"/>
    <w:rsid w:val="009910E8"/>
    <w:rsid w:val="00991739"/>
    <w:rsid w:val="009917AB"/>
    <w:rsid w:val="009933F6"/>
    <w:rsid w:val="009944F5"/>
    <w:rsid w:val="00994A49"/>
    <w:rsid w:val="00996470"/>
    <w:rsid w:val="009973C7"/>
    <w:rsid w:val="009973ED"/>
    <w:rsid w:val="00997740"/>
    <w:rsid w:val="00997F29"/>
    <w:rsid w:val="009A0C13"/>
    <w:rsid w:val="009A1DA2"/>
    <w:rsid w:val="009A2BB3"/>
    <w:rsid w:val="009A2FCB"/>
    <w:rsid w:val="009A3704"/>
    <w:rsid w:val="009A4739"/>
    <w:rsid w:val="009A5458"/>
    <w:rsid w:val="009A674F"/>
    <w:rsid w:val="009A7962"/>
    <w:rsid w:val="009B07B2"/>
    <w:rsid w:val="009B0A27"/>
    <w:rsid w:val="009B0E6B"/>
    <w:rsid w:val="009B14C3"/>
    <w:rsid w:val="009B199C"/>
    <w:rsid w:val="009B2877"/>
    <w:rsid w:val="009B2FDA"/>
    <w:rsid w:val="009B518E"/>
    <w:rsid w:val="009B54C8"/>
    <w:rsid w:val="009B61F1"/>
    <w:rsid w:val="009B62E0"/>
    <w:rsid w:val="009B6551"/>
    <w:rsid w:val="009B7ACA"/>
    <w:rsid w:val="009C1530"/>
    <w:rsid w:val="009C1943"/>
    <w:rsid w:val="009C2711"/>
    <w:rsid w:val="009C3D88"/>
    <w:rsid w:val="009C43A1"/>
    <w:rsid w:val="009C5B37"/>
    <w:rsid w:val="009C5CF6"/>
    <w:rsid w:val="009D1895"/>
    <w:rsid w:val="009D38DC"/>
    <w:rsid w:val="009D4A6D"/>
    <w:rsid w:val="009D4DDD"/>
    <w:rsid w:val="009D52BF"/>
    <w:rsid w:val="009D5336"/>
    <w:rsid w:val="009D5750"/>
    <w:rsid w:val="009E3858"/>
    <w:rsid w:val="009E70DD"/>
    <w:rsid w:val="009F25CB"/>
    <w:rsid w:val="009F2ED9"/>
    <w:rsid w:val="009F3231"/>
    <w:rsid w:val="009F5C58"/>
    <w:rsid w:val="009F6007"/>
    <w:rsid w:val="00A00728"/>
    <w:rsid w:val="00A01581"/>
    <w:rsid w:val="00A01975"/>
    <w:rsid w:val="00A023A0"/>
    <w:rsid w:val="00A03370"/>
    <w:rsid w:val="00A0385E"/>
    <w:rsid w:val="00A0699D"/>
    <w:rsid w:val="00A07BA3"/>
    <w:rsid w:val="00A07C30"/>
    <w:rsid w:val="00A107C2"/>
    <w:rsid w:val="00A11C6C"/>
    <w:rsid w:val="00A1222A"/>
    <w:rsid w:val="00A14464"/>
    <w:rsid w:val="00A14A9C"/>
    <w:rsid w:val="00A1562B"/>
    <w:rsid w:val="00A170F4"/>
    <w:rsid w:val="00A17BC7"/>
    <w:rsid w:val="00A2017C"/>
    <w:rsid w:val="00A2116E"/>
    <w:rsid w:val="00A21D23"/>
    <w:rsid w:val="00A232B8"/>
    <w:rsid w:val="00A23EBF"/>
    <w:rsid w:val="00A2559E"/>
    <w:rsid w:val="00A25FD9"/>
    <w:rsid w:val="00A26145"/>
    <w:rsid w:val="00A261D2"/>
    <w:rsid w:val="00A3484B"/>
    <w:rsid w:val="00A414CA"/>
    <w:rsid w:val="00A41D01"/>
    <w:rsid w:val="00A423D2"/>
    <w:rsid w:val="00A4242F"/>
    <w:rsid w:val="00A430A8"/>
    <w:rsid w:val="00A44E1E"/>
    <w:rsid w:val="00A46BA8"/>
    <w:rsid w:val="00A47208"/>
    <w:rsid w:val="00A47634"/>
    <w:rsid w:val="00A47746"/>
    <w:rsid w:val="00A52879"/>
    <w:rsid w:val="00A52A33"/>
    <w:rsid w:val="00A5377D"/>
    <w:rsid w:val="00A542BF"/>
    <w:rsid w:val="00A5691F"/>
    <w:rsid w:val="00A5774F"/>
    <w:rsid w:val="00A60032"/>
    <w:rsid w:val="00A60C2D"/>
    <w:rsid w:val="00A612FE"/>
    <w:rsid w:val="00A6235A"/>
    <w:rsid w:val="00A63C98"/>
    <w:rsid w:val="00A66CD1"/>
    <w:rsid w:val="00A67503"/>
    <w:rsid w:val="00A74E46"/>
    <w:rsid w:val="00A81D9D"/>
    <w:rsid w:val="00A8267D"/>
    <w:rsid w:val="00A830F6"/>
    <w:rsid w:val="00A831F0"/>
    <w:rsid w:val="00A83DE9"/>
    <w:rsid w:val="00A84484"/>
    <w:rsid w:val="00A845CA"/>
    <w:rsid w:val="00A85489"/>
    <w:rsid w:val="00A862D0"/>
    <w:rsid w:val="00A86C77"/>
    <w:rsid w:val="00A907EA"/>
    <w:rsid w:val="00A90A4F"/>
    <w:rsid w:val="00A90B3C"/>
    <w:rsid w:val="00A91295"/>
    <w:rsid w:val="00A91B6F"/>
    <w:rsid w:val="00A94164"/>
    <w:rsid w:val="00A94215"/>
    <w:rsid w:val="00AA10AD"/>
    <w:rsid w:val="00AA26B8"/>
    <w:rsid w:val="00AA2BF4"/>
    <w:rsid w:val="00AA3044"/>
    <w:rsid w:val="00AA39DE"/>
    <w:rsid w:val="00AA40E7"/>
    <w:rsid w:val="00AA45BA"/>
    <w:rsid w:val="00AA5F39"/>
    <w:rsid w:val="00AA72BF"/>
    <w:rsid w:val="00AB0B1F"/>
    <w:rsid w:val="00AB337D"/>
    <w:rsid w:val="00AB3B7D"/>
    <w:rsid w:val="00AB3FE2"/>
    <w:rsid w:val="00AB62B9"/>
    <w:rsid w:val="00AB6355"/>
    <w:rsid w:val="00AB774D"/>
    <w:rsid w:val="00AB78D9"/>
    <w:rsid w:val="00AB7DDC"/>
    <w:rsid w:val="00AC0711"/>
    <w:rsid w:val="00AC0DE7"/>
    <w:rsid w:val="00AC2674"/>
    <w:rsid w:val="00AC3171"/>
    <w:rsid w:val="00AC4D88"/>
    <w:rsid w:val="00AC77A8"/>
    <w:rsid w:val="00AD08A5"/>
    <w:rsid w:val="00AD256A"/>
    <w:rsid w:val="00AD3322"/>
    <w:rsid w:val="00AD5807"/>
    <w:rsid w:val="00AD6BA0"/>
    <w:rsid w:val="00AD7B0B"/>
    <w:rsid w:val="00AD7CE5"/>
    <w:rsid w:val="00AD7E4E"/>
    <w:rsid w:val="00AE1855"/>
    <w:rsid w:val="00AE1A2F"/>
    <w:rsid w:val="00AE3C98"/>
    <w:rsid w:val="00AE417D"/>
    <w:rsid w:val="00AE4485"/>
    <w:rsid w:val="00AE4999"/>
    <w:rsid w:val="00AE4AA1"/>
    <w:rsid w:val="00AE4F5E"/>
    <w:rsid w:val="00AE6254"/>
    <w:rsid w:val="00AF0273"/>
    <w:rsid w:val="00AF1AB3"/>
    <w:rsid w:val="00AF1B58"/>
    <w:rsid w:val="00AF225F"/>
    <w:rsid w:val="00AF27D3"/>
    <w:rsid w:val="00AF4D58"/>
    <w:rsid w:val="00AF6666"/>
    <w:rsid w:val="00AF689A"/>
    <w:rsid w:val="00B01937"/>
    <w:rsid w:val="00B02271"/>
    <w:rsid w:val="00B05C5D"/>
    <w:rsid w:val="00B061D9"/>
    <w:rsid w:val="00B10154"/>
    <w:rsid w:val="00B10545"/>
    <w:rsid w:val="00B10638"/>
    <w:rsid w:val="00B12C3D"/>
    <w:rsid w:val="00B14279"/>
    <w:rsid w:val="00B16912"/>
    <w:rsid w:val="00B22E99"/>
    <w:rsid w:val="00B25123"/>
    <w:rsid w:val="00B26573"/>
    <w:rsid w:val="00B30747"/>
    <w:rsid w:val="00B35761"/>
    <w:rsid w:val="00B37347"/>
    <w:rsid w:val="00B374DE"/>
    <w:rsid w:val="00B37B04"/>
    <w:rsid w:val="00B40C86"/>
    <w:rsid w:val="00B4272D"/>
    <w:rsid w:val="00B45E96"/>
    <w:rsid w:val="00B52A8C"/>
    <w:rsid w:val="00B53733"/>
    <w:rsid w:val="00B53D0E"/>
    <w:rsid w:val="00B53E2D"/>
    <w:rsid w:val="00B556D8"/>
    <w:rsid w:val="00B600DC"/>
    <w:rsid w:val="00B603DC"/>
    <w:rsid w:val="00B61CC9"/>
    <w:rsid w:val="00B62EB8"/>
    <w:rsid w:val="00B62ECA"/>
    <w:rsid w:val="00B63243"/>
    <w:rsid w:val="00B64EB6"/>
    <w:rsid w:val="00B67B87"/>
    <w:rsid w:val="00B73E1A"/>
    <w:rsid w:val="00B741FD"/>
    <w:rsid w:val="00B758B8"/>
    <w:rsid w:val="00B7666E"/>
    <w:rsid w:val="00B81B44"/>
    <w:rsid w:val="00B82832"/>
    <w:rsid w:val="00B829C6"/>
    <w:rsid w:val="00B83CF6"/>
    <w:rsid w:val="00B879F0"/>
    <w:rsid w:val="00B9053B"/>
    <w:rsid w:val="00B937A9"/>
    <w:rsid w:val="00B95010"/>
    <w:rsid w:val="00B956A1"/>
    <w:rsid w:val="00B959F6"/>
    <w:rsid w:val="00B95D9C"/>
    <w:rsid w:val="00B9600F"/>
    <w:rsid w:val="00BA09ED"/>
    <w:rsid w:val="00BA0B17"/>
    <w:rsid w:val="00BA14D0"/>
    <w:rsid w:val="00BA2405"/>
    <w:rsid w:val="00BA3107"/>
    <w:rsid w:val="00BA5E2A"/>
    <w:rsid w:val="00BA6129"/>
    <w:rsid w:val="00BA63E1"/>
    <w:rsid w:val="00BA664B"/>
    <w:rsid w:val="00BA7208"/>
    <w:rsid w:val="00BA77FB"/>
    <w:rsid w:val="00BB0142"/>
    <w:rsid w:val="00BB0153"/>
    <w:rsid w:val="00BB2CB9"/>
    <w:rsid w:val="00BB37F8"/>
    <w:rsid w:val="00BB4A15"/>
    <w:rsid w:val="00BB522E"/>
    <w:rsid w:val="00BC003D"/>
    <w:rsid w:val="00BC08E2"/>
    <w:rsid w:val="00BC17AD"/>
    <w:rsid w:val="00BC23B4"/>
    <w:rsid w:val="00BC3422"/>
    <w:rsid w:val="00BC74CD"/>
    <w:rsid w:val="00BD001C"/>
    <w:rsid w:val="00BD0E3F"/>
    <w:rsid w:val="00BD24E7"/>
    <w:rsid w:val="00BD2B94"/>
    <w:rsid w:val="00BD3682"/>
    <w:rsid w:val="00BD49F7"/>
    <w:rsid w:val="00BD57DF"/>
    <w:rsid w:val="00BD5F0F"/>
    <w:rsid w:val="00BE1362"/>
    <w:rsid w:val="00BE18AD"/>
    <w:rsid w:val="00BE2004"/>
    <w:rsid w:val="00BE3B09"/>
    <w:rsid w:val="00BE68BD"/>
    <w:rsid w:val="00BE7989"/>
    <w:rsid w:val="00BE7EBF"/>
    <w:rsid w:val="00BF0266"/>
    <w:rsid w:val="00BF04C2"/>
    <w:rsid w:val="00BF0628"/>
    <w:rsid w:val="00BF412D"/>
    <w:rsid w:val="00BF42AA"/>
    <w:rsid w:val="00BF53D7"/>
    <w:rsid w:val="00BF69F3"/>
    <w:rsid w:val="00BF6C17"/>
    <w:rsid w:val="00BF7702"/>
    <w:rsid w:val="00C0049B"/>
    <w:rsid w:val="00C015B9"/>
    <w:rsid w:val="00C022F9"/>
    <w:rsid w:val="00C0260A"/>
    <w:rsid w:val="00C032EA"/>
    <w:rsid w:val="00C04112"/>
    <w:rsid w:val="00C0430B"/>
    <w:rsid w:val="00C050CC"/>
    <w:rsid w:val="00C06EB5"/>
    <w:rsid w:val="00C10DF0"/>
    <w:rsid w:val="00C1145F"/>
    <w:rsid w:val="00C11620"/>
    <w:rsid w:val="00C14A24"/>
    <w:rsid w:val="00C21A0B"/>
    <w:rsid w:val="00C22531"/>
    <w:rsid w:val="00C2389F"/>
    <w:rsid w:val="00C24581"/>
    <w:rsid w:val="00C24969"/>
    <w:rsid w:val="00C24A9C"/>
    <w:rsid w:val="00C24DA0"/>
    <w:rsid w:val="00C2643F"/>
    <w:rsid w:val="00C33AD1"/>
    <w:rsid w:val="00C34A9C"/>
    <w:rsid w:val="00C3506E"/>
    <w:rsid w:val="00C35845"/>
    <w:rsid w:val="00C3686C"/>
    <w:rsid w:val="00C36FA4"/>
    <w:rsid w:val="00C40FC5"/>
    <w:rsid w:val="00C41E4B"/>
    <w:rsid w:val="00C4269F"/>
    <w:rsid w:val="00C444D9"/>
    <w:rsid w:val="00C45561"/>
    <w:rsid w:val="00C4594E"/>
    <w:rsid w:val="00C45B33"/>
    <w:rsid w:val="00C45E55"/>
    <w:rsid w:val="00C46455"/>
    <w:rsid w:val="00C4700F"/>
    <w:rsid w:val="00C47380"/>
    <w:rsid w:val="00C50524"/>
    <w:rsid w:val="00C5083F"/>
    <w:rsid w:val="00C53BA6"/>
    <w:rsid w:val="00C55194"/>
    <w:rsid w:val="00C554B6"/>
    <w:rsid w:val="00C56F9B"/>
    <w:rsid w:val="00C615DD"/>
    <w:rsid w:val="00C61CA0"/>
    <w:rsid w:val="00C62C06"/>
    <w:rsid w:val="00C637E1"/>
    <w:rsid w:val="00C65206"/>
    <w:rsid w:val="00C65BE7"/>
    <w:rsid w:val="00C7031C"/>
    <w:rsid w:val="00C70D50"/>
    <w:rsid w:val="00C71CC1"/>
    <w:rsid w:val="00C74692"/>
    <w:rsid w:val="00C757B5"/>
    <w:rsid w:val="00C75B40"/>
    <w:rsid w:val="00C76071"/>
    <w:rsid w:val="00C82230"/>
    <w:rsid w:val="00C83743"/>
    <w:rsid w:val="00C84D69"/>
    <w:rsid w:val="00C85E2A"/>
    <w:rsid w:val="00C90293"/>
    <w:rsid w:val="00C907D7"/>
    <w:rsid w:val="00C92338"/>
    <w:rsid w:val="00C96F5F"/>
    <w:rsid w:val="00C97926"/>
    <w:rsid w:val="00CA03A6"/>
    <w:rsid w:val="00CA1267"/>
    <w:rsid w:val="00CA3FD4"/>
    <w:rsid w:val="00CA48C5"/>
    <w:rsid w:val="00CA6049"/>
    <w:rsid w:val="00CA7C3A"/>
    <w:rsid w:val="00CB01C2"/>
    <w:rsid w:val="00CB0777"/>
    <w:rsid w:val="00CB0E7A"/>
    <w:rsid w:val="00CB23CC"/>
    <w:rsid w:val="00CB38E6"/>
    <w:rsid w:val="00CB66E1"/>
    <w:rsid w:val="00CC2DB2"/>
    <w:rsid w:val="00CC5D53"/>
    <w:rsid w:val="00CC5F1C"/>
    <w:rsid w:val="00CC5FC9"/>
    <w:rsid w:val="00CC77E8"/>
    <w:rsid w:val="00CD0307"/>
    <w:rsid w:val="00CD069B"/>
    <w:rsid w:val="00CD0B47"/>
    <w:rsid w:val="00CD1E80"/>
    <w:rsid w:val="00CD280B"/>
    <w:rsid w:val="00CD3526"/>
    <w:rsid w:val="00CD3B07"/>
    <w:rsid w:val="00CD3D1B"/>
    <w:rsid w:val="00CE135A"/>
    <w:rsid w:val="00CE3834"/>
    <w:rsid w:val="00CE3861"/>
    <w:rsid w:val="00CE4C87"/>
    <w:rsid w:val="00CE5B8F"/>
    <w:rsid w:val="00CF127E"/>
    <w:rsid w:val="00CF14D0"/>
    <w:rsid w:val="00CF46D0"/>
    <w:rsid w:val="00CF4AFE"/>
    <w:rsid w:val="00CF7DCA"/>
    <w:rsid w:val="00D00093"/>
    <w:rsid w:val="00D002AE"/>
    <w:rsid w:val="00D0153A"/>
    <w:rsid w:val="00D01A14"/>
    <w:rsid w:val="00D02962"/>
    <w:rsid w:val="00D1055D"/>
    <w:rsid w:val="00D13E9F"/>
    <w:rsid w:val="00D14D2F"/>
    <w:rsid w:val="00D206CE"/>
    <w:rsid w:val="00D20A40"/>
    <w:rsid w:val="00D20F7C"/>
    <w:rsid w:val="00D211E9"/>
    <w:rsid w:val="00D22E7A"/>
    <w:rsid w:val="00D2312F"/>
    <w:rsid w:val="00D269C1"/>
    <w:rsid w:val="00D3027B"/>
    <w:rsid w:val="00D302E8"/>
    <w:rsid w:val="00D30DB3"/>
    <w:rsid w:val="00D30EF3"/>
    <w:rsid w:val="00D328D1"/>
    <w:rsid w:val="00D33668"/>
    <w:rsid w:val="00D36463"/>
    <w:rsid w:val="00D36D94"/>
    <w:rsid w:val="00D40C42"/>
    <w:rsid w:val="00D417CC"/>
    <w:rsid w:val="00D41F35"/>
    <w:rsid w:val="00D43C60"/>
    <w:rsid w:val="00D44953"/>
    <w:rsid w:val="00D44B1E"/>
    <w:rsid w:val="00D45509"/>
    <w:rsid w:val="00D45C31"/>
    <w:rsid w:val="00D4623F"/>
    <w:rsid w:val="00D470CE"/>
    <w:rsid w:val="00D4720C"/>
    <w:rsid w:val="00D539CF"/>
    <w:rsid w:val="00D542F3"/>
    <w:rsid w:val="00D54CE7"/>
    <w:rsid w:val="00D559AA"/>
    <w:rsid w:val="00D55A11"/>
    <w:rsid w:val="00D5644B"/>
    <w:rsid w:val="00D56E25"/>
    <w:rsid w:val="00D570D6"/>
    <w:rsid w:val="00D630A0"/>
    <w:rsid w:val="00D63A6A"/>
    <w:rsid w:val="00D63C58"/>
    <w:rsid w:val="00D6631D"/>
    <w:rsid w:val="00D70446"/>
    <w:rsid w:val="00D717E3"/>
    <w:rsid w:val="00D718D7"/>
    <w:rsid w:val="00D71CBB"/>
    <w:rsid w:val="00D76C23"/>
    <w:rsid w:val="00D76E4D"/>
    <w:rsid w:val="00D7775C"/>
    <w:rsid w:val="00D80D54"/>
    <w:rsid w:val="00D814B7"/>
    <w:rsid w:val="00D84295"/>
    <w:rsid w:val="00D84BCC"/>
    <w:rsid w:val="00D90688"/>
    <w:rsid w:val="00D91282"/>
    <w:rsid w:val="00D9128A"/>
    <w:rsid w:val="00D93838"/>
    <w:rsid w:val="00D94496"/>
    <w:rsid w:val="00D945A3"/>
    <w:rsid w:val="00D96486"/>
    <w:rsid w:val="00DA0F9C"/>
    <w:rsid w:val="00DA1E3D"/>
    <w:rsid w:val="00DA298D"/>
    <w:rsid w:val="00DA310F"/>
    <w:rsid w:val="00DA3AAD"/>
    <w:rsid w:val="00DA3C26"/>
    <w:rsid w:val="00DA46EF"/>
    <w:rsid w:val="00DA4810"/>
    <w:rsid w:val="00DA5BE1"/>
    <w:rsid w:val="00DA6C0F"/>
    <w:rsid w:val="00DA7D31"/>
    <w:rsid w:val="00DB12A3"/>
    <w:rsid w:val="00DB2ED7"/>
    <w:rsid w:val="00DB312B"/>
    <w:rsid w:val="00DB7C7C"/>
    <w:rsid w:val="00DC07AE"/>
    <w:rsid w:val="00DC0EE9"/>
    <w:rsid w:val="00DC11AB"/>
    <w:rsid w:val="00DC2036"/>
    <w:rsid w:val="00DC5654"/>
    <w:rsid w:val="00DC658F"/>
    <w:rsid w:val="00DC77DD"/>
    <w:rsid w:val="00DD0492"/>
    <w:rsid w:val="00DD4350"/>
    <w:rsid w:val="00DD4F35"/>
    <w:rsid w:val="00DE155B"/>
    <w:rsid w:val="00DE3E44"/>
    <w:rsid w:val="00DE4013"/>
    <w:rsid w:val="00DE40D6"/>
    <w:rsid w:val="00DE60CC"/>
    <w:rsid w:val="00DE701C"/>
    <w:rsid w:val="00DE7086"/>
    <w:rsid w:val="00DF1D02"/>
    <w:rsid w:val="00DF4741"/>
    <w:rsid w:val="00DF5159"/>
    <w:rsid w:val="00DF5CDC"/>
    <w:rsid w:val="00DF6166"/>
    <w:rsid w:val="00DF694B"/>
    <w:rsid w:val="00DF7A5F"/>
    <w:rsid w:val="00E00289"/>
    <w:rsid w:val="00E018C9"/>
    <w:rsid w:val="00E047FC"/>
    <w:rsid w:val="00E04AFD"/>
    <w:rsid w:val="00E04E2E"/>
    <w:rsid w:val="00E059C9"/>
    <w:rsid w:val="00E0634B"/>
    <w:rsid w:val="00E108DB"/>
    <w:rsid w:val="00E123AC"/>
    <w:rsid w:val="00E17D08"/>
    <w:rsid w:val="00E20BA7"/>
    <w:rsid w:val="00E21EF3"/>
    <w:rsid w:val="00E24D2F"/>
    <w:rsid w:val="00E24D30"/>
    <w:rsid w:val="00E26B32"/>
    <w:rsid w:val="00E26D3A"/>
    <w:rsid w:val="00E30C66"/>
    <w:rsid w:val="00E32001"/>
    <w:rsid w:val="00E3467B"/>
    <w:rsid w:val="00E34CC8"/>
    <w:rsid w:val="00E35463"/>
    <w:rsid w:val="00E407B6"/>
    <w:rsid w:val="00E41EF1"/>
    <w:rsid w:val="00E42128"/>
    <w:rsid w:val="00E42942"/>
    <w:rsid w:val="00E43DE4"/>
    <w:rsid w:val="00E45662"/>
    <w:rsid w:val="00E468A6"/>
    <w:rsid w:val="00E528A6"/>
    <w:rsid w:val="00E56EB3"/>
    <w:rsid w:val="00E60FDF"/>
    <w:rsid w:val="00E60FF2"/>
    <w:rsid w:val="00E61ED7"/>
    <w:rsid w:val="00E62A16"/>
    <w:rsid w:val="00E62ADF"/>
    <w:rsid w:val="00E64319"/>
    <w:rsid w:val="00E64CF8"/>
    <w:rsid w:val="00E7114E"/>
    <w:rsid w:val="00E71BDF"/>
    <w:rsid w:val="00E75560"/>
    <w:rsid w:val="00E81815"/>
    <w:rsid w:val="00E81BDC"/>
    <w:rsid w:val="00E82B30"/>
    <w:rsid w:val="00E83CA7"/>
    <w:rsid w:val="00E87F1E"/>
    <w:rsid w:val="00E90CCC"/>
    <w:rsid w:val="00E91467"/>
    <w:rsid w:val="00E92985"/>
    <w:rsid w:val="00E93062"/>
    <w:rsid w:val="00E93960"/>
    <w:rsid w:val="00E94324"/>
    <w:rsid w:val="00E94FCA"/>
    <w:rsid w:val="00E95B26"/>
    <w:rsid w:val="00E95BD9"/>
    <w:rsid w:val="00E9714B"/>
    <w:rsid w:val="00E97E85"/>
    <w:rsid w:val="00EA56DF"/>
    <w:rsid w:val="00EA6BBD"/>
    <w:rsid w:val="00EB2D51"/>
    <w:rsid w:val="00EB4020"/>
    <w:rsid w:val="00EB5453"/>
    <w:rsid w:val="00EB60CA"/>
    <w:rsid w:val="00EB6DF4"/>
    <w:rsid w:val="00EB770D"/>
    <w:rsid w:val="00EC13A6"/>
    <w:rsid w:val="00EC171D"/>
    <w:rsid w:val="00EC3508"/>
    <w:rsid w:val="00EC57AA"/>
    <w:rsid w:val="00EC7349"/>
    <w:rsid w:val="00EC7593"/>
    <w:rsid w:val="00ED0DD3"/>
    <w:rsid w:val="00ED487E"/>
    <w:rsid w:val="00ED4AB9"/>
    <w:rsid w:val="00ED5BB6"/>
    <w:rsid w:val="00ED6DF3"/>
    <w:rsid w:val="00ED7D16"/>
    <w:rsid w:val="00EE184D"/>
    <w:rsid w:val="00EE22EB"/>
    <w:rsid w:val="00EE4DDF"/>
    <w:rsid w:val="00EE7A0D"/>
    <w:rsid w:val="00EF0016"/>
    <w:rsid w:val="00EF073A"/>
    <w:rsid w:val="00EF15D6"/>
    <w:rsid w:val="00EF7579"/>
    <w:rsid w:val="00EF79B1"/>
    <w:rsid w:val="00EF7AE7"/>
    <w:rsid w:val="00F00304"/>
    <w:rsid w:val="00F016C6"/>
    <w:rsid w:val="00F023E5"/>
    <w:rsid w:val="00F029C2"/>
    <w:rsid w:val="00F0374B"/>
    <w:rsid w:val="00F04686"/>
    <w:rsid w:val="00F04E0C"/>
    <w:rsid w:val="00F05BC2"/>
    <w:rsid w:val="00F07B1C"/>
    <w:rsid w:val="00F1257E"/>
    <w:rsid w:val="00F15469"/>
    <w:rsid w:val="00F1620B"/>
    <w:rsid w:val="00F1630D"/>
    <w:rsid w:val="00F17CE1"/>
    <w:rsid w:val="00F2115C"/>
    <w:rsid w:val="00F21AE3"/>
    <w:rsid w:val="00F21F37"/>
    <w:rsid w:val="00F22ABA"/>
    <w:rsid w:val="00F22B79"/>
    <w:rsid w:val="00F24364"/>
    <w:rsid w:val="00F25DD9"/>
    <w:rsid w:val="00F30A53"/>
    <w:rsid w:val="00F30ABD"/>
    <w:rsid w:val="00F31533"/>
    <w:rsid w:val="00F335B3"/>
    <w:rsid w:val="00F337FC"/>
    <w:rsid w:val="00F35014"/>
    <w:rsid w:val="00F35F7B"/>
    <w:rsid w:val="00F36B12"/>
    <w:rsid w:val="00F371BB"/>
    <w:rsid w:val="00F41F70"/>
    <w:rsid w:val="00F420DD"/>
    <w:rsid w:val="00F44FCD"/>
    <w:rsid w:val="00F462A9"/>
    <w:rsid w:val="00F50A56"/>
    <w:rsid w:val="00F527EB"/>
    <w:rsid w:val="00F57D07"/>
    <w:rsid w:val="00F60AF5"/>
    <w:rsid w:val="00F60F9F"/>
    <w:rsid w:val="00F6272B"/>
    <w:rsid w:val="00F64F08"/>
    <w:rsid w:val="00F6507B"/>
    <w:rsid w:val="00F66391"/>
    <w:rsid w:val="00F7154F"/>
    <w:rsid w:val="00F71CFC"/>
    <w:rsid w:val="00F734F5"/>
    <w:rsid w:val="00F74EC8"/>
    <w:rsid w:val="00F75FEE"/>
    <w:rsid w:val="00F77888"/>
    <w:rsid w:val="00F77EDF"/>
    <w:rsid w:val="00F80774"/>
    <w:rsid w:val="00F807C0"/>
    <w:rsid w:val="00F8681A"/>
    <w:rsid w:val="00F91E41"/>
    <w:rsid w:val="00F92110"/>
    <w:rsid w:val="00F92B68"/>
    <w:rsid w:val="00F94E40"/>
    <w:rsid w:val="00F95B0A"/>
    <w:rsid w:val="00F966B1"/>
    <w:rsid w:val="00F96941"/>
    <w:rsid w:val="00F96C2A"/>
    <w:rsid w:val="00F9718B"/>
    <w:rsid w:val="00F9790E"/>
    <w:rsid w:val="00F97D48"/>
    <w:rsid w:val="00F97EF9"/>
    <w:rsid w:val="00FA02E0"/>
    <w:rsid w:val="00FA0311"/>
    <w:rsid w:val="00FA2B0F"/>
    <w:rsid w:val="00FA2B51"/>
    <w:rsid w:val="00FA2B5F"/>
    <w:rsid w:val="00FA36FF"/>
    <w:rsid w:val="00FA4FAA"/>
    <w:rsid w:val="00FA6104"/>
    <w:rsid w:val="00FA62A1"/>
    <w:rsid w:val="00FB0008"/>
    <w:rsid w:val="00FB2397"/>
    <w:rsid w:val="00FB47E7"/>
    <w:rsid w:val="00FB6821"/>
    <w:rsid w:val="00FB7089"/>
    <w:rsid w:val="00FB73B4"/>
    <w:rsid w:val="00FC045D"/>
    <w:rsid w:val="00FC1BA3"/>
    <w:rsid w:val="00FC1D24"/>
    <w:rsid w:val="00FC42E5"/>
    <w:rsid w:val="00FC4CF8"/>
    <w:rsid w:val="00FC54E8"/>
    <w:rsid w:val="00FC795D"/>
    <w:rsid w:val="00FD0D96"/>
    <w:rsid w:val="00FD1EAE"/>
    <w:rsid w:val="00FD34E2"/>
    <w:rsid w:val="00FD4EF2"/>
    <w:rsid w:val="00FD640F"/>
    <w:rsid w:val="00FD6B4C"/>
    <w:rsid w:val="00FE0B84"/>
    <w:rsid w:val="00FE1F3B"/>
    <w:rsid w:val="00FE341D"/>
    <w:rsid w:val="00FE4E20"/>
    <w:rsid w:val="00FE55C0"/>
    <w:rsid w:val="00FF159C"/>
    <w:rsid w:val="00FF24EF"/>
    <w:rsid w:val="00FF28E9"/>
    <w:rsid w:val="00FF2F8B"/>
    <w:rsid w:val="00FF367C"/>
    <w:rsid w:val="00FF4E99"/>
    <w:rsid w:val="00FF5BC2"/>
    <w:rsid w:val="00FF76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BC08E2"/>
    <w:pPr>
      <w:spacing w:before="160" w:after="100"/>
    </w:pPr>
    <w:rPr>
      <w:spacing w:val="2"/>
      <w:sz w:val="18"/>
    </w:rPr>
  </w:style>
  <w:style w:type="paragraph" w:styleId="Heading1">
    <w:name w:val="heading 1"/>
    <w:next w:val="Normal"/>
    <w:link w:val="Heading1Char"/>
    <w:qFormat/>
    <w:rsid w:val="00CF46D0"/>
    <w:pPr>
      <w:keepNext/>
      <w:keepLines/>
      <w:spacing w:before="240" w:after="160"/>
      <w:outlineLvl w:val="0"/>
    </w:pPr>
    <w:rPr>
      <w:rFonts w:asciiTheme="majorHAnsi" w:eastAsiaTheme="majorEastAsia" w:hAnsiTheme="majorHAnsi" w:cstheme="majorBidi"/>
      <w:b/>
      <w:bCs/>
      <w:color w:val="201547"/>
      <w:spacing w:val="-1"/>
      <w:sz w:val="28"/>
      <w:szCs w:val="28"/>
    </w:rPr>
  </w:style>
  <w:style w:type="paragraph" w:styleId="Heading2">
    <w:name w:val="heading 2"/>
    <w:basedOn w:val="Normal"/>
    <w:next w:val="Normal"/>
    <w:link w:val="Heading2Char"/>
    <w:qFormat/>
    <w:rsid w:val="00CF46D0"/>
    <w:pPr>
      <w:keepNext/>
      <w:keepLines/>
      <w:spacing w:before="240" w:after="120"/>
      <w:outlineLvl w:val="1"/>
    </w:pPr>
    <w:rPr>
      <w:rFonts w:asciiTheme="majorHAnsi" w:eastAsiaTheme="majorEastAsia" w:hAnsiTheme="majorHAnsi" w:cstheme="majorBidi"/>
      <w:b/>
      <w:bCs/>
      <w:color w:val="0063A6" w:themeColor="accent1"/>
      <w:sz w:val="24"/>
      <w:szCs w:val="24"/>
    </w:rPr>
  </w:style>
  <w:style w:type="paragraph" w:styleId="Heading3">
    <w:name w:val="heading 3"/>
    <w:basedOn w:val="Normal"/>
    <w:next w:val="Normal"/>
    <w:link w:val="Heading3Char"/>
    <w:qFormat/>
    <w:rsid w:val="007D03CC"/>
    <w:pPr>
      <w:keepNext/>
      <w:keepLines/>
      <w:spacing w:before="180" w:after="0"/>
      <w:outlineLvl w:val="2"/>
    </w:pPr>
    <w:rPr>
      <w:rFonts w:asciiTheme="majorHAnsi" w:eastAsiaTheme="majorEastAsia" w:hAnsiTheme="majorHAnsi" w:cstheme="majorBidi"/>
      <w:b/>
      <w:bCs/>
      <w:color w:val="009CDE" w:themeColor="accent5"/>
      <w:sz w:val="21"/>
      <w:szCs w:val="21"/>
    </w:rPr>
  </w:style>
  <w:style w:type="paragraph" w:styleId="Heading4">
    <w:name w:val="heading 4"/>
    <w:basedOn w:val="Normal"/>
    <w:next w:val="Normal"/>
    <w:link w:val="Heading4Char"/>
    <w:qFormat/>
    <w:rsid w:val="00314CE6"/>
    <w:pPr>
      <w:keepNext/>
      <w:keepLines/>
      <w:spacing w:before="200" w:after="0"/>
      <w:outlineLvl w:val="3"/>
    </w:pPr>
    <w:rPr>
      <w:rFonts w:asciiTheme="majorHAnsi" w:eastAsiaTheme="majorEastAsia" w:hAnsiTheme="majorHAnsi" w:cstheme="majorBidi"/>
      <w:b/>
      <w:bCs/>
      <w:iCs/>
      <w:color w:val="53565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CF46D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CF46D0"/>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CF46D0"/>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CF46D0"/>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CF46D0"/>
    <w:pPr>
      <w:tabs>
        <w:tab w:val="right" w:leader="dot" w:pos="2520"/>
      </w:tabs>
      <w:spacing w:before="0" w:after="0"/>
      <w:ind w:right="432"/>
    </w:pPr>
    <w:rPr>
      <w:sz w:val="16"/>
      <w:szCs w:val="24"/>
    </w:rPr>
  </w:style>
  <w:style w:type="paragraph" w:styleId="TOC2">
    <w:name w:val="toc 2"/>
    <w:next w:val="Normal"/>
    <w:uiPriority w:val="39"/>
    <w:rsid w:val="00CF46D0"/>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CF46D0"/>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CF46D0"/>
    <w:pPr>
      <w:spacing w:after="60" w:line="240" w:lineRule="auto"/>
    </w:pPr>
    <w:rPr>
      <w:sz w:val="16"/>
    </w:rPr>
  </w:style>
  <w:style w:type="paragraph" w:styleId="Index2">
    <w:name w:val="index 2"/>
    <w:basedOn w:val="Normal"/>
    <w:next w:val="Normal"/>
    <w:uiPriority w:val="99"/>
    <w:semiHidden/>
    <w:rsid w:val="00CF46D0"/>
    <w:pPr>
      <w:spacing w:after="0" w:line="240" w:lineRule="auto"/>
      <w:ind w:left="216"/>
    </w:pPr>
    <w:rPr>
      <w:sz w:val="16"/>
      <w:szCs w:val="16"/>
    </w:rPr>
  </w:style>
  <w:style w:type="character" w:styleId="Hyperlink">
    <w:name w:val="Hyperlink"/>
    <w:basedOn w:val="DefaultParagraphFont"/>
    <w:uiPriority w:val="99"/>
    <w:rsid w:val="00CF46D0"/>
    <w:rPr>
      <w:color w:val="53565A" w:themeColor="hyperlink"/>
      <w:u w:val="none"/>
    </w:rPr>
  </w:style>
  <w:style w:type="character" w:customStyle="1" w:styleId="Heading1Char">
    <w:name w:val="Heading 1 Char"/>
    <w:basedOn w:val="DefaultParagraphFont"/>
    <w:link w:val="Heading1"/>
    <w:rsid w:val="00CF46D0"/>
    <w:rPr>
      <w:rFonts w:asciiTheme="majorHAnsi" w:eastAsiaTheme="majorEastAsia" w:hAnsiTheme="majorHAnsi" w:cstheme="majorBidi"/>
      <w:b/>
      <w:bCs/>
      <w:color w:val="201547"/>
      <w:spacing w:val="-1"/>
      <w:sz w:val="28"/>
      <w:szCs w:val="28"/>
    </w:rPr>
  </w:style>
  <w:style w:type="character" w:customStyle="1" w:styleId="Heading2Char">
    <w:name w:val="Heading 2 Char"/>
    <w:basedOn w:val="DefaultParagraphFont"/>
    <w:link w:val="Heading2"/>
    <w:rsid w:val="00CF46D0"/>
    <w:rPr>
      <w:rFonts w:asciiTheme="majorHAnsi" w:eastAsiaTheme="majorEastAsia" w:hAnsiTheme="majorHAnsi" w:cstheme="majorBidi"/>
      <w:b/>
      <w:bCs/>
      <w:color w:val="0063A6" w:themeColor="accent1"/>
      <w:spacing w:val="2"/>
      <w:sz w:val="24"/>
      <w:szCs w:val="24"/>
    </w:rPr>
  </w:style>
  <w:style w:type="paragraph" w:customStyle="1" w:styleId="Bullet1">
    <w:name w:val="Bullet 1"/>
    <w:uiPriority w:val="11"/>
    <w:qFormat/>
    <w:rsid w:val="003053A2"/>
    <w:pPr>
      <w:numPr>
        <w:numId w:val="1"/>
      </w:numPr>
      <w:spacing w:before="100" w:after="100" w:line="240" w:lineRule="auto"/>
      <w:contextualSpacing/>
    </w:pPr>
    <w:rPr>
      <w:rFonts w:eastAsia="Times New Roman" w:cs="Calibri"/>
      <w:spacing w:val="2"/>
      <w:sz w:val="18"/>
    </w:rPr>
  </w:style>
  <w:style w:type="paragraph" w:customStyle="1" w:styleId="Bullet2">
    <w:name w:val="Bullet 2"/>
    <w:basedOn w:val="Bullet1"/>
    <w:uiPriority w:val="11"/>
    <w:qFormat/>
    <w:rsid w:val="0024195A"/>
    <w:pPr>
      <w:numPr>
        <w:ilvl w:val="1"/>
      </w:numPr>
    </w:pPr>
  </w:style>
  <w:style w:type="paragraph" w:customStyle="1" w:styleId="Bulletindent">
    <w:name w:val="Bullet indent"/>
    <w:basedOn w:val="Bullet2"/>
    <w:uiPriority w:val="9"/>
    <w:qFormat/>
    <w:rsid w:val="00CF46D0"/>
    <w:pPr>
      <w:numPr>
        <w:ilvl w:val="2"/>
      </w:numPr>
    </w:pPr>
  </w:style>
  <w:style w:type="paragraph" w:customStyle="1" w:styleId="Heading1numbered">
    <w:name w:val="Heading 1 numbered"/>
    <w:basedOn w:val="Heading1"/>
    <w:next w:val="NormalIndent"/>
    <w:uiPriority w:val="4"/>
    <w:semiHidden/>
    <w:qFormat/>
    <w:rsid w:val="00CF46D0"/>
    <w:pPr>
      <w:numPr>
        <w:ilvl w:val="2"/>
        <w:numId w:val="2"/>
      </w:numPr>
    </w:pPr>
  </w:style>
  <w:style w:type="paragraph" w:customStyle="1" w:styleId="Heading2numbered">
    <w:name w:val="Heading 2 numbered"/>
    <w:basedOn w:val="Heading2"/>
    <w:next w:val="NormalIndent"/>
    <w:uiPriority w:val="4"/>
    <w:semiHidden/>
    <w:qFormat/>
    <w:rsid w:val="00CF46D0"/>
    <w:pPr>
      <w:numPr>
        <w:ilvl w:val="3"/>
        <w:numId w:val="2"/>
      </w:numPr>
    </w:pPr>
  </w:style>
  <w:style w:type="paragraph" w:customStyle="1" w:styleId="Heading3numbered">
    <w:name w:val="Heading 3 numbered"/>
    <w:basedOn w:val="Heading3"/>
    <w:next w:val="NormalIndent"/>
    <w:uiPriority w:val="4"/>
    <w:semiHidden/>
    <w:qFormat/>
    <w:rsid w:val="00CF46D0"/>
    <w:pPr>
      <w:numPr>
        <w:ilvl w:val="4"/>
        <w:numId w:val="2"/>
      </w:numPr>
    </w:pPr>
  </w:style>
  <w:style w:type="character" w:customStyle="1" w:styleId="Heading3Char">
    <w:name w:val="Heading 3 Char"/>
    <w:basedOn w:val="DefaultParagraphFont"/>
    <w:link w:val="Heading3"/>
    <w:rsid w:val="007D03CC"/>
    <w:rPr>
      <w:rFonts w:asciiTheme="majorHAnsi" w:eastAsiaTheme="majorEastAsia" w:hAnsiTheme="majorHAnsi" w:cstheme="majorBidi"/>
      <w:b/>
      <w:bCs/>
      <w:color w:val="009CDE" w:themeColor="accent5"/>
      <w:spacing w:val="2"/>
      <w:sz w:val="21"/>
      <w:szCs w:val="21"/>
    </w:rPr>
  </w:style>
  <w:style w:type="paragraph" w:customStyle="1" w:styleId="Heading4numbered">
    <w:name w:val="Heading 4 numbered"/>
    <w:basedOn w:val="Heading4"/>
    <w:next w:val="NormalIndent"/>
    <w:uiPriority w:val="4"/>
    <w:semiHidden/>
    <w:qFormat/>
    <w:rsid w:val="00CF46D0"/>
    <w:pPr>
      <w:numPr>
        <w:ilvl w:val="5"/>
        <w:numId w:val="2"/>
      </w:numPr>
    </w:pPr>
  </w:style>
  <w:style w:type="character" w:customStyle="1" w:styleId="Heading4Char">
    <w:name w:val="Heading 4 Char"/>
    <w:basedOn w:val="DefaultParagraphFont"/>
    <w:link w:val="Heading4"/>
    <w:rsid w:val="00314CE6"/>
    <w:rPr>
      <w:rFonts w:asciiTheme="majorHAnsi" w:eastAsiaTheme="majorEastAsia" w:hAnsiTheme="majorHAnsi" w:cstheme="majorBidi"/>
      <w:b/>
      <w:bCs/>
      <w:iCs/>
      <w:color w:val="53565A"/>
      <w:spacing w:val="2"/>
      <w:sz w:val="19"/>
    </w:rPr>
  </w:style>
  <w:style w:type="paragraph" w:styleId="NormalIndent">
    <w:name w:val="Normal Indent"/>
    <w:basedOn w:val="Normal"/>
    <w:uiPriority w:val="4"/>
    <w:qFormat/>
    <w:rsid w:val="007D03CC"/>
    <w:pPr>
      <w:spacing w:line="252" w:lineRule="auto"/>
      <w:ind w:left="504"/>
    </w:pPr>
  </w:style>
  <w:style w:type="paragraph" w:customStyle="1" w:styleId="NoteNormal">
    <w:name w:val="Note Normal"/>
    <w:basedOn w:val="Normal"/>
    <w:uiPriority w:val="11"/>
    <w:rsid w:val="00CF46D0"/>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CF46D0"/>
    <w:pPr>
      <w:spacing w:before="0" w:after="0" w:line="120" w:lineRule="atLeast"/>
    </w:pPr>
    <w:rPr>
      <w:rFonts w:eastAsia="Times New Roman" w:cs="Calibri"/>
      <w:spacing w:val="0"/>
      <w:sz w:val="10"/>
      <w:szCs w:val="22"/>
    </w:rPr>
  </w:style>
  <w:style w:type="paragraph" w:styleId="Subtitle">
    <w:name w:val="Subtitle"/>
    <w:link w:val="SubtitleChar"/>
    <w:uiPriority w:val="99"/>
    <w:rsid w:val="00CF46D0"/>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CF46D0"/>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CF46D0"/>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CF46D0"/>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rsid w:val="00CF46D0"/>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CF4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6D0"/>
    <w:rPr>
      <w:rFonts w:ascii="Tahoma" w:hAnsi="Tahoma" w:cs="Tahoma"/>
      <w:spacing w:val="2"/>
      <w:sz w:val="16"/>
      <w:szCs w:val="16"/>
    </w:rPr>
  </w:style>
  <w:style w:type="paragraph" w:customStyle="1" w:styleId="Bulletindent2">
    <w:name w:val="Bullet indent 2"/>
    <w:basedOn w:val="Normal"/>
    <w:uiPriority w:val="9"/>
    <w:qFormat/>
    <w:rsid w:val="00CF46D0"/>
    <w:pPr>
      <w:numPr>
        <w:ilvl w:val="3"/>
        <w:numId w:val="1"/>
      </w:numPr>
      <w:spacing w:before="100"/>
      <w:contextualSpacing/>
    </w:pPr>
  </w:style>
  <w:style w:type="paragraph" w:styleId="IndexHeading">
    <w:name w:val="index heading"/>
    <w:basedOn w:val="Normal"/>
    <w:next w:val="Index1"/>
    <w:uiPriority w:val="99"/>
    <w:semiHidden/>
    <w:rsid w:val="00CF46D0"/>
    <w:rPr>
      <w:rFonts w:asciiTheme="majorHAnsi" w:eastAsiaTheme="majorEastAsia" w:hAnsiTheme="majorHAnsi" w:cstheme="majorBidi"/>
      <w:b/>
      <w:bCs/>
    </w:rPr>
  </w:style>
  <w:style w:type="paragraph" w:styleId="Header">
    <w:name w:val="header"/>
    <w:basedOn w:val="Normal"/>
    <w:link w:val="HeaderChar"/>
    <w:uiPriority w:val="99"/>
    <w:semiHidden/>
    <w:rsid w:val="00CF46D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46D0"/>
    <w:rPr>
      <w:spacing w:val="2"/>
      <w:sz w:val="18"/>
    </w:rPr>
  </w:style>
  <w:style w:type="paragraph" w:styleId="Footer">
    <w:name w:val="footer"/>
    <w:basedOn w:val="Normal"/>
    <w:link w:val="FooterChar"/>
    <w:uiPriority w:val="24"/>
    <w:semiHidden/>
    <w:rsid w:val="00CF46D0"/>
    <w:pPr>
      <w:tabs>
        <w:tab w:val="right" w:pos="9026"/>
      </w:tabs>
      <w:spacing w:after="0" w:line="240" w:lineRule="auto"/>
    </w:pPr>
    <w:rPr>
      <w:noProof/>
      <w:szCs w:val="18"/>
    </w:rPr>
  </w:style>
  <w:style w:type="character" w:customStyle="1" w:styleId="FooterChar">
    <w:name w:val="Footer Char"/>
    <w:basedOn w:val="DefaultParagraphFont"/>
    <w:link w:val="Footer"/>
    <w:uiPriority w:val="24"/>
    <w:semiHidden/>
    <w:rsid w:val="00CF46D0"/>
    <w:rPr>
      <w:noProof/>
      <w:spacing w:val="2"/>
      <w:sz w:val="18"/>
      <w:szCs w:val="18"/>
    </w:rPr>
  </w:style>
  <w:style w:type="character" w:styleId="PageNumber">
    <w:name w:val="page number"/>
    <w:uiPriority w:val="49"/>
    <w:semiHidden/>
    <w:rsid w:val="00CF46D0"/>
  </w:style>
  <w:style w:type="paragraph" w:styleId="TOCHeading">
    <w:name w:val="TOC Heading"/>
    <w:basedOn w:val="Heading1"/>
    <w:next w:val="Normal"/>
    <w:uiPriority w:val="39"/>
    <w:rsid w:val="00CF46D0"/>
    <w:pPr>
      <w:spacing w:before="480" w:after="720"/>
      <w:outlineLvl w:val="9"/>
    </w:pPr>
    <w:rPr>
      <w:spacing w:val="2"/>
    </w:rPr>
  </w:style>
  <w:style w:type="paragraph" w:customStyle="1" w:styleId="NormalTight">
    <w:name w:val="Normal Tight"/>
    <w:uiPriority w:val="99"/>
    <w:semiHidden/>
    <w:rsid w:val="00CF46D0"/>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CF46D0"/>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CF46D0"/>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CF46D0"/>
    <w:pPr>
      <w:spacing w:before="5800"/>
      <w:ind w:right="1382"/>
    </w:pPr>
  </w:style>
  <w:style w:type="paragraph" w:styleId="TOC4">
    <w:name w:val="toc 4"/>
    <w:basedOn w:val="TOC1"/>
    <w:next w:val="Normal"/>
    <w:uiPriority w:val="39"/>
    <w:semiHidden/>
    <w:rsid w:val="00CF46D0"/>
    <w:pPr>
      <w:ind w:left="450" w:hanging="450"/>
    </w:pPr>
    <w:rPr>
      <w:noProof/>
      <w:lang w:eastAsia="en-US"/>
    </w:rPr>
  </w:style>
  <w:style w:type="paragraph" w:styleId="TOC5">
    <w:name w:val="toc 5"/>
    <w:basedOn w:val="TOC2"/>
    <w:next w:val="Normal"/>
    <w:uiPriority w:val="39"/>
    <w:semiHidden/>
    <w:rsid w:val="00CF46D0"/>
    <w:pPr>
      <w:ind w:left="1080" w:hanging="634"/>
    </w:pPr>
    <w:rPr>
      <w:lang w:eastAsia="en-US"/>
    </w:rPr>
  </w:style>
  <w:style w:type="paragraph" w:styleId="TOC6">
    <w:name w:val="toc 6"/>
    <w:basedOn w:val="TOC3"/>
    <w:next w:val="Normal"/>
    <w:uiPriority w:val="39"/>
    <w:semiHidden/>
    <w:rsid w:val="00CF46D0"/>
    <w:pPr>
      <w:ind w:left="1800" w:hanging="720"/>
    </w:pPr>
    <w:rPr>
      <w:lang w:eastAsia="en-US"/>
    </w:rPr>
  </w:style>
  <w:style w:type="table" w:customStyle="1" w:styleId="DTFtexttable">
    <w:name w:val="DTF text table"/>
    <w:basedOn w:val="TableGrid"/>
    <w:uiPriority w:val="99"/>
    <w:rsid w:val="00CF46D0"/>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CF46D0"/>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6"/>
    <w:qFormat/>
    <w:rsid w:val="00CF46D0"/>
    <w:pPr>
      <w:spacing w:before="60" w:after="60" w:line="264" w:lineRule="auto"/>
    </w:pPr>
    <w:rPr>
      <w:sz w:val="17"/>
    </w:rPr>
  </w:style>
  <w:style w:type="paragraph" w:customStyle="1" w:styleId="Tabletextright">
    <w:name w:val="Table text right"/>
    <w:basedOn w:val="Tabletext"/>
    <w:uiPriority w:val="6"/>
    <w:qFormat/>
    <w:rsid w:val="00CF46D0"/>
    <w:pPr>
      <w:jc w:val="right"/>
    </w:pPr>
  </w:style>
  <w:style w:type="paragraph" w:customStyle="1" w:styleId="Listnumindent2">
    <w:name w:val="List num indent 2"/>
    <w:basedOn w:val="Normal"/>
    <w:uiPriority w:val="5"/>
    <w:semiHidden/>
    <w:qFormat/>
    <w:rsid w:val="00CF46D0"/>
    <w:pPr>
      <w:numPr>
        <w:ilvl w:val="7"/>
        <w:numId w:val="2"/>
      </w:numPr>
      <w:spacing w:before="100"/>
      <w:contextualSpacing/>
    </w:pPr>
  </w:style>
  <w:style w:type="paragraph" w:customStyle="1" w:styleId="Listnumindent">
    <w:name w:val="List num indent"/>
    <w:basedOn w:val="Normal"/>
    <w:uiPriority w:val="5"/>
    <w:semiHidden/>
    <w:qFormat/>
    <w:rsid w:val="00CF46D0"/>
    <w:pPr>
      <w:numPr>
        <w:ilvl w:val="6"/>
        <w:numId w:val="2"/>
      </w:numPr>
      <w:spacing w:before="100"/>
    </w:pPr>
  </w:style>
  <w:style w:type="paragraph" w:customStyle="1" w:styleId="Listnum">
    <w:name w:val="List num"/>
    <w:basedOn w:val="Normal"/>
    <w:uiPriority w:val="1"/>
    <w:qFormat/>
    <w:rsid w:val="00CF46D0"/>
    <w:pPr>
      <w:numPr>
        <w:numId w:val="2"/>
      </w:numPr>
    </w:pPr>
  </w:style>
  <w:style w:type="paragraph" w:customStyle="1" w:styleId="Listnum2">
    <w:name w:val="List num 2"/>
    <w:basedOn w:val="Normal"/>
    <w:uiPriority w:val="1"/>
    <w:qFormat/>
    <w:rsid w:val="00CF46D0"/>
    <w:pPr>
      <w:numPr>
        <w:ilvl w:val="1"/>
        <w:numId w:val="2"/>
      </w:numPr>
    </w:pPr>
  </w:style>
  <w:style w:type="paragraph" w:customStyle="1" w:styleId="Tabletextcentred">
    <w:name w:val="Table text centred"/>
    <w:basedOn w:val="Tabletext"/>
    <w:uiPriority w:val="6"/>
    <w:qFormat/>
    <w:rsid w:val="00CF46D0"/>
    <w:pPr>
      <w:jc w:val="center"/>
    </w:pPr>
  </w:style>
  <w:style w:type="paragraph" w:customStyle="1" w:styleId="Tableheader">
    <w:name w:val="Table header"/>
    <w:basedOn w:val="Tabletext"/>
    <w:uiPriority w:val="6"/>
    <w:qFormat/>
    <w:rsid w:val="00E018C9"/>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7"/>
    <w:rsid w:val="00CF46D0"/>
    <w:pPr>
      <w:numPr>
        <w:numId w:val="3"/>
      </w:numPr>
    </w:pPr>
  </w:style>
  <w:style w:type="paragraph" w:customStyle="1" w:styleId="Tabledash">
    <w:name w:val="Table dash"/>
    <w:basedOn w:val="Tablebullet"/>
    <w:uiPriority w:val="7"/>
    <w:rsid w:val="00CF46D0"/>
    <w:pPr>
      <w:numPr>
        <w:ilvl w:val="1"/>
      </w:numPr>
    </w:pPr>
  </w:style>
  <w:style w:type="paragraph" w:customStyle="1" w:styleId="Tabletextindent">
    <w:name w:val="Table text indent"/>
    <w:basedOn w:val="Tabletext"/>
    <w:uiPriority w:val="6"/>
    <w:qFormat/>
    <w:rsid w:val="00CF46D0"/>
    <w:pPr>
      <w:ind w:left="288"/>
    </w:pPr>
  </w:style>
  <w:style w:type="paragraph" w:customStyle="1" w:styleId="Disclaimertext">
    <w:name w:val="Disclaimer text"/>
    <w:basedOn w:val="Normal"/>
    <w:uiPriority w:val="12"/>
    <w:qFormat/>
    <w:rsid w:val="00CF46D0"/>
    <w:pPr>
      <w:pBdr>
        <w:top w:val="single" w:sz="6" w:space="3" w:color="0063A6" w:themeColor="accent1"/>
        <w:bottom w:val="single" w:sz="6" w:space="3" w:color="0063A6" w:themeColor="accent1"/>
      </w:pBdr>
    </w:pPr>
    <w:rPr>
      <w:color w:val="0063A6" w:themeColor="accent1"/>
    </w:rPr>
  </w:style>
  <w:style w:type="paragraph" w:customStyle="1" w:styleId="BreakoutList1">
    <w:name w:val="Breakout List 1"/>
    <w:basedOn w:val="Normal"/>
    <w:semiHidden/>
    <w:rsid w:val="00CB23CC"/>
    <w:pPr>
      <w:numPr>
        <w:numId w:val="4"/>
      </w:numPr>
      <w:spacing w:before="100" w:line="252" w:lineRule="auto"/>
    </w:pPr>
    <w:rPr>
      <w:rFonts w:ascii="Calibri" w:eastAsia="Times New Roman" w:hAnsi="Calibri" w:cs="Calibri"/>
      <w:spacing w:val="4"/>
      <w:sz w:val="20"/>
      <w:szCs w:val="22"/>
    </w:rPr>
  </w:style>
  <w:style w:type="paragraph" w:customStyle="1" w:styleId="BreakoutList2">
    <w:name w:val="Breakout List 2"/>
    <w:basedOn w:val="BreakoutList1"/>
    <w:semiHidden/>
    <w:rsid w:val="00CB23CC"/>
    <w:pPr>
      <w:numPr>
        <w:ilvl w:val="1"/>
      </w:numPr>
    </w:pPr>
  </w:style>
  <w:style w:type="paragraph" w:customStyle="1" w:styleId="NewsletterNormal">
    <w:name w:val="Newsletter Normal"/>
    <w:basedOn w:val="Normal"/>
    <w:link w:val="NewsletterNormalChar"/>
    <w:qFormat/>
    <w:rsid w:val="009567FE"/>
    <w:pPr>
      <w:spacing w:before="100" w:after="60" w:line="252" w:lineRule="auto"/>
    </w:pPr>
    <w:rPr>
      <w:rFonts w:ascii="Arial" w:hAnsi="Arial"/>
      <w:spacing w:val="4"/>
      <w:sz w:val="20"/>
      <w:szCs w:val="22"/>
    </w:rPr>
  </w:style>
  <w:style w:type="paragraph" w:customStyle="1" w:styleId="TableHeading">
    <w:name w:val="Table Heading"/>
    <w:basedOn w:val="Normal"/>
    <w:qFormat/>
    <w:rsid w:val="00CB23CC"/>
    <w:pPr>
      <w:spacing w:before="60" w:after="60" w:line="230" w:lineRule="atLeast"/>
    </w:pPr>
    <w:rPr>
      <w:rFonts w:ascii="Arial" w:eastAsia="Times New Roman" w:hAnsi="Arial" w:cs="Calibri"/>
      <w:b/>
      <w:spacing w:val="4"/>
      <w:sz w:val="16"/>
    </w:rPr>
  </w:style>
  <w:style w:type="character" w:customStyle="1" w:styleId="NewsletterNormalChar">
    <w:name w:val="Newsletter Normal Char"/>
    <w:basedOn w:val="DefaultParagraphFont"/>
    <w:link w:val="NewsletterNormal"/>
    <w:rsid w:val="009567FE"/>
    <w:rPr>
      <w:rFonts w:ascii="Arial" w:hAnsi="Arial"/>
      <w:spacing w:val="4"/>
      <w:szCs w:val="22"/>
    </w:rPr>
  </w:style>
  <w:style w:type="paragraph" w:customStyle="1" w:styleId="NewsletterNote">
    <w:name w:val="Newsletter Note"/>
    <w:basedOn w:val="Normal"/>
    <w:rsid w:val="00001008"/>
    <w:pPr>
      <w:keepNext/>
      <w:keepLines/>
      <w:spacing w:before="100" w:after="0" w:line="252" w:lineRule="auto"/>
      <w:contextualSpacing/>
    </w:pPr>
    <w:rPr>
      <w:rFonts w:ascii="Arial" w:eastAsia="Times New Roman" w:hAnsi="Arial" w:cs="Calibri"/>
      <w:color w:val="000000"/>
      <w:spacing w:val="4"/>
      <w:sz w:val="16"/>
      <w:szCs w:val="22"/>
      <w:lang w:eastAsia="en-US"/>
    </w:rPr>
  </w:style>
  <w:style w:type="character" w:styleId="CommentReference">
    <w:name w:val="annotation reference"/>
    <w:basedOn w:val="DefaultParagraphFont"/>
    <w:uiPriority w:val="99"/>
    <w:semiHidden/>
    <w:rsid w:val="00DB7C7C"/>
    <w:rPr>
      <w:sz w:val="16"/>
      <w:szCs w:val="16"/>
    </w:rPr>
  </w:style>
  <w:style w:type="paragraph" w:styleId="CommentText">
    <w:name w:val="annotation text"/>
    <w:basedOn w:val="Normal"/>
    <w:link w:val="CommentTextChar"/>
    <w:uiPriority w:val="99"/>
    <w:semiHidden/>
    <w:rsid w:val="00DB7C7C"/>
    <w:pPr>
      <w:spacing w:line="240" w:lineRule="auto"/>
    </w:pPr>
    <w:rPr>
      <w:sz w:val="20"/>
    </w:rPr>
  </w:style>
  <w:style w:type="character" w:customStyle="1" w:styleId="CommentTextChar">
    <w:name w:val="Comment Text Char"/>
    <w:basedOn w:val="DefaultParagraphFont"/>
    <w:link w:val="CommentText"/>
    <w:uiPriority w:val="99"/>
    <w:semiHidden/>
    <w:rsid w:val="00DB7C7C"/>
    <w:rPr>
      <w:spacing w:val="2"/>
    </w:rPr>
  </w:style>
  <w:style w:type="paragraph" w:styleId="CommentSubject">
    <w:name w:val="annotation subject"/>
    <w:basedOn w:val="CommentText"/>
    <w:next w:val="CommentText"/>
    <w:link w:val="CommentSubjectChar"/>
    <w:uiPriority w:val="99"/>
    <w:semiHidden/>
    <w:rsid w:val="00DB7C7C"/>
    <w:rPr>
      <w:b/>
      <w:bCs/>
    </w:rPr>
  </w:style>
  <w:style w:type="character" w:customStyle="1" w:styleId="CommentSubjectChar">
    <w:name w:val="Comment Subject Char"/>
    <w:basedOn w:val="CommentTextChar"/>
    <w:link w:val="CommentSubject"/>
    <w:uiPriority w:val="99"/>
    <w:semiHidden/>
    <w:rsid w:val="00DB7C7C"/>
    <w:rPr>
      <w:b/>
      <w:bCs/>
      <w:spacing w:val="2"/>
    </w:rPr>
  </w:style>
  <w:style w:type="paragraph" w:styleId="Revision">
    <w:name w:val="Revision"/>
    <w:hidden/>
    <w:uiPriority w:val="99"/>
    <w:semiHidden/>
    <w:rsid w:val="00DB7C7C"/>
    <w:pPr>
      <w:spacing w:after="0" w:line="240" w:lineRule="auto"/>
    </w:pPr>
    <w:rPr>
      <w:spacing w:val="2"/>
      <w:sz w:val="18"/>
    </w:rPr>
  </w:style>
  <w:style w:type="paragraph" w:styleId="ListParagraph">
    <w:name w:val="List Paragraph"/>
    <w:basedOn w:val="Normal"/>
    <w:uiPriority w:val="34"/>
    <w:qFormat/>
    <w:rsid w:val="005E6FC1"/>
    <w:pPr>
      <w:ind w:left="720"/>
      <w:contextualSpacing/>
    </w:pPr>
  </w:style>
  <w:style w:type="paragraph" w:customStyle="1" w:styleId="Bullet1grey">
    <w:name w:val="Bullet 1 grey"/>
    <w:basedOn w:val="Bullet1"/>
    <w:uiPriority w:val="1"/>
    <w:qFormat/>
    <w:rsid w:val="003912D2"/>
    <w:pPr>
      <w:tabs>
        <w:tab w:val="left" w:pos="360"/>
      </w:tabs>
      <w:spacing w:before="60" w:after="40"/>
      <w:contextualSpacing w:val="0"/>
    </w:pPr>
    <w:rPr>
      <w:rFonts w:ascii="Calibri" w:eastAsia="Calibri" w:hAnsi="Calibri" w:cs="Times New Roman"/>
      <w:color w:val="6E6E64"/>
      <w:spacing w:val="0"/>
      <w:sz w:val="22"/>
      <w:szCs w:val="22"/>
      <w:lang w:eastAsia="en-US"/>
    </w:rPr>
  </w:style>
  <w:style w:type="paragraph" w:styleId="NormalWeb">
    <w:name w:val="Normal (Web)"/>
    <w:basedOn w:val="Normal"/>
    <w:uiPriority w:val="99"/>
    <w:semiHidden/>
    <w:unhideWhenUsed/>
    <w:rsid w:val="008E5364"/>
    <w:pPr>
      <w:spacing w:before="100" w:beforeAutospacing="1" w:afterAutospacing="1" w:line="240" w:lineRule="auto"/>
    </w:pPr>
    <w:rPr>
      <w:rFonts w:ascii="Times New Roman" w:eastAsia="Times New Roman" w:hAnsi="Times New Roman" w:cs="Times New Roman"/>
      <w:spacing w:val="0"/>
      <w:sz w:val="24"/>
      <w:szCs w:val="24"/>
    </w:rPr>
  </w:style>
  <w:style w:type="character" w:styleId="FollowedHyperlink">
    <w:name w:val="FollowedHyperlink"/>
    <w:basedOn w:val="DefaultParagraphFont"/>
    <w:uiPriority w:val="99"/>
    <w:semiHidden/>
    <w:rsid w:val="004F7313"/>
    <w:rPr>
      <w:color w:val="8A2A2B" w:themeColor="followedHyperlink"/>
      <w:u w:val="single"/>
    </w:rPr>
  </w:style>
  <w:style w:type="character" w:customStyle="1" w:styleId="paragraphnormalChar1">
    <w:name w:val="paragraph normal Char1"/>
    <w:basedOn w:val="DefaultParagraphFont"/>
    <w:link w:val="paragraphnormal"/>
    <w:rsid w:val="004F5DA0"/>
    <w:rPr>
      <w:rFonts w:ascii="Calibri" w:hAnsi="Calibri"/>
    </w:rPr>
  </w:style>
  <w:style w:type="paragraph" w:customStyle="1" w:styleId="paragraphnormal">
    <w:name w:val="paragraph normal"/>
    <w:basedOn w:val="Normal"/>
    <w:link w:val="paragraphnormalChar1"/>
    <w:rsid w:val="004F5DA0"/>
    <w:pPr>
      <w:spacing w:before="60" w:after="60" w:line="264" w:lineRule="auto"/>
    </w:pPr>
    <w:rPr>
      <w:rFonts w:ascii="Calibri" w:hAnsi="Calibri"/>
      <w:spacing w:val="0"/>
      <w:sz w:val="20"/>
    </w:rPr>
  </w:style>
  <w:style w:type="character" w:customStyle="1" w:styleId="tabletextChar">
    <w:name w:val="table text Char"/>
    <w:basedOn w:val="DefaultParagraphFont"/>
    <w:link w:val="tabletext0"/>
    <w:uiPriority w:val="24"/>
    <w:rsid w:val="004F5DA0"/>
    <w:rPr>
      <w:rFonts w:ascii="Calibri" w:hAnsi="Calibri"/>
    </w:rPr>
  </w:style>
  <w:style w:type="paragraph" w:customStyle="1" w:styleId="tabletext0">
    <w:name w:val="table text"/>
    <w:basedOn w:val="Normal"/>
    <w:link w:val="tabletextChar"/>
    <w:uiPriority w:val="24"/>
    <w:rsid w:val="004F5DA0"/>
    <w:pPr>
      <w:spacing w:before="60" w:after="60" w:line="240" w:lineRule="auto"/>
    </w:pPr>
    <w:rPr>
      <w:rFonts w:ascii="Calibri" w:hAnsi="Calibri"/>
      <w:spacing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BC08E2"/>
    <w:pPr>
      <w:spacing w:before="160" w:after="100"/>
    </w:pPr>
    <w:rPr>
      <w:spacing w:val="2"/>
      <w:sz w:val="18"/>
    </w:rPr>
  </w:style>
  <w:style w:type="paragraph" w:styleId="Heading1">
    <w:name w:val="heading 1"/>
    <w:next w:val="Normal"/>
    <w:link w:val="Heading1Char"/>
    <w:qFormat/>
    <w:rsid w:val="00CF46D0"/>
    <w:pPr>
      <w:keepNext/>
      <w:keepLines/>
      <w:spacing w:before="240" w:after="160"/>
      <w:outlineLvl w:val="0"/>
    </w:pPr>
    <w:rPr>
      <w:rFonts w:asciiTheme="majorHAnsi" w:eastAsiaTheme="majorEastAsia" w:hAnsiTheme="majorHAnsi" w:cstheme="majorBidi"/>
      <w:b/>
      <w:bCs/>
      <w:color w:val="201547"/>
      <w:spacing w:val="-1"/>
      <w:sz w:val="28"/>
      <w:szCs w:val="28"/>
    </w:rPr>
  </w:style>
  <w:style w:type="paragraph" w:styleId="Heading2">
    <w:name w:val="heading 2"/>
    <w:basedOn w:val="Normal"/>
    <w:next w:val="Normal"/>
    <w:link w:val="Heading2Char"/>
    <w:qFormat/>
    <w:rsid w:val="00CF46D0"/>
    <w:pPr>
      <w:keepNext/>
      <w:keepLines/>
      <w:spacing w:before="240" w:after="120"/>
      <w:outlineLvl w:val="1"/>
    </w:pPr>
    <w:rPr>
      <w:rFonts w:asciiTheme="majorHAnsi" w:eastAsiaTheme="majorEastAsia" w:hAnsiTheme="majorHAnsi" w:cstheme="majorBidi"/>
      <w:b/>
      <w:bCs/>
      <w:color w:val="0063A6" w:themeColor="accent1"/>
      <w:sz w:val="24"/>
      <w:szCs w:val="24"/>
    </w:rPr>
  </w:style>
  <w:style w:type="paragraph" w:styleId="Heading3">
    <w:name w:val="heading 3"/>
    <w:basedOn w:val="Normal"/>
    <w:next w:val="Normal"/>
    <w:link w:val="Heading3Char"/>
    <w:qFormat/>
    <w:rsid w:val="007D03CC"/>
    <w:pPr>
      <w:keepNext/>
      <w:keepLines/>
      <w:spacing w:before="180" w:after="0"/>
      <w:outlineLvl w:val="2"/>
    </w:pPr>
    <w:rPr>
      <w:rFonts w:asciiTheme="majorHAnsi" w:eastAsiaTheme="majorEastAsia" w:hAnsiTheme="majorHAnsi" w:cstheme="majorBidi"/>
      <w:b/>
      <w:bCs/>
      <w:color w:val="009CDE" w:themeColor="accent5"/>
      <w:sz w:val="21"/>
      <w:szCs w:val="21"/>
    </w:rPr>
  </w:style>
  <w:style w:type="paragraph" w:styleId="Heading4">
    <w:name w:val="heading 4"/>
    <w:basedOn w:val="Normal"/>
    <w:next w:val="Normal"/>
    <w:link w:val="Heading4Char"/>
    <w:qFormat/>
    <w:rsid w:val="00314CE6"/>
    <w:pPr>
      <w:keepNext/>
      <w:keepLines/>
      <w:spacing w:before="200" w:after="0"/>
      <w:outlineLvl w:val="3"/>
    </w:pPr>
    <w:rPr>
      <w:rFonts w:asciiTheme="majorHAnsi" w:eastAsiaTheme="majorEastAsia" w:hAnsiTheme="majorHAnsi" w:cstheme="majorBidi"/>
      <w:b/>
      <w:bCs/>
      <w:iCs/>
      <w:color w:val="53565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CF46D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CF46D0"/>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CF46D0"/>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CF46D0"/>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CF46D0"/>
    <w:pPr>
      <w:tabs>
        <w:tab w:val="right" w:leader="dot" w:pos="2520"/>
      </w:tabs>
      <w:spacing w:before="0" w:after="0"/>
      <w:ind w:right="432"/>
    </w:pPr>
    <w:rPr>
      <w:sz w:val="16"/>
      <w:szCs w:val="24"/>
    </w:rPr>
  </w:style>
  <w:style w:type="paragraph" w:styleId="TOC2">
    <w:name w:val="toc 2"/>
    <w:next w:val="Normal"/>
    <w:uiPriority w:val="39"/>
    <w:rsid w:val="00CF46D0"/>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CF46D0"/>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CF46D0"/>
    <w:pPr>
      <w:spacing w:after="60" w:line="240" w:lineRule="auto"/>
    </w:pPr>
    <w:rPr>
      <w:sz w:val="16"/>
    </w:rPr>
  </w:style>
  <w:style w:type="paragraph" w:styleId="Index2">
    <w:name w:val="index 2"/>
    <w:basedOn w:val="Normal"/>
    <w:next w:val="Normal"/>
    <w:uiPriority w:val="99"/>
    <w:semiHidden/>
    <w:rsid w:val="00CF46D0"/>
    <w:pPr>
      <w:spacing w:after="0" w:line="240" w:lineRule="auto"/>
      <w:ind w:left="216"/>
    </w:pPr>
    <w:rPr>
      <w:sz w:val="16"/>
      <w:szCs w:val="16"/>
    </w:rPr>
  </w:style>
  <w:style w:type="character" w:styleId="Hyperlink">
    <w:name w:val="Hyperlink"/>
    <w:basedOn w:val="DefaultParagraphFont"/>
    <w:uiPriority w:val="99"/>
    <w:rsid w:val="00CF46D0"/>
    <w:rPr>
      <w:color w:val="53565A" w:themeColor="hyperlink"/>
      <w:u w:val="none"/>
    </w:rPr>
  </w:style>
  <w:style w:type="character" w:customStyle="1" w:styleId="Heading1Char">
    <w:name w:val="Heading 1 Char"/>
    <w:basedOn w:val="DefaultParagraphFont"/>
    <w:link w:val="Heading1"/>
    <w:rsid w:val="00CF46D0"/>
    <w:rPr>
      <w:rFonts w:asciiTheme="majorHAnsi" w:eastAsiaTheme="majorEastAsia" w:hAnsiTheme="majorHAnsi" w:cstheme="majorBidi"/>
      <w:b/>
      <w:bCs/>
      <w:color w:val="201547"/>
      <w:spacing w:val="-1"/>
      <w:sz w:val="28"/>
      <w:szCs w:val="28"/>
    </w:rPr>
  </w:style>
  <w:style w:type="character" w:customStyle="1" w:styleId="Heading2Char">
    <w:name w:val="Heading 2 Char"/>
    <w:basedOn w:val="DefaultParagraphFont"/>
    <w:link w:val="Heading2"/>
    <w:rsid w:val="00CF46D0"/>
    <w:rPr>
      <w:rFonts w:asciiTheme="majorHAnsi" w:eastAsiaTheme="majorEastAsia" w:hAnsiTheme="majorHAnsi" w:cstheme="majorBidi"/>
      <w:b/>
      <w:bCs/>
      <w:color w:val="0063A6" w:themeColor="accent1"/>
      <w:spacing w:val="2"/>
      <w:sz w:val="24"/>
      <w:szCs w:val="24"/>
    </w:rPr>
  </w:style>
  <w:style w:type="paragraph" w:customStyle="1" w:styleId="Bullet1">
    <w:name w:val="Bullet 1"/>
    <w:uiPriority w:val="11"/>
    <w:qFormat/>
    <w:rsid w:val="003053A2"/>
    <w:pPr>
      <w:numPr>
        <w:numId w:val="1"/>
      </w:numPr>
      <w:spacing w:before="100" w:after="100" w:line="240" w:lineRule="auto"/>
      <w:contextualSpacing/>
    </w:pPr>
    <w:rPr>
      <w:rFonts w:eastAsia="Times New Roman" w:cs="Calibri"/>
      <w:spacing w:val="2"/>
      <w:sz w:val="18"/>
    </w:rPr>
  </w:style>
  <w:style w:type="paragraph" w:customStyle="1" w:styleId="Bullet2">
    <w:name w:val="Bullet 2"/>
    <w:basedOn w:val="Bullet1"/>
    <w:uiPriority w:val="11"/>
    <w:qFormat/>
    <w:rsid w:val="0024195A"/>
    <w:pPr>
      <w:numPr>
        <w:ilvl w:val="1"/>
      </w:numPr>
    </w:pPr>
  </w:style>
  <w:style w:type="paragraph" w:customStyle="1" w:styleId="Bulletindent">
    <w:name w:val="Bullet indent"/>
    <w:basedOn w:val="Bullet2"/>
    <w:uiPriority w:val="9"/>
    <w:qFormat/>
    <w:rsid w:val="00CF46D0"/>
    <w:pPr>
      <w:numPr>
        <w:ilvl w:val="2"/>
      </w:numPr>
    </w:pPr>
  </w:style>
  <w:style w:type="paragraph" w:customStyle="1" w:styleId="Heading1numbered">
    <w:name w:val="Heading 1 numbered"/>
    <w:basedOn w:val="Heading1"/>
    <w:next w:val="NormalIndent"/>
    <w:uiPriority w:val="4"/>
    <w:semiHidden/>
    <w:qFormat/>
    <w:rsid w:val="00CF46D0"/>
    <w:pPr>
      <w:numPr>
        <w:ilvl w:val="2"/>
        <w:numId w:val="2"/>
      </w:numPr>
    </w:pPr>
  </w:style>
  <w:style w:type="paragraph" w:customStyle="1" w:styleId="Heading2numbered">
    <w:name w:val="Heading 2 numbered"/>
    <w:basedOn w:val="Heading2"/>
    <w:next w:val="NormalIndent"/>
    <w:uiPriority w:val="4"/>
    <w:semiHidden/>
    <w:qFormat/>
    <w:rsid w:val="00CF46D0"/>
    <w:pPr>
      <w:numPr>
        <w:ilvl w:val="3"/>
        <w:numId w:val="2"/>
      </w:numPr>
    </w:pPr>
  </w:style>
  <w:style w:type="paragraph" w:customStyle="1" w:styleId="Heading3numbered">
    <w:name w:val="Heading 3 numbered"/>
    <w:basedOn w:val="Heading3"/>
    <w:next w:val="NormalIndent"/>
    <w:uiPriority w:val="4"/>
    <w:semiHidden/>
    <w:qFormat/>
    <w:rsid w:val="00CF46D0"/>
    <w:pPr>
      <w:numPr>
        <w:ilvl w:val="4"/>
        <w:numId w:val="2"/>
      </w:numPr>
    </w:pPr>
  </w:style>
  <w:style w:type="character" w:customStyle="1" w:styleId="Heading3Char">
    <w:name w:val="Heading 3 Char"/>
    <w:basedOn w:val="DefaultParagraphFont"/>
    <w:link w:val="Heading3"/>
    <w:rsid w:val="007D03CC"/>
    <w:rPr>
      <w:rFonts w:asciiTheme="majorHAnsi" w:eastAsiaTheme="majorEastAsia" w:hAnsiTheme="majorHAnsi" w:cstheme="majorBidi"/>
      <w:b/>
      <w:bCs/>
      <w:color w:val="009CDE" w:themeColor="accent5"/>
      <w:spacing w:val="2"/>
      <w:sz w:val="21"/>
      <w:szCs w:val="21"/>
    </w:rPr>
  </w:style>
  <w:style w:type="paragraph" w:customStyle="1" w:styleId="Heading4numbered">
    <w:name w:val="Heading 4 numbered"/>
    <w:basedOn w:val="Heading4"/>
    <w:next w:val="NormalIndent"/>
    <w:uiPriority w:val="4"/>
    <w:semiHidden/>
    <w:qFormat/>
    <w:rsid w:val="00CF46D0"/>
    <w:pPr>
      <w:numPr>
        <w:ilvl w:val="5"/>
        <w:numId w:val="2"/>
      </w:numPr>
    </w:pPr>
  </w:style>
  <w:style w:type="character" w:customStyle="1" w:styleId="Heading4Char">
    <w:name w:val="Heading 4 Char"/>
    <w:basedOn w:val="DefaultParagraphFont"/>
    <w:link w:val="Heading4"/>
    <w:rsid w:val="00314CE6"/>
    <w:rPr>
      <w:rFonts w:asciiTheme="majorHAnsi" w:eastAsiaTheme="majorEastAsia" w:hAnsiTheme="majorHAnsi" w:cstheme="majorBidi"/>
      <w:b/>
      <w:bCs/>
      <w:iCs/>
      <w:color w:val="53565A"/>
      <w:spacing w:val="2"/>
      <w:sz w:val="19"/>
    </w:rPr>
  </w:style>
  <w:style w:type="paragraph" w:styleId="NormalIndent">
    <w:name w:val="Normal Indent"/>
    <w:basedOn w:val="Normal"/>
    <w:uiPriority w:val="4"/>
    <w:qFormat/>
    <w:rsid w:val="007D03CC"/>
    <w:pPr>
      <w:spacing w:line="252" w:lineRule="auto"/>
      <w:ind w:left="504"/>
    </w:pPr>
  </w:style>
  <w:style w:type="paragraph" w:customStyle="1" w:styleId="NoteNormal">
    <w:name w:val="Note Normal"/>
    <w:basedOn w:val="Normal"/>
    <w:uiPriority w:val="11"/>
    <w:rsid w:val="00CF46D0"/>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CF46D0"/>
    <w:pPr>
      <w:spacing w:before="0" w:after="0" w:line="120" w:lineRule="atLeast"/>
    </w:pPr>
    <w:rPr>
      <w:rFonts w:eastAsia="Times New Roman" w:cs="Calibri"/>
      <w:spacing w:val="0"/>
      <w:sz w:val="10"/>
      <w:szCs w:val="22"/>
    </w:rPr>
  </w:style>
  <w:style w:type="paragraph" w:styleId="Subtitle">
    <w:name w:val="Subtitle"/>
    <w:link w:val="SubtitleChar"/>
    <w:uiPriority w:val="99"/>
    <w:rsid w:val="00CF46D0"/>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CF46D0"/>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CF46D0"/>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CF46D0"/>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rsid w:val="00CF46D0"/>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CF4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6D0"/>
    <w:rPr>
      <w:rFonts w:ascii="Tahoma" w:hAnsi="Tahoma" w:cs="Tahoma"/>
      <w:spacing w:val="2"/>
      <w:sz w:val="16"/>
      <w:szCs w:val="16"/>
    </w:rPr>
  </w:style>
  <w:style w:type="paragraph" w:customStyle="1" w:styleId="Bulletindent2">
    <w:name w:val="Bullet indent 2"/>
    <w:basedOn w:val="Normal"/>
    <w:uiPriority w:val="9"/>
    <w:qFormat/>
    <w:rsid w:val="00CF46D0"/>
    <w:pPr>
      <w:numPr>
        <w:ilvl w:val="3"/>
        <w:numId w:val="1"/>
      </w:numPr>
      <w:spacing w:before="100"/>
      <w:contextualSpacing/>
    </w:pPr>
  </w:style>
  <w:style w:type="paragraph" w:styleId="IndexHeading">
    <w:name w:val="index heading"/>
    <w:basedOn w:val="Normal"/>
    <w:next w:val="Index1"/>
    <w:uiPriority w:val="99"/>
    <w:semiHidden/>
    <w:rsid w:val="00CF46D0"/>
    <w:rPr>
      <w:rFonts w:asciiTheme="majorHAnsi" w:eastAsiaTheme="majorEastAsia" w:hAnsiTheme="majorHAnsi" w:cstheme="majorBidi"/>
      <w:b/>
      <w:bCs/>
    </w:rPr>
  </w:style>
  <w:style w:type="paragraph" w:styleId="Header">
    <w:name w:val="header"/>
    <w:basedOn w:val="Normal"/>
    <w:link w:val="HeaderChar"/>
    <w:uiPriority w:val="99"/>
    <w:semiHidden/>
    <w:rsid w:val="00CF46D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46D0"/>
    <w:rPr>
      <w:spacing w:val="2"/>
      <w:sz w:val="18"/>
    </w:rPr>
  </w:style>
  <w:style w:type="paragraph" w:styleId="Footer">
    <w:name w:val="footer"/>
    <w:basedOn w:val="Normal"/>
    <w:link w:val="FooterChar"/>
    <w:uiPriority w:val="24"/>
    <w:semiHidden/>
    <w:rsid w:val="00CF46D0"/>
    <w:pPr>
      <w:tabs>
        <w:tab w:val="right" w:pos="9026"/>
      </w:tabs>
      <w:spacing w:after="0" w:line="240" w:lineRule="auto"/>
    </w:pPr>
    <w:rPr>
      <w:noProof/>
      <w:szCs w:val="18"/>
    </w:rPr>
  </w:style>
  <w:style w:type="character" w:customStyle="1" w:styleId="FooterChar">
    <w:name w:val="Footer Char"/>
    <w:basedOn w:val="DefaultParagraphFont"/>
    <w:link w:val="Footer"/>
    <w:uiPriority w:val="24"/>
    <w:semiHidden/>
    <w:rsid w:val="00CF46D0"/>
    <w:rPr>
      <w:noProof/>
      <w:spacing w:val="2"/>
      <w:sz w:val="18"/>
      <w:szCs w:val="18"/>
    </w:rPr>
  </w:style>
  <w:style w:type="character" w:styleId="PageNumber">
    <w:name w:val="page number"/>
    <w:uiPriority w:val="49"/>
    <w:semiHidden/>
    <w:rsid w:val="00CF46D0"/>
  </w:style>
  <w:style w:type="paragraph" w:styleId="TOCHeading">
    <w:name w:val="TOC Heading"/>
    <w:basedOn w:val="Heading1"/>
    <w:next w:val="Normal"/>
    <w:uiPriority w:val="39"/>
    <w:rsid w:val="00CF46D0"/>
    <w:pPr>
      <w:spacing w:before="480" w:after="720"/>
      <w:outlineLvl w:val="9"/>
    </w:pPr>
    <w:rPr>
      <w:spacing w:val="2"/>
    </w:rPr>
  </w:style>
  <w:style w:type="paragraph" w:customStyle="1" w:styleId="NormalTight">
    <w:name w:val="Normal Tight"/>
    <w:uiPriority w:val="99"/>
    <w:semiHidden/>
    <w:rsid w:val="00CF46D0"/>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CF46D0"/>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CF46D0"/>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CF46D0"/>
    <w:pPr>
      <w:spacing w:before="5800"/>
      <w:ind w:right="1382"/>
    </w:pPr>
  </w:style>
  <w:style w:type="paragraph" w:styleId="TOC4">
    <w:name w:val="toc 4"/>
    <w:basedOn w:val="TOC1"/>
    <w:next w:val="Normal"/>
    <w:uiPriority w:val="39"/>
    <w:semiHidden/>
    <w:rsid w:val="00CF46D0"/>
    <w:pPr>
      <w:ind w:left="450" w:hanging="450"/>
    </w:pPr>
    <w:rPr>
      <w:noProof/>
      <w:lang w:eastAsia="en-US"/>
    </w:rPr>
  </w:style>
  <w:style w:type="paragraph" w:styleId="TOC5">
    <w:name w:val="toc 5"/>
    <w:basedOn w:val="TOC2"/>
    <w:next w:val="Normal"/>
    <w:uiPriority w:val="39"/>
    <w:semiHidden/>
    <w:rsid w:val="00CF46D0"/>
    <w:pPr>
      <w:ind w:left="1080" w:hanging="634"/>
    </w:pPr>
    <w:rPr>
      <w:lang w:eastAsia="en-US"/>
    </w:rPr>
  </w:style>
  <w:style w:type="paragraph" w:styleId="TOC6">
    <w:name w:val="toc 6"/>
    <w:basedOn w:val="TOC3"/>
    <w:next w:val="Normal"/>
    <w:uiPriority w:val="39"/>
    <w:semiHidden/>
    <w:rsid w:val="00CF46D0"/>
    <w:pPr>
      <w:ind w:left="1800" w:hanging="720"/>
    </w:pPr>
    <w:rPr>
      <w:lang w:eastAsia="en-US"/>
    </w:rPr>
  </w:style>
  <w:style w:type="table" w:customStyle="1" w:styleId="DTFtexttable">
    <w:name w:val="DTF text table"/>
    <w:basedOn w:val="TableGrid"/>
    <w:uiPriority w:val="99"/>
    <w:rsid w:val="00CF46D0"/>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CF46D0"/>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6"/>
    <w:qFormat/>
    <w:rsid w:val="00CF46D0"/>
    <w:pPr>
      <w:spacing w:before="60" w:after="60" w:line="264" w:lineRule="auto"/>
    </w:pPr>
    <w:rPr>
      <w:sz w:val="17"/>
    </w:rPr>
  </w:style>
  <w:style w:type="paragraph" w:customStyle="1" w:styleId="Tabletextright">
    <w:name w:val="Table text right"/>
    <w:basedOn w:val="Tabletext"/>
    <w:uiPriority w:val="6"/>
    <w:qFormat/>
    <w:rsid w:val="00CF46D0"/>
    <w:pPr>
      <w:jc w:val="right"/>
    </w:pPr>
  </w:style>
  <w:style w:type="paragraph" w:customStyle="1" w:styleId="Listnumindent2">
    <w:name w:val="List num indent 2"/>
    <w:basedOn w:val="Normal"/>
    <w:uiPriority w:val="5"/>
    <w:semiHidden/>
    <w:qFormat/>
    <w:rsid w:val="00CF46D0"/>
    <w:pPr>
      <w:numPr>
        <w:ilvl w:val="7"/>
        <w:numId w:val="2"/>
      </w:numPr>
      <w:spacing w:before="100"/>
      <w:contextualSpacing/>
    </w:pPr>
  </w:style>
  <w:style w:type="paragraph" w:customStyle="1" w:styleId="Listnumindent">
    <w:name w:val="List num indent"/>
    <w:basedOn w:val="Normal"/>
    <w:uiPriority w:val="5"/>
    <w:semiHidden/>
    <w:qFormat/>
    <w:rsid w:val="00CF46D0"/>
    <w:pPr>
      <w:numPr>
        <w:ilvl w:val="6"/>
        <w:numId w:val="2"/>
      </w:numPr>
      <w:spacing w:before="100"/>
    </w:pPr>
  </w:style>
  <w:style w:type="paragraph" w:customStyle="1" w:styleId="Listnum">
    <w:name w:val="List num"/>
    <w:basedOn w:val="Normal"/>
    <w:uiPriority w:val="1"/>
    <w:qFormat/>
    <w:rsid w:val="00CF46D0"/>
    <w:pPr>
      <w:numPr>
        <w:numId w:val="2"/>
      </w:numPr>
    </w:pPr>
  </w:style>
  <w:style w:type="paragraph" w:customStyle="1" w:styleId="Listnum2">
    <w:name w:val="List num 2"/>
    <w:basedOn w:val="Normal"/>
    <w:uiPriority w:val="1"/>
    <w:qFormat/>
    <w:rsid w:val="00CF46D0"/>
    <w:pPr>
      <w:numPr>
        <w:ilvl w:val="1"/>
        <w:numId w:val="2"/>
      </w:numPr>
    </w:pPr>
  </w:style>
  <w:style w:type="paragraph" w:customStyle="1" w:styleId="Tabletextcentred">
    <w:name w:val="Table text centred"/>
    <w:basedOn w:val="Tabletext"/>
    <w:uiPriority w:val="6"/>
    <w:qFormat/>
    <w:rsid w:val="00CF46D0"/>
    <w:pPr>
      <w:jc w:val="center"/>
    </w:pPr>
  </w:style>
  <w:style w:type="paragraph" w:customStyle="1" w:styleId="Tableheader">
    <w:name w:val="Table header"/>
    <w:basedOn w:val="Tabletext"/>
    <w:uiPriority w:val="6"/>
    <w:qFormat/>
    <w:rsid w:val="00E018C9"/>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7"/>
    <w:rsid w:val="00CF46D0"/>
    <w:pPr>
      <w:numPr>
        <w:numId w:val="3"/>
      </w:numPr>
    </w:pPr>
  </w:style>
  <w:style w:type="paragraph" w:customStyle="1" w:styleId="Tabledash">
    <w:name w:val="Table dash"/>
    <w:basedOn w:val="Tablebullet"/>
    <w:uiPriority w:val="7"/>
    <w:rsid w:val="00CF46D0"/>
    <w:pPr>
      <w:numPr>
        <w:ilvl w:val="1"/>
      </w:numPr>
    </w:pPr>
  </w:style>
  <w:style w:type="paragraph" w:customStyle="1" w:styleId="Tabletextindent">
    <w:name w:val="Table text indent"/>
    <w:basedOn w:val="Tabletext"/>
    <w:uiPriority w:val="6"/>
    <w:qFormat/>
    <w:rsid w:val="00CF46D0"/>
    <w:pPr>
      <w:ind w:left="288"/>
    </w:pPr>
  </w:style>
  <w:style w:type="paragraph" w:customStyle="1" w:styleId="Disclaimertext">
    <w:name w:val="Disclaimer text"/>
    <w:basedOn w:val="Normal"/>
    <w:uiPriority w:val="12"/>
    <w:qFormat/>
    <w:rsid w:val="00CF46D0"/>
    <w:pPr>
      <w:pBdr>
        <w:top w:val="single" w:sz="6" w:space="3" w:color="0063A6" w:themeColor="accent1"/>
        <w:bottom w:val="single" w:sz="6" w:space="3" w:color="0063A6" w:themeColor="accent1"/>
      </w:pBdr>
    </w:pPr>
    <w:rPr>
      <w:color w:val="0063A6" w:themeColor="accent1"/>
    </w:rPr>
  </w:style>
  <w:style w:type="paragraph" w:customStyle="1" w:styleId="BreakoutList1">
    <w:name w:val="Breakout List 1"/>
    <w:basedOn w:val="Normal"/>
    <w:semiHidden/>
    <w:rsid w:val="00CB23CC"/>
    <w:pPr>
      <w:numPr>
        <w:numId w:val="4"/>
      </w:numPr>
      <w:spacing w:before="100" w:line="252" w:lineRule="auto"/>
    </w:pPr>
    <w:rPr>
      <w:rFonts w:ascii="Calibri" w:eastAsia="Times New Roman" w:hAnsi="Calibri" w:cs="Calibri"/>
      <w:spacing w:val="4"/>
      <w:sz w:val="20"/>
      <w:szCs w:val="22"/>
    </w:rPr>
  </w:style>
  <w:style w:type="paragraph" w:customStyle="1" w:styleId="BreakoutList2">
    <w:name w:val="Breakout List 2"/>
    <w:basedOn w:val="BreakoutList1"/>
    <w:semiHidden/>
    <w:rsid w:val="00CB23CC"/>
    <w:pPr>
      <w:numPr>
        <w:ilvl w:val="1"/>
      </w:numPr>
    </w:pPr>
  </w:style>
  <w:style w:type="paragraph" w:customStyle="1" w:styleId="NewsletterNormal">
    <w:name w:val="Newsletter Normal"/>
    <w:basedOn w:val="Normal"/>
    <w:link w:val="NewsletterNormalChar"/>
    <w:qFormat/>
    <w:rsid w:val="009567FE"/>
    <w:pPr>
      <w:spacing w:before="100" w:after="60" w:line="252" w:lineRule="auto"/>
    </w:pPr>
    <w:rPr>
      <w:rFonts w:ascii="Arial" w:hAnsi="Arial"/>
      <w:spacing w:val="4"/>
      <w:sz w:val="20"/>
      <w:szCs w:val="22"/>
    </w:rPr>
  </w:style>
  <w:style w:type="paragraph" w:customStyle="1" w:styleId="TableHeading">
    <w:name w:val="Table Heading"/>
    <w:basedOn w:val="Normal"/>
    <w:qFormat/>
    <w:rsid w:val="00CB23CC"/>
    <w:pPr>
      <w:spacing w:before="60" w:after="60" w:line="230" w:lineRule="atLeast"/>
    </w:pPr>
    <w:rPr>
      <w:rFonts w:ascii="Arial" w:eastAsia="Times New Roman" w:hAnsi="Arial" w:cs="Calibri"/>
      <w:b/>
      <w:spacing w:val="4"/>
      <w:sz w:val="16"/>
    </w:rPr>
  </w:style>
  <w:style w:type="character" w:customStyle="1" w:styleId="NewsletterNormalChar">
    <w:name w:val="Newsletter Normal Char"/>
    <w:basedOn w:val="DefaultParagraphFont"/>
    <w:link w:val="NewsletterNormal"/>
    <w:rsid w:val="009567FE"/>
    <w:rPr>
      <w:rFonts w:ascii="Arial" w:hAnsi="Arial"/>
      <w:spacing w:val="4"/>
      <w:szCs w:val="22"/>
    </w:rPr>
  </w:style>
  <w:style w:type="paragraph" w:customStyle="1" w:styleId="NewsletterNote">
    <w:name w:val="Newsletter Note"/>
    <w:basedOn w:val="Normal"/>
    <w:rsid w:val="00001008"/>
    <w:pPr>
      <w:keepNext/>
      <w:keepLines/>
      <w:spacing w:before="100" w:after="0" w:line="252" w:lineRule="auto"/>
      <w:contextualSpacing/>
    </w:pPr>
    <w:rPr>
      <w:rFonts w:ascii="Arial" w:eastAsia="Times New Roman" w:hAnsi="Arial" w:cs="Calibri"/>
      <w:color w:val="000000"/>
      <w:spacing w:val="4"/>
      <w:sz w:val="16"/>
      <w:szCs w:val="22"/>
      <w:lang w:eastAsia="en-US"/>
    </w:rPr>
  </w:style>
  <w:style w:type="character" w:styleId="CommentReference">
    <w:name w:val="annotation reference"/>
    <w:basedOn w:val="DefaultParagraphFont"/>
    <w:uiPriority w:val="99"/>
    <w:semiHidden/>
    <w:rsid w:val="00DB7C7C"/>
    <w:rPr>
      <w:sz w:val="16"/>
      <w:szCs w:val="16"/>
    </w:rPr>
  </w:style>
  <w:style w:type="paragraph" w:styleId="CommentText">
    <w:name w:val="annotation text"/>
    <w:basedOn w:val="Normal"/>
    <w:link w:val="CommentTextChar"/>
    <w:uiPriority w:val="99"/>
    <w:semiHidden/>
    <w:rsid w:val="00DB7C7C"/>
    <w:pPr>
      <w:spacing w:line="240" w:lineRule="auto"/>
    </w:pPr>
    <w:rPr>
      <w:sz w:val="20"/>
    </w:rPr>
  </w:style>
  <w:style w:type="character" w:customStyle="1" w:styleId="CommentTextChar">
    <w:name w:val="Comment Text Char"/>
    <w:basedOn w:val="DefaultParagraphFont"/>
    <w:link w:val="CommentText"/>
    <w:uiPriority w:val="99"/>
    <w:semiHidden/>
    <w:rsid w:val="00DB7C7C"/>
    <w:rPr>
      <w:spacing w:val="2"/>
    </w:rPr>
  </w:style>
  <w:style w:type="paragraph" w:styleId="CommentSubject">
    <w:name w:val="annotation subject"/>
    <w:basedOn w:val="CommentText"/>
    <w:next w:val="CommentText"/>
    <w:link w:val="CommentSubjectChar"/>
    <w:uiPriority w:val="99"/>
    <w:semiHidden/>
    <w:rsid w:val="00DB7C7C"/>
    <w:rPr>
      <w:b/>
      <w:bCs/>
    </w:rPr>
  </w:style>
  <w:style w:type="character" w:customStyle="1" w:styleId="CommentSubjectChar">
    <w:name w:val="Comment Subject Char"/>
    <w:basedOn w:val="CommentTextChar"/>
    <w:link w:val="CommentSubject"/>
    <w:uiPriority w:val="99"/>
    <w:semiHidden/>
    <w:rsid w:val="00DB7C7C"/>
    <w:rPr>
      <w:b/>
      <w:bCs/>
      <w:spacing w:val="2"/>
    </w:rPr>
  </w:style>
  <w:style w:type="paragraph" w:styleId="Revision">
    <w:name w:val="Revision"/>
    <w:hidden/>
    <w:uiPriority w:val="99"/>
    <w:semiHidden/>
    <w:rsid w:val="00DB7C7C"/>
    <w:pPr>
      <w:spacing w:after="0" w:line="240" w:lineRule="auto"/>
    </w:pPr>
    <w:rPr>
      <w:spacing w:val="2"/>
      <w:sz w:val="18"/>
    </w:rPr>
  </w:style>
  <w:style w:type="paragraph" w:styleId="ListParagraph">
    <w:name w:val="List Paragraph"/>
    <w:basedOn w:val="Normal"/>
    <w:uiPriority w:val="34"/>
    <w:qFormat/>
    <w:rsid w:val="005E6FC1"/>
    <w:pPr>
      <w:ind w:left="720"/>
      <w:contextualSpacing/>
    </w:pPr>
  </w:style>
  <w:style w:type="paragraph" w:customStyle="1" w:styleId="Bullet1grey">
    <w:name w:val="Bullet 1 grey"/>
    <w:basedOn w:val="Bullet1"/>
    <w:uiPriority w:val="1"/>
    <w:qFormat/>
    <w:rsid w:val="003912D2"/>
    <w:pPr>
      <w:tabs>
        <w:tab w:val="left" w:pos="360"/>
      </w:tabs>
      <w:spacing w:before="60" w:after="40"/>
      <w:contextualSpacing w:val="0"/>
    </w:pPr>
    <w:rPr>
      <w:rFonts w:ascii="Calibri" w:eastAsia="Calibri" w:hAnsi="Calibri" w:cs="Times New Roman"/>
      <w:color w:val="6E6E64"/>
      <w:spacing w:val="0"/>
      <w:sz w:val="22"/>
      <w:szCs w:val="22"/>
      <w:lang w:eastAsia="en-US"/>
    </w:rPr>
  </w:style>
  <w:style w:type="paragraph" w:styleId="NormalWeb">
    <w:name w:val="Normal (Web)"/>
    <w:basedOn w:val="Normal"/>
    <w:uiPriority w:val="99"/>
    <w:semiHidden/>
    <w:unhideWhenUsed/>
    <w:rsid w:val="008E5364"/>
    <w:pPr>
      <w:spacing w:before="100" w:beforeAutospacing="1" w:afterAutospacing="1" w:line="240" w:lineRule="auto"/>
    </w:pPr>
    <w:rPr>
      <w:rFonts w:ascii="Times New Roman" w:eastAsia="Times New Roman" w:hAnsi="Times New Roman" w:cs="Times New Roman"/>
      <w:spacing w:val="0"/>
      <w:sz w:val="24"/>
      <w:szCs w:val="24"/>
    </w:rPr>
  </w:style>
  <w:style w:type="character" w:styleId="FollowedHyperlink">
    <w:name w:val="FollowedHyperlink"/>
    <w:basedOn w:val="DefaultParagraphFont"/>
    <w:uiPriority w:val="99"/>
    <w:semiHidden/>
    <w:rsid w:val="004F7313"/>
    <w:rPr>
      <w:color w:val="8A2A2B" w:themeColor="followedHyperlink"/>
      <w:u w:val="single"/>
    </w:rPr>
  </w:style>
  <w:style w:type="character" w:customStyle="1" w:styleId="paragraphnormalChar1">
    <w:name w:val="paragraph normal Char1"/>
    <w:basedOn w:val="DefaultParagraphFont"/>
    <w:link w:val="paragraphnormal"/>
    <w:rsid w:val="004F5DA0"/>
    <w:rPr>
      <w:rFonts w:ascii="Calibri" w:hAnsi="Calibri"/>
    </w:rPr>
  </w:style>
  <w:style w:type="paragraph" w:customStyle="1" w:styleId="paragraphnormal">
    <w:name w:val="paragraph normal"/>
    <w:basedOn w:val="Normal"/>
    <w:link w:val="paragraphnormalChar1"/>
    <w:rsid w:val="004F5DA0"/>
    <w:pPr>
      <w:spacing w:before="60" w:after="60" w:line="264" w:lineRule="auto"/>
    </w:pPr>
    <w:rPr>
      <w:rFonts w:ascii="Calibri" w:hAnsi="Calibri"/>
      <w:spacing w:val="0"/>
      <w:sz w:val="20"/>
    </w:rPr>
  </w:style>
  <w:style w:type="character" w:customStyle="1" w:styleId="tabletextChar">
    <w:name w:val="table text Char"/>
    <w:basedOn w:val="DefaultParagraphFont"/>
    <w:link w:val="tabletext0"/>
    <w:uiPriority w:val="24"/>
    <w:rsid w:val="004F5DA0"/>
    <w:rPr>
      <w:rFonts w:ascii="Calibri" w:hAnsi="Calibri"/>
    </w:rPr>
  </w:style>
  <w:style w:type="paragraph" w:customStyle="1" w:styleId="tabletext0">
    <w:name w:val="table text"/>
    <w:basedOn w:val="Normal"/>
    <w:link w:val="tabletextChar"/>
    <w:uiPriority w:val="24"/>
    <w:rsid w:val="004F5DA0"/>
    <w:pPr>
      <w:spacing w:before="60" w:after="60" w:line="240" w:lineRule="auto"/>
    </w:pPr>
    <w:rPr>
      <w:rFonts w:ascii="Calibri" w:hAnsi="Calibri"/>
      <w:spacing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3958">
      <w:bodyDiv w:val="1"/>
      <w:marLeft w:val="0"/>
      <w:marRight w:val="0"/>
      <w:marTop w:val="0"/>
      <w:marBottom w:val="0"/>
      <w:divBdr>
        <w:top w:val="none" w:sz="0" w:space="0" w:color="auto"/>
        <w:left w:val="none" w:sz="0" w:space="0" w:color="auto"/>
        <w:bottom w:val="none" w:sz="0" w:space="0" w:color="auto"/>
        <w:right w:val="none" w:sz="0" w:space="0" w:color="auto"/>
      </w:divBdr>
    </w:div>
    <w:div w:id="57869672">
      <w:bodyDiv w:val="1"/>
      <w:marLeft w:val="0"/>
      <w:marRight w:val="0"/>
      <w:marTop w:val="0"/>
      <w:marBottom w:val="0"/>
      <w:divBdr>
        <w:top w:val="none" w:sz="0" w:space="0" w:color="auto"/>
        <w:left w:val="none" w:sz="0" w:space="0" w:color="auto"/>
        <w:bottom w:val="none" w:sz="0" w:space="0" w:color="auto"/>
        <w:right w:val="none" w:sz="0" w:space="0" w:color="auto"/>
      </w:divBdr>
    </w:div>
    <w:div w:id="220295076">
      <w:bodyDiv w:val="1"/>
      <w:marLeft w:val="0"/>
      <w:marRight w:val="0"/>
      <w:marTop w:val="0"/>
      <w:marBottom w:val="0"/>
      <w:divBdr>
        <w:top w:val="none" w:sz="0" w:space="0" w:color="auto"/>
        <w:left w:val="none" w:sz="0" w:space="0" w:color="auto"/>
        <w:bottom w:val="none" w:sz="0" w:space="0" w:color="auto"/>
        <w:right w:val="none" w:sz="0" w:space="0" w:color="auto"/>
      </w:divBdr>
    </w:div>
    <w:div w:id="412703507">
      <w:bodyDiv w:val="1"/>
      <w:marLeft w:val="0"/>
      <w:marRight w:val="0"/>
      <w:marTop w:val="0"/>
      <w:marBottom w:val="0"/>
      <w:divBdr>
        <w:top w:val="none" w:sz="0" w:space="0" w:color="auto"/>
        <w:left w:val="none" w:sz="0" w:space="0" w:color="auto"/>
        <w:bottom w:val="none" w:sz="0" w:space="0" w:color="auto"/>
        <w:right w:val="none" w:sz="0" w:space="0" w:color="auto"/>
      </w:divBdr>
    </w:div>
    <w:div w:id="739447991">
      <w:bodyDiv w:val="1"/>
      <w:marLeft w:val="0"/>
      <w:marRight w:val="0"/>
      <w:marTop w:val="0"/>
      <w:marBottom w:val="0"/>
      <w:divBdr>
        <w:top w:val="none" w:sz="0" w:space="0" w:color="auto"/>
        <w:left w:val="none" w:sz="0" w:space="0" w:color="auto"/>
        <w:bottom w:val="none" w:sz="0" w:space="0" w:color="auto"/>
        <w:right w:val="none" w:sz="0" w:space="0" w:color="auto"/>
      </w:divBdr>
      <w:divsChild>
        <w:div w:id="37442333">
          <w:marLeft w:val="274"/>
          <w:marRight w:val="0"/>
          <w:marTop w:val="0"/>
          <w:marBottom w:val="0"/>
          <w:divBdr>
            <w:top w:val="none" w:sz="0" w:space="0" w:color="auto"/>
            <w:left w:val="none" w:sz="0" w:space="0" w:color="auto"/>
            <w:bottom w:val="none" w:sz="0" w:space="0" w:color="auto"/>
            <w:right w:val="none" w:sz="0" w:space="0" w:color="auto"/>
          </w:divBdr>
        </w:div>
      </w:divsChild>
    </w:div>
    <w:div w:id="1172991782">
      <w:bodyDiv w:val="1"/>
      <w:marLeft w:val="0"/>
      <w:marRight w:val="0"/>
      <w:marTop w:val="0"/>
      <w:marBottom w:val="0"/>
      <w:divBdr>
        <w:top w:val="none" w:sz="0" w:space="0" w:color="auto"/>
        <w:left w:val="none" w:sz="0" w:space="0" w:color="auto"/>
        <w:bottom w:val="none" w:sz="0" w:space="0" w:color="auto"/>
        <w:right w:val="none" w:sz="0" w:space="0" w:color="auto"/>
      </w:divBdr>
    </w:div>
    <w:div w:id="17738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dtf.vic.gov.au/files/0b43b325-68cc-4285-9055-a5a6010a5a01/Standing-Directions-Instructions-2016.docx" TargetMode="External"/><Relationship Id="rId26" Type="http://schemas.openxmlformats.org/officeDocument/2006/relationships/hyperlink" Target="mailto:accpol@dtf.vic.gov.au" TargetMode="External"/><Relationship Id="rId3" Type="http://schemas.openxmlformats.org/officeDocument/2006/relationships/styles" Target="styles.xml"/><Relationship Id="rId21" Type="http://schemas.openxmlformats.org/officeDocument/2006/relationships/hyperlink" Target="http://www.legislation.vic.gov.au" TargetMode="External"/><Relationship Id="rId34" Type="http://schemas.openxmlformats.org/officeDocument/2006/relationships/hyperlink" Target="mailto:IPpolicy@dtf.vic.gov.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dtf.vic.gov.au/files/0b43b325-68cc-4285-9055-a5a6010a5a01/Standing-Directions-Instructions-2016.docx" TargetMode="External"/><Relationship Id="rId25" Type="http://schemas.openxmlformats.org/officeDocument/2006/relationships/footer" Target="footer4.xml"/><Relationship Id="rId33" Type="http://schemas.openxmlformats.org/officeDocument/2006/relationships/hyperlink" Target="http://creativecommons.org/licenses/by/4.0/" TargetMode="External"/><Relationship Id="rId2" Type="http://schemas.openxmlformats.org/officeDocument/2006/relationships/numbering" Target="numbering.xml"/><Relationship Id="rId16" Type="http://schemas.openxmlformats.org/officeDocument/2006/relationships/hyperlink" Target="http://www.dtf.vic.gov.au/Publications/Government-Financial-Management-publications/Financial-Reporting-Policy/Accounting-policy-update-newsletters" TargetMode="External"/><Relationship Id="rId20" Type="http://schemas.openxmlformats.org/officeDocument/2006/relationships/chart" Target="charts/chart1.xml"/><Relationship Id="rId29" Type="http://schemas.openxmlformats.org/officeDocument/2006/relationships/hyperlink" Target="http://www.dtf.vic.gov.au/Government-Financial-Management/Financial-reporting-polic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dtf.vic.gov.au/Publications/Government-Financial-Management-publications/Financial-Reporting-Policy/Accounting-policy-update-newsletters" TargetMode="External"/><Relationship Id="rId32" Type="http://schemas.openxmlformats.org/officeDocument/2006/relationships/image" Target="media/image3.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tf.vic.gov.au/Publications/Government-Financial-Management-publications/Financial-reporting-policy/AASB-124-Related-Party-Disclosures" TargetMode="External"/><Relationship Id="rId23" Type="http://schemas.openxmlformats.org/officeDocument/2006/relationships/hyperlink" Target="http://www.dtf.vic.gov.au/Publications/Government-Financial-Management-publications/Financial-reporting-policy/AASB-124-Related-Party-Disclosures" TargetMode="External"/><Relationship Id="rId28" Type="http://schemas.openxmlformats.org/officeDocument/2006/relationships/hyperlink" Target="http://www.ifac.org/publicsector/"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standing.directions@dtf.vic.gov.au" TargetMode="External"/><Relationship Id="rId31" Type="http://schemas.openxmlformats.org/officeDocument/2006/relationships/hyperlink" Target="http://creativecommons.org/licenses/by/3.0/a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dtf.vic.gov.au/Publications/Government-Financial-Management-publications/Financial-Reporting-Policy/Accounting-policy-update-newsletters" TargetMode="External"/><Relationship Id="rId27" Type="http://schemas.openxmlformats.org/officeDocument/2006/relationships/hyperlink" Target="http://www.aasb.com.au" TargetMode="External"/><Relationship Id="rId30" Type="http://schemas.openxmlformats.org/officeDocument/2006/relationships/hyperlink" Target="mailto:dtfweb@dtf.vic.gov.au" TargetMode="External"/><Relationship Id="rId35"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Other\Newsletter%20Accounting%20Policy.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internal.vic.gov.au\DTF\HomeDirs1\vicc44m\Sametime\SametimeFileTransfer\Newsletter%20rate%20Tren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lnSpc>
                <a:spcPct val="110000"/>
              </a:lnSpc>
              <a:defRPr sz="1000"/>
            </a:pPr>
            <a:r>
              <a:rPr lang="en-AU" sz="1000"/>
              <a:t>Wage inflation</a:t>
            </a:r>
            <a:r>
              <a:rPr lang="en-AU" sz="1000" baseline="0"/>
              <a:t> and </a:t>
            </a:r>
            <a:r>
              <a:rPr lang="en-AU" sz="1000"/>
              <a:t>annual effective discount rates</a:t>
            </a:r>
            <a:r>
              <a:rPr lang="en-AU" sz="1000" baseline="0"/>
              <a:t> for </a:t>
            </a:r>
            <a:br>
              <a:rPr lang="en-AU" sz="1000" baseline="0"/>
            </a:br>
            <a:r>
              <a:rPr lang="en-AU" sz="1000" baseline="0"/>
              <a:t>employee benefits calculations</a:t>
            </a:r>
            <a:endParaRPr lang="en-AU" sz="1000"/>
          </a:p>
        </c:rich>
      </c:tx>
      <c:layout/>
      <c:overlay val="1"/>
    </c:title>
    <c:autoTitleDeleted val="0"/>
    <c:plotArea>
      <c:layout>
        <c:manualLayout>
          <c:layoutTarget val="inner"/>
          <c:xMode val="edge"/>
          <c:yMode val="edge"/>
          <c:x val="0.1109573482872348"/>
          <c:y val="0.18774413570540985"/>
          <c:w val="0.85120603609594525"/>
          <c:h val="0.61095210051220239"/>
        </c:manualLayout>
      </c:layout>
      <c:lineChart>
        <c:grouping val="standard"/>
        <c:varyColors val="0"/>
        <c:ser>
          <c:idx val="0"/>
          <c:order val="0"/>
          <c:tx>
            <c:strRef>
              <c:f>Sheet1!$C$3</c:f>
              <c:strCache>
                <c:ptCount val="1"/>
                <c:pt idx="0">
                  <c:v>Annual effective rate</c:v>
                </c:pt>
              </c:strCache>
            </c:strRef>
          </c:tx>
          <c:spPr>
            <a:ln w="25400"/>
          </c:spPr>
          <c:marker>
            <c:symbol val="diamond"/>
            <c:size val="6"/>
          </c:marker>
          <c:dLbls>
            <c:delete val="1"/>
          </c:dLbls>
          <c:cat>
            <c:numRef>
              <c:f>Sheet1!$B$4:$B$28</c:f>
              <c:numCache>
                <c:formatCode>mmm\-yy</c:formatCode>
                <c:ptCount val="25"/>
                <c:pt idx="0">
                  <c:v>42369</c:v>
                </c:pt>
                <c:pt idx="1">
                  <c:v>42400</c:v>
                </c:pt>
                <c:pt idx="2">
                  <c:v>42429</c:v>
                </c:pt>
                <c:pt idx="3">
                  <c:v>42460</c:v>
                </c:pt>
                <c:pt idx="4">
                  <c:v>42490</c:v>
                </c:pt>
                <c:pt idx="5">
                  <c:v>42521</c:v>
                </c:pt>
                <c:pt idx="6">
                  <c:v>42551</c:v>
                </c:pt>
                <c:pt idx="7">
                  <c:v>42582</c:v>
                </c:pt>
                <c:pt idx="8">
                  <c:v>42613</c:v>
                </c:pt>
                <c:pt idx="9">
                  <c:v>42643</c:v>
                </c:pt>
                <c:pt idx="10">
                  <c:v>42644</c:v>
                </c:pt>
                <c:pt idx="11">
                  <c:v>42675</c:v>
                </c:pt>
                <c:pt idx="12">
                  <c:v>42735</c:v>
                </c:pt>
                <c:pt idx="13">
                  <c:v>42766</c:v>
                </c:pt>
                <c:pt idx="14">
                  <c:v>42794</c:v>
                </c:pt>
                <c:pt idx="15">
                  <c:v>42825</c:v>
                </c:pt>
                <c:pt idx="16">
                  <c:v>42855</c:v>
                </c:pt>
                <c:pt idx="17">
                  <c:v>42886</c:v>
                </c:pt>
                <c:pt idx="18">
                  <c:v>42887</c:v>
                </c:pt>
                <c:pt idx="19">
                  <c:v>42917</c:v>
                </c:pt>
                <c:pt idx="20">
                  <c:v>42948</c:v>
                </c:pt>
                <c:pt idx="21">
                  <c:v>42979</c:v>
                </c:pt>
                <c:pt idx="22">
                  <c:v>43009</c:v>
                </c:pt>
                <c:pt idx="23">
                  <c:v>43040</c:v>
                </c:pt>
                <c:pt idx="24">
                  <c:v>43070</c:v>
                </c:pt>
              </c:numCache>
            </c:numRef>
          </c:cat>
          <c:val>
            <c:numRef>
              <c:f>Sheet1!$C$4:$C$28</c:f>
              <c:numCache>
                <c:formatCode>General</c:formatCode>
                <c:ptCount val="25"/>
                <c:pt idx="0">
                  <c:v>2.9009999999999998</c:v>
                </c:pt>
                <c:pt idx="1">
                  <c:v>#N/A</c:v>
                </c:pt>
                <c:pt idx="2">
                  <c:v>#N/A</c:v>
                </c:pt>
                <c:pt idx="3" formatCode="0.000">
                  <c:v>2.5</c:v>
                </c:pt>
                <c:pt idx="4">
                  <c:v>2.5310000000000001</c:v>
                </c:pt>
                <c:pt idx="5">
                  <c:v>2.3130000000000002</c:v>
                </c:pt>
                <c:pt idx="6" formatCode="0.000">
                  <c:v>1.99</c:v>
                </c:pt>
                <c:pt idx="7">
                  <c:v>#N/A</c:v>
                </c:pt>
                <c:pt idx="8">
                  <c:v>#N/A</c:v>
                </c:pt>
                <c:pt idx="9" formatCode="0.000">
                  <c:v>1.9139999999999999</c:v>
                </c:pt>
                <c:pt idx="10">
                  <c:v>#N/A</c:v>
                </c:pt>
                <c:pt idx="11">
                  <c:v>#N/A</c:v>
                </c:pt>
                <c:pt idx="12" formatCode="0.000">
                  <c:v>2.7229999999999999</c:v>
                </c:pt>
                <c:pt idx="13">
                  <c:v>#N/A</c:v>
                </c:pt>
                <c:pt idx="14">
                  <c:v>#N/A</c:v>
                </c:pt>
                <c:pt idx="15" formatCode="0.000">
                  <c:v>2.5920000000000001</c:v>
                </c:pt>
                <c:pt idx="16" formatCode="0.000">
                  <c:v>2.5920000000000001</c:v>
                </c:pt>
                <c:pt idx="17" formatCode="0.000">
                  <c:v>2.399</c:v>
                </c:pt>
                <c:pt idx="18">
                  <c:v>2.6120000000000001</c:v>
                </c:pt>
                <c:pt idx="19">
                  <c:v>#N/A</c:v>
                </c:pt>
                <c:pt idx="20">
                  <c:v>#N/A</c:v>
                </c:pt>
                <c:pt idx="21">
                  <c:v>2.8039999999999998</c:v>
                </c:pt>
                <c:pt idx="22">
                  <c:v>#N/A</c:v>
                </c:pt>
                <c:pt idx="23">
                  <c:v>#N/A</c:v>
                </c:pt>
                <c:pt idx="24">
                  <c:v>2.6829999999999998</c:v>
                </c:pt>
              </c:numCache>
            </c:numRef>
          </c:val>
          <c:smooth val="0"/>
        </c:ser>
        <c:ser>
          <c:idx val="1"/>
          <c:order val="1"/>
          <c:tx>
            <c:strRef>
              <c:f>Sheet1!$D$3</c:f>
              <c:strCache>
                <c:ptCount val="1"/>
                <c:pt idx="0">
                  <c:v>Wage inflation rate</c:v>
                </c:pt>
              </c:strCache>
            </c:strRef>
          </c:tx>
          <c:spPr>
            <a:ln w="22225"/>
          </c:spPr>
          <c:marker>
            <c:symbol val="square"/>
            <c:size val="5"/>
          </c:marker>
          <c:dPt>
            <c:idx val="9"/>
            <c:bubble3D val="0"/>
            <c:spPr>
              <a:ln w="25400"/>
            </c:spPr>
          </c:dPt>
          <c:dLbls>
            <c:delete val="1"/>
          </c:dLbls>
          <c:cat>
            <c:numRef>
              <c:f>Sheet1!$B$4:$B$28</c:f>
              <c:numCache>
                <c:formatCode>mmm\-yy</c:formatCode>
                <c:ptCount val="25"/>
                <c:pt idx="0">
                  <c:v>42369</c:v>
                </c:pt>
                <c:pt idx="1">
                  <c:v>42400</c:v>
                </c:pt>
                <c:pt idx="2">
                  <c:v>42429</c:v>
                </c:pt>
                <c:pt idx="3">
                  <c:v>42460</c:v>
                </c:pt>
                <c:pt idx="4">
                  <c:v>42490</c:v>
                </c:pt>
                <c:pt idx="5">
                  <c:v>42521</c:v>
                </c:pt>
                <c:pt idx="6">
                  <c:v>42551</c:v>
                </c:pt>
                <c:pt idx="7">
                  <c:v>42582</c:v>
                </c:pt>
                <c:pt idx="8">
                  <c:v>42613</c:v>
                </c:pt>
                <c:pt idx="9">
                  <c:v>42643</c:v>
                </c:pt>
                <c:pt idx="10">
                  <c:v>42644</c:v>
                </c:pt>
                <c:pt idx="11">
                  <c:v>42675</c:v>
                </c:pt>
                <c:pt idx="12">
                  <c:v>42735</c:v>
                </c:pt>
                <c:pt idx="13">
                  <c:v>42766</c:v>
                </c:pt>
                <c:pt idx="14">
                  <c:v>42794</c:v>
                </c:pt>
                <c:pt idx="15">
                  <c:v>42825</c:v>
                </c:pt>
                <c:pt idx="16">
                  <c:v>42855</c:v>
                </c:pt>
                <c:pt idx="17">
                  <c:v>42886</c:v>
                </c:pt>
                <c:pt idx="18">
                  <c:v>42887</c:v>
                </c:pt>
                <c:pt idx="19">
                  <c:v>42917</c:v>
                </c:pt>
                <c:pt idx="20">
                  <c:v>42948</c:v>
                </c:pt>
                <c:pt idx="21">
                  <c:v>42979</c:v>
                </c:pt>
                <c:pt idx="22">
                  <c:v>43009</c:v>
                </c:pt>
                <c:pt idx="23">
                  <c:v>43040</c:v>
                </c:pt>
                <c:pt idx="24">
                  <c:v>43070</c:v>
                </c:pt>
              </c:numCache>
            </c:numRef>
          </c:cat>
          <c:val>
            <c:numRef>
              <c:f>Sheet1!$D$4:$D$28</c:f>
              <c:numCache>
                <c:formatCode>General</c:formatCode>
                <c:ptCount val="25"/>
                <c:pt idx="0" formatCode="0.000">
                  <c:v>4.3129999999999997</c:v>
                </c:pt>
                <c:pt idx="1">
                  <c:v>#N/A</c:v>
                </c:pt>
                <c:pt idx="2">
                  <c:v>#N/A</c:v>
                </c:pt>
                <c:pt idx="3" formatCode="0.000">
                  <c:v>4.3129999999999997</c:v>
                </c:pt>
                <c:pt idx="4" formatCode="0.000">
                  <c:v>4.125</c:v>
                </c:pt>
                <c:pt idx="5" formatCode="0.000">
                  <c:v>4.125</c:v>
                </c:pt>
                <c:pt idx="6" formatCode="0.000">
                  <c:v>4.125</c:v>
                </c:pt>
                <c:pt idx="7">
                  <c:v>#N/A</c:v>
                </c:pt>
                <c:pt idx="8">
                  <c:v>#N/A</c:v>
                </c:pt>
                <c:pt idx="9" formatCode="0.000">
                  <c:v>4.125</c:v>
                </c:pt>
                <c:pt idx="10">
                  <c:v>#N/A</c:v>
                </c:pt>
                <c:pt idx="11">
                  <c:v>#N/A</c:v>
                </c:pt>
                <c:pt idx="12">
                  <c:v>3.8130000000000002</c:v>
                </c:pt>
                <c:pt idx="13">
                  <c:v>#N/A</c:v>
                </c:pt>
                <c:pt idx="14">
                  <c:v>#N/A</c:v>
                </c:pt>
                <c:pt idx="15">
                  <c:v>3.8130000000000002</c:v>
                </c:pt>
                <c:pt idx="16">
                  <c:v>3.8130000000000002</c:v>
                </c:pt>
                <c:pt idx="17">
                  <c:v>3.8130000000000002</c:v>
                </c:pt>
                <c:pt idx="18">
                  <c:v>3.8130000000000002</c:v>
                </c:pt>
                <c:pt idx="19">
                  <c:v>#N/A</c:v>
                </c:pt>
                <c:pt idx="20">
                  <c:v>#N/A</c:v>
                </c:pt>
                <c:pt idx="21">
                  <c:v>3.8130000000000002</c:v>
                </c:pt>
                <c:pt idx="22">
                  <c:v>#N/A</c:v>
                </c:pt>
                <c:pt idx="23">
                  <c:v>#N/A</c:v>
                </c:pt>
                <c:pt idx="24">
                  <c:v>3.625</c:v>
                </c:pt>
              </c:numCache>
            </c:numRef>
          </c:val>
          <c:smooth val="0"/>
        </c:ser>
        <c:dLbls>
          <c:dLblPos val="t"/>
          <c:showLegendKey val="0"/>
          <c:showVal val="1"/>
          <c:showCatName val="0"/>
          <c:showSerName val="0"/>
          <c:showPercent val="0"/>
          <c:showBubbleSize val="0"/>
        </c:dLbls>
        <c:marker val="1"/>
        <c:smooth val="0"/>
        <c:axId val="238142208"/>
        <c:axId val="238143744"/>
      </c:lineChart>
      <c:catAx>
        <c:axId val="238142208"/>
        <c:scaling>
          <c:orientation val="minMax"/>
        </c:scaling>
        <c:delete val="0"/>
        <c:axPos val="b"/>
        <c:numFmt formatCode="mmm\-yy" sourceLinked="1"/>
        <c:majorTickMark val="out"/>
        <c:minorTickMark val="none"/>
        <c:tickLblPos val="nextTo"/>
        <c:txPr>
          <a:bodyPr rot="0"/>
          <a:lstStyle/>
          <a:p>
            <a:pPr>
              <a:defRPr sz="900"/>
            </a:pPr>
            <a:endParaRPr lang="en-US"/>
          </a:p>
        </c:txPr>
        <c:crossAx val="238143744"/>
        <c:crossesAt val="0"/>
        <c:auto val="0"/>
        <c:lblAlgn val="ctr"/>
        <c:lblOffset val="100"/>
        <c:noMultiLvlLbl val="0"/>
      </c:catAx>
      <c:valAx>
        <c:axId val="238143744"/>
        <c:scaling>
          <c:orientation val="minMax"/>
        </c:scaling>
        <c:delete val="0"/>
        <c:axPos val="l"/>
        <c:majorGridlines>
          <c:spPr>
            <a:ln>
              <a:solidFill>
                <a:schemeClr val="bg1">
                  <a:lumMod val="65000"/>
                </a:schemeClr>
              </a:solidFill>
              <a:prstDash val="dash"/>
            </a:ln>
          </c:spPr>
        </c:majorGridlines>
        <c:title>
          <c:tx>
            <c:rich>
              <a:bodyPr rot="-5400000" vert="horz"/>
              <a:lstStyle/>
              <a:p>
                <a:pPr>
                  <a:defRPr/>
                </a:pPr>
                <a:r>
                  <a:rPr lang="en-AU" b="0" i="1"/>
                  <a:t>per cent</a:t>
                </a:r>
              </a:p>
            </c:rich>
          </c:tx>
          <c:layout>
            <c:manualLayout>
              <c:xMode val="edge"/>
              <c:yMode val="edge"/>
              <c:x val="1.174882465850096E-2"/>
              <c:y val="0.39141368961295503"/>
            </c:manualLayout>
          </c:layout>
          <c:overlay val="0"/>
        </c:title>
        <c:numFmt formatCode="General" sourceLinked="1"/>
        <c:majorTickMark val="out"/>
        <c:minorTickMark val="none"/>
        <c:tickLblPos val="nextTo"/>
        <c:crossAx val="238142208"/>
        <c:crosses val="autoZero"/>
        <c:crossBetween val="between"/>
      </c:valAx>
    </c:plotArea>
    <c:legend>
      <c:legendPos val="r"/>
      <c:layout>
        <c:manualLayout>
          <c:xMode val="edge"/>
          <c:yMode val="edge"/>
          <c:x val="0.15887797044276611"/>
          <c:y val="0.91093080697212192"/>
          <c:w val="0.65310070935010667"/>
          <c:h val="6.0936980815542385E-2"/>
        </c:manualLayout>
      </c:layout>
      <c:overlay val="0"/>
      <c:txPr>
        <a:bodyPr/>
        <a:lstStyle/>
        <a:p>
          <a:pPr>
            <a:defRPr sz="800"/>
          </a:pPr>
          <a:endParaRPr lang="en-US"/>
        </a:p>
      </c:txPr>
    </c:legend>
    <c:plotVisOnly val="1"/>
    <c:dispBlanksAs val="gap"/>
    <c:showDLblsOverMax val="0"/>
  </c:chart>
  <c:spPr>
    <a:ln>
      <a:noFill/>
    </a:ln>
  </c:spPr>
  <c:txPr>
    <a:bodyPr/>
    <a:lstStyle/>
    <a:p>
      <a:pPr>
        <a:defRPr sz="900"/>
      </a:pPr>
      <a:endParaRPr lang="en-US"/>
    </a:p>
  </c:txPr>
  <c:externalData r:id="rId1">
    <c:autoUpdate val="0"/>
  </c:externalData>
</c:chartSpace>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9828-7892-4A94-97BD-572C43164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Accounting Policy.dotx</Template>
  <TotalTime>2</TotalTime>
  <Pages>11</Pages>
  <Words>5504</Words>
  <Characters>31378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Shareen Singh</cp:lastModifiedBy>
  <cp:revision>5</cp:revision>
  <cp:lastPrinted>2018-01-28T21:49:00Z</cp:lastPrinted>
  <dcterms:created xsi:type="dcterms:W3CDTF">2018-01-28T21:48:00Z</dcterms:created>
  <dcterms:modified xsi:type="dcterms:W3CDTF">2018-01-28T21:50:00Z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360e5789-13cc-4638-b0ec-d526ca1fae51</vt:lpwstr>
  </property>
  <property fmtid="{D5CDD505-2E9C-101B-9397-08002B2CF9AE}" pid="3" name="PSPFClassification">
    <vt:lpwstr>Do Not Mark</vt:lpwstr>
  </property>
</Properties>
</file>